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13, 2016</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Amendment No. 4</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to</w:t>
      </w:r>
    </w:p>
    <w:p>
      <w:pPr>
        <w:jc w:val="center"/>
        <w:spacing w:after="0"/>
        <w:rPr>
          <w:sz w:val="20"/>
          <w:szCs w:val="20"/>
          <w:color w:val="auto"/>
        </w:rPr>
      </w:pPr>
      <w:r>
        <w:rPr>
          <w:rFonts w:ascii="Arial" w:cs="Arial" w:eastAsia="Arial" w:hAnsi="Arial"/>
          <w:sz w:val="27"/>
          <w:szCs w:val="27"/>
          <w:b w:val="1"/>
          <w:bCs w:val="1"/>
          <w:color w:val="auto"/>
        </w:rPr>
        <w:t>FORM F-1</w:t>
      </w:r>
    </w:p>
    <w:p>
      <w:pPr>
        <w:jc w:val="center"/>
        <w:spacing w:after="0"/>
        <w:rPr>
          <w:sz w:val="20"/>
          <w:szCs w:val="20"/>
          <w:color w:val="auto"/>
        </w:rPr>
      </w:pPr>
      <w:r>
        <w:rPr>
          <w:rFonts w:ascii="Arial" w:cs="Arial" w:eastAsia="Arial" w:hAnsi="Arial"/>
          <w:sz w:val="27"/>
          <w:szCs w:val="27"/>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2"/>
              </w:rPr>
              <w:t>Switzerland</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500" w:type="dxa"/>
            <w:vAlign w:val="bottom"/>
          </w:tcPr>
          <w:p>
            <w:pPr>
              <w:jc w:val="center"/>
              <w:ind w:left="98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Andrea Pfeifer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EPFL Innovation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Building B</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1015 Lausanne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Switzerland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+41 21 345 91 21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4"/>
          <w:szCs w:val="24"/>
          <w:color w:val="auto"/>
        </w:rPr>
      </w:pPr>
    </w:p>
    <w:tbl>
      <w:tblPr>
        <w:tblLayout w:type="fixed"/>
        <w:tblInd w:w="190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3"/>
              </w:rPr>
              <w:t>National Corporate Research, Ltd.</w:t>
            </w:r>
          </w:p>
        </w:tc>
      </w:t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1"/>
              </w:rPr>
              <w:t>10 East 40th Street, 10th Floor</w:t>
            </w:r>
          </w:p>
        </w:tc>
      </w:tr>
      <w:tr>
        <w:trPr>
          <w:trHeight w:val="203"/>
        </w:trPr>
        <w:tc>
          <w:tcPr>
            <w:tcW w:w="2620" w:type="dxa"/>
            <w:vAlign w:val="bottom"/>
          </w:tcPr>
          <w:p>
            <w:pPr>
              <w:spacing w:after="0"/>
              <w:rPr>
                <w:sz w:val="17"/>
                <w:szCs w:val="17"/>
                <w:color w:val="auto"/>
              </w:rPr>
            </w:pPr>
          </w:p>
        </w:tc>
        <w:tc>
          <w:tcPr>
            <w:tcW w:w="4900" w:type="dxa"/>
            <w:vAlign w:val="bottom"/>
            <w:gridSpan w:val="2"/>
          </w:tcPr>
          <w:p>
            <w:pPr>
              <w:jc w:val="center"/>
              <w:ind w:right="2199"/>
              <w:spacing w:after="0"/>
              <w:rPr>
                <w:sz w:val="20"/>
                <w:szCs w:val="20"/>
                <w:color w:val="auto"/>
              </w:rPr>
            </w:pPr>
            <w:r>
              <w:rPr>
                <w:rFonts w:ascii="Arial" w:cs="Arial" w:eastAsia="Arial" w:hAnsi="Arial"/>
                <w:sz w:val="16"/>
                <w:szCs w:val="16"/>
                <w:b w:val="1"/>
                <w:bCs w:val="1"/>
                <w:color w:val="auto"/>
                <w:w w:val="93"/>
              </w:rPr>
              <w:t>New York, New York 10016</w:t>
            </w:r>
          </w:p>
        </w:tc>
      </w:tr>
      <w:tr>
        <w:trPr>
          <w:trHeight w:val="194"/>
        </w:trPr>
        <w:tc>
          <w:tcPr>
            <w:tcW w:w="2620" w:type="dxa"/>
            <w:vAlign w:val="bottom"/>
          </w:tcPr>
          <w:p>
            <w:pPr>
              <w:spacing w:after="0"/>
              <w:rPr>
                <w:sz w:val="16"/>
                <w:szCs w:val="16"/>
                <w:color w:val="auto"/>
              </w:rPr>
            </w:pPr>
          </w:p>
        </w:tc>
        <w:tc>
          <w:tcPr>
            <w:tcW w:w="2380" w:type="dxa"/>
            <w:vAlign w:val="bottom"/>
          </w:tcPr>
          <w:p>
            <w:pPr>
              <w:jc w:val="center"/>
              <w:ind w:left="160"/>
              <w:spacing w:after="0"/>
              <w:rPr>
                <w:sz w:val="20"/>
                <w:szCs w:val="20"/>
                <w:color w:val="auto"/>
              </w:rPr>
            </w:pPr>
            <w:r>
              <w:rPr>
                <w:rFonts w:ascii="Arial" w:cs="Arial" w:eastAsia="Arial" w:hAnsi="Arial"/>
                <w:sz w:val="16"/>
                <w:szCs w:val="16"/>
                <w:b w:val="1"/>
                <w:bCs w:val="1"/>
                <w:color w:val="auto"/>
                <w:w w:val="93"/>
              </w:rPr>
              <w:t>(800) 221-0102</w:t>
            </w:r>
          </w:p>
        </w:tc>
        <w:tc>
          <w:tcPr>
            <w:tcW w:w="2520" w:type="dxa"/>
            <w:vAlign w:val="bottom"/>
          </w:tcPr>
          <w:p>
            <w:pPr>
              <w:spacing w:after="0"/>
              <w:rPr>
                <w:sz w:val="16"/>
                <w:szCs w:val="16"/>
                <w:color w:val="auto"/>
              </w:rPr>
            </w:pPr>
          </w:p>
        </w:tc>
      </w:tr>
      <w:tr>
        <w:trPr>
          <w:trHeight w:val="186"/>
        </w:trPr>
        <w:tc>
          <w:tcPr>
            <w:tcW w:w="752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91"/>
              </w:rPr>
              <w:t>(Name, address, including zip code, and telephone number, including area code, of agent for service)</w:t>
            </w:r>
          </w:p>
        </w:tc>
      </w:tr>
      <w:tr>
        <w:trPr>
          <w:trHeight w:val="120"/>
        </w:trPr>
        <w:tc>
          <w:tcPr>
            <w:tcW w:w="262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r>
      <w:tr>
        <w:trPr>
          <w:trHeight w:val="211"/>
        </w:trPr>
        <w:tc>
          <w:tcPr>
            <w:tcW w:w="2620" w:type="dxa"/>
            <w:vAlign w:val="bottom"/>
          </w:tcPr>
          <w:p>
            <w:pPr>
              <w:spacing w:after="0"/>
              <w:rPr>
                <w:sz w:val="18"/>
                <w:szCs w:val="18"/>
                <w:color w:val="auto"/>
              </w:rPr>
            </w:pPr>
          </w:p>
        </w:tc>
        <w:tc>
          <w:tcPr>
            <w:tcW w:w="4900" w:type="dxa"/>
            <w:vAlign w:val="bottom"/>
            <w:gridSpan w:val="2"/>
          </w:tcPr>
          <w:p>
            <w:pPr>
              <w:jc w:val="center"/>
              <w:ind w:right="2419"/>
              <w:spacing w:after="0"/>
              <w:rPr>
                <w:sz w:val="20"/>
                <w:szCs w:val="20"/>
                <w:color w:val="auto"/>
              </w:rPr>
            </w:pPr>
            <w:r>
              <w:rPr>
                <w:rFonts w:ascii="Arial" w:cs="Arial" w:eastAsia="Arial" w:hAnsi="Arial"/>
                <w:sz w:val="14"/>
                <w:szCs w:val="14"/>
                <w:b w:val="1"/>
                <w:bCs w:val="1"/>
                <w:i w:val="1"/>
                <w:iCs w:val="1"/>
                <w:color w:val="auto"/>
                <w:w w:val="87"/>
              </w:rPr>
              <w:t>Copies to:</w:t>
            </w:r>
          </w:p>
        </w:tc>
      </w:tr>
      <w:tr>
        <w:trPr>
          <w:trHeight w:val="241"/>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2"/>
              </w:rPr>
              <w:t>Richard D. Truesdell, Jr.</w:t>
            </w:r>
          </w:p>
        </w:tc>
        <w:tc>
          <w:tcPr>
            <w:tcW w:w="2380" w:type="dxa"/>
            <w:vAlign w:val="bottom"/>
          </w:tcPr>
          <w:p>
            <w:pPr>
              <w:spacing w:after="0"/>
              <w:rPr>
                <w:sz w:val="20"/>
                <w:szCs w:val="20"/>
                <w:color w:val="auto"/>
              </w:rPr>
            </w:pPr>
          </w:p>
        </w:tc>
        <w:tc>
          <w:tcPr>
            <w:tcW w:w="2520" w:type="dxa"/>
            <w:vAlign w:val="bottom"/>
          </w:tcPr>
          <w:p>
            <w:pPr>
              <w:jc w:val="center"/>
              <w:ind w:left="919"/>
              <w:spacing w:after="0"/>
              <w:rPr>
                <w:sz w:val="20"/>
                <w:szCs w:val="20"/>
                <w:color w:val="auto"/>
              </w:rPr>
            </w:pPr>
            <w:r>
              <w:rPr>
                <w:rFonts w:ascii="Arial" w:cs="Arial" w:eastAsia="Arial" w:hAnsi="Arial"/>
                <w:sz w:val="16"/>
                <w:szCs w:val="16"/>
                <w:b w:val="1"/>
                <w:bCs w:val="1"/>
                <w:color w:val="auto"/>
                <w:w w:val="92"/>
              </w:rPr>
              <w:t>Mitchell S. Bloom</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1"/>
              </w:rPr>
              <w:t>Derek J. Dostal</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9"/>
              </w:rPr>
              <w:t>Arthur R. McGivern</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5"/>
              </w:rPr>
              <w:t>Davis Polk &amp; Wardwell LLP</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4"/>
              </w:rPr>
              <w:t>Goodwin Procter LLP</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0"/>
              </w:rPr>
              <w:t>450 Lexington Avenue</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0"/>
              </w:rPr>
              <w:t>Exchange Place</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5"/>
              </w:rPr>
              <w:t>New York, NY 10017</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53 State Street</w:t>
            </w:r>
          </w:p>
        </w:tc>
      </w:tr>
      <w:tr>
        <w:trPr>
          <w:trHeight w:val="203"/>
        </w:trPr>
        <w:tc>
          <w:tcPr>
            <w:tcW w:w="2620" w:type="dxa"/>
            <w:vAlign w:val="bottom"/>
          </w:tcPr>
          <w:p>
            <w:pPr>
              <w:jc w:val="center"/>
              <w:ind w:right="560"/>
              <w:spacing w:after="0"/>
              <w:rPr>
                <w:sz w:val="20"/>
                <w:szCs w:val="20"/>
                <w:color w:val="auto"/>
              </w:rPr>
            </w:pPr>
            <w:r>
              <w:rPr>
                <w:rFonts w:ascii="Arial" w:cs="Arial" w:eastAsia="Arial" w:hAnsi="Arial"/>
                <w:sz w:val="16"/>
                <w:szCs w:val="16"/>
                <w:b w:val="1"/>
                <w:bCs w:val="1"/>
                <w:color w:val="auto"/>
                <w:w w:val="93"/>
              </w:rPr>
              <w:t>(212) 450-4000</w:t>
            </w:r>
          </w:p>
        </w:tc>
        <w:tc>
          <w:tcPr>
            <w:tcW w:w="2380" w:type="dxa"/>
            <w:vAlign w:val="bottom"/>
          </w:tcPr>
          <w:p>
            <w:pPr>
              <w:spacing w:after="0"/>
              <w:rPr>
                <w:sz w:val="17"/>
                <w:szCs w:val="17"/>
                <w:color w:val="auto"/>
              </w:rPr>
            </w:pPr>
          </w:p>
        </w:tc>
        <w:tc>
          <w:tcPr>
            <w:tcW w:w="252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Boston, MA 02109</w:t>
            </w:r>
          </w:p>
        </w:tc>
      </w:tr>
      <w:tr>
        <w:trPr>
          <w:trHeight w:val="210"/>
        </w:trPr>
        <w:tc>
          <w:tcPr>
            <w:tcW w:w="2620" w:type="dxa"/>
            <w:vAlign w:val="bottom"/>
          </w:tcPr>
          <w:p>
            <w:pPr>
              <w:spacing w:after="0"/>
              <w:rPr>
                <w:sz w:val="18"/>
                <w:szCs w:val="18"/>
                <w:color w:val="auto"/>
              </w:rPr>
            </w:pPr>
          </w:p>
        </w:tc>
        <w:tc>
          <w:tcPr>
            <w:tcW w:w="4900" w:type="dxa"/>
            <w:vAlign w:val="bottom"/>
            <w:gridSpan w:val="2"/>
          </w:tcPr>
          <w:p>
            <w:pPr>
              <w:jc w:val="center"/>
              <w:ind w:left="3280"/>
              <w:spacing w:after="0"/>
              <w:rPr>
                <w:sz w:val="20"/>
                <w:szCs w:val="20"/>
                <w:color w:val="auto"/>
              </w:rPr>
            </w:pPr>
            <w:r>
              <w:rPr>
                <w:rFonts w:ascii="Arial" w:cs="Arial" w:eastAsia="Arial" w:hAnsi="Arial"/>
                <w:sz w:val="16"/>
                <w:szCs w:val="16"/>
                <w:b w:val="1"/>
                <w:bCs w:val="1"/>
                <w:color w:val="auto"/>
                <w:w w:val="93"/>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8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8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17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4"/>
              </w:rPr>
              <w:t>maximum</w:t>
            </w:r>
          </w:p>
        </w:tc>
        <w:tc>
          <w:tcPr>
            <w:tcW w:w="19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80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ind w:left="30"/>
              <w:spacing w:after="0" w:line="149" w:lineRule="exact"/>
              <w:rPr>
                <w:sz w:val="20"/>
                <w:szCs w:val="20"/>
                <w:color w:val="auto"/>
              </w:rPr>
            </w:pPr>
            <w:r>
              <w:rPr>
                <w:rFonts w:ascii="Arial" w:cs="Arial" w:eastAsia="Arial" w:hAnsi="Arial"/>
                <w:sz w:val="14"/>
                <w:szCs w:val="14"/>
                <w:b w:val="1"/>
                <w:bCs w:val="1"/>
                <w:color w:val="auto"/>
                <w:w w:val="89"/>
              </w:rPr>
              <w:t>aggregate</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7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93"/>
              </w:rPr>
              <w:t>offering price(1)</w:t>
            </w:r>
          </w:p>
        </w:tc>
        <w:tc>
          <w:tcPr>
            <w:tcW w:w="19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Registration fee(2)(3)</w:t>
            </w:r>
          </w:p>
        </w:tc>
        <w:tc>
          <w:tcPr>
            <w:tcW w:w="0" w:type="dxa"/>
            <w:vAlign w:val="bottom"/>
          </w:tcPr>
          <w:p>
            <w:pPr>
              <w:spacing w:after="0"/>
              <w:rPr>
                <w:sz w:val="1"/>
                <w:szCs w:val="1"/>
                <w:color w:val="auto"/>
              </w:rPr>
            </w:pPr>
          </w:p>
        </w:tc>
      </w:tr>
      <w:tr>
        <w:trPr>
          <w:trHeight w:val="142"/>
        </w:trPr>
        <w:tc>
          <w:tcPr>
            <w:tcW w:w="7800" w:type="dxa"/>
            <w:vAlign w:val="bottom"/>
            <w:tcBorders>
              <w:bottom w:val="single" w:sz="8" w:color="auto"/>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Common shares, nominal value CHF 0.02 per share</w:t>
            </w:r>
          </w:p>
        </w:tc>
        <w:tc>
          <w:tcPr>
            <w:tcW w:w="1700" w:type="dxa"/>
            <w:vAlign w:val="bottom"/>
            <w:tcBorders>
              <w:bottom w:val="single" w:sz="8" w:color="auto"/>
              <w:right w:val="single" w:sz="8" w:color="auto"/>
            </w:tcBorders>
            <w:shd w:val="clear" w:color="auto" w:fill="CCEEFF"/>
          </w:tcPr>
          <w:p>
            <w:pPr>
              <w:jc w:val="center"/>
              <w:ind w:left="30"/>
              <w:spacing w:after="0" w:line="142" w:lineRule="exact"/>
              <w:rPr>
                <w:sz w:val="20"/>
                <w:szCs w:val="20"/>
                <w:color w:val="auto"/>
              </w:rPr>
            </w:pPr>
            <w:r>
              <w:rPr>
                <w:rFonts w:ascii="Arial" w:cs="Arial" w:eastAsia="Arial" w:hAnsi="Arial"/>
                <w:sz w:val="14"/>
                <w:szCs w:val="14"/>
                <w:color w:val="auto"/>
                <w:w w:val="92"/>
              </w:rPr>
              <w:t>$67,954,562</w:t>
            </w:r>
          </w:p>
        </w:tc>
        <w:tc>
          <w:tcPr>
            <w:tcW w:w="1920" w:type="dxa"/>
            <w:vAlign w:val="bottom"/>
            <w:tcBorders>
              <w:bottom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3"/>
              </w:rPr>
              <w:t>$6,843.03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 of 1933, as amended, based on a bona fide estimate of the proposed maximum aggregate offering price.</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Filing fees in the amount of $5,035.00 were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ind w:right="18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08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13,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4,545,456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218440</wp:posOffset>
            </wp:positionV>
            <wp:extent cx="253873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282575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0" w:firstLine="456"/>
        <w:spacing w:after="0"/>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4,545,456 of our common shares in this offering. We expect the initial public offering price will be between $11.00 and $13.00 per common share. We have applied to list our common shares on the NASDAQ under the symbol “ACIU.”</w:t>
      </w:r>
    </w:p>
    <w:p>
      <w:pPr>
        <w:spacing w:after="0" w:line="243" w:lineRule="exact"/>
        <w:rPr>
          <w:sz w:val="20"/>
          <w:szCs w:val="20"/>
          <w:color w:val="auto"/>
        </w:rPr>
      </w:pPr>
    </w:p>
    <w:p>
      <w:pPr>
        <w:ind w:right="360" w:firstLine="456"/>
        <w:spacing w:after="0"/>
        <w:rPr>
          <w:sz w:val="20"/>
          <w:szCs w:val="20"/>
          <w:color w:val="auto"/>
        </w:rPr>
      </w:pPr>
      <w:r>
        <w:rPr>
          <w:rFonts w:ascii="Arial" w:cs="Arial" w:eastAsia="Arial" w:hAnsi="Arial"/>
          <w:sz w:val="18"/>
          <w:szCs w:val="18"/>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198"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318" w:lineRule="exact"/>
        <w:rPr>
          <w:sz w:val="20"/>
          <w:szCs w:val="20"/>
          <w:color w:val="auto"/>
        </w:rPr>
      </w:pPr>
    </w:p>
    <w:tbl>
      <w:tblPr>
        <w:tblLayout w:type="fixed"/>
        <w:tblInd w:w="574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Underwriting Discounts</w:t>
            </w:r>
          </w:p>
        </w:tc>
        <w:tc>
          <w:tcPr>
            <w:tcW w:w="7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Proceeds, Before</w:t>
            </w:r>
          </w:p>
        </w:tc>
      </w:tr>
      <w:tr>
        <w:trPr>
          <w:trHeight w:val="189"/>
        </w:trPr>
        <w:tc>
          <w:tcPr>
            <w:tcW w:w="1840" w:type="dxa"/>
            <w:vAlign w:val="bottom"/>
          </w:tcPr>
          <w:p>
            <w:pPr>
              <w:spacing w:after="0"/>
              <w:rPr>
                <w:sz w:val="20"/>
                <w:szCs w:val="20"/>
                <w:color w:val="auto"/>
              </w:rPr>
            </w:pPr>
            <w:r>
              <w:rPr>
                <w:rFonts w:ascii="Arial" w:cs="Arial" w:eastAsia="Arial" w:hAnsi="Arial"/>
                <w:sz w:val="14"/>
                <w:szCs w:val="14"/>
                <w:b w:val="1"/>
                <w:bCs w:val="1"/>
                <w:color w:val="auto"/>
              </w:rPr>
              <w:t>Price to Public</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Commissions(1)</w:t>
            </w:r>
          </w:p>
        </w:tc>
        <w:tc>
          <w:tcPr>
            <w:tcW w:w="7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 to Us</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line="195" w:lineRule="exact"/>
              <w:rPr>
                <w:sz w:val="20"/>
                <w:szCs w:val="20"/>
                <w:color w:val="auto"/>
              </w:rPr>
            </w:pPr>
            <w:r>
              <w:rPr>
                <w:rFonts w:ascii="Arial" w:cs="Arial" w:eastAsia="Arial" w:hAnsi="Arial"/>
                <w:sz w:val="18"/>
                <w:szCs w:val="18"/>
                <w:color w:val="auto"/>
              </w:rPr>
              <w:t>Per Common Share</w:t>
            </w:r>
          </w:p>
        </w:tc>
        <w:tc>
          <w:tcPr>
            <w:tcW w:w="1040" w:type="dxa"/>
            <w:vAlign w:val="bottom"/>
            <w:tcBorders>
              <w:top w:val="single" w:sz="8" w:color="auto"/>
            </w:tcBorders>
          </w:tcPr>
          <w:p>
            <w:pPr>
              <w:jc w:val="right"/>
              <w:ind w:right="850"/>
              <w:spacing w:after="0" w:line="195" w:lineRule="exact"/>
              <w:rPr>
                <w:sz w:val="20"/>
                <w:szCs w:val="20"/>
                <w:color w:val="auto"/>
              </w:rPr>
            </w:pPr>
            <w:r>
              <w:rPr>
                <w:rFonts w:ascii="Arial" w:cs="Arial" w:eastAsia="Arial" w:hAnsi="Arial"/>
                <w:sz w:val="18"/>
                <w:szCs w:val="18"/>
                <w:color w:val="auto"/>
                <w:w w:val="79"/>
              </w:rPr>
              <w:t>$</w:t>
            </w: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See “Underwriting” for additional information regarding total underwriter compensation.</w:t>
      </w:r>
    </w:p>
    <w:p>
      <w:pPr>
        <w:spacing w:after="0" w:line="20" w:lineRule="exact"/>
        <w:rPr>
          <w:sz w:val="20"/>
          <w:szCs w:val="20"/>
          <w:color w:val="auto"/>
        </w:rPr>
      </w:pPr>
      <w:r>
        <w:rPr>
          <w:sz w:val="20"/>
          <w:szCs w:val="20"/>
          <w:color w:val="auto"/>
        </w:rPr>
        <w:br w:type="column"/>
      </w:r>
    </w:p>
    <w:p>
      <w:pPr>
        <w:spacing w:after="0"/>
        <w:tabs>
          <w:tab w:leader="none" w:pos="21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7" w:lineRule="exact"/>
        <w:rPr>
          <w:sz w:val="20"/>
          <w:szCs w:val="20"/>
          <w:color w:val="auto"/>
        </w:rPr>
      </w:pPr>
    </w:p>
    <w:p>
      <w:pPr>
        <w:spacing w:after="0"/>
        <w:tabs>
          <w:tab w:leader="none" w:pos="21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591" w:lineRule="exact"/>
        <w:rPr>
          <w:sz w:val="20"/>
          <w:szCs w:val="20"/>
          <w:color w:val="auto"/>
        </w:rPr>
      </w:pPr>
    </w:p>
    <w:p>
      <w:pPr>
        <w:sectPr>
          <w:pgSz w:w="11900" w:h="16838" w:orient="portrait"/>
          <w:cols w:equalWidth="0" w:num="2">
            <w:col w:w="7340" w:space="540"/>
            <w:col w:w="3540"/>
          </w:cols>
          <w:pgMar w:left="240" w:top="459" w:right="239" w:bottom="1440" w:gutter="0" w:footer="0" w:header="0"/>
          <w:type w:val="continuous"/>
        </w:sectPr>
      </w:pPr>
    </w:p>
    <w:p>
      <w:pPr>
        <w:spacing w:after="0" w:line="64"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681,818 common shares from us to cover over-allotments.</w:t>
      </w:r>
    </w:p>
    <w:p>
      <w:pPr>
        <w:spacing w:after="0" w:line="202" w:lineRule="exact"/>
        <w:rPr>
          <w:sz w:val="20"/>
          <w:szCs w:val="20"/>
          <w:color w:val="auto"/>
        </w:rPr>
      </w:pPr>
    </w:p>
    <w:p>
      <w:pPr>
        <w:ind w:right="240" w:firstLine="456"/>
        <w:spacing w:after="0" w:line="30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1" w:lineRule="exact"/>
        <w:rPr>
          <w:sz w:val="20"/>
          <w:szCs w:val="20"/>
          <w:color w:val="auto"/>
        </w:rPr>
      </w:pPr>
    </w:p>
    <w:p>
      <w:pPr>
        <w:ind w:right="80" w:firstLine="456"/>
        <w:spacing w:after="0"/>
        <w:rPr>
          <w:sz w:val="20"/>
          <w:szCs w:val="20"/>
          <w:color w:val="auto"/>
        </w:rPr>
      </w:pPr>
      <w:r>
        <w:rPr>
          <w:rFonts w:ascii="Arial" w:cs="Arial" w:eastAsia="Arial" w:hAnsi="Arial"/>
          <w:sz w:val="18"/>
          <w:szCs w:val="18"/>
          <w:color w:val="auto"/>
        </w:rPr>
        <w:t>Certain of our existing shareholders have indicated an interest in purchasing up to $ 30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gridSpan w:val="2"/>
          </w:tcPr>
          <w:p>
            <w:pPr>
              <w:ind w:left="460"/>
              <w:spacing w:after="0"/>
              <w:rPr>
                <w:sz w:val="20"/>
                <w:szCs w:val="20"/>
                <w:color w:val="auto"/>
              </w:rPr>
            </w:pPr>
            <w:r>
              <w:rPr>
                <w:rFonts w:ascii="Arial" w:cs="Arial" w:eastAsia="Arial" w:hAnsi="Arial"/>
                <w:sz w:val="18"/>
                <w:szCs w:val="18"/>
                <w:color w:val="auto"/>
              </w:rPr>
              <w:t>Delivery of the common shares is expected to be made on or about</w:t>
            </w:r>
          </w:p>
        </w:tc>
        <w:tc>
          <w:tcPr>
            <w:tcW w:w="4800" w:type="dxa"/>
            <w:vAlign w:val="bottom"/>
          </w:tcPr>
          <w:p>
            <w:pPr>
              <w:jc w:val="right"/>
              <w:ind w:right="3892"/>
              <w:spacing w:after="0"/>
              <w:rPr>
                <w:sz w:val="20"/>
                <w:szCs w:val="20"/>
                <w:color w:val="auto"/>
              </w:rPr>
            </w:pPr>
            <w:r>
              <w:rPr>
                <w:rFonts w:ascii="Arial" w:cs="Arial" w:eastAsia="Arial" w:hAnsi="Arial"/>
                <w:sz w:val="18"/>
                <w:szCs w:val="18"/>
                <w:color w:val="auto"/>
              </w:rPr>
              <w:t>, 2016.</w:t>
            </w:r>
          </w:p>
        </w:tc>
      </w:tr>
      <w:tr>
        <w:trPr>
          <w:trHeight w:val="626"/>
        </w:trPr>
        <w:tc>
          <w:tcPr>
            <w:tcW w:w="2760" w:type="dxa"/>
            <w:vAlign w:val="bottom"/>
          </w:tcPr>
          <w:p>
            <w:pPr>
              <w:spacing w:after="0"/>
              <w:rPr>
                <w:sz w:val="20"/>
                <w:szCs w:val="20"/>
                <w:color w:val="auto"/>
              </w:rPr>
            </w:pPr>
            <w:r>
              <w:rPr>
                <w:rFonts w:ascii="Arial" w:cs="Arial" w:eastAsia="Arial" w:hAnsi="Arial"/>
                <w:sz w:val="29"/>
                <w:szCs w:val="29"/>
                <w:b w:val="1"/>
                <w:bCs w:val="1"/>
                <w:color w:val="auto"/>
              </w:rPr>
              <w:t>Credit Suisse</w:t>
            </w:r>
          </w:p>
        </w:tc>
        <w:tc>
          <w:tcPr>
            <w:tcW w:w="3860" w:type="dxa"/>
            <w:vAlign w:val="bottom"/>
          </w:tcPr>
          <w:p>
            <w:pPr>
              <w:ind w:left="2420"/>
              <w:spacing w:after="0"/>
              <w:rPr>
                <w:sz w:val="20"/>
                <w:szCs w:val="20"/>
                <w:color w:val="auto"/>
              </w:rPr>
            </w:pPr>
            <w:r>
              <w:rPr>
                <w:rFonts w:ascii="Arial" w:cs="Arial" w:eastAsia="Arial" w:hAnsi="Arial"/>
                <w:sz w:val="29"/>
                <w:szCs w:val="29"/>
                <w:b w:val="1"/>
                <w:bCs w:val="1"/>
                <w:color w:val="auto"/>
              </w:rPr>
              <w:t>Jefferies</w:t>
            </w:r>
          </w:p>
        </w:tc>
        <w:tc>
          <w:tcPr>
            <w:tcW w:w="4800" w:type="dxa"/>
            <w:vAlign w:val="bottom"/>
          </w:tcPr>
          <w:p>
            <w:pPr>
              <w:jc w:val="right"/>
              <w:spacing w:after="0"/>
              <w:rPr>
                <w:sz w:val="20"/>
                <w:szCs w:val="20"/>
                <w:color w:val="auto"/>
              </w:rPr>
            </w:pPr>
            <w:r>
              <w:rPr>
                <w:rFonts w:ascii="Arial" w:cs="Arial" w:eastAsia="Arial" w:hAnsi="Arial"/>
                <w:sz w:val="29"/>
                <w:szCs w:val="29"/>
                <w:b w:val="1"/>
                <w:bCs w:val="1"/>
                <w:color w:val="auto"/>
              </w:rPr>
              <w:t>Leerink Partners</w:t>
            </w:r>
          </w:p>
        </w:tc>
      </w:tr>
      <w:tr>
        <w:trPr>
          <w:trHeight w:val="468"/>
        </w:trPr>
        <w:tc>
          <w:tcPr>
            <w:tcW w:w="2760" w:type="dxa"/>
            <w:vAlign w:val="bottom"/>
          </w:tcPr>
          <w:p>
            <w:pPr>
              <w:spacing w:after="0"/>
              <w:rPr>
                <w:sz w:val="24"/>
                <w:szCs w:val="24"/>
                <w:color w:val="auto"/>
              </w:rPr>
            </w:pP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The date of this prospectus is</w:t>
            </w:r>
          </w:p>
        </w:tc>
        <w:tc>
          <w:tcPr>
            <w:tcW w:w="4800" w:type="dxa"/>
            <w:vAlign w:val="bottom"/>
          </w:tcPr>
          <w:p>
            <w:pPr>
              <w:jc w:val="right"/>
              <w:ind w:right="3552"/>
              <w:spacing w:after="0"/>
              <w:rPr>
                <w:sz w:val="20"/>
                <w:szCs w:val="20"/>
                <w:color w:val="auto"/>
              </w:rPr>
            </w:pPr>
            <w:r>
              <w:rPr>
                <w:rFonts w:ascii="Arial" w:cs="Arial" w:eastAsia="Arial" w:hAnsi="Arial"/>
                <w:sz w:val="18"/>
                <w:szCs w:val="18"/>
                <w:b w:val="1"/>
                <w:bCs w:val="1"/>
                <w:color w:val="auto"/>
              </w:rPr>
              <w:t>, 2016</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Principal Shareholder</w:t>
              </w:r>
            </w:hyperlink>
            <w:r>
              <w:rPr>
                <w:rFonts w:ascii="Arial" w:cs="Arial" w:eastAsia="Arial" w:hAnsi="Arial"/>
                <w:sz w:val="18"/>
                <w:szCs w:val="18"/>
                <w:color w:val="000000"/>
              </w:rPr>
              <w:t>s</w:t>
            </w: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8">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200">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01">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1.0235 to CHF 1.00, the official exchange rate quoted as of September 9,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four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71"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15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ACI-35 and our anti-tau antibody candidate.</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crenezumab to achieve success in Phase 3 clinical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1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in connection with the audit of our financial statements as of and for the year ended December 31, 2014. This material weakness continued to exist as of December 31, 2015 and as at June 30,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21 345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17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2517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Anti-Tau Antibody Phase 1 Milestone Payment</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In June 2016, Genentech, our collaboration partner, informed us that the first patient has been dosed in a Phase 1 clinical study for Alzheimer’s disease with an anti-tau monoclonal antibody, making us eligible to receive a milestone payment of CHF 14 million, which we received in July 2016 (the “Anti-Tau Antibody Phase 1 Milestone Payment”). For more information on our collaboration agreement with Genentech, see “Management’s Discussion and Analysis of Financial Condition and Results of Operations—Strategic Collaborations and Licensing Agreements—Anti-Tau Antibodies —Collaboration with Genentech” and “Business—License Agreements and Collaborations—Genentech.”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34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4634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ectPr>
          <w:pgSz w:w="11900" w:h="16838" w:orient="portrait"/>
          <w:cols w:equalWidth="0" w:num="1">
            <w:col w:w="11240"/>
          </w:cols>
          <w:pgMar w:left="240" w:top="459" w:right="41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offered by us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4,545,456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Common shares to be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53,941,498 shares.</w:t>
      </w:r>
    </w:p>
    <w:p>
      <w:pPr>
        <w:spacing w:after="0" w:line="505"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We have granted the underwriters the option to purchase up to an additional 681,818 common shares from us within 30 days of the date of this prospectus to cover over-allotments, if any.</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We estimate that the net proceeds to us from this offering will be approximately $47.2 million, assuming an initial public offering price of $12.00 per common share, which is the midpoint of the price range set forth on the cover page of this prospectus, after deducting underwriting discounts and commissions and estimated offering expenses payable by us. We intend to use the net proceeds from this offering together with cash and cash equivalents on hand (including the Anti-Tau Antibody Phase 1 Milestone Payment) to further the development of our therapeutic product candidates under collaboration agreements (ACI-35 and anti-tau antibodies), advance our other clinical and pre-clinical programs, and for research and development of other indications and initiatives that are complementary to our existing and planned research activities. See “Use of Proceeds”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60"/>
        <w:spacing w:after="0" w:line="342"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consider before deciding to invest in our common shares.</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“ACIU.”</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43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4343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number of our common shares to be outstanding after this offering is based on 10,819,000 common shares outstanding as at August 31, 2016 and 38,577,042 additional common shares issuable upon the conversion of all of our preferred shares on a one-for-one basis upon the closing of this offering, but excludes:</w:t>
      </w:r>
    </w:p>
    <w:p>
      <w:pPr>
        <w:spacing w:after="0" w:line="87" w:lineRule="exact"/>
        <w:rPr>
          <w:sz w:val="20"/>
          <w:szCs w:val="20"/>
          <w:color w:val="auto"/>
        </w:rPr>
      </w:pPr>
    </w:p>
    <w:p>
      <w:pPr>
        <w:ind w:left="1060" w:right="16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at a weighted-average exercise price of CHF 0.14548 per common share; and</w:t>
      </w:r>
    </w:p>
    <w:p>
      <w:pPr>
        <w:spacing w:after="0" w:line="75" w:lineRule="exact"/>
        <w:rPr>
          <w:rFonts w:ascii="Arial" w:cs="Arial" w:eastAsia="Arial" w:hAnsi="Arial"/>
          <w:sz w:val="18"/>
          <w:szCs w:val="18"/>
          <w:color w:val="auto"/>
        </w:rPr>
      </w:pPr>
    </w:p>
    <w:p>
      <w:pPr>
        <w:jc w:val="both"/>
        <w:ind w:left="1060" w:right="20" w:hanging="431"/>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on May 25, 2016 (the “CS AG Share Issuance”), as described in Note 7 (Other current liabilities) of our unaudited interim condensed financial statements as of and for the six months ended June 30, 2016 and June 30, 2015 included elsewhere in this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pacing w:after="0" w:line="131" w:lineRule="exact"/>
        <w:rPr>
          <w:sz w:val="20"/>
          <w:szCs w:val="20"/>
          <w:color w:val="auto"/>
        </w:rPr>
      </w:pPr>
    </w:p>
    <w:p>
      <w:pPr>
        <w:ind w:left="1060" w:right="460" w:hanging="431"/>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initial public offering price of $12.00 per common share, which is the midpoint of the price range set forth on the cover page of this prospectus;</w:t>
      </w:r>
    </w:p>
    <w:p>
      <w:pPr>
        <w:spacing w:after="0" w:line="75" w:lineRule="exact"/>
        <w:rPr>
          <w:rFonts w:ascii="Arial" w:cs="Arial" w:eastAsia="Arial" w:hAnsi="Arial"/>
          <w:sz w:val="18"/>
          <w:szCs w:val="18"/>
          <w:color w:val="auto"/>
        </w:rPr>
      </w:pPr>
    </w:p>
    <w:p>
      <w:pPr>
        <w:ind w:left="1060" w:right="44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 and</w:t>
      </w:r>
    </w:p>
    <w:p>
      <w:pPr>
        <w:spacing w:after="0" w:line="51" w:lineRule="exact"/>
        <w:rPr>
          <w:rFonts w:ascii="Arial" w:cs="Arial" w:eastAsia="Arial" w:hAnsi="Arial"/>
          <w:sz w:val="17"/>
          <w:szCs w:val="17"/>
          <w:color w:val="auto"/>
        </w:rPr>
      </w:pPr>
    </w:p>
    <w:p>
      <w:pPr>
        <w:ind w:left="1060" w:hanging="431"/>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of our preferred shares (including the preferred shares issued in the Series E Private Placement Extension) into common shares on a one-for-one basis upon the closing of this offering and the filing and effectiveness of our amended and restated articles of association, resulting in a total of 49,396,042 common shares outstanding, and additional authorized share capital of 16,047,500 common shares at the closing of this offering.</w:t>
      </w:r>
    </w:p>
    <w:p>
      <w:pPr>
        <w:spacing w:after="0" w:line="187" w:lineRule="exact"/>
        <w:rPr>
          <w:sz w:val="20"/>
          <w:szCs w:val="20"/>
          <w:color w:val="auto"/>
        </w:rPr>
      </w:pPr>
    </w:p>
    <w:p>
      <w:pPr>
        <w:ind w:left="200" w:right="460" w:firstLine="443"/>
        <w:spacing w:after="0" w:line="286" w:lineRule="auto"/>
        <w:rPr>
          <w:sz w:val="20"/>
          <w:szCs w:val="20"/>
          <w:color w:val="auto"/>
        </w:rPr>
      </w:pPr>
      <w:r>
        <w:rPr>
          <w:rFonts w:ascii="Arial" w:cs="Arial" w:eastAsia="Arial" w:hAnsi="Arial"/>
          <w:sz w:val="17"/>
          <w:szCs w:val="17"/>
          <w:color w:val="auto"/>
        </w:rPr>
        <w:t>In addition, unless otherwise indicated, all information in this prospectus excludes the issuance of 5,300,000 of our common shares to Credit Suisse AG, Zurich in the CS AG Share Issuance, as described in Note 7 (Other current liabilities) of our unaudited interim condensed financial statements as of and for the six months ended June 30, 2016 and June 30, 2015 included elsewhere in this prospectus.</w:t>
      </w:r>
    </w:p>
    <w:p>
      <w:pPr>
        <w:spacing w:after="0" w:line="166"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7"/>
          <w:szCs w:val="17"/>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summary income statement data and balance sheet data for and as of the years ended December 31, 2015 and 2014 are derived from our audited financial statements included elsewhere in this prospectus. The financial data as at June 30, 2016 and for the six months ended June 30, 2016 and 2015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w:t>
      </w:r>
    </w:p>
    <w:p>
      <w:pPr>
        <w:spacing w:after="0" w:line="15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1360" w:type="dxa"/>
            <w:vAlign w:val="bottom"/>
            <w:gridSpan w:val="3"/>
          </w:tcPr>
          <w:p>
            <w:pPr>
              <w:jc w:val="center"/>
              <w:ind w:left="7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14,401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39,090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(3,417)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Finance result—net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before tax</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3"/>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for the period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w w:val="93"/>
              </w:rPr>
              <w:t>Weighted-average number of shares used to compute earnings per share basic</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42,725,207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43,412,250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02"/>
        </w:trPr>
        <w:tc>
          <w:tcPr>
            <w:tcW w:w="63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Weighted-average number of shares used to compute earnings per share fully</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45,845,283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46,043,198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CS AG Share Issuance.</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4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As at June 30, 2016</w:t>
            </w:r>
          </w:p>
        </w:tc>
        <w:tc>
          <w:tcPr>
            <w:tcW w:w="0" w:type="dxa"/>
            <w:vAlign w:val="bottom"/>
          </w:tcPr>
          <w:p>
            <w:pPr>
              <w:spacing w:after="0"/>
              <w:rPr>
                <w:sz w:val="1"/>
                <w:szCs w:val="1"/>
                <w:color w:val="auto"/>
              </w:rPr>
            </w:pPr>
          </w:p>
        </w:tc>
      </w:tr>
      <w:tr>
        <w:trPr>
          <w:trHeight w:val="142"/>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1300" w:type="dxa"/>
            <w:vAlign w:val="bottom"/>
            <w:tcBorders>
              <w:top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Actual</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12"/>
                <w:szCs w:val="12"/>
                <w:b w:val="1"/>
                <w:bCs w:val="1"/>
                <w:color w:val="auto"/>
                <w:w w:val="90"/>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82,377</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103,282</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(33,825)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(33,825)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90,542</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103,282</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line="26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adjusted balance sheet data gives effect to (i) our issuance and sale of 4,545,456 common shares in this offering, assuming an initial public offering price of $12.00 per common share, which is the midpoint of the range set forth on the cover page of this prospectus, after deducting underwriting discounts and commissions and estimated offering expenses payable by us and (ii) our receipt in July 2016 of the Anti-Tau Antibody Phase 1 Milestone Payment described under “Prospectus Summary—Anti-Tau Antibody Phase 1 Milestone Payment.”</w:t>
      </w:r>
    </w:p>
    <w:p>
      <w:pPr>
        <w:spacing w:after="0" w:line="2" w:lineRule="exact"/>
        <w:rPr>
          <w:rFonts w:ascii="Arial" w:cs="Arial" w:eastAsia="Arial" w:hAnsi="Arial"/>
          <w:sz w:val="17"/>
          <w:szCs w:val="17"/>
          <w:color w:val="auto"/>
        </w:rPr>
      </w:pPr>
    </w:p>
    <w:p>
      <w:pPr>
        <w:ind w:left="620" w:right="80" w:hanging="423"/>
        <w:spacing w:after="0" w:line="268"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$12.00 per common share, which is the midpoint of the price range set forth on the cover page of this prospectus, would increase (decrease) our as adjusted cash and cash equivalents and as adjusted total shareholders’ equity by $4.2 (CHF 4.1) million, assuming that the number of common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in the number of shares we are offering would increase (decrease) as adjusted cash and cash equivalents and as adjusted total shareholders’ equity by $11.2 (CHF 10.9) million, assuming that the assumed initial public offering price remains the same and after deducting the underwriting discount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ACI-35 and our anti-tau antibody candidate,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ACI-35 and our anti-tau antibody candidate,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Accordingly, if crenezumab, ACI-24, ACI-35 and our anti-tau antibody candidate are approved, competitors could file ANDAs for generic versions of crenezumab, ACI-24 and ACI-35, or 505(b)(2) NDAs that reference crenezumab, ACI-24, ACI-35 or our anti-tau antibody candidate,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the same indication as our lead product candidate crenezumab.</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initially showed promise in preclinical or early stage testing have later been found to cause side effects that restricted their use and prevented further development of the compound for larger indications.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five serious adverse events were observed in three patients during clinical studies of ACI-35, although we believe that these serious adverse events were not related to the treatment. Acute pyelonephritis, or kidney infection, and dizziness were observed in one patient and sick sinus syndrome was reported for a second patient, and these were labeled as possibly related due to the close timing proximity with the last administration of ACI-35. In the third patient, urosepsis, or blood poisoning, and pyelonephritis were described and classified as unlikely related to the drug. A relationship between these serious adverse effects and ACI-35 cannot be ruled out, however. Non-drug related serious adverse effects observed during clinical studies of ACI-24 were acute chest pain, death due to Alzheimer’s disease or myocardial infarction (heart attack),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6" w:lineRule="exact"/>
        <w:rPr>
          <w:sz w:val="20"/>
          <w:szCs w:val="20"/>
          <w:color w:val="auto"/>
        </w:rPr>
      </w:pPr>
    </w:p>
    <w:p>
      <w:pPr>
        <w:ind w:right="92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and ABvac 40 (Araclon Biotech)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George Pavey, our Chief Financial Officer; and Jean-Fabien Monin, our Chief Administrative Officer.</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6"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8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 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5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studies must be conducted with products produced under cGMP regulations. Our failure to comply with these regulations may require us to repeat clinical studies, which would delay the regulatory approval process.</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collaboration arrangements with our strategic partners may make us an attractive target for potential acquisitions under certain circumstances.</w:t>
      </w:r>
    </w:p>
    <w:p>
      <w:pPr>
        <w:spacing w:after="0" w:line="15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14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Periodic maintenance fees, renewal fees, annuity fees and various other government fees on a patent and patent application are due to be paid to the USPTO and foreign patent agencies in several stages over the lifetime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0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commercial success depends on our ability and the ability of our licensees or collaborators to develop, manufacture, market and sell our product candidates and use our proprietary technology without infringing,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derivation proceedings and post grant review before the USPTO and corresponding foreign patent offices.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right="2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In addition, we had accumulated losses of CHF 33.8 million as of June 30, 2016.</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6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 Phase 1 clinical study of ACI-24 in Down syndrome, a Phase 1b clinical study of ACI-35 and a Phase 1 clinical study of our anti-tau antibody;</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ACI-35 or our anti-tau antibody, for which we complete clinical studies;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29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currently advancing our product candidates through clinical development, either together with a collaboration partner (crenezumab, ACI-35 and our anti-tau antibody) or independently (ACI-24 for AD and Down syndrome). We expect our research and development expenses to continue to increase in connection with our ongoing activities, particularly as we and/or our collaboration partners continue our ongoing studies and initiate new studies of crenezumab, ACI-24 for AD, ACI-35 and our anti-tau antibody and initiate preclinical and clinical development of our other product candidates. As of June 30, 2016, we had cash and cash equivalents of CHF 82.4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 least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through the fourth quarter of fiscal year 2017. We have based this estimate on assumptions that may prove to be wrong, and we could exhaust our capital resources sooner than we currently expect. Our future funding requirements will depend on many factors, including but not limited to:</w:t>
      </w:r>
    </w:p>
    <w:p>
      <w:pPr>
        <w:spacing w:after="0" w:line="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0"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ACI-24 for Down syndrome in a Phase 1 clinical study, ACI-35 is in Phase 1b clinical studies and our anti-tau antibody in a Phase 1 clinical study. The development of our other product candidates is less advanced and studies have not yet started.</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5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28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conducted and may in the future choose to conduct one or more of our clinical studies outside the United States, including in Germany, Austria, Denmark, Sweden and Finland. The acceptance of study data from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8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among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Following completion of this offering, our existing shareholders are expected to own approximately 91.6% of our common shares (or approximately 90.3% if the underwriters exercise their over-allotment option in full), excluding any shares purchased by any such holders in this offering. Depending on the level of attendance at our general meetings of shareholders, these shareholders may be in a position to determine the outcome of decisions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 common shares. Following the completion of this offering, we will have 53,941,498 common shares outstanding based on 10,819,000 common shares outstanding as of August 31, 2016 and 38,577,042 additional common shares issuable upon the conversion of all of our outstanding preferred shares into common shares, excluding 5,300,000 of our common shares issued to Credit Suisse AG, Zurich in the CS AG Share Issuance. This includes the common shares in this offering, which may be resold in the public market immediately upon the closing of this offering without restriction, unless purchased by our affiliates. Approximately 66.0% of the common shares outstanding are expected to be held by affiliates (or 67.8% if existing investors, executives and directors purchase all the shares they have indicated an interest in purchasing in this offering) (assuming no exercise of the underwriters’ over-allotment option).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 $12.00 per common share, which is the midpoint of the price range set forth on the cover page of this prospectus, you will experience immediate dilution of CHF 7.35 ($7.52) per common share, representing the difference between our as adjusted net tangible book value per common share after giving effect to this offering and the initial public offering price. In addition, purchasers of common shares in this offering will have contributed approximately 25.0% of the aggregate price paid by all purchasers of common shares issued by us but will own only approximately 8.4% of our common shares outstanding after this offering. See “Dilution.”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 shareholders’ meeting held on October 21, 2015, which requires registration with the commercial register of the Canton of Vaud. On May 27, 2016, the commercial register of the Canton of Vaud approved an increase in our authorized share capital of 5,300,000 common shares, all of which were issued to Credit Suisse AG, Zurich. See Note 7 (Other current liabilities) of our unaudited interim condensed financial statements as of and for the six months ended June 30, 2016 and June 30, 2015 included elsewhere in this prospectus. Any registration of a capital increase over and above these 5,300,000 common shares in the commercial register of the Canton of Vaud may be blocked by a shareholder and, therefore, prevent or delay the completion of this offering.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 completion of this offering, we expect the Company to have CHF 150.6 million of qualifying capital contributions and CHF 1,078,830 of registered share capital (consisting of 53,941,498 common shares each with a nominal value of CHF 0.02 and no preferred shares) on its audited statutory balance sheet. The number of common shares referred to in the preceding sentence includes the number of shares to be issued in this offering from the 5,300,000 common shares issued in the CS AG Share Issuance.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7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2017 (the end of our second fiscal quarter in the fiscal year after this offering), which would require us to comply with all of the periodic disclosure and current reporting requirements of the Exchange Act applicable to U.S. domestic issuers as of January 1, 2018.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identified a material weakness in our internal control over financial reporting. This material weakness continued to exist as at December 31, 2015 and as at June 30, 2016.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8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2015 nor as at June 30, 2016.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9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 of our financial statements as and for the year ended December 31, 2014, we identified a material weakness in our internal control over financial reporting, which was not remediated as at December 31, 2015 nor as at June 30, 2016.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62"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estimate that the net proceeds from the sale of 4,545,546 common shares by us in this offering will be approximately $47.2 million at an assumed initial public offering price of $12.00 per share (which is the midpoint of the price range set forth on the cover page of this prospectus), after deducting the underwriting discount and estimated offering expenses payable by us. In addition, we received gross proceeds of CHF 14 million in July 2016 from Genentech related to our collaboration on the anti-tau antibody program.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$1.00 increase (decrease) in the assumed initial public offering price of $12.00 per share would increase (decrease) our net proceeds by</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$4.2 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 (decrease) of 1,000,000 in the number of shares we are offering would increase (decrease) the net proceeds to us from this offering, after deducting the underwriting discount and estimated offering expenses payable by us, by approximately $11.2 million, assuming the assumed initial public offering price stays the same.</w:t>
      </w:r>
    </w:p>
    <w:p>
      <w:pPr>
        <w:spacing w:after="0" w:line="1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undertaking this offering in order to access the public capital markets and to increase our liquidity. At June 30, 2016, after taking into consideration the CHF 14 million milestone payment from Genentech related to the anti-tau antibody program, we would have had cash and cash equivalents of CHF 96.4 million. We intend to use the net proceeds of this offering over the next three years together with our existing cash and cash equivalents as follows:</w:t>
      </w:r>
    </w:p>
    <w:p>
      <w:pPr>
        <w:spacing w:after="0" w:line="92" w:lineRule="exact"/>
        <w:rPr>
          <w:sz w:val="20"/>
          <w:szCs w:val="20"/>
          <w:color w:val="auto"/>
        </w:rPr>
      </w:pPr>
    </w:p>
    <w:p>
      <w:pPr>
        <w:ind w:left="900" w:right="60" w:hanging="325"/>
        <w:spacing w:after="0" w:line="25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$5.0 million to fund our share of the costs for the further development of our therapeutic product candidates (other than ACI-35) and diagnostics product candidates under collaboration agreements (anti-tau antibodies and the tau PET tracers), excluding our collaboration agreement with Biogen, over the next three years, of which approximately $4.0 million will be spent on therapeutic product candidates and of which approximately $1.0 million will be spent on diagnostic product candidates, and we expect these expenditures will take the tau PET tracers into Phase 2 and the anti-tau antibody program into Phase 2;</w:t>
      </w:r>
    </w:p>
    <w:p>
      <w:pPr>
        <w:spacing w:after="0" w:line="9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$10.0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$65.0 million for the further development of ACI-24 for AD through the remainder of the Phase 1/2a study and the Phase 2b study and for our ongoing Phase 1 study and a portion of the proposed Phase 2 study of ACI-24 for Down syndrome;</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approximately $25.0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52"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$20.0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$10.0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association.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reserves required by Swiss law and its articles of association have been deducted. Distributable reserves are generally booked either as “free reserves”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conversion of all shares of our preferred stock outstanding as of June 30, 2016 into an aggregate of 38,577,042 common shares;</w:t>
      </w:r>
    </w:p>
    <w:p>
      <w:pPr>
        <w:spacing w:after="0" w:line="140" w:lineRule="exact"/>
        <w:rPr>
          <w:rFonts w:ascii="Arial" w:cs="Arial" w:eastAsia="Arial" w:hAnsi="Arial"/>
          <w:sz w:val="16"/>
          <w:szCs w:val="16"/>
          <w:color w:val="auto"/>
        </w:rPr>
      </w:pPr>
    </w:p>
    <w:p>
      <w:pPr>
        <w:ind w:left="1760" w:hanging="268"/>
        <w:spacing w:after="0"/>
        <w:tabs>
          <w:tab w:leader="none" w:pos="1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association;</w:t>
      </w:r>
    </w:p>
    <w:p>
      <w:pPr>
        <w:spacing w:after="0" w:line="117" w:lineRule="exact"/>
        <w:rPr>
          <w:rFonts w:ascii="Arial" w:cs="Arial" w:eastAsia="Arial" w:hAnsi="Arial"/>
          <w:sz w:val="18"/>
          <w:szCs w:val="18"/>
          <w:color w:val="auto"/>
        </w:rPr>
      </w:pPr>
    </w:p>
    <w:p>
      <w:pPr>
        <w:ind w:left="1500" w:right="320" w:hanging="8"/>
        <w:spacing w:after="0" w:line="277" w:lineRule="auto"/>
        <w:tabs>
          <w:tab w:leader="none" w:pos="18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our receipt in July 2016 of the Anti-Tau Antibody Phase 1 Milestone Payment described under “Prospectus Summary—Anti-Tau Antibody Phase 1 Milestone Payment”;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exercise of options into a total of 4,500 common shares between July 1, 2016 and August 31, 2016; and</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as further adjusted basis to further reflect the receipt of the estimated net proceeds from the sale of 4,545,456 common shares by us in this offering at an assumed initial public offering price of $12.00 per share (which is the midpoint of the range set forth on the cover page of this prospectus), after deducting the underwriting discount and estimated expenses payable by us.</w:t>
      </w:r>
    </w:p>
    <w:p>
      <w:pPr>
        <w:spacing w:after="0" w:line="12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You should read this table in conjunction with our audited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Stockholders’ equity</w:t>
      </w:r>
    </w:p>
    <w:p>
      <w:pPr>
        <w:spacing w:after="0" w:line="21" w:lineRule="exact"/>
        <w:rPr>
          <w:sz w:val="20"/>
          <w:szCs w:val="20"/>
          <w:color w:val="auto"/>
        </w:rPr>
      </w:pPr>
    </w:p>
    <w:p>
      <w:pPr>
        <w:ind w:left="520" w:hanging="170"/>
        <w:spacing w:after="0" w:line="248" w:lineRule="auto"/>
        <w:rPr>
          <w:sz w:val="20"/>
          <w:szCs w:val="20"/>
          <w:color w:val="auto"/>
        </w:rPr>
      </w:pPr>
      <w:r>
        <w:rPr>
          <w:rFonts w:ascii="Arial" w:cs="Arial" w:eastAsia="Arial" w:hAnsi="Arial"/>
          <w:sz w:val="17"/>
          <w:szCs w:val="17"/>
          <w:color w:val="auto"/>
        </w:rPr>
        <w:t>Common shares nominal value CHF 0.02 per share, 10,814,500 shares issued and outstanding, actual; 65,443,542 shares authorized, 49,396,042 shares issued and outstanding, as adjusted; and 65,443,542 shares authorized, 53,941,498 shares issued and outstanding, as further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386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520" w:hanging="170"/>
        <w:spacing w:after="0" w:line="248" w:lineRule="auto"/>
        <w:rPr>
          <w:sz w:val="20"/>
          <w:szCs w:val="20"/>
          <w:color w:val="auto"/>
        </w:rPr>
      </w:pPr>
      <w:r>
        <w:rPr>
          <w:rFonts w:ascii="Arial" w:cs="Arial" w:eastAsia="Arial" w:hAnsi="Arial"/>
          <w:sz w:val="17"/>
          <w:szCs w:val="17"/>
          <w:color w:val="auto"/>
        </w:rPr>
        <w:t>Preferred shares nominal value CHF 0.02 per share, 38,577,042 authorized preferred shares, 38,577,042 preferred shares issued and outstanding, actual; no shares authorized or issued and outstanding, as adjusted or as further adjusted</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As at June 30, 2016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6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1340" w:type="dxa"/>
            <w:vAlign w:val="bottom"/>
            <w:tcBorders>
              <w:top w:val="single" w:sz="8" w:color="auto"/>
            </w:tcBorders>
          </w:tcPr>
          <w:p>
            <w:pPr>
              <w:ind w:left="560"/>
              <w:spacing w:after="0" w:line="119" w:lineRule="exact"/>
              <w:rPr>
                <w:sz w:val="20"/>
                <w:szCs w:val="20"/>
                <w:color w:val="auto"/>
              </w:rPr>
            </w:pPr>
            <w:r>
              <w:rPr>
                <w:rFonts w:ascii="Arial" w:cs="Arial" w:eastAsia="Arial" w:hAnsi="Arial"/>
                <w:sz w:val="13"/>
                <w:szCs w:val="13"/>
                <w:b w:val="1"/>
                <w:bCs w:val="1"/>
                <w:color w:val="auto"/>
              </w:rPr>
              <w:t>As</w:t>
            </w:r>
          </w:p>
        </w:tc>
        <w:tc>
          <w:tcPr>
            <w:tcW w:w="7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Adjusted</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(in CHF thousands)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spacing w:after="0"/>
        <w:tabs>
          <w:tab w:leader="none" w:pos="1140" w:val="left"/>
          <w:tab w:leader="none" w:pos="2180" w:val="left"/>
        </w:tabs>
        <w:rPr>
          <w:sz w:val="20"/>
          <w:szCs w:val="20"/>
          <w:color w:val="auto"/>
        </w:rPr>
      </w:pPr>
      <w:r>
        <w:rPr>
          <w:rFonts w:ascii="Arial" w:cs="Arial" w:eastAsia="Arial" w:hAnsi="Arial"/>
          <w:sz w:val="17"/>
          <w:szCs w:val="17"/>
          <w:color w:val="auto"/>
        </w:rPr>
        <w:t>82,377</w:t>
      </w:r>
      <w:r>
        <w:rPr>
          <w:sz w:val="20"/>
          <w:szCs w:val="20"/>
          <w:color w:val="auto"/>
        </w:rPr>
        <w:tab/>
      </w:r>
      <w:r>
        <w:rPr>
          <w:rFonts w:ascii="Arial" w:cs="Arial" w:eastAsia="Arial" w:hAnsi="Arial"/>
          <w:sz w:val="17"/>
          <w:szCs w:val="17"/>
          <w:color w:val="auto"/>
        </w:rPr>
        <w:t>96,377</w:t>
      </w:r>
      <w:r>
        <w:rPr>
          <w:sz w:val="20"/>
          <w:szCs w:val="20"/>
          <w:color w:val="auto"/>
        </w:rPr>
        <w:tab/>
      </w:r>
      <w:r>
        <w:rPr>
          <w:rFonts w:ascii="Arial" w:cs="Arial" w:eastAsia="Arial" w:hAnsi="Arial"/>
          <w:sz w:val="15"/>
          <w:szCs w:val="15"/>
          <w:color w:val="auto"/>
        </w:rPr>
        <w:t>145,017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174942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4942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tabs>
          <w:tab w:leader="none" w:pos="1360" w:val="left"/>
          <w:tab w:leader="none" w:pos="236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7"/>
          <w:szCs w:val="17"/>
          <w:color w:val="auto"/>
        </w:rPr>
        <w:t>988</w:t>
      </w:r>
      <w:r>
        <w:rPr>
          <w:sz w:val="20"/>
          <w:szCs w:val="20"/>
          <w:color w:val="auto"/>
        </w:rPr>
        <w:tab/>
      </w:r>
      <w:r>
        <w:rPr>
          <w:rFonts w:ascii="Arial" w:cs="Arial" w:eastAsia="Arial" w:hAnsi="Arial"/>
          <w:sz w:val="15"/>
          <w:szCs w:val="15"/>
          <w:color w:val="auto"/>
        </w:rPr>
        <w:t>1,079</w:t>
      </w:r>
    </w:p>
    <w:p>
      <w:pPr>
        <w:spacing w:after="0" w:line="200" w:lineRule="exact"/>
        <w:rPr>
          <w:sz w:val="20"/>
          <w:szCs w:val="20"/>
          <w:color w:val="auto"/>
        </w:rPr>
      </w:pPr>
    </w:p>
    <w:p>
      <w:pPr>
        <w:spacing w:after="0" w:line="212" w:lineRule="exact"/>
        <w:rPr>
          <w:sz w:val="20"/>
          <w:szCs w:val="20"/>
          <w:color w:val="auto"/>
        </w:rPr>
      </w:pPr>
    </w:p>
    <w:p>
      <w:pPr>
        <w:ind w:left="400"/>
        <w:spacing w:after="0"/>
        <w:tabs>
          <w:tab w:leader="none" w:pos="1360" w:val="left"/>
          <w:tab w:leader="none" w:pos="2480" w:val="left"/>
        </w:tabs>
        <w:rPr>
          <w:sz w:val="20"/>
          <w:szCs w:val="20"/>
          <w:color w:val="auto"/>
        </w:rPr>
      </w:pPr>
      <w:r>
        <w:rPr>
          <w:rFonts w:ascii="Arial" w:cs="Arial" w:eastAsia="Arial" w:hAnsi="Arial"/>
          <w:sz w:val="17"/>
          <w:szCs w:val="17"/>
          <w:color w:val="auto"/>
        </w:rPr>
        <w:t>772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1" w:lineRule="exact"/>
        <w:rPr>
          <w:sz w:val="20"/>
          <w:szCs w:val="20"/>
          <w:color w:val="auto"/>
        </w:rPr>
      </w:pPr>
    </w:p>
    <w:p>
      <w:pPr>
        <w:ind w:left="100"/>
        <w:spacing w:after="0"/>
        <w:tabs>
          <w:tab w:leader="none" w:pos="1060" w:val="left"/>
          <w:tab w:leader="none" w:pos="2180" w:val="left"/>
        </w:tabs>
        <w:rPr>
          <w:sz w:val="20"/>
          <w:szCs w:val="20"/>
          <w:color w:val="auto"/>
        </w:rPr>
      </w:pPr>
      <w:r>
        <w:rPr>
          <w:rFonts w:ascii="Arial" w:cs="Arial" w:eastAsia="Arial" w:hAnsi="Arial"/>
          <w:sz w:val="17"/>
          <w:szCs w:val="17"/>
          <w:color w:val="auto"/>
        </w:rPr>
        <w:t>123,379</w:t>
      </w:r>
      <w:r>
        <w:rPr>
          <w:sz w:val="20"/>
          <w:szCs w:val="20"/>
          <w:color w:val="auto"/>
        </w:rPr>
        <w:tab/>
      </w:r>
      <w:r>
        <w:rPr>
          <w:rFonts w:ascii="Arial" w:cs="Arial" w:eastAsia="Arial" w:hAnsi="Arial"/>
          <w:sz w:val="17"/>
          <w:szCs w:val="17"/>
          <w:color w:val="auto"/>
        </w:rPr>
        <w:t>137,380</w:t>
      </w:r>
      <w:r>
        <w:rPr>
          <w:sz w:val="20"/>
          <w:szCs w:val="20"/>
          <w:color w:val="auto"/>
        </w:rPr>
        <w:tab/>
      </w:r>
      <w:r>
        <w:rPr>
          <w:rFonts w:ascii="Arial" w:cs="Arial" w:eastAsia="Arial" w:hAnsi="Arial"/>
          <w:sz w:val="15"/>
          <w:szCs w:val="15"/>
          <w:color w:val="auto"/>
        </w:rPr>
        <w:t>183,366</w:t>
      </w:r>
    </w:p>
    <w:p>
      <w:pPr>
        <w:spacing w:after="0" w:line="21" w:lineRule="exact"/>
        <w:rPr>
          <w:sz w:val="20"/>
          <w:szCs w:val="20"/>
          <w:color w:val="auto"/>
        </w:rPr>
      </w:pPr>
    </w:p>
    <w:p>
      <w:pPr>
        <w:ind w:left="120"/>
        <w:spacing w:after="0"/>
        <w:tabs>
          <w:tab w:leader="none" w:pos="1100" w:val="left"/>
          <w:tab w:leader="none" w:pos="2220" w:val="left"/>
        </w:tabs>
        <w:rPr>
          <w:sz w:val="20"/>
          <w:szCs w:val="20"/>
          <w:color w:val="auto"/>
        </w:rPr>
      </w:pPr>
      <w:r>
        <w:rPr>
          <w:rFonts w:ascii="Arial" w:cs="Arial" w:eastAsia="Arial" w:hAnsi="Arial"/>
          <w:sz w:val="17"/>
          <w:szCs w:val="17"/>
          <w:color w:val="auto"/>
        </w:rPr>
        <w:t>(33,825)</w:t>
      </w:r>
      <w:r>
        <w:rPr>
          <w:sz w:val="20"/>
          <w:szCs w:val="20"/>
          <w:color w:val="auto"/>
        </w:rPr>
        <w:tab/>
      </w:r>
      <w:r>
        <w:rPr>
          <w:rFonts w:ascii="Arial" w:cs="Arial" w:eastAsia="Arial" w:hAnsi="Arial"/>
          <w:sz w:val="17"/>
          <w:szCs w:val="17"/>
          <w:color w:val="auto"/>
        </w:rPr>
        <w:t>(33,825)</w:t>
      </w:r>
      <w:r>
        <w:rPr>
          <w:sz w:val="20"/>
          <w:szCs w:val="20"/>
          <w:color w:val="auto"/>
        </w:rPr>
        <w:tab/>
      </w:r>
      <w:r>
        <w:rPr>
          <w:rFonts w:ascii="Arial" w:cs="Arial" w:eastAsia="Arial" w:hAnsi="Arial"/>
          <w:sz w:val="15"/>
          <w:szCs w:val="15"/>
          <w:color w:val="auto"/>
        </w:rPr>
        <w:t>(33,825)</w:t>
      </w:r>
    </w:p>
    <w:p>
      <w:pPr>
        <w:spacing w:after="0" w:line="21" w:lineRule="exact"/>
        <w:rPr>
          <w:sz w:val="20"/>
          <w:szCs w:val="20"/>
          <w:color w:val="auto"/>
        </w:rPr>
      </w:pPr>
    </w:p>
    <w:p>
      <w:pPr>
        <w:sectPr>
          <w:pgSz w:w="11900" w:h="16838" w:orient="portrait"/>
          <w:cols w:equalWidth="0" w:num="2">
            <w:col w:w="8140" w:space="400"/>
            <w:col w:w="28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8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shareholders’ equity</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90,542</w:t>
            </w:r>
          </w:p>
        </w:tc>
        <w:tc>
          <w:tcPr>
            <w:tcW w:w="320" w:type="dxa"/>
            <w:vAlign w:val="bottom"/>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104,542</w:t>
            </w:r>
          </w:p>
        </w:tc>
        <w:tc>
          <w:tcPr>
            <w:tcW w:w="320" w:type="dxa"/>
            <w:vAlign w:val="bottom"/>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150,620</w:t>
            </w:r>
          </w:p>
        </w:tc>
        <w:tc>
          <w:tcPr>
            <w:tcW w:w="120" w:type="dxa"/>
            <w:vAlign w:val="bottom"/>
            <w:shd w:val="clear" w:color="auto" w:fill="CCEEFF"/>
          </w:tcPr>
          <w:p>
            <w:pPr>
              <w:spacing w:after="0"/>
              <w:rPr>
                <w:sz w:val="19"/>
                <w:szCs w:val="19"/>
                <w:color w:val="auto"/>
              </w:rPr>
            </w:pPr>
          </w:p>
        </w:tc>
      </w:tr>
      <w:tr>
        <w:trPr>
          <w:trHeight w:val="221"/>
        </w:trPr>
        <w:tc>
          <w:tcPr>
            <w:tcW w:w="8540" w:type="dxa"/>
            <w:vAlign w:val="bottom"/>
          </w:tcPr>
          <w:p>
            <w:pPr>
              <w:ind w:left="1040"/>
              <w:spacing w:after="0"/>
              <w:rPr>
                <w:sz w:val="20"/>
                <w:szCs w:val="20"/>
                <w:color w:val="auto"/>
              </w:rPr>
            </w:pPr>
            <w:r>
              <w:rPr>
                <w:rFonts w:ascii="Arial" w:cs="Arial" w:eastAsia="Arial" w:hAnsi="Arial"/>
                <w:sz w:val="17"/>
                <w:szCs w:val="17"/>
                <w:color w:val="auto"/>
              </w:rPr>
              <w:t>Total capitalization</w:t>
            </w:r>
          </w:p>
        </w:tc>
        <w:tc>
          <w:tcPr>
            <w:tcW w:w="660" w:type="dxa"/>
            <w:vAlign w:val="bottom"/>
          </w:tcPr>
          <w:p>
            <w:pPr>
              <w:jc w:val="right"/>
              <w:spacing w:after="0"/>
              <w:rPr>
                <w:sz w:val="20"/>
                <w:szCs w:val="20"/>
                <w:color w:val="auto"/>
              </w:rPr>
            </w:pPr>
            <w:r>
              <w:rPr>
                <w:rFonts w:ascii="Arial" w:cs="Arial" w:eastAsia="Arial" w:hAnsi="Arial"/>
                <w:sz w:val="17"/>
                <w:szCs w:val="17"/>
                <w:color w:val="auto"/>
              </w:rPr>
              <w:t>90,542</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104,542</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150,620</w:t>
            </w:r>
          </w:p>
        </w:tc>
      </w:tr>
      <w:tr>
        <w:trPr>
          <w:trHeight w:val="20"/>
        </w:trPr>
        <w:tc>
          <w:tcPr>
            <w:tcW w:w="8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86"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$12.00 per share would increase (decrease) each of as further adjusted cash and cash equivalents, additional paid-in capital, total capitalization and shareholders’ equity by $4.2 million, assuming that the number of shares offered by us, as set forth on the cover page of this prospectus, remains the same, and after deducting the underwriting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 capitalization by $11.2 million, assuming an initial public offering price of $12.00 per share, after deducting the underwriting discount and estimated offering expenses payable by 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2,196,250 of our common shares issuable upon the exercise of vested and unvested options outstanding under our existing equity incentive plans as at August 31, 2016 at an exercise price of CHF 0.14548 per common share;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in Note 7 (Other current liabilities) of our unaudited interim condensed financial statements as at and for the six months ended June 30, 2016 and June 30, 2015 included elsewhere in this prospectus.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tangible book value is determined by dividing our total tangible assets less our total liabilities by the number of our common shares outstanding. Our historical net tangible book value as of June 30, 2016 was $92.7 (CHF 90.5) million, or $8.57 (CHF 8.37), per common share (on a fully diluted basis). Our as adjusted net tangible book value as at June 30, 2016, before giving effect to this offering was $107.0 (CHF 104.5) million, or $2.17 (CHF 2.12) per common share, based on the total number of our common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w:t>
      </w:r>
    </w:p>
    <w:p>
      <w:pPr>
        <w:spacing w:after="0" w:line="189"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the sale of 4,545,456 common shares in this offering at an assumed initial public offering price of $12.00 per share (the midpoint of the price range set forth on the cover page of this prospectus), after deducting the underwriting discount and estimated expenses payable by us, our as further adjusted net tangible book value as at</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June 30, 2016 would have been $154.2 (CHF 150.6) million, or $2.86 (CHF 2.79) per share. This represents an immediate increase in as adjusted net tangible book value of $10.38 (CHF 10.14) per share to existing shareholders and an immediate dilution of $7.52 (CHF 7.34) per share to investors participating in this offering, as illustrated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0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USD)</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CHF)</w:t>
            </w: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12.00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7"/>
              </w:rPr>
              <w:t>11.72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at June 30, 2016</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8.37</w:t>
            </w:r>
          </w:p>
        </w:tc>
        <w:tc>
          <w:tcPr>
            <w:tcW w:w="40" w:type="dxa"/>
            <w:vAlign w:val="bottom"/>
          </w:tcPr>
          <w:p>
            <w:pPr>
              <w:spacing w:after="0"/>
              <w:rPr>
                <w:sz w:val="18"/>
                <w:szCs w:val="18"/>
                <w:color w:val="auto"/>
              </w:rPr>
            </w:pPr>
          </w:p>
        </w:tc>
      </w:tr>
      <w:tr>
        <w:trPr>
          <w:trHeight w:val="202"/>
        </w:trPr>
        <w:tc>
          <w:tcPr>
            <w:tcW w:w="9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As adjusted net tangible book value per share at June 30, 2016, before giving effect to this offering but giving effect to the</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adjustments described in the second immediately preceding paragraph</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CEEFF"/>
          </w:tcPr>
          <w:p>
            <w:pPr>
              <w:spacing w:after="0"/>
              <w:rPr>
                <w:sz w:val="20"/>
                <w:szCs w:val="20"/>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w w:val="99"/>
              </w:rPr>
              <w:t>Increase in as adjusted net tangible book value per share attributable to new investors purchasing shares in this offering</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10.38</w:t>
            </w:r>
          </w:p>
        </w:tc>
        <w:tc>
          <w:tcPr>
            <w:tcW w:w="16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10.14</w:t>
            </w:r>
          </w:p>
        </w:tc>
        <w:tc>
          <w:tcPr>
            <w:tcW w:w="40" w:type="dxa"/>
            <w:vAlign w:val="bottom"/>
          </w:tcPr>
          <w:p>
            <w:pPr>
              <w:spacing w:after="0"/>
              <w:rPr>
                <w:sz w:val="18"/>
                <w:szCs w:val="18"/>
                <w:color w:val="auto"/>
              </w:rPr>
            </w:pPr>
          </w:p>
        </w:tc>
      </w:tr>
      <w:tr>
        <w:trPr>
          <w:trHeight w:val="202"/>
        </w:trPr>
        <w:tc>
          <w:tcPr>
            <w:tcW w:w="9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As further adjusted net tangible book value per share after giving effect to this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9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2.79</w:t>
            </w:r>
          </w:p>
        </w:tc>
        <w:tc>
          <w:tcPr>
            <w:tcW w:w="40" w:type="dxa"/>
            <w:vAlign w:val="bottom"/>
            <w:shd w:val="clear" w:color="auto" w:fill="CCEEFF"/>
          </w:tcPr>
          <w:p>
            <w:pPr>
              <w:spacing w:after="0"/>
              <w:rPr>
                <w:sz w:val="20"/>
                <w:szCs w:val="20"/>
                <w:color w:val="auto"/>
              </w:rPr>
            </w:pPr>
          </w:p>
        </w:tc>
      </w:tr>
      <w:tr>
        <w:trPr>
          <w:trHeight w:val="230"/>
        </w:trPr>
        <w:tc>
          <w:tcPr>
            <w:tcW w:w="9900" w:type="dxa"/>
            <w:vAlign w:val="bottom"/>
          </w:tcPr>
          <w:p>
            <w:pPr>
              <w:ind w:left="360"/>
              <w:spacing w:after="0"/>
              <w:rPr>
                <w:sz w:val="20"/>
                <w:szCs w:val="20"/>
                <w:color w:val="auto"/>
              </w:rPr>
            </w:pPr>
            <w:r>
              <w:rPr>
                <w:rFonts w:ascii="Arial" w:cs="Arial" w:eastAsia="Arial" w:hAnsi="Arial"/>
                <w:sz w:val="18"/>
                <w:szCs w:val="18"/>
                <w:color w:val="auto"/>
              </w:rPr>
              <w:t>Dilution per share to investors participating in this offering</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$1.00 increase (decrease) in the assumed initial public offering price of $12.00 (CHF 11.72) per share would increase (decrease) our as further adjusted net tangible book value by approximately $4.2 (CHF 4.1) million, or approximately $0.08 (CHF 0.08) per share, and the dilution per share to investors in this offering by approximately $0.08 (CHF 0.08) per share, assuming that the number of shares offered by us, as set forth on the cover page of this prospectus, remain the same and after deducting the underwriting discount and estimated offering expenses payable by us. We may also increase or decrease the number of shares we are offering. An increase (decrease) of 1,000,000 shares in the number of shares offered by us would increase (decrease) our as further adjusted net tangible book value by approximately $11.2 (CHF 10.9) million, or approximately $0.21 (CHF 0.20) per share, and decrease the as adjusted dilution per share to investors in this offering by approximately $0.21 (CHF 0.20) per share, assuming an initial public offering price of $12.00 (CHF 11.72) per share, after deducting the underwriting discount and estimated offering expenses payable by us. The as further adjusted information discussed above is illustrative only and will be adjusted based on the actual initial public offering price and other terms of this offering determined at pricing.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following table presents, on an as further adjusted basis described above, the difference between the existing shareholders as at June 30, 2016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8"/>
              </w:rPr>
              <w:t>Total Consideration</w:t>
            </w:r>
          </w:p>
        </w:tc>
        <w:tc>
          <w:tcPr>
            <w:tcW w:w="182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Total Consideration</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Total Shares</w:t>
            </w:r>
          </w:p>
        </w:tc>
        <w:tc>
          <w:tcPr>
            <w:tcW w:w="1800" w:type="dxa"/>
            <w:vAlign w:val="bottom"/>
            <w:gridSpan w:val="4"/>
            <w:vMerge w:val="continue"/>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per</w:t>
            </w: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8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(USD ’000)</w:t>
            </w:r>
          </w:p>
        </w:tc>
        <w:tc>
          <w:tcPr>
            <w:tcW w:w="18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(CHF ’000)</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 before this offering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49,396,042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141,619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138,367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880" w:type="dxa"/>
            <w:vAlign w:val="bottom"/>
          </w:tcPr>
          <w:p>
            <w:pPr>
              <w:jc w:val="right"/>
              <w:spacing w:after="0"/>
              <w:rPr>
                <w:sz w:val="20"/>
                <w:szCs w:val="20"/>
                <w:color w:val="auto"/>
              </w:rPr>
            </w:pPr>
            <w:r>
              <w:rPr>
                <w:rFonts w:ascii="Arial" w:cs="Arial" w:eastAsia="Arial" w:hAnsi="Arial"/>
                <w:sz w:val="18"/>
                <w:szCs w:val="18"/>
                <w:color w:val="auto"/>
              </w:rPr>
              <w:t>4,545,456</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47,161</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46,077</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25.0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10.38</w:t>
            </w: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53,941,498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188,780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184,444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Each $1.00 increase (decrease) in the assumed initial public offering price of $12.00 (CHF 11.72) per share, would increase (decrease) the total consideration paid to us by new investors and total consideration paid to us by all shareholders by $4.2 (CHF 4.1) million, assuming that the number of 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 paid to us by new investors and total consideration paid to us by all shareholders by approximately $11.20 (CHF 10.90) million, assuming an initial public offering price of $12.00 (CHF 11.72) per share, after deducting the underwriting discount and estimated offering expenses payable by us.</w:t>
      </w:r>
    </w:p>
    <w:p>
      <w:pPr>
        <w:spacing w:after="0" w:line="16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calculations above are based on 49,396,042 shares outstanding as at June 30, 2016 after giving effect to (i) the conversion of all preferred stock outstanding as of June 30, 2016 into an aggregate of 38,577,042 common shares, (ii) our receipt in July 2016 of the Anti-Tau Antibody Phase 1 Milestone Payment described under “Prospectus Summary—Anti-Tau Antibody Phase 1 Milestone Payment” and (iii) the exercise of options into a total of 4,500 common shares between July 1, 2016 and August 31, 2016, and exclude 2,196,250 of our common shares issuable upon the exercise of vested and unvested options outstanding under our existing equity incentive plans at an exercise price of CHF 0.14548 per common share.</w:t>
      </w:r>
    </w:p>
    <w:p>
      <w:pPr>
        <w:spacing w:after="0" w:line="17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After giving effect to the sale of shares in this offering by us, if the underwriters exercise in full their option to purchase additional shares from us, our existing shareholders would own approximately 90.3% and our new investors would own approximately 9.7% of the total number of common shares outstanding after this offering, excluding any shares purchased by any existing holders in this offering.</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September 9, 2016, the exchange rate as reported by the U.S. Federal Reserve Bank was CHF 1.0235 to $1.00. In this prospectus, translations from CHF to U.S. dollars were made at this rate.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2011</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2013</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2015</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January 29,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1.0082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February 29,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0.9920</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March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0.9811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April 30,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0.9598</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0.9634</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May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0.9916</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0.9777</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0.9792</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0.9695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0.9566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0.9902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July 31,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0.9690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0.9830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0.9690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August 31, 2016</w:t>
            </w:r>
          </w:p>
        </w:tc>
        <w:tc>
          <w:tcPr>
            <w:tcW w:w="29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0.9830</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0.9711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0.9576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0.9838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September 30, 2016 (through September 9, 2016)</w:t>
            </w:r>
          </w:p>
        </w:tc>
        <w:tc>
          <w:tcPr>
            <w:tcW w:w="2940" w:type="dxa"/>
            <w:vAlign w:val="bottom"/>
            <w:gridSpan w:val="2"/>
          </w:tcPr>
          <w:p>
            <w:pPr>
              <w:jc w:val="right"/>
              <w:ind w:right="168"/>
              <w:spacing w:after="0"/>
              <w:rPr>
                <w:sz w:val="20"/>
                <w:szCs w:val="20"/>
                <w:color w:val="auto"/>
              </w:rPr>
            </w:pPr>
            <w:r>
              <w:rPr>
                <w:rFonts w:ascii="Arial" w:cs="Arial" w:eastAsia="Arial" w:hAnsi="Arial"/>
                <w:sz w:val="18"/>
                <w:szCs w:val="18"/>
                <w:color w:val="auto"/>
              </w:rPr>
              <w:t>0.9770</w:t>
            </w:r>
          </w:p>
        </w:tc>
        <w:tc>
          <w:tcPr>
            <w:tcW w:w="1260" w:type="dxa"/>
            <w:vAlign w:val="bottom"/>
          </w:tcPr>
          <w:p>
            <w:pPr>
              <w:jc w:val="right"/>
              <w:ind w:right="193"/>
              <w:spacing w:after="0"/>
              <w:rPr>
                <w:sz w:val="20"/>
                <w:szCs w:val="20"/>
                <w:color w:val="auto"/>
              </w:rPr>
            </w:pPr>
            <w:r>
              <w:rPr>
                <w:rFonts w:ascii="Arial" w:cs="Arial" w:eastAsia="Arial" w:hAnsi="Arial"/>
                <w:sz w:val="18"/>
                <w:szCs w:val="18"/>
                <w:color w:val="auto"/>
              </w:rPr>
              <w:t>0.9789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0.9770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0.9804</w:t>
            </w:r>
          </w:p>
        </w:tc>
        <w:tc>
          <w:tcPr>
            <w:tcW w:w="0" w:type="dxa"/>
            <w:vAlign w:val="bottom"/>
          </w:tcPr>
          <w:p>
            <w:pPr>
              <w:spacing w:after="0"/>
              <w:rPr>
                <w:sz w:val="1"/>
                <w:szCs w:val="1"/>
                <w:color w:val="auto"/>
              </w:rPr>
            </w:pPr>
          </w:p>
        </w:tc>
      </w:tr>
      <w:tr>
        <w:trPr>
          <w:trHeight w:val="350"/>
        </w:trPr>
        <w:tc>
          <w:tcPr>
            <w:tcW w:w="4380" w:type="dxa"/>
            <w:vAlign w:val="bottom"/>
          </w:tcPr>
          <w:p>
            <w:pPr>
              <w:spacing w:after="0"/>
              <w:rPr>
                <w:sz w:val="24"/>
                <w:szCs w:val="24"/>
                <w:color w:val="auto"/>
              </w:rPr>
            </w:pPr>
          </w:p>
        </w:tc>
        <w:tc>
          <w:tcPr>
            <w:tcW w:w="200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tables summarize our financial data as of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financial data as at June 30, 2016 and for the six months ended June 30, 2016 and 2015 have been derived from our unaudited interim condensed financial statements included elsewhere in this prospectus. The unaudited interim condensed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0" w:type="dxa"/>
            <w:vAlign w:val="bottom"/>
            <w:gridSpan w:val="3"/>
          </w:tcPr>
          <w:p>
            <w:pPr>
              <w:jc w:val="center"/>
              <w:ind w:left="755"/>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2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0"/>
                <w:szCs w:val="10"/>
                <w:color w:val="auto"/>
              </w:rPr>
            </w:pPr>
          </w:p>
        </w:tc>
        <w:tc>
          <w:tcPr>
            <w:tcW w:w="2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(11,018)</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(7,190)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result—net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to compute earnings per share basic</w:t>
            </w:r>
            <w:r>
              <w:rPr>
                <w:rFonts w:ascii="Arial" w:cs="Arial" w:eastAsia="Arial" w:hAnsi="Arial"/>
                <w:sz w:val="15"/>
                <w:szCs w:val="15"/>
                <w:color w:val="auto"/>
                <w:w w:val="99"/>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47,209,976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42,725,207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43,412,250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Weighted-average number of shares used to compute earnings per share fully diluted</w:t>
            </w:r>
            <w:r>
              <w:rPr>
                <w:rFonts w:ascii="Arial" w:cs="Arial" w:eastAsia="Arial" w:hAnsi="Arial"/>
                <w:sz w:val="15"/>
                <w:szCs w:val="15"/>
                <w:color w:val="auto"/>
                <w:w w:val="92"/>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49,101,623</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45,845,283</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46,043,198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October 23, 2015, and these preferred shares will be converted on a one-for-one basis upon the closing of this offering, but does not give effect to the CS AG Share Issuance, as described in Note 7 (Other current liabilities) of our unaudited interim condensed financial statements as at and for the six months ended June 30, 2016 and June 30, 2015 included elsewhere in this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82,377</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(33,825)</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90,542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103,282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124" w:lineRule="exact"/>
        <w:rPr>
          <w:sz w:val="20"/>
          <w:szCs w:val="20"/>
          <w:color w:val="auto"/>
        </w:rPr>
      </w:pPr>
    </w:p>
    <w:p>
      <w:pPr>
        <w:jc w:val="both"/>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and had accumulated losses of CHF 33.8 million as of June 30,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45 million from Genentech including a milestone payment of CHF 14 million upon the commencement of the Phase 1 clinical study, which we received in July 2016. In addition to milestones, we will be eligible to receive royalties on sales at a percentage rate ranging from the mid-single digits to low double digits.</w:t>
      </w:r>
    </w:p>
    <w:p>
      <w:pPr>
        <w:spacing w:after="0" w:line="17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 research contribution of CHF 1.5 million and a CHF 4.9 million clinical milestone payment. The total future payments that we would be entitled to under the agreement for clinical milestones amounts to CHF 77.1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1.5-year period. We recognize revenues from this grant on a straight line basis over the life of the grant.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3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0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manufacturing costs related to research and development, by major development program for the periods covered by this “Management’s Discussion and Analysis of Financial Condition and Results of Operations” section. These research and development costs exclude employment costs, regulatory, quality assurance and intellectual property costs. With the exception of ACI-35, research costs that are subject to collaboration agreements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left="315"/>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ind w:left="40"/>
              <w:spacing w:after="0" w:line="133" w:lineRule="exact"/>
              <w:rPr>
                <w:sz w:val="20"/>
                <w:szCs w:val="20"/>
                <w:color w:val="auto"/>
              </w:rPr>
            </w:pPr>
            <w:r>
              <w:rPr>
                <w:rFonts w:ascii="Arial" w:cs="Arial" w:eastAsia="Arial" w:hAnsi="Arial"/>
                <w:sz w:val="14"/>
                <w:szCs w:val="14"/>
                <w:b w:val="1"/>
                <w:bCs w:val="1"/>
                <w:color w:val="auto"/>
                <w:w w:val="96"/>
              </w:rPr>
              <w:t>(in CHF thousands)</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4"/>
              </w:rPr>
              <w:t>(in CHF thousands)</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1,292</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ACI-35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2,486</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1,253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1,233</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3,611</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554</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1,365</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1,495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460" w:type="dxa"/>
            <w:vAlign w:val="bottom"/>
          </w:tcPr>
          <w:p>
            <w:pPr>
              <w:jc w:val="right"/>
              <w:spacing w:after="0"/>
              <w:rPr>
                <w:sz w:val="20"/>
                <w:szCs w:val="20"/>
                <w:color w:val="auto"/>
              </w:rPr>
            </w:pPr>
            <w:r>
              <w:rPr>
                <w:rFonts w:ascii="Arial" w:cs="Arial" w:eastAsia="Arial" w:hAnsi="Arial"/>
                <w:sz w:val="18"/>
                <w:szCs w:val="18"/>
                <w:color w:val="auto"/>
              </w:rPr>
              <w:t>535</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221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w w:val="93"/>
              </w:rPr>
              <w:t>757</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1,315</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6,542</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3,288</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3,254</w:t>
            </w:r>
          </w:p>
        </w:tc>
        <w:tc>
          <w:tcPr>
            <w:tcW w:w="340" w:type="dxa"/>
            <w:vAlign w:val="bottom"/>
          </w:tcPr>
          <w:p>
            <w:pPr>
              <w:spacing w:after="0"/>
              <w:rPr>
                <w:sz w:val="19"/>
                <w:szCs w:val="19"/>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8,470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8,325</w:t>
            </w:r>
          </w:p>
        </w:tc>
        <w:tc>
          <w:tcPr>
            <w:tcW w:w="4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Six Months Ended June 30, 2016 and June 30,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9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0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20,135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14,247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135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20,451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14,401</w:t>
            </w:r>
          </w:p>
        </w:tc>
        <w:tc>
          <w:tcPr>
            <w:tcW w:w="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Total revenues rose to CHF 20.5 million for the six months ended June 30, 2016 from CHF 14.4 million for the six months ended June 30, 2015, an increase of CHF 6.1 million. The increase in revenues was principally attributable to an increase in collaboration revenues. Specifically, in the first half of 2016, pursuant to the collaboration agreement with Janssen for ACI-35, we received a payment of CHF 1.5 million in January 2016 to cover part of our research costs associated with this program and a CHF 4.9 million milestone payment. In addition, in June we recognized revenues of CHF 14.0 million related to achieving a clinical milestone in our collaboration on the anti-tau antibody program with Genentech. The CHF 4.9 million and CHF 14.0 million milestone payments are non-refundable and there is no further performance obligation and, as a result, we recognized the amounts as revenues. As there is a performance obligation to the end of the Phase 1b clinical study which we expect will be completed in late 2016, we are recognizing the revenues related to the Janssen CHF 1.5 million research contribution on a straight line basis through December 31,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six months ended June 30, 2016 and 2015:</w:t>
      </w:r>
    </w:p>
    <w:tbl>
      <w:tblPr>
        <w:tblLayout w:type="fixed"/>
        <w:tblInd w:w="0" w:type="dxa"/>
        <w:tblCellMar>
          <w:top w:w="0" w:type="dxa"/>
          <w:left w:w="0" w:type="dxa"/>
          <w:bottom w:w="0" w:type="dxa"/>
          <w:right w:w="0" w:type="dxa"/>
        </w:tblCellMar>
      </w:tblP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the Six</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56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200" w:type="dxa"/>
            <w:vAlign w:val="bottom"/>
          </w:tcPr>
          <w:p>
            <w:pPr>
              <w:spacing w:after="0"/>
              <w:rPr>
                <w:sz w:val="11"/>
                <w:szCs w:val="11"/>
                <w:color w:val="auto"/>
              </w:rPr>
            </w:pPr>
          </w:p>
        </w:tc>
        <w:tc>
          <w:tcPr>
            <w:tcW w:w="2120" w:type="dxa"/>
            <w:vAlign w:val="bottom"/>
            <w:tcBorders>
              <w:top w:val="single" w:sz="8" w:color="auto"/>
            </w:tcBorders>
            <w:gridSpan w:val="6"/>
          </w:tcPr>
          <w:p>
            <w:pPr>
              <w:jc w:val="right"/>
              <w:ind w:right="374"/>
              <w:spacing w:after="0" w:line="133" w:lineRule="exact"/>
              <w:rPr>
                <w:sz w:val="20"/>
                <w:szCs w:val="20"/>
                <w:color w:val="auto"/>
              </w:rPr>
            </w:pPr>
            <w:r>
              <w:rPr>
                <w:rFonts w:ascii="Arial" w:cs="Arial" w:eastAsia="Arial" w:hAnsi="Arial"/>
                <w:sz w:val="14"/>
                <w:szCs w:val="14"/>
                <w:b w:val="1"/>
                <w:bCs w:val="1"/>
                <w:color w:val="auto"/>
              </w:rPr>
              <w:t>(in CHF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3,271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3,038</w:t>
            </w:r>
          </w:p>
        </w:tc>
        <w:tc>
          <w:tcPr>
            <w:tcW w:w="3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11,018</w:t>
            </w:r>
          </w:p>
        </w:tc>
        <w:tc>
          <w:tcPr>
            <w:tcW w:w="3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7,190</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20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Research and development expenses increased to CHF 11.0 million for the six months ended June 30, 2016 from CHF 7.2 million for the six months ended June 30, 2015, an increase of CHF 3.8 million. The significant increase in research and development costs is attributable to three key factors:</w:t>
      </w:r>
    </w:p>
    <w:p>
      <w:pPr>
        <w:jc w:val="both"/>
        <w:ind w:right="260" w:firstLine="8"/>
        <w:spacing w:after="0" w:line="255" w:lineRule="auto"/>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expenditures on direct research and development costs totaling CHF 3.2 million due principally to increased expenditures on ACI-35, ACI-24 and our new discovery programs, (ii) increased expenditures on manufacturing and quality assurance and increased regulatory costs, and (iii) greater wage expenses due to additional headcount in our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research and development team. Pursuant to our collaboration agreement with Janssen for ACI-35, we committed to spend a total of CHF 13.8 million over a two-year period starting in January 2015 to help bring ACI-35 to the end of the Phase 1b clinical trial. Because the scope of the Phase 1b clinical trial was not agreed to until mid 2015, we spent less than CHF 1.3 million, excluding wages, on research and development activities related to ACI-35 in the first half of 2015. In contrast, in the six months period ended June 30, 2016, research and development expenses totalled CHF 2.5 million, excluding wages. Similarly, during the first quarter of 2016, we spent CHF 1.9 million on the ACI-24 programs, as compared to CHF 0.6 million for the first six months ended June 30, 2015 while more than doubling the outlay on R&amp;D expenditures on new discovery programs from CHF 0.4 million in the first half of 2015 to</w:t>
      </w:r>
    </w:p>
    <w:p>
      <w:pPr>
        <w:spacing w:after="0" w:line="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CHF 1.1 million in the first half of 2016. As we are in the process of transitioning from an early stage development company to a more mature company, we are having to make substantial investments to upgrade and improve our manufacturing infrastructure. As a result, in the six month period ended June 30, 2016 we spent over CHF 2.0 million on manufacturing related initiatives, as compared to the CHF 0.8 million we spend in the six months period ended June 30, 2015. We have added a total of nine employees to our research and development team which has resulted in our wages and share based compensation attributable to research and development staff rising to CHF 3.3 million for the first six months of 2016 from CHF 3.0 million for the same period in 2015.</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For the Six</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7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Months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Ended June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46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(in CHF thousands)</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1,061</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1,689</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756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2016 our general and administrative expenses totaled CHF 2.8 million, up CHF 1.0 million from the CHF</w:t>
      </w:r>
    </w:p>
    <w:p>
      <w:pPr>
        <w:spacing w:after="0" w:line="35"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color w:val="auto"/>
        </w:rPr>
        <w:t>1.7 million we incurred during the six months ended June 30, 2015. The increase is due primarily with increased wage costs and information technology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six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Ended June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4"/>
          </w:tcPr>
          <w:p>
            <w:pPr>
              <w:jc w:val="right"/>
              <w:ind w:right="394"/>
              <w:spacing w:after="0" w:line="119" w:lineRule="exact"/>
              <w:rPr>
                <w:sz w:val="20"/>
                <w:szCs w:val="20"/>
                <w:color w:val="auto"/>
              </w:rPr>
            </w:pPr>
            <w:r>
              <w:rPr>
                <w:rFonts w:ascii="Arial" w:cs="Arial" w:eastAsia="Arial" w:hAnsi="Arial"/>
                <w:sz w:val="13"/>
                <w:szCs w:val="13"/>
                <w:b w:val="1"/>
                <w:bCs w:val="1"/>
                <w:color w:val="auto"/>
              </w:rPr>
              <w:t>(in CHF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16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32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Net financial income amounted to CHF 0.1 million for the six months period ended June 30, 2016 compared with net financial income of CHF 0.2 million for the six months period ended June 30, 2015. The principal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difference in the net financial result is attributable to (i) fees payable on the CS AG Share Issuance and (ii) the net impact of foreign exchange movements on our financial assets and payables owed by us during the reporting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16,116</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rose by CHF 0.5 million to CHF 6.3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June 30, 2016, we had cash and cash equivalents of CHF 82.4 million. At June 30, 2016, after giving effect to the CHF 14 million milestone payment from Genentech for the anti-tau antibody program, we would have had cash and cash equivalents of CHF 96.4 million.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Six Months Ended June 30,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(in CHF thousands)</w:t>
            </w: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9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(unaudited)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(7,202)</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16,063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13,159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15,952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Net cash used in operating activities was CHF 7.2 million for the six months ended June 30, 2016 compared with net cash generated in operating activities of CHF 16.1 million for the six months ended June 30, 2015. The significant change in cash used in operating activities in the first six months of 2016 was due to (i) our outstanding receivables balances growing substantially in the first half of 2016 due to the notification in late June by Genentech that the anti-tau antibody program had moved into Phase 1 clinical studies triggering a CHF 14 million milestone payment while receivables declined sharply during the same period in 2015 due to the receipt of the CHF 25.9 million upfront payment from Janssen related to the collaboration agreement on ACI-35 which was partially offset by the addition of a CHF 14 million receivable from Genentech related to the ED-GO milestone payment, (ii) our prepaid expense balances rising from CHF 0.4 million to CHF 1.8 million between June 30, 2015 and June 30, 2016 while (iii) the amount of deferred revenues rose by CHF 2.1 million between June 30, 2015 and June 30, 2016 and (iv) the change in accounts payable positively impacted our cash position between June 30, 2015 and June 30, 2016 by CHF 0.9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Net cash used in investing activities rose to CHF 0.3 million for the six months ended June 30, 2016 compared with net cash used in investing activities of CHF 0.1 million in the six months ended June 30, 2015 due to increased capital expenditures to strengthen our manufacturing and research infrastructure.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provided by financing activities was CHF 13.2 million for the six months ended June 30, 2016 compared with net cash from investing activities of CHF 6 thousand for the six months ended June 30, 2015. The increase is principally due to the completion of the Series E Extension (CHF 13.3 million) in April 2016, proceeds from the issuance of shares related to option exercises (CHF 0.2 million) and proceeds from issuance of shares under the CS AG Share issuance (CHF 0.1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commercialize our current or any future product candidates. As of June 30, 2016 we had cash balances totaling CHF 82.4 million. The increase relative to December 31, 2015 is due to the proceeds we received from the Series E Extension in April 2016, partially offset by a significant rise in total operating expenses driven by CHF 3.8 million spent on research and development. There can be no certainty as to the exact timing, or in fact whether any future milestone payments will ever be made given that these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milestone payments are contingent on clear milestones being reached. Accordingly, assuming we do not receive potential milestone payments and based upon our currently contemplated research and development strategy and expenditures and assuming our receipt of the net proceeds from this offering in the amount of $47.2 (based on the midpoint of the range set forth in the cover of this prospectus), we believe that our existing capital resources (including the proceeds we received from Genentech, as described below under “—Anti-Tau Antibody Phase 1 Milestone Payment”) will be sufficient to meet our projected operating requirements up to the fourth quarter of 2018.</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preparing our financial statements as of and for the years ended December 31, 2014 and December 31, 2015 and reviewing our interim financial statements as of June 30, 2016,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right="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grant options at the outset of the award period with the options vesting over a four year period. In line with IFRS accounting principles for option awards, we are using the graded methodology to expense the fair value of the awards on a straight line basis over the four year vesting period of the options. Specifically, the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per share to a split adjusted strike price of CHF 0.14548 per share.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(excluding executive officers and board members) have the right, but not the obligation, to have their unvested options accelerated such that they vest immediately. A total of 1,250 options could be accelerated upon completion of this offering.</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Pursuant to a board decision on September 18, 2015, if we successfully complete this offering, the board will accelerate 76,000 options which were granted to directors and executive officers.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 Phase 1 Milestone Payment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June 2016, Genentech, our collaboration partner informed us that the first patient has been dosed in a Phase 1 clinical study for Alzheimer’s disease with an anti-tau monoclonal antibody, making us eligible to receive a milestone payment of CHF 14.0 million, which we received in July 2016. For more information on our collaboration agreement with Genentech, see “—Strategic Collaborations and Licensing Agreements—Anti-Tau Antibodies— Collaboration with Genentech” and “Business—License Agreements and Collaborations—Genentech.”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As at June 30, 2016 we had cash and cash equivalents of CHF 82.4 million,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93"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and we expect to present the data from this study in 2018. A protocol amendment for the Phase 1b study of ACI-24 was submitted to the FDA in September 2015. Phase 1 and 2 studies are also currently ongoing in Finland, Sweden and Denmark.</w:t>
      </w:r>
    </w:p>
    <w:p>
      <w:pPr>
        <w:spacing w:after="0" w:line="70" w:lineRule="exact"/>
        <w:rPr>
          <w:rFonts w:ascii="Arial" w:cs="Arial" w:eastAsia="Arial" w:hAnsi="Arial"/>
          <w:sz w:val="16"/>
          <w:szCs w:val="16"/>
          <w:color w:val="auto"/>
        </w:rPr>
      </w:pPr>
    </w:p>
    <w:p>
      <w:pPr>
        <w:ind w:left="900" w:right="40" w:hanging="325"/>
        <w:spacing w:after="0" w:line="297"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Additionally, our passive anti-tau monoclonal antibody candidate is being developed under a collaboration agreement with Genentech, which we entered into in June 2012. The anti-tau antibody candidate is a humanized monoclonal antibody that is believed to bind specifically to tau. A Phase 1 clinical study conducted by Genentech will evaluate the safety, tolerability and pharmacokinetics in patients with mild to moderate Alzheimer’s disease and healthy volunteers. The Phase 1 clinical study commenced in the second quarter of 2016, with results expected in the first half of 2017.</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79"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 We expect to commence a Phase 1 clinical study of our alpha-synuclein PET imaging agent in 2017.</w:t>
      </w:r>
    </w:p>
    <w:p>
      <w:pPr>
        <w:spacing w:after="0" w:line="17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470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0573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Anti-tau antibody</w:t>
      </w:r>
      <w:r>
        <w:rPr>
          <w:rFonts w:ascii="Arial" w:cs="Arial" w:eastAsia="Arial" w:hAnsi="Arial"/>
          <w:sz w:val="16"/>
          <w:szCs w:val="16"/>
          <w:color w:val="auto"/>
        </w:rPr>
        <w:t>. Our collaboration partner, Genentech, is advancing an anti-tau antibody candidate through a Phase 1 clinical study.</w:t>
      </w:r>
    </w:p>
    <w:p>
      <w:pPr>
        <w:spacing w:after="0" w:line="153" w:lineRule="exact"/>
        <w:rPr>
          <w:rFonts w:ascii="Arial" w:cs="Arial" w:eastAsia="Arial" w:hAnsi="Arial"/>
          <w:sz w:val="16"/>
          <w:szCs w:val="16"/>
          <w:color w:val="auto"/>
        </w:rPr>
      </w:pPr>
    </w:p>
    <w:p>
      <w:pPr>
        <w:ind w:left="1480" w:right="160" w:hanging="446"/>
        <w:spacing w:after="0" w:line="308" w:lineRule="auto"/>
        <w:tabs>
          <w:tab w:leader="none" w:pos="1480"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jc w:val="both"/>
        <w:ind w:left="900" w:right="360" w:hanging="325"/>
        <w:spacing w:after="0" w:line="26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Expand into other neurodegenerative and neuro-orphan diseases. </w:t>
      </w:r>
      <w:r>
        <w:rPr>
          <w:rFonts w:ascii="Arial" w:cs="Arial" w:eastAsia="Arial" w:hAnsi="Arial"/>
          <w:sz w:val="18"/>
          <w:szCs w:val="18"/>
          <w:color w:val="auto"/>
        </w:rPr>
        <w:t>We intend to leverage our proprietary technology platforms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that share the same disease targets as misfolded Abeta, tau and alpha-synuclein proteins, which are the key features in the pathology of many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240"/>
        <w:spacing w:after="0" w:line="286" w:lineRule="auto"/>
        <w:rPr>
          <w:sz w:val="20"/>
          <w:szCs w:val="20"/>
          <w:color w:val="auto"/>
        </w:rPr>
      </w:pPr>
      <w:r>
        <w:rPr>
          <w:rFonts w:ascii="Arial" w:cs="Arial" w:eastAsia="Arial" w:hAnsi="Arial"/>
          <w:sz w:val="17"/>
          <w:szCs w:val="17"/>
          <w:color w:val="auto"/>
        </w:rPr>
        <w:t>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67" w:lineRule="exact"/>
        <w:rPr>
          <w:sz w:val="20"/>
          <w:szCs w:val="20"/>
          <w:color w:val="auto"/>
        </w:rPr>
      </w:pPr>
    </w:p>
    <w:p>
      <w:pPr>
        <w:ind w:left="900" w:right="80" w:hanging="325"/>
        <w:spacing w:after="0" w:line="25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64990" cy="18954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6499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598420" cy="13804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842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298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0990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June 30, 2016, the Morphomer library consisted of more than 2,900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2915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6814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Medical School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Abeta1-42 oligomers</w:t>
      </w:r>
      <w:r>
        <w:rPr>
          <w:sz w:val="20"/>
          <w:szCs w:val="20"/>
          <w:color w:val="auto"/>
        </w:rPr>
        <w:tab/>
      </w:r>
      <w:r>
        <w:rPr>
          <w:rFonts w:ascii="Arial" w:cs="Arial" w:eastAsia="Arial" w:hAnsi="Arial"/>
          <w:sz w:val="16"/>
          <w:szCs w:val="16"/>
          <w:b w:val="1"/>
          <w:bCs w:val="1"/>
          <w:color w:val="auto"/>
        </w:rPr>
        <w:t>Reduces Abeta 1-42 oligomer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28690" cy="20237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2869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Abeta 1-42 oligomers + MABT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9840" cy="18954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9840" cy="1895475"/>
                    </a:xfrm>
                    <a:prstGeom prst="rect">
                      <a:avLst/>
                    </a:prstGeom>
                    <a:noFill/>
                  </pic:spPr>
                </pic:pic>
              </a:graphicData>
            </a:graphic>
          </wp:anchor>
        </w:drawing>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Reduces microglia inflammatory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86360</wp:posOffset>
            </wp:positionV>
            <wp:extent cx="2186940" cy="19894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869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340"/>
        <w:spacing w:after="0" w:line="277" w:lineRule="auto"/>
        <w:rPr>
          <w:sz w:val="20"/>
          <w:szCs w:val="20"/>
          <w:color w:val="auto"/>
        </w:rPr>
      </w:pPr>
      <w:r>
        <w:rPr>
          <w:rFonts w:ascii="Arial" w:cs="Arial" w:eastAsia="Arial" w:hAnsi="Arial"/>
          <w:sz w:val="18"/>
          <w:szCs w:val="18"/>
          <w:color w:val="auto"/>
        </w:rPr>
        <w:t>MABT is equivalent to crenezumab, mMABT is the parental murine version of crenezumab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figure above shows that crenezumab promotes Abeta oligomer engulfment by microglia without inflammatory activation.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240" w:top="459"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77"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134620</wp:posOffset>
            </wp:positionV>
            <wp:extent cx="4081780" cy="2058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8178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05730" cy="25298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0573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10 mg/kg dose cohort</w:t>
      </w:r>
    </w:p>
    <w:p>
      <w:pPr>
        <w:ind w:left="180" w:hanging="172"/>
        <w:spacing w:after="0" w:line="221" w:lineRule="auto"/>
        <w:tabs>
          <w:tab w:leader="none" w:pos="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6 mg/kg dose cohort</w:t>
      </w:r>
    </w:p>
    <w:p>
      <w:pPr>
        <w:ind w:right="9760" w:firstLine="8"/>
        <w:spacing w:after="0" w:line="271" w:lineRule="auto"/>
        <w:tabs>
          <w:tab w:leader="none" w:pos="108"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Reduced effector function **Full effector function</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171450</wp:posOffset>
            </wp:positionV>
            <wp:extent cx="5196840" cy="33788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171450</wp:posOffset>
            </wp:positionV>
            <wp:extent cx="5213985" cy="53943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1454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two cohorts of patients with milder symptoms showed a 19.6% (MMSE 22-26) and 45% (MMSE 24-26) reduction in global functional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146050</wp:posOffset>
            </wp:positionV>
            <wp:extent cx="5042535" cy="17665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425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Greater relative reductions were observed in the crenezumab arm compared with placebo in the CDR subdomains Memory, Orientation, Judgment &amp; Problem Solving and Home &amp; Hobbies in progressively milder patients. Treatment effects were less consistent in progressively milder patients for the CDR subdomains Community Affairs and Personal Care.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205740</wp:posOffset>
            </wp:positionV>
            <wp:extent cx="4965700" cy="59175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65700" cy="591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 CDR subdomains=difference in change from baseline to Week 73 in CDR subdomain scores between treatment and control groups. Diamonds represent LS mean change from baseline at Week 73, error bars 95% present CI. Positive values indicate less decline in crenezumab group.</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the overall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timepoints and dose dependency are considered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5387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263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387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4872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19723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anti-tau monoclonal antibody program generated humanized monoclonal antibodies for use as 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collaboration partner for the anti-tau antibody program, announced the commencement of a Phase 1 clinical study in July 2016. The Phase 1 clinical study will test the safety, tolerability and pharmacokinetics of various dosing regimens of the anti-tau antibody in patients with mild to moderate AD as well as in healthy volunteers.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three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900" w:type="dxa"/>
            <w:vAlign w:val="bottom"/>
          </w:tcPr>
          <w:p>
            <w:pPr>
              <w:spacing w:after="0"/>
              <w:rPr>
                <w:sz w:val="16"/>
                <w:szCs w:val="16"/>
                <w:color w:val="auto"/>
              </w:rPr>
            </w:pP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Lead Indication</w:t>
            </w:r>
          </w:p>
        </w:tc>
        <w:tc>
          <w:tcPr>
            <w:tcW w:w="194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1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88"/>
              </w:rPr>
              <w:t>Morphomer tau</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Anti-tau Morphomers: </w:t>
      </w:r>
      <w:r>
        <w:rPr>
          <w:rFonts w:ascii="Arial" w:cs="Arial" w:eastAsia="Arial" w:hAnsi="Arial"/>
          <w:sz w:val="16"/>
          <w:szCs w:val="16"/>
          <w:color w:val="auto"/>
        </w:rPr>
        <w:t>Anti-tau Morphomers are small molecule compounds designed to inhibit tau aggregation with the aim of interacting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 This molecule is expected to enter Phase 1 clinical studies in 2017 or 2018.</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Morphomer abeta: </w:t>
      </w:r>
      <w:r>
        <w:rPr>
          <w:rFonts w:ascii="Arial" w:cs="Arial" w:eastAsia="Arial" w:hAnsi="Arial"/>
          <w:sz w:val="18"/>
          <w:szCs w:val="18"/>
          <w:color w:val="auto"/>
        </w:rPr>
        <w:t>Our Morphomer abeta product candidate is a small molecule that inhibits and disrupts Abeta propagation and aggregation,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1437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858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 and Biogen under the non-exclusive research and development agreement signed in April 2016.</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To date, we have received payments totaling CHF 45 million including a CHF 14 million milestone payment associated with the recent announcement of the commencement of the Phase 1 clinical study of the lead anti-tau antibody candidate and a CHF 14 million milestone payment received in 2015 in connection with the ED-GO decision.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50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received an upfront payment of about CHF 25.9 million, a research contribution of CHF 1.5 million and a CHF 4.9 million clinical milestone payment and we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79" w:lineRule="auto"/>
        <w:rPr>
          <w:sz w:val="20"/>
          <w:szCs w:val="20"/>
          <w:color w:val="auto"/>
        </w:rPr>
      </w:pPr>
      <w:r>
        <w:rPr>
          <w:rFonts w:ascii="Arial" w:cs="Arial" w:eastAsia="Arial" w:hAnsi="Arial"/>
          <w:sz w:val="17"/>
          <w:szCs w:val="17"/>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 Aducanumab recently received Fast Track designation from the FDA as did crenezumab in 2008.</w:t>
      </w:r>
    </w:p>
    <w:p>
      <w:pPr>
        <w:spacing w:after="0" w:line="77" w:lineRule="exact"/>
        <w:rPr>
          <w:sz w:val="20"/>
          <w:szCs w:val="20"/>
          <w:color w:val="auto"/>
        </w:rPr>
      </w:pPr>
    </w:p>
    <w:p>
      <w:pPr>
        <w:ind w:left="900" w:right="80" w:hanging="325"/>
        <w:spacing w:after="0" w:line="276"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ABvac 40 (Araclon Bioscience) which has completed a Phase 1 study and Affitope-AD-02 (AFFiRiS AG / GlaxoSmithKline) and CAD-106 (Novartis International AG), each of which has completed a Phase 2 study.</w:t>
      </w:r>
    </w:p>
    <w:p>
      <w:pPr>
        <w:spacing w:after="0" w:line="77"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of August 31, 2016, we owned or co-owned approximately 22 issued U.S. patents and 173 issued patents in other jurisdictions, as well as 18 pending U.S. patent applications and 327 pending foreign patent applications. As of August 31, 2016, we licensed approximately 12 issued U.S. patents and 12 pending U.S. patent applications, as well as 110 issued patents in other jurisdictions and 258 pending foreign patent applications.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August 31,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ind w:firstLine="456"/>
        <w:spacing w:after="0" w:line="268"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August 31, 2016, we owned or co-owned approximately 20 patents (not including the patents in the individual countries where the issued European patent was validated) and 39 patent applications in 34 countries in our main patent family directed to the crenezumab antibody and methods of using the crenezumab antibody to treat certain indications, including AD. This patent portfolio includes three issued U.S. patents and two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23 issued patents and 11 pending patent applications in 30 countries. With respect to the U.S., we own two issued U.S. patents.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ACI-35 consists of approximately 14 issued patents and 16 pending patent applications in 27 countries. With respect to the U.S., we own one issued U.S. patent.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2016, we employed 62 employees, 9 of whom were part-time employees. 34 of our employees hold Ph.D. degrees and 19 hold M.Sc. degrees. Our 62 employees are from over 20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Due to the expansion of our research and development team and addition of scientists, we have entered into an agreement with EPFL to lease an additional 240 square meters of space in the Innovation Park. We are planning to occupy this space in November, 2016. We believe that once we have this additional space, our existing facilities are sufficient to meet our current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Advisors and Board of Directors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advisors and directors, including their ages, as at August 31, 2016. The term of each of our directors is one year and, accordingly, will expire at our 2016 annual shareholder meeting to be held in the fourth quarter of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40" w:type="dxa"/>
            <w:vAlign w:val="bottom"/>
            <w:vMerge w:val="restart"/>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45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456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182"/>
        </w:trPr>
        <w:tc>
          <w:tcPr>
            <w:tcW w:w="47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 and Advisors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06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ind w:left="360"/>
              <w:spacing w:after="0"/>
              <w:rPr>
                <w:sz w:val="20"/>
                <w:szCs w:val="20"/>
                <w:color w:val="auto"/>
              </w:rPr>
            </w:pPr>
            <w:r>
              <w:rPr>
                <w:rFonts w:ascii="Arial" w:cs="Arial" w:eastAsia="Arial" w:hAnsi="Arial"/>
                <w:sz w:val="18"/>
                <w:szCs w:val="18"/>
                <w:color w:val="auto"/>
              </w:rPr>
              <w:t>Julian Gray, M.D.,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20" w:type="dxa"/>
            <w:vAlign w:val="bottom"/>
            <w:gridSpan w:val="2"/>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Clinical Advisor</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06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and advisors,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since May 27, 2016.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 and Advisors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Julian Gray, M.D., Ph.D., Clinical Advisor: </w:t>
      </w:r>
      <w:r>
        <w:rPr>
          <w:rFonts w:ascii="Arial" w:cs="Arial" w:eastAsia="Arial" w:hAnsi="Arial"/>
          <w:sz w:val="17"/>
          <w:szCs w:val="17"/>
          <w:color w:val="auto"/>
        </w:rPr>
        <w:t>Dr. Gray has served as Clinical Advisor to our programs in neurodegenerative diseases since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 Dr. Hothum is a board member of various companies in the dievini portfolio and is the chairman of the advisory board of joimax GmbH.</w:t>
      </w:r>
    </w:p>
    <w:p>
      <w:pPr>
        <w:spacing w:after="0" w:line="17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broad industry experience embraces biotechnology and medical technology firms including previous Board positions with Cytos Biotechnology and Prionics.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board of directors is composed of six members. Each director is elected for a one-year term. The current members of our board of directors were appointed at a shareholders’ meeting held on April 14, 2015 to serve until the 2016 shareholders’ meeting to be held in the fourth quarter of 2016.</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and Peter Bollmann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audit and finance committee, which is expected to consist of Peter Bollmann, Detlev Riesner and Martin Velasco,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Peter Bollmann will serve as Chairman of the committee. The audit and finance committee will consist exclusively of members of our supervisory board who are financially literate, and Peter Bollmann is considered an “audit committee financial expert” as defined by the SEC. Our board of directors has determined that Peter Bollmann, Detlev Riesner and Martin Velasco satisfy the “independence” requirements set forth in Rule 10A-3 under the Exchange Act.</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jc w:val="center"/>
        <w:ind w:left="5580" w:right="540" w:hanging="5005"/>
        <w:spacing w:after="0" w:line="44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approve any audit and non-audit services proposed to be provided by the independent auditor to ensure independent auditor independence; 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16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95"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compensation, nomination and governance committee, which is expected to consist of Detlev Riesner (chair) and Martin Velasco,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August 31, 2016, there were 598,500 and 1,597,750 common shares underlying outstanding unvested options and vested options granted pursuant to our Prior Plans, respectively.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feature was removed. Instead, employees have the right, but not the obligation, to have their unvested options accelerated such that they vest immediately. A total of 1,250 options could be accelerated in the event this offering is completed.</w:t>
      </w:r>
    </w:p>
    <w:p>
      <w:pPr>
        <w:spacing w:after="0" w:line="170"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Option Exercise Price</w:t>
      </w:r>
      <w:r>
        <w:rPr>
          <w:rFonts w:ascii="Arial" w:cs="Arial" w:eastAsia="Arial" w:hAnsi="Arial"/>
          <w:sz w:val="18"/>
          <w:szCs w:val="18"/>
          <w:color w:val="auto"/>
        </w:rPr>
        <w:t>. With the exception of Plan A, the exercise price of all options issued under the Prior Plans is CHF 0.14548 per share.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exercise price for options issued under Plan A was CHF 0.93186 per share. However, this exercise price was amended in June 2015 with the approval of our board of directors to be CHF 0.14548 per share. As a result, as of August 31, 2016, all options outstanding under our Prior Plans have an exercise price of CHF 0.14548 per share.</w:t>
      </w:r>
    </w:p>
    <w:p>
      <w:pPr>
        <w:spacing w:after="0" w:line="18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have granted our Chief Financial Officer, in the aggregate, options that will give him the right to acquire 196,750 shares. Contingent upon continued employment and approval of our Board of Directors, such options will vest as follows:</w:t>
      </w:r>
    </w:p>
    <w:p>
      <w:pPr>
        <w:spacing w:after="0" w:line="76" w:lineRule="exact"/>
        <w:rPr>
          <w:sz w:val="20"/>
          <w:szCs w:val="20"/>
          <w:color w:val="auto"/>
        </w:rPr>
      </w:pPr>
    </w:p>
    <w:p>
      <w:pPr>
        <w:jc w:val="both"/>
        <w:ind w:left="900" w:right="60" w:hanging="325"/>
        <w:spacing w:after="0" w:line="286"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45,000 shares which became purchasable on July 15, 2015, on a four year period at a price of CHF 0.14548 per share with 25% having vested on July 14, 2016 and a further 25% vesting on each of July 14, 2017, July 14, 2018 and July 14, 2019; upon consummation of the proposed IPO, the 33,750 unvested options will be accelerated and will vest upon consummation of the IPO; and</w:t>
      </w:r>
    </w:p>
    <w:p>
      <w:pPr>
        <w:spacing w:after="0" w:line="70"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98,500 shares which were granted on July 15, 2016 at a price of CHF 0.14548 per share and will vest over a four year period with 25% vesting on each of July 14, 2017, July 14, 2018, July 14, 2019 and July 14, 2020;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53,250 shares which will be granted on July 15, 2017 at a price to be determined in July 2017 and will vest over a four year period with 25% of the granted options vesting on each of July 14, 2018, July 14, 2019, July 14, 2020 and July 14,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shares as of August 31, 2016, as if the conversion of our preferred shares into common shares on a one-for-one basis had occurred, by:</w:t>
      </w:r>
    </w:p>
    <w:p>
      <w:pPr>
        <w:spacing w:after="0" w:line="7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Upon completion of this offering, all of our outstanding preferred shares will be converted into common shares on a one-for-one basis and we will have only one class of shares issued and outstanding. All holders of our common shares will have the same voting rights upon the completion of this offering.</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August 31,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percentage of outstanding common shares is computed on the basis of 49,396,042 common shares outstanding as of August 31, 2016 (including the additional common shares issuable upon conversion of all of our preferred shares into common shares on a one-for-one basis upon the closing of this offering). Common shares that a person has the right to acquire within 60 days of August 31, 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of August 31, 2016, a total of 3,428,409 of our common shares (including the additional common shares issuable upon conversion of all of our preferred shares into common shares on a one-for-one basis upon the closing of this offering) were held by a total of 14 U.S. record holders.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 Accordingly, the table below assumes no purchase of shares by such existing shareholders in this offering.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percentage of common shares beneficially owned before this offering is computed on the basis of common shares issued and outstanding as of August 31, 2016. The percentage of common shares beneficially owned after this offering is based on 53,941,498 common shares that will be issued and outstanding upon the completion of this offering (including the additional common shares issuable upon conversion of all of our preferred shares, including the preferred shares issued in the Series E Private Placement Extension, on a one-for-one basis upon the closing of this offering). For purposes of computing percentage ownership after this offering, we have assumed the issuance and sale by us of an aggregate of 4,545,456 common shares in this offering and that the underwriters will not exercise their option to purchase additional shares from 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Shares Beneficially Owned</w:t>
            </w: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Percent of Shares</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Before This Offering</w:t>
            </w:r>
          </w:p>
        </w:tc>
        <w:tc>
          <w:tcPr>
            <w:tcW w:w="1460" w:type="dxa"/>
            <w:vAlign w:val="bottom"/>
            <w:gridSpan w:val="2"/>
            <w:vMerge w:val="continue"/>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Shareholders</w:t>
            </w: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vMerge w:val="restart"/>
          </w:tcPr>
          <w:p>
            <w:pPr>
              <w:jc w:val="right"/>
              <w:ind w:right="260"/>
              <w:spacing w:after="0" w:line="126" w:lineRule="exact"/>
              <w:rPr>
                <w:sz w:val="20"/>
                <w:szCs w:val="20"/>
                <w:color w:val="auto"/>
              </w:rPr>
            </w:pPr>
            <w:r>
              <w:rPr>
                <w:rFonts w:ascii="Arial" w:cs="Arial" w:eastAsia="Arial" w:hAnsi="Arial"/>
                <w:sz w:val="14"/>
                <w:szCs w:val="14"/>
                <w:b w:val="1"/>
                <w:bCs w:val="1"/>
                <w:color w:val="auto"/>
                <w:w w:val="91"/>
              </w:rPr>
              <w:t>Beneficially Owned</w:t>
            </w:r>
          </w:p>
        </w:tc>
        <w:tc>
          <w:tcPr>
            <w:tcW w:w="1600" w:type="dxa"/>
            <w:vAlign w:val="bottom"/>
            <w:gridSpan w:val="2"/>
            <w:vMerge w:val="restart"/>
          </w:tcPr>
          <w:p>
            <w:pPr>
              <w:jc w:val="center"/>
              <w:ind w:right="180"/>
              <w:spacing w:after="0" w:line="126" w:lineRule="exact"/>
              <w:rPr>
                <w:sz w:val="20"/>
                <w:szCs w:val="20"/>
                <w:color w:val="auto"/>
              </w:rPr>
            </w:pPr>
            <w:r>
              <w:rPr>
                <w:rFonts w:ascii="Arial" w:cs="Arial" w:eastAsia="Arial" w:hAnsi="Arial"/>
                <w:sz w:val="14"/>
                <w:szCs w:val="14"/>
                <w:b w:val="1"/>
                <w:bCs w:val="1"/>
                <w:color w:val="auto"/>
                <w:w w:val="96"/>
              </w:rPr>
              <w:t>of Underwriters’ Over-</w:t>
            </w:r>
          </w:p>
        </w:tc>
        <w:tc>
          <w:tcPr>
            <w:tcW w:w="0" w:type="dxa"/>
            <w:vAlign w:val="bottom"/>
          </w:tcPr>
          <w:p>
            <w:pPr>
              <w:spacing w:after="0"/>
              <w:rPr>
                <w:sz w:val="1"/>
                <w:szCs w:val="1"/>
                <w:color w:val="auto"/>
              </w:rPr>
            </w:pPr>
          </w:p>
        </w:tc>
      </w:tr>
      <w:tr>
        <w:trPr>
          <w:trHeight w:val="79"/>
        </w:trPr>
        <w:tc>
          <w:tcPr>
            <w:tcW w:w="6440" w:type="dxa"/>
            <w:vAlign w:val="bottom"/>
            <w:gridSpan w:val="2"/>
            <w:vMerge w:val="continue"/>
          </w:tcPr>
          <w:p>
            <w:pPr>
              <w:spacing w:after="0"/>
              <w:rPr>
                <w:sz w:val="6"/>
                <w:szCs w:val="6"/>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1460" w:type="dxa"/>
            <w:vAlign w:val="bottom"/>
            <w:gridSpan w:val="2"/>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After This Offering</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Shareholders</w:t>
            </w:r>
          </w:p>
        </w:tc>
        <w:tc>
          <w:tcPr>
            <w:tcW w:w="50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dievini Hopp BioTech holding GmbH &amp; Co KG(1)</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18,041,000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36.5%</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w:t>
            </w:r>
          </w:p>
        </w:tc>
        <w:tc>
          <w:tcPr>
            <w:tcW w:w="1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Varuma AG(2)</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11,400,000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57"/>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Pfeifer(3)</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3,083,250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Andreas Muhs(4)</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898,500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Pavey(5)</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143,500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Jean-Fabien Monin(6)</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327,500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Martin Velasco(7)</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949,750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Mathias Hothum(8)</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51,250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Detlev Riesner(9)</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618,750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6440" w:type="dxa"/>
            <w:vAlign w:val="bottom"/>
            <w:gridSpan w:val="2"/>
          </w:tcPr>
          <w:p>
            <w:pPr>
              <w:spacing w:after="0" w:line="149" w:lineRule="exact"/>
              <w:rPr>
                <w:sz w:val="20"/>
                <w:szCs w:val="20"/>
                <w:color w:val="auto"/>
              </w:rPr>
            </w:pPr>
            <w:r>
              <w:rPr>
                <w:rFonts w:ascii="Arial" w:cs="Arial" w:eastAsia="Arial" w:hAnsi="Arial"/>
                <w:sz w:val="14"/>
                <w:szCs w:val="14"/>
                <w:color w:val="auto"/>
              </w:rPr>
              <w:t>Friedrich von Bohlen und Halbach(10)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78,750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Bollmann</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44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(9 persons)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6,151,250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11.4%</w:t>
            </w:r>
          </w:p>
        </w:tc>
        <w:tc>
          <w:tcPr>
            <w:tcW w:w="1600" w:type="dxa"/>
            <w:vAlign w:val="bottom"/>
            <w:gridSpan w:val="2"/>
          </w:tcPr>
          <w:p>
            <w:pPr>
              <w:jc w:val="right"/>
              <w:ind w:right="4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ind w:left="460" w:right="180" w:hanging="452"/>
        <w:spacing w:after="0" w:line="238" w:lineRule="auto"/>
        <w:tabs>
          <w:tab w:leader="none" w:pos="4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18,041,000 shares held by dievini Hopp BioTech holding GmbH &amp; Co KG. Dietmar Hopp and Oliver Hopp control the voting and investment decisions of the ultimate parent company of dievini Hopp BioTech holding GmbH &amp; Co KG. The shares registered in the name of dievini Hopp BioTech holding GmbH &amp; Co KG may also be deemed to be beneficially owned by Friedrich von Bohlen und Halbach and Mathias Hothum, each of whom is a managing director of dievini Hopp BioTech holding GmbH &amp; Co KG. The address for dievini Hopp BioTech holding GmbH &amp; Co KG, Friedrich von Bohlen und Halbach and Mathias Hothum is Johann-Jakob-Astor Str. 57, 69190 Walldorf, Germany.</w:t>
      </w:r>
    </w:p>
    <w:p>
      <w:pPr>
        <w:spacing w:after="0" w:line="1" w:lineRule="exact"/>
        <w:rPr>
          <w:rFonts w:ascii="Arial" w:cs="Arial" w:eastAsia="Arial" w:hAnsi="Arial"/>
          <w:sz w:val="13"/>
          <w:szCs w:val="13"/>
          <w:color w:val="auto"/>
        </w:rPr>
      </w:pP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address for Varuma AG is Aeschenvorstadt 55, CH-4051 Basel, Switzerland. Rudolf Maag controls the voting and investment decisions of Varuma AG.</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2,915,250 of our common shares and options to purchase 168,000 of our common shares exercisable within 60 days of August 31, 2016.</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410,000 of our common shares and options to purchase 488,500 of our common shares exercisable within 60 days of August 31, 2016.</w:t>
      </w:r>
    </w:p>
    <w:p>
      <w:pPr>
        <w:ind w:left="460" w:right="20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options to purchase 45,000 of our common shares exercisable within 60 days of August 31, 2016 and options to purchase 98,500 of our common shares exercisable over a four year period between July 2016 and July 2020.</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265,000 of our common shares and options to purchase 62,500 of our common shares exercisable within 60 days of August 31, 2016.</w:t>
      </w:r>
    </w:p>
    <w:p>
      <w:pPr>
        <w:ind w:left="460" w:right="38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939,500 of our common shares and options to purchase 10,250 of our common shares exercisable within 60 days of August 31, 2016. Includes shares held through an entity controlled by Mr. Velasco and, as such, Mr. Velasco has sole voting and dispositive power over such shares.</w:t>
      </w:r>
    </w:p>
    <w:p>
      <w:pPr>
        <w:ind w:left="460" w:right="12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options to purchase 51,250 of our common shares exercisable within 60 days of August 31, 2016, and excludes the 18,041,000 shares registered in the name of dievini Hopp BioTech holding CmbH &amp; Co KG that may also be deemed to be beneficially owned by Friedrich von Bohlen und Halbach. See note (1) above. Mr. Hothum disclaims beneficial ownership of these shares except to the extent of any pecuniary interest therein.</w:t>
      </w:r>
    </w:p>
    <w:p>
      <w:pPr>
        <w:ind w:left="460" w:hanging="452"/>
        <w:spacing w:after="0" w:line="221"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613,750 of our common shares and options to purchase 5,000 of our common shares exercisable within 60 days of August 31, 2016.</w:t>
      </w:r>
    </w:p>
    <w:p>
      <w:pPr>
        <w:jc w:val="both"/>
        <w:ind w:left="460" w:right="80" w:hanging="452"/>
        <w:spacing w:after="0" w:line="271" w:lineRule="auto"/>
        <w:tabs>
          <w:tab w:leader="none" w:pos="4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Consists of 78,750 of our common shares, and excludes the 18,041,000 shares registered in the name of dievini Hopp BioTech holding CmbH &amp; Co KG that may also be beneficially owned by Friedrich von Bohlen und Halbach. See note (1) above. Mr. von Bohlen und Halbach disclaims beneficial ownership of these shares except to the extent of any pecuniary interest therein.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per share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dievini Hopp BioTech holding GmbH &amp; Co KG, Varuma AG and certain investors in the Series E Private Placement pursuant to which we granted them certain demand and piggyback registration rights for the resale of the common shares held by them, as described below. The shareholders party to the registration rights agreement hold an aggregate of</w:t>
      </w:r>
    </w:p>
    <w:p>
      <w:pPr>
        <w:spacing w:after="0" w:line="292" w:lineRule="auto"/>
        <w:rPr>
          <w:sz w:val="20"/>
          <w:szCs w:val="20"/>
          <w:color w:val="auto"/>
        </w:rPr>
      </w:pPr>
      <w:r>
        <w:rPr>
          <w:rFonts w:ascii="Arial" w:cs="Arial" w:eastAsia="Arial" w:hAnsi="Arial"/>
          <w:sz w:val="16"/>
          <w:szCs w:val="16"/>
          <w:color w:val="auto"/>
        </w:rPr>
        <w:t>33,028,758 of our common shares, representing approximately 61.2% 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Offering</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 basis and (iii) any remaining shares from the 5,300,000 common shares issued in the CS AG Issuance, our issued fully paid-in share capital will consist of CHF 150.6 million divided into 53,941,498 common shares with a nominal value of CHF 0.02 each and no preferred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9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35" w:lineRule="exact"/>
        <w:rPr>
          <w:rFonts w:ascii="Arial" w:cs="Arial" w:eastAsia="Arial" w:hAnsi="Arial"/>
          <w:sz w:val="18"/>
          <w:szCs w:val="18"/>
          <w:color w:val="auto"/>
        </w:rPr>
      </w:pPr>
    </w:p>
    <w:p>
      <w:pPr>
        <w:ind w:left="900" w:right="20" w:hanging="446"/>
        <w:spacing w:after="0" w:line="334"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35" w:lineRule="exact"/>
        <w:rPr>
          <w:rFonts w:ascii="Arial" w:cs="Arial" w:eastAsia="Arial" w:hAnsi="Arial"/>
          <w:sz w:val="18"/>
          <w:szCs w:val="18"/>
          <w:color w:val="auto"/>
        </w:rPr>
      </w:pPr>
    </w:p>
    <w:p>
      <w:pPr>
        <w:ind w:left="900" w:right="200" w:hanging="446"/>
        <w:spacing w:after="0" w:line="25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following a shareholder or a group of shareholders acting in concert having accumulated shareholdings in excess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55"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of association, our board of directors is authorized at any time until October 20, 2017 to increase our nominal share capital by a maximum aggregate amount of CHF 426,950 (or CHF 320,950 after giving effect to the CS AG Share Issuance) through the issuance of not more than 21,347,500 shares (or 16,047,500 shares after giving effect to the CS AG Share Issuance), which would have to be fully paid-in, with a nominal value of CHF 0.02 each.</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shares to be sold in this offering have been issued out of our authorized share capital. Accordingly, upon the consummation of this</w:t>
      </w:r>
    </w:p>
    <w:p>
      <w:pPr>
        <w:spacing w:after="0" w:line="3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offering, our authorized but unissued share capital will remain at the amount of CHF</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nominal share capital may be increased by a maximum aggregate amount of CHF 91,868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 although in 2016 we expect to hold our ordinary general meeting in November, which we believe is permissible under Swiss law as the investors acquiring shares in this offering will be permitted to participate in such ordinary general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alleviating or withdrawing of restrictions upon the transfer of registered shares and the removal of the voting cap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14"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 w:lineRule="exact"/>
        <w:rPr>
          <w:sz w:val="20"/>
          <w:szCs w:val="20"/>
          <w:color w:val="auto"/>
        </w:rPr>
      </w:pPr>
    </w:p>
    <w:p>
      <w:pPr>
        <w:ind w:right="20" w:firstLine="456"/>
        <w:spacing w:after="0" w:line="200" w:lineRule="auto"/>
        <w:rPr>
          <w:sz w:val="20"/>
          <w:szCs w:val="20"/>
          <w:color w:val="auto"/>
        </w:rPr>
      </w:pPr>
      <w:r>
        <w:rPr>
          <w:rFonts w:ascii="Arial" w:cs="Arial" w:eastAsia="Arial" w:hAnsi="Arial"/>
          <w:sz w:val="17"/>
          <w:szCs w:val="17"/>
          <w:color w:val="auto"/>
        </w:rPr>
        <w:t xml:space="preserve">Our articles contain provisions that prevent investors from acquiring voting rights exceeding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outstanding share capital. Specifically, no individual or legal entity may, directly or indirectly, control voting rights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In the event that a shareholder should exceed the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ownership threshold,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183"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xml:space="preserve">) with his or her name and address (in the case of legal entities, the registered office) as a shareholder with voting rights. Our articles contain provisions that prevent investors from acquiring voting rights exceeding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of the outstanding share capital. Specifically, no individual or legal entity may, directly or indirectly, control voting rights with respect to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or more of the registered share capital recorded in the Commercial Register except if such individual or legal entity has submitted a tender offer to all shareholders. In the event that a shareholder should exceed the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ownership threshold, the registered shares exceeding the limit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shall be entered in our share registered as shares without voting rights. Additional voting caps apply to shareholders acquiring shares for other persons (nominees).</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demerger requires approval of two-thirds of the shares represented at a general meeting of shareholders and the absolute majority of the nominal value of the shares represented.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the Company, directly or indirectly, to current or former members of the board of directors and executive management to the extent related to their former role within the Company or not on customary market terms.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60" w:right="27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00"/>
          </w:cols>
          <w:pgMar w:left="240" w:top="459" w:right="2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left="740" w:hanging="381"/>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28"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7" w:lineRule="exact"/>
        <w:rPr>
          <w:sz w:val="20"/>
          <w:szCs w:val="20"/>
          <w:color w:val="auto"/>
        </w:rPr>
      </w:pPr>
    </w:p>
    <w:p>
      <w:pPr>
        <w:ind w:left="720" w:right="180" w:hanging="361"/>
        <w:spacing w:after="0" w:line="312" w:lineRule="auto"/>
        <w:tabs>
          <w:tab w:leader="none" w:pos="73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60"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1420"/>
          </w:cols>
          <w:pgMar w:left="240" w:top="460" w:right="23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pacing w:after="0" w:line="104" w:lineRule="exact"/>
        <w:rPr>
          <w:sz w:val="20"/>
          <w:szCs w:val="20"/>
          <w:color w:val="auto"/>
        </w:rPr>
      </w:pPr>
    </w:p>
    <w:p>
      <w:pPr>
        <w:sectPr>
          <w:pgSz w:w="11900" w:h="16838" w:orient="portrait"/>
          <w:cols w:equalWidth="0" w:num="2">
            <w:col w:w="5380" w:space="6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00"/>
          </w:cols>
          <w:pgMar w:left="240" w:top="459" w:right="25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20"/>
          </w:cols>
          <w:pgMar w:left="240" w:top="459" w:right="2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completion of this offering, we will have 53,941,498 common shares outstanding. Of these shares, 4,545,456 common shares, or 5,227,274 common shares if the underwriters exercise their option in full to purchase additional common shares, will be freely transferable without restriction or registration under the Securities Act, except for any common shares purchased by one of our existing “affiliates,” as that term is defined in Rule 144 under the Securities Act. The remaining 49,396,042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pacing w:after="0" w:line="189"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Additionally, of the options to purchase 2,196,250 common shares outstanding as of August 31, 2016 and assuming no outstanding options are exercised and no exercise of the underwriters’ option to purchase additional shares, options exercisable for 1,597,750 common shares will be vested and eligible for sale 180 days after the date of this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20"/>
          </w:cols>
          <w:pgMar w:left="240" w:top="460" w:right="23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40"/>
          </w:cols>
          <w:pgMar w:left="240" w:top="460" w:right="239" w:bottom="1440" w:gutter="0" w:footer="0" w:header="0"/>
          <w:type w:val="continuous"/>
        </w:sectPr>
      </w:pPr>
    </w:p>
    <w:p>
      <w:pPr>
        <w:ind w:left="900" w:right="3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All of our directors and executive officers and the holders of substantially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The following discussion is based on the tax laws, regulations and regulatory practices of Switzerland and the U.S. as in effect on the date hereof, which are subject to change (or subject to changes in interpretation), possibly with retroactive effect.</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our common shares (such shares for purposes of this “Taxation” section,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opinion of Vischer Ltd., the following are the material Swiss income tax consequences of owning and disposing our common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if the Shares held by them as part of a Swiss business have an aggregate market value of at least CHF 1 million.</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bilateral tax treaty between the U.S. and Switzerland is eligible for a partial refund of the amount of the withholding tax in excess of the 15% treaty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such shareholder: (i) qualifies for benefits under this treaty and qualifies as beneficial owner of the Dividends; (ii) holds, directly or indirectly,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10% of the voting stock of the Company; (iii) does not qualify as a pension scheme or retirement arrangement for the purpose of the bilateral treaty; and</w:t>
      </w:r>
    </w:p>
    <w:p>
      <w:pPr>
        <w:spacing w:after="0" w:line="32" w:lineRule="exact"/>
        <w:rPr>
          <w:sz w:val="20"/>
          <w:szCs w:val="20"/>
          <w:color w:val="auto"/>
        </w:rPr>
      </w:pPr>
    </w:p>
    <w:p>
      <w:pPr>
        <w:ind w:right="40" w:firstLine="8"/>
        <w:spacing w:after="0" w:line="254" w:lineRule="auto"/>
        <w:tabs>
          <w:tab w:leader="none" w:pos="3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are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92"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00"/>
          </w:cols>
          <w:pgMar w:left="24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40" w:firstLine="8"/>
        <w:spacing w:after="0" w:line="261" w:lineRule="auto"/>
        <w:tabs>
          <w:tab w:leader="none" w:pos="2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60" w:type="dxa"/>
            <w:vAlign w:val="bottom"/>
          </w:tcPr>
          <w:p>
            <w:pPr>
              <w:jc w:val="center"/>
              <w:ind w:left="4428"/>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3"/>
        </w:trPr>
        <w:tc>
          <w:tcPr>
            <w:tcW w:w="5320" w:type="dxa"/>
            <w:vAlign w:val="bottom"/>
            <w:vMerge w:val="continue"/>
          </w:tcPr>
          <w:p>
            <w:pPr>
              <w:spacing w:after="0"/>
              <w:rPr>
                <w:sz w:val="15"/>
                <w:szCs w:val="15"/>
                <w:color w:val="auto"/>
              </w:rPr>
            </w:pPr>
          </w:p>
        </w:tc>
        <w:tc>
          <w:tcPr>
            <w:tcW w:w="5060" w:type="dxa"/>
            <w:vAlign w:val="bottom"/>
          </w:tcPr>
          <w:p>
            <w:pPr>
              <w:jc w:val="center"/>
              <w:ind w:left="4428"/>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375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375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We have granted to the underwriters a 30-day over-allotment option to purchase up to 681,818 additional common shares from us at the initial public offering price less the underwriting discounts and commissions. The option may be exercised only to cover any over-allotments of common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of our existing shareholders have indicated an interest in purchasing up to $30 million of the common shares being offered in this offering at the initial public offering price. However, because indications of interest are not binding agreements or commitments to purchase, these entities may determine to purchase fewer securities than they have indicated or not to purchase any securities in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We estimate the expenses paid or payable by us in connection with this offering, other than the underwriting discounts and commissions referred to above, will be approximately $3.6 million. We have also agreed to reimburse the underwriters for certain expenses, including an amount not to exceed $30,000 in connection with the clearance of this offering with the Financial Industry Regulatory Authority, as set forth in the underwriting agreement.</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officers and directors and the holders of substantially all of our capital stock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 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6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40" w:hanging="446"/>
        <w:spacing w:after="0" w:line="264"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60" w:hanging="446"/>
        <w:spacing w:after="0" w:line="277"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40" w:hanging="446"/>
        <w:spacing w:after="0" w:line="264"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60" w:hanging="446"/>
        <w:spacing w:after="0" w:line="342" w:lineRule="auto"/>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the above exceptions, dievini Hopp BioTech holding GmbH &amp; Co KG and its representatives who hold our common shares will be allowed a one-time sale of any or all of the common shares held by them. Any such sale must be a private sale pursuant to an exemption from the Securities Act and the purchaser must agree to be bound in writing by the terms of the lock-up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standards for listing prospectuses under art. 27 ff. of the SIX Listing Rules or the listing rules of any other stock exchange or regulated trading facility in Switzerland.</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common shares have not been offered or sold and will not be offered or sold in Hong Kong, by means of any document, other than (a) to “professional investors” as defined in the Securities and Futures Ordinance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distribution of the common shares in Canada is being made only in the provinces of Ontario, Quebec, Alberta and British Columbia on a private placement basis exempt from the requirement that we prepare and file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prospectus with the securities regulatory authorities in each province where trades of these securities are made. Any resale of the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120" w:hanging="446"/>
        <w:spacing w:after="0" w:line="34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00"/>
          </w:cols>
          <w:pgMar w:left="240" w:top="460"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7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r>
      <w:tr>
        <w:trPr>
          <w:trHeight w:val="210"/>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1,685,000</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1,105,177</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2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3,567,713</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40"/>
          </w:cols>
          <w:pgMar w:left="240" w:top="460" w:right="3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80"/>
          </w:cols>
          <w:pgMar w:left="240" w:top="459" w:right="27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9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6080" w:type="dxa"/>
            <w:vAlign w:val="bottom"/>
            <w:gridSpan w:val="10"/>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45"/>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02">
              <w:r>
                <w:rPr>
                  <w:rFonts w:ascii="Arial" w:cs="Arial" w:eastAsia="Arial" w:hAnsi="Arial"/>
                  <w:sz w:val="18"/>
                  <w:szCs w:val="18"/>
                  <w:color w:val="0000EE"/>
                </w:rPr>
                <w:t>Balance Sheets as at June 30, 2016 and December 31, 2015</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Income Statements and Statements of Comprehensive Income for the Six Months Ended June 30,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Statements of Changes in Equity for the Six Months Ended June 30, 2016 and 2015</w:t>
              </w:r>
            </w:hyperlink>
          </w:p>
        </w:tc>
        <w:tc>
          <w:tcPr>
            <w:tcW w:w="2060" w:type="dxa"/>
            <w:vAlign w:val="bottom"/>
            <w:tcBorders>
              <w:top w:val="single" w:sz="8" w:color="0000EE"/>
            </w:tcBorders>
            <w:gridSpan w:val="4"/>
          </w:tcPr>
          <w:p>
            <w:pPr>
              <w:spacing w:after="0"/>
              <w:rPr>
                <w:sz w:val="17"/>
                <w:szCs w:val="17"/>
                <w:color w:val="auto"/>
              </w:rPr>
            </w:pPr>
          </w:p>
        </w:tc>
        <w:tc>
          <w:tcPr>
            <w:tcW w:w="160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5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05">
              <w:r>
                <w:rPr>
                  <w:rFonts w:ascii="Arial" w:cs="Arial" w:eastAsia="Arial" w:hAnsi="Arial"/>
                  <w:sz w:val="18"/>
                  <w:szCs w:val="18"/>
                  <w:color w:val="0000EE"/>
                  <w:w w:val="90"/>
                </w:rPr>
                <w:t>Statements of Cash Flows for the Six Months Ended June 30, 2016 and 2015</w:t>
              </w:r>
            </w:hyperlink>
          </w:p>
        </w:tc>
        <w:tc>
          <w:tcPr>
            <w:tcW w:w="4140" w:type="dxa"/>
            <w:vAlign w:val="bottom"/>
            <w:gridSpan w:val="8"/>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Notes to the Interim Condensed Financial Statements for the Six Months Ended June 30, 2016 and 2015</w:t>
              </w:r>
            </w:hyperlink>
          </w:p>
        </w:tc>
        <w:tc>
          <w:tcPr>
            <w:tcW w:w="222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90"/>
        </w:trPr>
        <w:tc>
          <w:tcPr>
            <w:tcW w:w="974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2"/>
          </w:tcPr>
          <w:p>
            <w:pPr>
              <w:spacing w:after="0" w:line="190" w:lineRule="exact"/>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Balance Sheets as of December 31, 2015 and 2014</w:t>
              </w:r>
            </w:hyperlink>
          </w:p>
        </w:tc>
        <w:tc>
          <w:tcPr>
            <w:tcW w:w="5460" w:type="dxa"/>
            <w:vAlign w:val="bottom"/>
            <w:gridSpan w:val="9"/>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2"/>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Income Statements and Statements of Comprehensive Income for the fiscal years ended December 31, 2015 and 2014</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Statements of Changes in Equity for the fiscal years ended December 31, 2015 and 2014</w:t>
              </w:r>
            </w:hyperlink>
          </w:p>
        </w:tc>
        <w:tc>
          <w:tcPr>
            <w:tcW w:w="2060" w:type="dxa"/>
            <w:vAlign w:val="bottom"/>
            <w:tcBorders>
              <w:top w:val="single" w:sz="8" w:color="0000EE"/>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Statements of Cash Flows for the fiscal years ended December 31, 2015 and 2014</w:t>
              </w:r>
            </w:hyperlink>
          </w:p>
        </w:tc>
        <w:tc>
          <w:tcPr>
            <w:tcW w:w="37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65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Notes to the Financial Statements for the fiscal years ended December 31, 2015 and 2014</w:t>
              </w:r>
            </w:hyperlink>
          </w:p>
        </w:tc>
        <w:tc>
          <w:tcPr>
            <w:tcW w:w="324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60" w:type="dxa"/>
            <w:vAlign w:val="bottom"/>
            <w:gridSpan w:val="9"/>
          </w:tcPr>
          <w:p>
            <w:pPr>
              <w:jc w:val="center"/>
              <w:ind w:right="2600"/>
              <w:spacing w:after="0"/>
              <w:rPr>
                <w:sz w:val="20"/>
                <w:szCs w:val="20"/>
                <w:color w:val="auto"/>
              </w:rPr>
            </w:pPr>
            <w:r>
              <w:rPr>
                <w:rFonts w:ascii="Arial" w:cs="Arial" w:eastAsia="Arial" w:hAnsi="Arial"/>
                <w:sz w:val="18"/>
                <w:szCs w:val="18"/>
                <w:color w:val="auto"/>
                <w:w w:val="96"/>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7"/>
              </w:rPr>
              <w:t>Notes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As at June 30,</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753</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income</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15,678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82,377</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102,529</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103,282</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123,379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(33,825)</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90,542</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3,196</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3,196</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other payables</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2,625</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Accrued expenses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4,719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liabilities</w:t>
            </w: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9,544</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6,101</w:t>
            </w: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103,282</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32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100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Notes</w:t>
            </w:r>
          </w:p>
        </w:tc>
        <w:tc>
          <w:tcPr>
            <w:tcW w:w="7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Contract revenue</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20,451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20,451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14,401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(11,018)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08"/>
              <w:spacing w:after="0"/>
              <w:rPr>
                <w:sz w:val="20"/>
                <w:szCs w:val="20"/>
                <w:color w:val="auto"/>
              </w:rPr>
            </w:pPr>
            <w:r>
              <w:rPr>
                <w:rFonts w:ascii="Arial" w:cs="Arial" w:eastAsia="Arial" w:hAnsi="Arial"/>
                <w:sz w:val="18"/>
                <w:szCs w:val="18"/>
                <w:color w:val="auto"/>
              </w:rPr>
              <w:t>(2,750)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(13,768)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(8,932)</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6,683</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207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448"/>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b w:val="1"/>
                <w:bCs w:val="1"/>
                <w:color w:val="auto"/>
              </w:rPr>
              <w:t>6,774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(EPS):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4"/>
          </w:tcPr>
          <w:p>
            <w:pPr>
              <w:jc w:val="right"/>
              <w:ind w:right="368"/>
              <w:spacing w:after="0"/>
              <w:rPr>
                <w:sz w:val="20"/>
                <w:szCs w:val="20"/>
                <w:color w:val="auto"/>
              </w:rPr>
            </w:pPr>
            <w:r>
              <w:rPr>
                <w:rFonts w:ascii="Arial" w:cs="Arial" w:eastAsia="Arial" w:hAnsi="Arial"/>
                <w:sz w:val="18"/>
                <w:szCs w:val="18"/>
                <w:color w:val="auto"/>
                <w:w w:val="86"/>
              </w:rPr>
              <w:t>47,209,976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42,725,207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diluted</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w w:val="86"/>
              </w:rPr>
              <w:t>49,101,623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45,845,283</w:t>
            </w:r>
          </w:p>
        </w:tc>
        <w:tc>
          <w:tcPr>
            <w:tcW w:w="0" w:type="dxa"/>
            <w:vAlign w:val="bottom"/>
          </w:tcPr>
          <w:p>
            <w:pPr>
              <w:spacing w:after="0"/>
              <w:rPr>
                <w:sz w:val="1"/>
                <w:szCs w:val="1"/>
                <w:color w:val="auto"/>
              </w:rPr>
            </w:pPr>
          </w:p>
        </w:tc>
      </w:tr>
      <w:tr>
        <w:trPr>
          <w:trHeight w:val="54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w w:val="92"/>
              </w:rPr>
              <w:t>Other comprehensive income not to be reclassified to income or loss in subsequent periods (net of tax)</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4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854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5,121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2015</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83,077</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(54,928)</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29,004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86"/>
              </w:rPr>
              <w:t>928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110,496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(40,381)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71,043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Income for the period</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6,406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Issue of capital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60</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13,377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8"/>
              </w:rPr>
              <w:t>13,437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extension shares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13,178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199</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2016</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988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123,379</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(33,825)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90,542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Income for the period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6,774</w:t>
            </w:r>
          </w:p>
        </w:tc>
        <w:tc>
          <w:tcPr>
            <w:tcW w:w="64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 for the period to net cash flows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and equipment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(7,088)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 provided by operating activities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(7,202)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16,063</w:t>
            </w:r>
          </w:p>
        </w:tc>
        <w:tc>
          <w:tcPr>
            <w:tcW w:w="0" w:type="dxa"/>
            <w:vAlign w:val="bottom"/>
          </w:tcPr>
          <w:p>
            <w:pPr>
              <w:spacing w:after="0"/>
              <w:rPr>
                <w:sz w:val="1"/>
                <w:szCs w:val="1"/>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13,344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common shares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13,159</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Exchange gain / (loss) on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June 30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82,377</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13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the Company developed using our proprietary SupraAntigen platform. Phase 3 clinical studies for crenezumab were commenced in early 2016. The Company uses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interim condensed financial statements of AC Immune SA for the six months period ended June 30, 2016 were authorized for issue in accordance with a resolution of the Board of Directors on August 25, 2016.</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82.4 million as of June 30, 2016 which includes the $13.5 million (CHF 13.2 million) the Company raised in the Series E Extension financing in April 2016. The Company also received a clinical milestone payment of CHF 14 million in July 2016 related to the collaboration with Genentech on the anti-tau antibody program.</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20" w:firstLine="8"/>
        <w:spacing w:after="0" w:line="323" w:lineRule="auto"/>
        <w:tabs>
          <w:tab w:leader="none" w:pos="21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interim condensed financial statements for the six-month period ended June 30,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disclosed in Note 5,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41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(all figures in CHF ‘000)</w:t>
            </w:r>
          </w:p>
        </w:tc>
        <w:tc>
          <w:tcPr>
            <w:tcW w:w="3000" w:type="dxa"/>
            <w:vAlign w:val="bottom"/>
          </w:tcPr>
          <w:p>
            <w:pPr>
              <w:spacing w:after="0"/>
              <w:rPr>
                <w:sz w:val="24"/>
                <w:szCs w:val="24"/>
                <w:color w:val="auto"/>
              </w:rPr>
            </w:pPr>
          </w:p>
        </w:tc>
        <w:tc>
          <w:tcPr>
            <w:tcW w:w="3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20,135</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Grant revenue</w:t>
            </w:r>
          </w:p>
        </w:tc>
        <w:tc>
          <w:tcPr>
            <w:tcW w:w="4920" w:type="dxa"/>
            <w:vAlign w:val="bottom"/>
            <w:gridSpan w:val="3"/>
          </w:tcPr>
          <w:p>
            <w:pPr>
              <w:jc w:val="right"/>
              <w:ind w:right="940"/>
              <w:spacing w:after="0"/>
              <w:rPr>
                <w:sz w:val="20"/>
                <w:szCs w:val="20"/>
                <w:color w:val="auto"/>
              </w:rPr>
            </w:pPr>
            <w:r>
              <w:rPr>
                <w:rFonts w:ascii="Arial" w:cs="Arial" w:eastAsia="Arial" w:hAnsi="Arial"/>
                <w:sz w:val="18"/>
                <w:szCs w:val="18"/>
                <w:color w:val="auto"/>
              </w:rPr>
              <w:t>315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9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30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20,451</w:t>
            </w:r>
          </w:p>
        </w:tc>
        <w:tc>
          <w:tcPr>
            <w:tcW w:w="9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920" w:type="dxa"/>
            <w:vAlign w:val="bottom"/>
            <w:gridSpan w:val="3"/>
          </w:tcPr>
          <w:p>
            <w:pPr>
              <w:jc w:val="right"/>
              <w:ind w:right="3560"/>
              <w:spacing w:after="0"/>
              <w:rPr>
                <w:sz w:val="20"/>
                <w:szCs w:val="20"/>
                <w:color w:val="auto"/>
              </w:rPr>
            </w:pPr>
            <w:r>
              <w:rPr>
                <w:rFonts w:ascii="Arial" w:cs="Arial" w:eastAsia="Arial" w:hAnsi="Arial"/>
                <w:sz w:val="18"/>
                <w:szCs w:val="18"/>
                <w:color w:val="auto"/>
              </w:rPr>
              <w:t>F-7</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right="7780" w:firstLine="8"/>
        <w:spacing w:after="0" w:line="453" w:lineRule="auto"/>
        <w:tabs>
          <w:tab w:leader="none" w:pos="446" w:val="left"/>
        </w:tabs>
        <w:numPr>
          <w:ilvl w:val="0"/>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Licensing and collaboration agreements 4.1 Research collaboration and license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December of 2014, the Company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The Company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received an upfront payment of CHF 25.9 million which it recognized in 2014 and is eligible to receive development, regulatory and commercialization milestone payments for AD and a potential second indication outside of AD. Additionally, the Company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part of this agreement, AC Immune has committed to spend CHF 13.8 million in research and</w:t>
      </w:r>
    </w:p>
    <w:p>
      <w:pPr>
        <w:spacing w:after="0" w:line="23"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development to the end of Phase 1b which is currently anticipated to be completed at the end of 2016. Under the terms of the agreement, Janssen may terminate the agreement at any time after completion of the Phase 1b clinical study by providing 90 days’ notice to the Company.</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2016, the Company received payments of CHF 1.5 million for pre-payment of research and external research costs the Company expects to incur during 2016. Pursuant to the terms of the collaboration agreement, there is a performance obligation until the end of the year. As a result, the Company is recognizing the proceeds from this payment over a 12-month period on a straight-line basis. In June 2016, the Company received a CHF 4.9 million payment for reaching a clinical milestone in the Phase 1b study. As the Company met all performance obligations on reaching the milestone, it recognized this income as revenue.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2012, the Company entered into an exclusive global license agreement and research collaboration with Genentech, Inc. to commercialize its anti-tau antibodies for use as immunotherapeutics. The value of this exclusive, worldwide alliance is potentially greater than CHF 400 million and includes upfront and milestone payments. In addition to milestones, the Company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Until June 30, 2016, the Company has received payments totalling CHF 31 million including a CHF 14 million milestone payment received in 2015. In June 2016, Genentech informed the Company that the first patient had been injected with the anti-tau antibody making the Company eligible for a CHF 14 million milestone payment and which also triggered a small licensing fee payment from AC Immune to a third party. The Company received the proceeds from this milestone payment in July 2016. Pursuant to the exclusive global license agreement, there is no further performance obligation attached to this payment, therefore the Company recognized the full amount as collaboration and license revenue in the six month period ended June 30,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Genentech may terminate the agreement at any time by providing three months’ notice to AC Immune. In such event all costs incurred are still refundable.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the Company will be entitled to receive royalties that are tied to annual sales volumes with different royalty rates applicable in the U.S. and Europe. These percentage rates range from the high single digits to the mid-teens.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Under the agreement with Genentech, the Company may become eligible to receive payments totaling up to approximately $340 million, excluding royalties.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date, the Company has received payments of $65 million (CHF 70.1 million).</w:t>
      </w:r>
    </w:p>
    <w:p>
      <w:pPr>
        <w:spacing w:after="0" w:line="35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estimated tax expense for the six-month period ended June 30, 2016 is zero. The estimated tax expense is based on the best estimate of the weighted average annual income tax rate expected for the full financial year ended December 31, 2016. As the Company expects to incur a loss for the full year, it does not anticipate any income tax expense.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accordance with IAS 34 and consistent with prior years, the Company has not recognized any deferred tax assets relating to tax losses available but offset against future profits as the recognition criteria have not been met at the balance sheet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42"/>
        </w:trPr>
        <w:tc>
          <w:tcPr>
            <w:tcW w:w="64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6,774</w:t>
            </w: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Tax expense calculated at the statutory rate of 22.5%</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(1,524)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of expected tax rate for full year (2016)</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1,524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Effect of unrecognized carry forward tax loss (2015)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w:t>
            </w:r>
          </w:p>
        </w:tc>
        <w:tc>
          <w:tcPr>
            <w:tcW w:w="19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r>
      <w:tr>
        <w:trPr>
          <w:trHeight w:val="20"/>
        </w:trPr>
        <w:tc>
          <w:tcPr>
            <w:tcW w:w="6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Due to the fact that AC Immune is expected to report a loss for the full year 2016, no tax on income was payable in H1 2016. In H1 2015, no income tax was payable due to the fact that AC Immune could offset taxable income with tax loss carry forwards.</w:t>
      </w:r>
    </w:p>
    <w:p>
      <w:pPr>
        <w:spacing w:after="0" w:line="315"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carrying amounts of financial assets and financial liabilities which are a reasonable approximation of the fair value of financial assets and financial liabilities: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2"/>
        </w:trPr>
        <w:tc>
          <w:tcPr>
            <w:tcW w:w="402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2016</w:t>
            </w:r>
          </w:p>
        </w:tc>
        <w:tc>
          <w:tcPr>
            <w:tcW w:w="2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82,377</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assets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98,055</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w:t>
            </w:r>
          </w:p>
        </w:tc>
        <w:tc>
          <w:tcPr>
            <w:tcW w:w="1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Trade payables and other payables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1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1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cash balance as at June 30, 2016 contains restricted cash totaling CHF 106 thousand related to the Credit Suisse AG, Zurich (“CS AG”) Share Issuance. This cash will remain restricted while CS AG holds shares of AC Immune pursuant to the CS AG Share Issuance agreement. The table above contains assets and liabilities held at amortization cost.</w:t>
      </w:r>
    </w:p>
    <w:p>
      <w:pPr>
        <w:spacing w:after="0" w:line="326"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May 25, 2016, AC Immune entered into a subscription agreement, pursuant to which AC Immune issued 5,300,000 common shares, each with a nominal value of CHF 0.02 to CS AG at a price equal to the CHF 0.02 per share nominal value for an aggregate subscription amount of CHF 106,000 (the “CS AG Share Issuance”). CS AG will hold these shares as nominee in anticipation of the consummation of AC Immune’s IPO and CS AG has agreed not to exercise any voting rights in respect to these shares. While CS AG owns the shares, it cannot sell any of the shares without the prior consent of AC Immune and any proceeds CS AG receives above the CHF 0.02 nominal value per share, net of fees, is to be remitted to AC Immune. In connection with the CS AG Share Issuance, AC Immune gave CS AG an option to put all or part of the shares it acquired back to AC Immune at CHF 0.02 per share at any point in time, for any reason (the “Put Option”). Similarly, CS AG gave AC Immune 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call whereby AC Immune could acquire all or part of the shares it sold to CS AG at CHF 0.02 per share at any point in time, for any reason (the “Call Option”). The CS AG Share Issuance agreement has a termination date of June 30, 2017.</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Due to the existence of the Put Option, the CS AG Share Issuance has resulted in the creation a contingent liability. CS AG can exercise the Put Option for any reason at any point in time. If the Put Option is exercised, AC Immune will be required to acquire any common shares that CS AG has indicated it wants to sell under the Put Option, at CHF 0.02 per common share.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of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59"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of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60"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in July 2015, Genentech announced it will commence Phase 3 clinical studies for crenezumab in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2014, we recognized revenue associated with a research grant given to us by a European Institution in October of 2011 and which had a 3-year duration.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revenues on a straight line basis over the period of the grant.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60"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of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456"/>
        <w:spacing w:after="0" w:line="242" w:lineRule="auto"/>
        <w:rPr>
          <w:sz w:val="20"/>
          <w:szCs w:val="20"/>
          <w:color w:val="auto"/>
        </w:rPr>
      </w:pPr>
      <w:r>
        <w:rPr>
          <w:rFonts w:ascii="Arial" w:cs="Arial" w:eastAsia="Arial" w:hAnsi="Arial"/>
          <w:sz w:val="18"/>
          <w:szCs w:val="18"/>
          <w:color w:val="auto"/>
        </w:rPr>
        <w:t>Through and including , 2016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4,545,456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3695700</wp:posOffset>
            </wp:positionV>
            <wp:extent cx="15176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676910</wp:posOffset>
            </wp:positionV>
            <wp:extent cx="1595120" cy="3003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724662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has been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October 23,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0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January 1, 2013 through August 31, 2016, the registrant issued options to purchase 963,000 shares of its common stock to its employees and directors with an exercise price of CHF 0.14548 per share.</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07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January 1, 2013 through August 31, 2016, a total of 2,246,250 options were exercised by the registrant’s employees and directors for aggregate consideration of CHF 326,784.</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77"/>
        <w:spacing w:after="0"/>
        <w:tabs>
          <w:tab w:leader="none" w:pos="10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On April 15, 2016, the registrant issued 1,401,792 shares of preferred stock for an aggregate subscription amount of $13.5 million.</w:t>
      </w:r>
    </w:p>
    <w:p>
      <w:pPr>
        <w:spacing w:after="0" w:line="128" w:lineRule="exact"/>
        <w:rPr>
          <w:rFonts w:ascii="Arial" w:cs="Arial" w:eastAsia="Arial" w:hAnsi="Arial"/>
          <w:sz w:val="17"/>
          <w:szCs w:val="17"/>
          <w:color w:val="auto"/>
        </w:rPr>
      </w:pPr>
    </w:p>
    <w:p>
      <w:pPr>
        <w:ind w:left="460" w:right="560" w:firstLine="443"/>
        <w:spacing w:after="0" w:line="277" w:lineRule="auto"/>
        <w:tabs>
          <w:tab w:leader="none" w:pos="10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May 25, 2016, the registrant issued 5,300,000 shares of its common stock to Credit Suisse AG, Zurich for an aggregate subscription amount of CHF 106,000.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Lausanne, Switzerland on September 13, 2016.</w:t>
      </w:r>
    </w:p>
    <w:p>
      <w:pPr>
        <w:spacing w:after="0" w:line="208"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Pavey</w:t>
            </w:r>
          </w:p>
        </w:tc>
      </w:tr>
      <w:tr>
        <w:trPr>
          <w:trHeight w:val="209"/>
        </w:trPr>
        <w:tc>
          <w:tcPr>
            <w:tcW w:w="4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George Pavey</w:t>
            </w:r>
          </w:p>
        </w:tc>
      </w:tr>
      <w:tr>
        <w:trPr>
          <w:trHeight w:val="230"/>
        </w:trPr>
        <w:tc>
          <w:tcPr>
            <w:tcW w:w="46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2016 in the capacities indicated:</w:t>
      </w:r>
    </w:p>
    <w:p>
      <w:pPr>
        <w:sectPr>
          <w:pgSz w:w="11900" w:h="16838" w:orient="portrait"/>
          <w:cols w:equalWidth="0" w:num="1">
            <w:col w:w="11100"/>
          </w:cols>
          <w:pgMar w:left="240" w:top="460" w:right="5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72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3"/>
              </w:rPr>
              <w:t>Andrea Pfeifer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17"/>
        </w:trPr>
        <w:tc>
          <w:tcPr>
            <w:tcW w:w="5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86"/>
              </w:rPr>
              <w:t>George Pavey</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80" w:type="dxa"/>
            <w:vAlign w:val="bottom"/>
          </w:tcPr>
          <w:p>
            <w:pPr>
              <w:spacing w:after="0"/>
              <w:rPr>
                <w:sz w:val="24"/>
                <w:szCs w:val="24"/>
                <w:color w:val="auto"/>
              </w:rPr>
            </w:pPr>
          </w:p>
        </w:tc>
        <w:tc>
          <w:tcPr>
            <w:tcW w:w="4500" w:type="dxa"/>
            <w:vAlign w:val="bottom"/>
            <w:gridSpan w:val="4"/>
            <w:vMerge w:val="restart"/>
          </w:tcPr>
          <w:p>
            <w:pPr>
              <w:jc w:val="center"/>
              <w:ind w:right="580"/>
              <w:spacing w:after="0"/>
              <w:rPr>
                <w:sz w:val="20"/>
                <w:szCs w:val="20"/>
                <w:color w:val="auto"/>
              </w:rPr>
            </w:pPr>
            <w:r>
              <w:rPr>
                <w:rFonts w:ascii="Arial" w:cs="Arial" w:eastAsia="Arial" w:hAnsi="Arial"/>
                <w:sz w:val="18"/>
                <w:szCs w:val="18"/>
                <w:color w:val="auto"/>
                <w:w w:val="89"/>
              </w:rPr>
              <w:t>/s/ Jean-Fabien Monin</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Administrative Officer (principal operating</w:t>
            </w:r>
          </w:p>
        </w:tc>
        <w:tc>
          <w:tcPr>
            <w:tcW w:w="0" w:type="dxa"/>
            <w:vAlign w:val="bottom"/>
          </w:tcPr>
          <w:p>
            <w:pPr>
              <w:spacing w:after="0"/>
              <w:rPr>
                <w:sz w:val="1"/>
                <w:szCs w:val="1"/>
                <w:color w:val="auto"/>
              </w:rPr>
            </w:pPr>
          </w:p>
        </w:tc>
      </w:tr>
      <w:tr>
        <w:trPr>
          <w:trHeight w:val="203"/>
        </w:trPr>
        <w:tc>
          <w:tcPr>
            <w:tcW w:w="5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4"/>
            <w:vMerge w:val="continue"/>
          </w:tcPr>
          <w:p>
            <w:pPr>
              <w:spacing w:after="0"/>
              <w:rPr>
                <w:sz w:val="17"/>
                <w:szCs w:val="17"/>
                <w:color w:val="auto"/>
              </w:rPr>
            </w:pPr>
          </w:p>
        </w:tc>
        <w:tc>
          <w:tcPr>
            <w:tcW w:w="3920" w:type="dxa"/>
            <w:vAlign w:val="bottom"/>
            <w:gridSpan w:val="3"/>
          </w:tcPr>
          <w:p>
            <w:pPr>
              <w:jc w:val="center"/>
              <w:ind w:left="131"/>
              <w:spacing w:after="0" w:line="203" w:lineRule="exact"/>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Jean-Fabien Monin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1"/>
              </w:rPr>
              <w:t>Chairman and 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Martin Velasco</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Detlev Riesner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Mathias Hothum</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Friedrich von Bohlen und Halbach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69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50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Peter Bollman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0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Andrea Pfeifer</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gridSpan w:val="4"/>
          </w:tcPr>
          <w:p>
            <w:pPr>
              <w:jc w:val="center"/>
              <w:ind w:right="320"/>
              <w:spacing w:after="0"/>
              <w:rPr>
                <w:sz w:val="20"/>
                <w:szCs w:val="20"/>
                <w:color w:val="auto"/>
              </w:rPr>
            </w:pPr>
            <w:r>
              <w:rPr>
                <w:rFonts w:ascii="Arial" w:cs="Arial" w:eastAsia="Arial" w:hAnsi="Arial"/>
                <w:sz w:val="18"/>
                <w:szCs w:val="18"/>
                <w:color w:val="auto"/>
                <w:w w:val="87"/>
              </w:rPr>
              <w:t>/s/ George Pavey</w:t>
            </w: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Attorney-in-fact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George Pavey</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2016</w:t>
      </w:r>
    </w:p>
    <w:p>
      <w:pPr>
        <w:spacing w:after="0" w:line="2081" w:lineRule="exact"/>
        <w:rPr>
          <w:sz w:val="20"/>
          <w:szCs w:val="20"/>
          <w:color w:val="auto"/>
        </w:rPr>
      </w:pPr>
    </w:p>
    <w:p>
      <w:pPr>
        <w:sectPr>
          <w:pgSz w:w="11900" w:h="16838" w:orient="portrait"/>
          <w:cols w:equalWidth="0" w:num="2">
            <w:col w:w="9000" w:space="660"/>
            <w:col w:w="1440"/>
          </w:cols>
          <w:pgMar w:left="240" w:top="460" w:right="559" w:bottom="1440" w:gutter="0" w:footer="0" w:header="0"/>
          <w:type w:val="continuous"/>
        </w:sectPr>
      </w:pP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100"/>
          </w:cols>
          <w:pgMar w:left="240" w:top="460" w:right="55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registration statement: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Form of Articles of Association*</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Registration Rights Agreement*</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Vischer AG, Swiss counsel of AC Immune SA, as to the validity of the common shares*</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Vischer AG, Swiss counsel of AC Immune SA, as to Swiss tax matters*</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Opinion of Davis Polk &amp; Wardwell LLP as to U.S. tax matters*</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Research Collaboration and License Agreement between AC Immune SA Corporation and Genentech, Inc. dated November 6, 2006#*</w:t>
      </w:r>
    </w:p>
    <w:p>
      <w:pPr>
        <w:spacing w:after="0" w:line="117" w:lineRule="exact"/>
        <w:rPr>
          <w:sz w:val="20"/>
          <w:szCs w:val="20"/>
          <w:color w:val="auto"/>
        </w:rPr>
      </w:pPr>
    </w:p>
    <w:p>
      <w:pPr>
        <w:ind w:left="920" w:hanging="872"/>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to the Research Collaboration and License Agreement between AC Immune SA Corporation and Genentech, Inc. dated May 7, 2015#*</w:t>
      </w:r>
    </w:p>
    <w:p>
      <w:pPr>
        <w:spacing w:after="0" w:line="6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Research Collaboration and License Agreement between AC Immune SA Corporation and Genentech, Inc. dated June 15, 2012#</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License and Collaboration Agreement between Piramal Imaging Ltd., Piramal Imaging SA and AC Immune SA, dated May 9, 2014#*</w:t>
      </w:r>
    </w:p>
    <w:p>
      <w:pPr>
        <w:spacing w:after="0" w:line="117" w:lineRule="exact"/>
        <w:rPr>
          <w:sz w:val="20"/>
          <w:szCs w:val="20"/>
          <w:color w:val="auto"/>
        </w:rPr>
      </w:pPr>
    </w:p>
    <w:p>
      <w:pPr>
        <w:ind w:left="920" w:hanging="872"/>
        <w:spacing w:after="0" w:line="277"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License, Development and Commercialization Agreement between Janssen Pharmaceuticals, Inc. and AC Immune SA, dated December 24, 2014#</w:t>
      </w:r>
    </w:p>
    <w:p>
      <w:pPr>
        <w:spacing w:after="0" w:line="6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Indemnity Agreement*</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AC Immune SA 2013 Equity Incentive Plan*</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Subscription Agreement among Fidelity entities and AC Immune SA, dated October 16, 2015*</w:t>
      </w:r>
    </w:p>
    <w:p>
      <w:pPr>
        <w:spacing w:after="0" w:line="13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Subscription Agreement among Temasek entities and AC Immune SA, dated October 16, 2015*</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AG</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Vischer AG, Swiss counsel of AC Immune SA (included in Exhibit 5.1)*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Vischer AG, Swiss counsel of AC Immune SA (included in Exhibit 8.1)*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7"/>
          <w:szCs w:val="17"/>
          <w:color w:val="auto"/>
        </w:rPr>
        <w:t>Consent of Davis Polk &amp; Wardwell LLP (included in 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right="5420" w:firstLine="8"/>
        <w:spacing w:after="0" w:line="277" w:lineRule="auto"/>
        <w:tabs>
          <w:tab w:leader="none" w:pos="4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Filed in redacted form subject to a Request for Confidential Treatment. * Previously filed.</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240" w:top="460" w:right="65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 nominal value CHF 0.02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160" w:firstLine="464"/>
        <w:spacing w:after="0" w:line="256" w:lineRule="auto"/>
        <w:tabs>
          <w:tab w:leader="none" w:pos="636"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Introductory</w:t>
      </w:r>
      <w:r>
        <w:rPr>
          <w:rFonts w:ascii="Arial" w:cs="Arial" w:eastAsia="Arial" w:hAnsi="Arial"/>
          <w:sz w:val="18"/>
          <w:szCs w:val="18"/>
          <w:color w:val="auto"/>
        </w:rPr>
        <w:t>. AC Immune SA, a company established in Switzerland (the “</w:t>
      </w:r>
      <w:r>
        <w:rPr>
          <w:rFonts w:ascii="Arial" w:cs="Arial" w:eastAsia="Arial" w:hAnsi="Arial"/>
          <w:sz w:val="18"/>
          <w:szCs w:val="18"/>
          <w:b w:val="1"/>
          <w:bCs w:val="1"/>
          <w:color w:val="auto"/>
        </w:rPr>
        <w:t>Company</w:t>
      </w:r>
      <w:r>
        <w:rPr>
          <w:rFonts w:ascii="Arial" w:cs="Arial" w:eastAsia="Arial" w:hAnsi="Arial"/>
          <w:sz w:val="18"/>
          <w:szCs w:val="18"/>
          <w:color w:val="auto"/>
        </w:rPr>
        <w:t>”), agrees with the several Underwriters named in Schedule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Credit Suisse Securities (USA) LLC (“</w:t>
      </w:r>
      <w:r>
        <w:rPr>
          <w:rFonts w:ascii="Arial" w:cs="Arial" w:eastAsia="Arial" w:hAnsi="Arial"/>
          <w:sz w:val="18"/>
          <w:szCs w:val="18"/>
          <w:b w:val="1"/>
          <w:bCs w:val="1"/>
          <w:color w:val="auto"/>
        </w:rPr>
        <w:t>Credit Suisse</w:t>
      </w:r>
      <w:r>
        <w:rPr>
          <w:rFonts w:ascii="Arial" w:cs="Arial" w:eastAsia="Arial" w:hAnsi="Arial"/>
          <w:sz w:val="18"/>
          <w:szCs w:val="18"/>
          <w:color w:val="auto"/>
        </w:rPr>
        <w:t>”),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and Leerink Partners LLC (“</w:t>
      </w:r>
      <w:r>
        <w:rPr>
          <w:rFonts w:ascii="Arial" w:cs="Arial" w:eastAsia="Arial" w:hAnsi="Arial"/>
          <w:sz w:val="18"/>
          <w:szCs w:val="18"/>
          <w:b w:val="1"/>
          <w:bCs w:val="1"/>
          <w:color w:val="auto"/>
        </w:rPr>
        <w:t>Leerink</w:t>
      </w:r>
      <w:r>
        <w:rPr>
          <w:rFonts w:ascii="Arial" w:cs="Arial" w:eastAsia="Arial" w:hAnsi="Arial"/>
          <w:sz w:val="18"/>
          <w:szCs w:val="18"/>
          <w:color w:val="auto"/>
        </w:rPr>
        <w:t>”) are acting as representatives, to issue and sell to the several Underwriters [•] shares (the “</w:t>
      </w:r>
      <w:r>
        <w:rPr>
          <w:rFonts w:ascii="Arial" w:cs="Arial" w:eastAsia="Arial" w:hAnsi="Arial"/>
          <w:sz w:val="18"/>
          <w:szCs w:val="18"/>
          <w:b w:val="1"/>
          <w:bCs w:val="1"/>
          <w:color w:val="auto"/>
        </w:rPr>
        <w:t>Firm Securities</w:t>
      </w:r>
      <w:r>
        <w:rPr>
          <w:rFonts w:ascii="Arial" w:cs="Arial" w:eastAsia="Arial" w:hAnsi="Arial"/>
          <w:sz w:val="18"/>
          <w:szCs w:val="18"/>
          <w:color w:val="auto"/>
        </w:rPr>
        <w:t>”) of its Common Shares, nominal value CHF 0.02 per share (“</w:t>
      </w:r>
      <w:r>
        <w:rPr>
          <w:rFonts w:ascii="Arial" w:cs="Arial" w:eastAsia="Arial" w:hAnsi="Arial"/>
          <w:sz w:val="18"/>
          <w:szCs w:val="18"/>
          <w:b w:val="1"/>
          <w:bCs w:val="1"/>
          <w:color w:val="auto"/>
        </w:rPr>
        <w:t>Securities</w:t>
      </w:r>
      <w:r>
        <w:rPr>
          <w:rFonts w:ascii="Arial" w:cs="Arial" w:eastAsia="Arial" w:hAnsi="Arial"/>
          <w:sz w:val="18"/>
          <w:szCs w:val="18"/>
          <w:color w:val="auto"/>
        </w:rPr>
        <w:t>”) and also proposes to issue and sell to the Underwriters, at the option of the Underwriters, an aggregate of not more than [•] additional shares (the “</w:t>
      </w:r>
      <w:r>
        <w:rPr>
          <w:rFonts w:ascii="Arial" w:cs="Arial" w:eastAsia="Arial" w:hAnsi="Arial"/>
          <w:sz w:val="18"/>
          <w:szCs w:val="18"/>
          <w:b w:val="1"/>
          <w:bCs w:val="1"/>
          <w:color w:val="auto"/>
        </w:rPr>
        <w:t>Optional Securities</w:t>
      </w:r>
      <w:r>
        <w:rPr>
          <w:rFonts w:ascii="Arial" w:cs="Arial" w:eastAsia="Arial" w:hAnsi="Arial"/>
          <w:sz w:val="18"/>
          <w:szCs w:val="18"/>
          <w:color w:val="auto"/>
        </w:rPr>
        <w:t>”) of its Securities as set forth below. The Firm Securities and the Optional Securities are herein collectively called the “</w:t>
      </w:r>
      <w:r>
        <w:rPr>
          <w:rFonts w:ascii="Arial" w:cs="Arial" w:eastAsia="Arial" w:hAnsi="Arial"/>
          <w:sz w:val="18"/>
          <w:szCs w:val="18"/>
          <w:b w:val="1"/>
          <w:bCs w:val="1"/>
          <w:color w:val="auto"/>
        </w:rPr>
        <w:t>Offered Securities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640" w:hanging="176"/>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the several Underwriters that:</w:t>
      </w:r>
    </w:p>
    <w:p>
      <w:pPr>
        <w:spacing w:after="0" w:line="128" w:lineRule="exact"/>
        <w:rPr>
          <w:rFonts w:ascii="Arial" w:cs="Arial" w:eastAsia="Arial" w:hAnsi="Arial"/>
          <w:sz w:val="17"/>
          <w:szCs w:val="17"/>
          <w:color w:val="auto"/>
        </w:rPr>
      </w:pPr>
    </w:p>
    <w:p>
      <w:pPr>
        <w:ind w:left="460" w:firstLine="443"/>
        <w:spacing w:after="0" w:line="289" w:lineRule="auto"/>
        <w:tabs>
          <w:tab w:leader="none" w:pos="1143" w:val="left"/>
        </w:tabs>
        <w:numPr>
          <w:ilvl w:val="1"/>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Filing and Effectiveness of Registration Statement; Certain Defined Terms. </w:t>
      </w:r>
      <w:r>
        <w:rPr>
          <w:rFonts w:ascii="Arial" w:cs="Arial" w:eastAsia="Arial" w:hAnsi="Arial"/>
          <w:sz w:val="16"/>
          <w:szCs w:val="16"/>
          <w:color w:val="auto"/>
        </w:rPr>
        <w:t>The Company has filed with the Commission a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on Form F-1 (No. 333-211714) covering the registration of the Offered Securities under the Act, including a related preliminary prospectus or prospectuses. At any particular time, this initial registration statement, in the form then on file with the Commission, including all information contained in the registration statement (if any) pursuant to Rule 462(b) and then deemed to be a part of the initial registration statement, and all 430A Information and all 430C Information, that in any case has not then been superseded or modified, shall be referred to as the “</w:t>
      </w:r>
      <w:r>
        <w:rPr>
          <w:rFonts w:ascii="Arial" w:cs="Arial" w:eastAsia="Arial" w:hAnsi="Arial"/>
          <w:sz w:val="16"/>
          <w:szCs w:val="16"/>
          <w:b w:val="1"/>
          <w:bCs w:val="1"/>
          <w:color w:val="auto"/>
        </w:rPr>
        <w:t>Initial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The Company may also have filed, or may file with the Commission, a Rule 462(b) registration statement covering the registration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Securities. At any particular time, this Rule 462(b) registration statement, in the form then on file with the Commission, including the contents of the Initial Registration Statement incorporated by reference therein and including all 430A Information and all 430C Information, that in any case has not then been superseded or modified, shall be referred to as the “</w:t>
      </w:r>
      <w:r>
        <w:rPr>
          <w:rFonts w:ascii="Arial" w:cs="Arial" w:eastAsia="Arial" w:hAnsi="Arial"/>
          <w:sz w:val="16"/>
          <w:szCs w:val="16"/>
          <w:b w:val="1"/>
          <w:bCs w:val="1"/>
          <w:color w:val="auto"/>
        </w:rPr>
        <w:t>Additional Registration Statement</w:t>
      </w:r>
      <w:r>
        <w:rPr>
          <w:rFonts w:ascii="Arial" w:cs="Arial" w:eastAsia="Arial" w:hAnsi="Arial"/>
          <w:sz w:val="16"/>
          <w:szCs w:val="16"/>
          <w:color w:val="auto"/>
        </w:rPr>
        <w:t>”.</w:t>
      </w:r>
    </w:p>
    <w:p>
      <w:pPr>
        <w:sectPr>
          <w:pgSz w:w="11900" w:h="16838" w:orient="portrait"/>
          <w:cols w:equalWidth="0" w:num="1">
            <w:col w:w="11420"/>
          </w:cols>
          <w:pgMar w:left="240" w:top="121" w:right="239" w:bottom="1440" w:gutter="0" w:footer="0" w:header="0"/>
        </w:sectPr>
      </w:pPr>
    </w:p>
    <w:bookmarkStart w:id="246" w:name="page247"/>
    <w:bookmarkEnd w:id="24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time of execution and delivery of this Agreement, the Initial Registration Statement has been declared effective under the Act and is not proposed to be amended. Any Additional Registration Statement has or will become effective upon filing with the Commission pursuant to Rule 462(b) and is not proposed to be amended. The Offered Securities all have been or will be duly registered under the Act pursuant to the Initial Registration Statement and, if applicable, the Additional Registration Statement.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w:t>
      </w:r>
    </w:p>
    <w:p>
      <w:pPr>
        <w:spacing w:after="0" w:line="113"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430A Information</w:t>
      </w:r>
      <w:r>
        <w:rPr>
          <w:rFonts w:ascii="Arial" w:cs="Arial" w:eastAsia="Arial" w:hAnsi="Arial"/>
          <w:sz w:val="18"/>
          <w:szCs w:val="18"/>
          <w:color w:val="auto"/>
        </w:rPr>
        <w:t>”, with respect to any registration statement, means information included in a prospectus and retroactively deemed to be a part of such registration statement pursuant to Rule 430A(b).</w:t>
      </w:r>
    </w:p>
    <w:p>
      <w:pPr>
        <w:spacing w:after="0" w:line="162"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430C Information</w:t>
      </w:r>
      <w:r>
        <w:rPr>
          <w:rFonts w:ascii="Arial" w:cs="Arial" w:eastAsia="Arial" w:hAnsi="Arial"/>
          <w:sz w:val="18"/>
          <w:szCs w:val="18"/>
          <w:color w:val="auto"/>
        </w:rPr>
        <w:t>”, with respect to any registration statement, means information included in a prospectus then deemed to be a part of such registration statement pursuant to Rule 430C.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[•]:00 [a/p]m (New York time) on the date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defined in Section 3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Time</w:t>
      </w:r>
      <w:r>
        <w:rPr>
          <w:rFonts w:ascii="Arial" w:cs="Arial" w:eastAsia="Arial" w:hAnsi="Arial"/>
          <w:sz w:val="17"/>
          <w:szCs w:val="17"/>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Arial" w:cs="Arial" w:eastAsia="Arial" w:hAnsi="Arial"/>
          <w:sz w:val="17"/>
          <w:szCs w:val="17"/>
          <w:b w:val="1"/>
          <w:bCs w:val="1"/>
          <w:color w:val="auto"/>
        </w:rPr>
        <w:t>Effective Time</w:t>
      </w:r>
      <w:r>
        <w:rPr>
          <w:rFonts w:ascii="Arial" w:cs="Arial" w:eastAsia="Arial" w:hAnsi="Arial"/>
          <w:sz w:val="17"/>
          <w:szCs w:val="17"/>
          <w:color w:val="auto"/>
        </w:rPr>
        <w:t>” with respect to such Additional Registration Statement means the date and time as of which such Registration Statement is filed and becomes effective pursuant to Rule 462(b).</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Prospectus</w:t>
      </w:r>
      <w:r>
        <w:rPr>
          <w:rFonts w:ascii="Arial" w:cs="Arial" w:eastAsia="Arial" w:hAnsi="Arial"/>
          <w:sz w:val="18"/>
          <w:szCs w:val="18"/>
          <w:color w:val="auto"/>
        </w:rPr>
        <w:t>” means the Statutory Prospectus that discloses the public offering price, other 430A Information and other final terms of the Offered Securities and otherwise satisfies Section 10(a) of the Act.</w:t>
      </w:r>
    </w:p>
    <w:p>
      <w:pPr>
        <w:spacing w:after="0" w:line="16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Issuer Free Writing Prospectus</w:t>
      </w:r>
      <w:r>
        <w:rPr>
          <w:rFonts w:ascii="Arial" w:cs="Arial" w:eastAsia="Arial" w:hAnsi="Arial"/>
          <w:sz w:val="18"/>
          <w:szCs w:val="18"/>
          <w:color w:val="auto"/>
        </w:rPr>
        <w:t>” means any Issuer Free Writing Prospectus that is intended for general distribution to prospective investors, as evidenced by its being so specified in Schedule B to this Agreement.</w:t>
      </w:r>
    </w:p>
    <w:p>
      <w:pPr>
        <w:spacing w:after="0" w:line="162" w:lineRule="exact"/>
        <w:rPr>
          <w:sz w:val="20"/>
          <w:szCs w:val="20"/>
          <w:color w:val="auto"/>
        </w:rPr>
      </w:pPr>
    </w:p>
    <w:p>
      <w:pPr>
        <w:ind w:right="2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Limited Use Issuer Free Writing Prospectus</w:t>
      </w:r>
      <w:r>
        <w:rPr>
          <w:rFonts w:ascii="Arial" w:cs="Arial" w:eastAsia="Arial" w:hAnsi="Arial"/>
          <w:sz w:val="16"/>
          <w:szCs w:val="16"/>
          <w:color w:val="auto"/>
        </w:rPr>
        <w:t>” means any Issuer Free Writing Prospectus that is not a General Use Issuer Free Writing Prospectus.</w:t>
      </w:r>
    </w:p>
    <w:p>
      <w:pPr>
        <w:spacing w:after="0" w:line="24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The Initial Registration Statement and the Additional Registration Statement, if any, are referred to collectively as the “</w:t>
      </w:r>
      <w:r>
        <w:rPr>
          <w:rFonts w:ascii="Arial" w:cs="Arial" w:eastAsia="Arial" w:hAnsi="Arial"/>
          <w:sz w:val="18"/>
          <w:szCs w:val="18"/>
          <w:b w:val="1"/>
          <w:bCs w:val="1"/>
          <w:color w:val="auto"/>
        </w:rPr>
        <w:t>Registration Statements</w:t>
      </w:r>
      <w:r>
        <w:rPr>
          <w:rFonts w:ascii="Arial" w:cs="Arial" w:eastAsia="Arial" w:hAnsi="Arial"/>
          <w:sz w:val="18"/>
          <w:szCs w:val="18"/>
          <w:color w:val="auto"/>
        </w:rPr>
        <w:t>” and individually as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reference to a particular time means the Initial Registration Statement and any Additional Registration Statement as of such time.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without reference to a time means such Registration Statement as of its Effective Time. For purposes of the foregoing definitions, 430A Information with respect to a Registration Statement shall be considered to be included in such Registration Statement as of the time specified in Rule 430A.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7" w:name="page248"/>
    <w:bookmarkEnd w:id="2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Representatives</w:t>
      </w:r>
      <w:r>
        <w:rPr>
          <w:rFonts w:ascii="Arial" w:cs="Arial" w:eastAsia="Arial" w:hAnsi="Arial"/>
          <w:sz w:val="18"/>
          <w:szCs w:val="18"/>
          <w:color w:val="auto"/>
        </w:rPr>
        <w:t>” means Credit Suisse, Jefferies and Leerink.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the rules and regulations of the Commission.</w:t>
      </w:r>
    </w:p>
    <w:p>
      <w:pPr>
        <w:spacing w:after="0" w:line="117" w:lineRule="exact"/>
        <w:rPr>
          <w:sz w:val="20"/>
          <w:szCs w:val="20"/>
          <w:color w:val="auto"/>
        </w:rPr>
      </w:pPr>
    </w:p>
    <w:p>
      <w:pPr>
        <w:ind w:right="2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Laws</w:t>
      </w:r>
      <w:r>
        <w:rPr>
          <w:rFonts w:ascii="Arial" w:cs="Arial" w:eastAsia="Arial" w:hAnsi="Arial"/>
          <w:sz w:val="17"/>
          <w:szCs w:val="17"/>
          <w:color w:val="auto"/>
        </w:rPr>
        <w:t>” means, collectively, the Sarbanes-Oxley Act of 2002 (“</w:t>
      </w:r>
      <w:r>
        <w:rPr>
          <w:rFonts w:ascii="Arial" w:cs="Arial" w:eastAsia="Arial" w:hAnsi="Arial"/>
          <w:sz w:val="17"/>
          <w:szCs w:val="17"/>
          <w:b w:val="1"/>
          <w:bCs w:val="1"/>
          <w:color w:val="auto"/>
        </w:rPr>
        <w:t>Sarbanes-Oxley</w:t>
      </w:r>
      <w:r>
        <w:rPr>
          <w:rFonts w:ascii="Arial" w:cs="Arial" w:eastAsia="Arial" w:hAnsi="Arial"/>
          <w:sz w:val="17"/>
          <w:szCs w:val="17"/>
          <w:color w:val="auto"/>
        </w:rPr>
        <w:t>”), the Act, the Exchange Act, the Rules and Regulations, the auditing principles, rules, standards and practices applicable to auditors of “issuers” (as defined in Sarbanes-Oxley) promulgated or approved by the Public Company Accounting Oversight Board and the rules of the NASDAQ Global [Select] Market (“</w:t>
      </w:r>
      <w:r>
        <w:rPr>
          <w:rFonts w:ascii="Arial" w:cs="Arial" w:eastAsia="Arial" w:hAnsi="Arial"/>
          <w:sz w:val="17"/>
          <w:szCs w:val="17"/>
          <w:b w:val="1"/>
          <w:bCs w:val="1"/>
          <w:color w:val="auto"/>
        </w:rPr>
        <w:t>Exchange Rules</w:t>
      </w:r>
      <w:r>
        <w:rPr>
          <w:rFonts w:ascii="Arial" w:cs="Arial" w:eastAsia="Arial" w:hAnsi="Arial"/>
          <w:sz w:val="17"/>
          <w:szCs w:val="17"/>
          <w:color w:val="auto"/>
        </w:rPr>
        <w:t>”).</w:t>
      </w:r>
    </w:p>
    <w:p>
      <w:pPr>
        <w:spacing w:after="0" w:line="15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with reference to a particular time means the prospectus included in a Registration Statement immediately prior to that time, including any 430A Information or 430C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 reference to a “rule” is to the indicated rule under the Act.</w:t>
      </w:r>
    </w:p>
    <w:p>
      <w:pPr>
        <w:spacing w:after="0" w:line="117" w:lineRule="exact"/>
        <w:rPr>
          <w:sz w:val="20"/>
          <w:szCs w:val="20"/>
          <w:color w:val="auto"/>
        </w:rPr>
      </w:pPr>
    </w:p>
    <w:p>
      <w:pPr>
        <w:ind w:left="460" w:right="20" w:firstLine="443"/>
        <w:spacing w:after="0" w:line="284" w:lineRule="auto"/>
        <w:tabs>
          <w:tab w:leader="none" w:pos="1153" w:val="left"/>
        </w:tabs>
        <w:numPr>
          <w:ilvl w:val="1"/>
          <w:numId w:val="157"/>
        </w:numPr>
        <w:rPr>
          <w:rFonts w:ascii="Arial" w:cs="Arial" w:eastAsia="Arial" w:hAnsi="Arial"/>
          <w:sz w:val="16"/>
          <w:szCs w:val="16"/>
          <w:color w:val="auto"/>
        </w:rPr>
      </w:pPr>
      <w:r>
        <w:rPr>
          <w:rFonts w:ascii="Arial" w:cs="Arial" w:eastAsia="Arial" w:hAnsi="Arial"/>
          <w:sz w:val="16"/>
          <w:szCs w:val="16"/>
          <w:i w:val="1"/>
          <w:iCs w:val="1"/>
          <w:color w:val="auto"/>
        </w:rPr>
        <w:t>Compliance with Act Requirements</w:t>
      </w:r>
      <w:r>
        <w:rPr>
          <w:rFonts w:ascii="Arial" w:cs="Arial" w:eastAsia="Arial" w:hAnsi="Arial"/>
          <w:sz w:val="16"/>
          <w:szCs w:val="16"/>
          <w:color w:val="auto"/>
        </w:rPr>
        <w:t>. (i) (A) At their respective Effective Times, (B) on the date of this Agreement and (C) on each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each of the Initial Registration Statement and the Additional Registration Statement (if any)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(ii) on its date, at the time of filing of the Final Prospectus pursuant to Rule 424(b) or (if no such filing is required) at the Effective Time of the Additional Registration Statement in which the Final Prospectus is included, and on each Closing Date, the Final Prospectus will conform in all material respects to the requirements of the Act and the Rules and Regulations and will not include any untrue statement of a material fact or omit to state any material fact necessary in order to make the statements, in the light of the circumstances under which they were made, not misleading. Notwithstanding the foregoing, the preceding clauses</w:t>
      </w:r>
    </w:p>
    <w:p>
      <w:pPr>
        <w:spacing w:after="0" w:line="1" w:lineRule="exact"/>
        <w:rPr>
          <w:rFonts w:ascii="Arial" w:cs="Arial" w:eastAsia="Arial" w:hAnsi="Arial"/>
          <w:sz w:val="16"/>
          <w:szCs w:val="16"/>
          <w:color w:val="auto"/>
        </w:rPr>
      </w:pPr>
    </w:p>
    <w:p>
      <w:pPr>
        <w:ind w:left="460" w:right="120" w:firstLine="4"/>
        <w:spacing w:after="0" w:line="255" w:lineRule="auto"/>
        <w:tabs>
          <w:tab w:leader="none" w:pos="6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and (ii) shall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10(b) hereof.</w:t>
      </w:r>
    </w:p>
    <w:p>
      <w:pPr>
        <w:spacing w:after="0" w:line="82" w:lineRule="exact"/>
        <w:rPr>
          <w:rFonts w:ascii="Arial" w:cs="Arial" w:eastAsia="Arial" w:hAnsi="Arial"/>
          <w:sz w:val="18"/>
          <w:szCs w:val="18"/>
          <w:color w:val="auto"/>
        </w:rPr>
      </w:pPr>
    </w:p>
    <w:p>
      <w:pPr>
        <w:ind w:left="460" w:right="80" w:firstLine="443"/>
        <w:spacing w:after="0" w:line="255" w:lineRule="auto"/>
        <w:tabs>
          <w:tab w:leader="none" w:pos="1143"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Ineligible Issuer Status</w:t>
      </w:r>
      <w:r>
        <w:rPr>
          <w:rFonts w:ascii="Arial" w:cs="Arial" w:eastAsia="Arial" w:hAnsi="Arial"/>
          <w:sz w:val="18"/>
          <w:szCs w:val="18"/>
          <w:color w:val="auto"/>
        </w:rPr>
        <w:t>. (i) At the time of the initial filing of the Initial Registration Statement and (ii) at the date of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was not and is not an “ineligible issuer,” as defined in Rule 405, including as a result of (x) the Company in the preceding three years having been convicted of a felony or misdemeanor or having been made the subject of a judicial or administrative decree or order as described in Rule 405, having been the subject of a bankruptcy petition or insolvency or similar proceeding or having had a registration statement be the subject of a proceeding under Section 8 of the Act or (y) the Company having been the subject of a proceeding under Section 8A of the Act in connection with the offering of the Offered Securities, all as described in Rule 405.</w:t>
      </w:r>
    </w:p>
    <w:p>
      <w:pPr>
        <w:spacing w:after="0" w:line="85" w:lineRule="exact"/>
        <w:rPr>
          <w:rFonts w:ascii="Arial" w:cs="Arial" w:eastAsia="Arial" w:hAnsi="Arial"/>
          <w:sz w:val="18"/>
          <w:szCs w:val="18"/>
          <w:color w:val="auto"/>
        </w:rPr>
      </w:pPr>
    </w:p>
    <w:p>
      <w:pPr>
        <w:jc w:val="both"/>
        <w:ind w:left="460" w:right="160" w:firstLine="443"/>
        <w:spacing w:after="0" w:line="279" w:lineRule="auto"/>
        <w:tabs>
          <w:tab w:leader="none" w:pos="1153" w:val="left"/>
        </w:tabs>
        <w:numPr>
          <w:ilvl w:val="1"/>
          <w:numId w:val="158"/>
        </w:numPr>
        <w:rPr>
          <w:rFonts w:ascii="Arial" w:cs="Arial" w:eastAsia="Arial" w:hAnsi="Arial"/>
          <w:sz w:val="17"/>
          <w:szCs w:val="17"/>
          <w:color w:val="auto"/>
        </w:rPr>
      </w:pPr>
      <w:r>
        <w:rPr>
          <w:rFonts w:ascii="Arial" w:cs="Arial" w:eastAsia="Arial" w:hAnsi="Arial"/>
          <w:sz w:val="17"/>
          <w:szCs w:val="17"/>
          <w:i w:val="1"/>
          <w:iCs w:val="1"/>
          <w:color w:val="auto"/>
        </w:rPr>
        <w:t>General Disclosure Package</w:t>
      </w:r>
      <w:r>
        <w:rPr>
          <w:rFonts w:ascii="Arial" w:cs="Arial" w:eastAsia="Arial" w:hAnsi="Arial"/>
          <w:sz w:val="17"/>
          <w:szCs w:val="17"/>
          <w:color w:val="auto"/>
        </w:rPr>
        <w:t>. As of the Applicable Time, none of (i) the General Use Issuer Free Writing Prospectus(es) issued at or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Time, the preliminary prospectus, dated [•], 2016 (which is the most recent Statutory Prospectus distributed to investors generally) and the other information, if any, stated in Schedule B to this Agreement to be included in the General Disclosure Package, all considered together (collectively, the “</w:t>
      </w:r>
      <w:r>
        <w:rPr>
          <w:rFonts w:ascii="Arial" w:cs="Arial" w:eastAsia="Arial" w:hAnsi="Arial"/>
          <w:sz w:val="17"/>
          <w:szCs w:val="17"/>
          <w:b w:val="1"/>
          <w:bCs w:val="1"/>
          <w:color w:val="auto"/>
        </w:rPr>
        <w:t>General Disclosure Package</w:t>
      </w:r>
      <w:r>
        <w:rPr>
          <w:rFonts w:ascii="Arial" w:cs="Arial" w:eastAsia="Arial" w:hAnsi="Arial"/>
          <w:sz w:val="17"/>
          <w:szCs w:val="17"/>
          <w:color w:val="auto"/>
        </w:rPr>
        <w:t>”), (ii) any individual Limited Use Issuer Free Writing Prospectus, when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48" w:name="page249"/>
    <w:bookmarkEnd w:id="24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considered together with the General Disclosure Package or (iii) any individual Written Testing-the-Waters Communication that has been approved by the Company,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made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10(b) hereof.</w:t>
      </w:r>
    </w:p>
    <w:p>
      <w:pPr>
        <w:spacing w:after="0" w:line="81" w:lineRule="exact"/>
        <w:rPr>
          <w:sz w:val="20"/>
          <w:szCs w:val="20"/>
          <w:color w:val="auto"/>
        </w:rPr>
      </w:pPr>
    </w:p>
    <w:p>
      <w:pPr>
        <w:ind w:right="40" w:firstLine="443"/>
        <w:spacing w:after="0" w:line="284" w:lineRule="auto"/>
        <w:tabs>
          <w:tab w:leader="none" w:pos="683" w:val="left"/>
        </w:tabs>
        <w:numPr>
          <w:ilvl w:val="1"/>
          <w:numId w:val="159"/>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Each Issuer Free Writing Prospectus, as of its issue date and at all subsequent times through the 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w:t>
      </w:r>
    </w:p>
    <w:p>
      <w:pPr>
        <w:spacing w:after="0" w:line="1" w:lineRule="exact"/>
        <w:rPr>
          <w:rFonts w:ascii="Arial" w:cs="Arial" w:eastAsia="Arial" w:hAnsi="Arial"/>
          <w:sz w:val="16"/>
          <w:szCs w:val="16"/>
          <w:color w:val="auto"/>
        </w:rPr>
      </w:pPr>
    </w:p>
    <w:p>
      <w:pPr>
        <w:ind w:right="60" w:firstLine="4"/>
        <w:spacing w:after="0" w:line="253" w:lineRule="auto"/>
        <w:tabs>
          <w:tab w:leader="none" w:pos="2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has promptly amended or will promptly amend or supplement such Issuer Free Writing Prospectus to eliminate or correct such conflict, untrue statement or omission. The first sentence of this paragraph does not apply to statements in or omissions from any Issuer Free Writing Prospectus made in reliance upon and in conformity with written information furnished to the Company by any Underwriter through the Representatives specifically for use therein, it being understood and agreed that the only such information consists of the information described as such in Section 10(b) hereof.</w:t>
      </w:r>
    </w:p>
    <w:p>
      <w:pPr>
        <w:spacing w:after="0" w:line="83" w:lineRule="exact"/>
        <w:rPr>
          <w:rFonts w:ascii="Arial" w:cs="Arial" w:eastAsia="Arial" w:hAnsi="Arial"/>
          <w:sz w:val="18"/>
          <w:szCs w:val="18"/>
          <w:color w:val="auto"/>
        </w:rPr>
      </w:pPr>
    </w:p>
    <w:p>
      <w:pPr>
        <w:ind w:right="40" w:firstLine="443"/>
        <w:spacing w:after="0" w:line="342" w:lineRule="auto"/>
        <w:tabs>
          <w:tab w:leader="none" w:pos="663" w:val="left"/>
        </w:tabs>
        <w:numPr>
          <w:ilvl w:val="1"/>
          <w:numId w:val="160"/>
        </w:numPr>
        <w:rPr>
          <w:rFonts w:ascii="Arial" w:cs="Arial" w:eastAsia="Arial" w:hAnsi="Arial"/>
          <w:sz w:val="16"/>
          <w:szCs w:val="16"/>
          <w:color w:val="auto"/>
        </w:rPr>
      </w:pPr>
      <w:r>
        <w:rPr>
          <w:rFonts w:ascii="Arial" w:cs="Arial" w:eastAsia="Arial" w:hAnsi="Arial"/>
          <w:sz w:val="16"/>
          <w:szCs w:val="16"/>
          <w:i w:val="1"/>
          <w:iCs w:val="1"/>
          <w:color w:val="auto"/>
        </w:rPr>
        <w:t>Good Standing of the Company</w:t>
      </w:r>
      <w:r>
        <w:rPr>
          <w:rFonts w:ascii="Arial" w:cs="Arial" w:eastAsia="Arial" w:hAnsi="Arial"/>
          <w:sz w:val="16"/>
          <w:szCs w:val="16"/>
          <w:color w:val="auto"/>
        </w:rPr>
        <w:t>. The Company has been duly incorporated and is existing and in good standing under the laws of Switzerland,</w:t>
      </w:r>
      <w:r>
        <w:rPr>
          <w:rFonts w:ascii="Arial" w:cs="Arial" w:eastAsia="Arial" w:hAnsi="Arial"/>
          <w:sz w:val="16"/>
          <w:szCs w:val="16"/>
          <w:i w:val="1"/>
          <w:iCs w:val="1"/>
          <w:color w:val="auto"/>
        </w:rPr>
        <w:t xml:space="preserve"> </w:t>
      </w:r>
      <w:r>
        <w:rPr>
          <w:rFonts w:ascii="Arial" w:cs="Arial" w:eastAsia="Arial" w:hAnsi="Arial"/>
          <w:sz w:val="16"/>
          <w:szCs w:val="16"/>
          <w:color w:val="auto"/>
        </w:rPr>
        <w:t>with power and authority (corporate and other) to own its properties and conduct its business as described in the General Disclosure Package.</w:t>
      </w:r>
    </w:p>
    <w:p>
      <w:pPr>
        <w:spacing w:after="0" w:line="15" w:lineRule="exact"/>
        <w:rPr>
          <w:rFonts w:ascii="Arial" w:cs="Arial" w:eastAsia="Arial" w:hAnsi="Arial"/>
          <w:sz w:val="16"/>
          <w:szCs w:val="16"/>
          <w:color w:val="auto"/>
        </w:rPr>
      </w:pPr>
    </w:p>
    <w:p>
      <w:pPr>
        <w:ind w:firstLine="443"/>
        <w:spacing w:after="0" w:line="255" w:lineRule="auto"/>
        <w:tabs>
          <w:tab w:leader="none" w:pos="693" w:val="left"/>
        </w:tabs>
        <w:numPr>
          <w:ilvl w:val="1"/>
          <w:numId w:val="160"/>
        </w:numPr>
        <w:rPr>
          <w:rFonts w:ascii="Arial" w:cs="Arial" w:eastAsia="Arial" w:hAnsi="Arial"/>
          <w:sz w:val="18"/>
          <w:szCs w:val="18"/>
          <w:color w:val="auto"/>
        </w:rPr>
      </w:pPr>
      <w:r>
        <w:rPr>
          <w:rFonts w:ascii="Arial" w:cs="Arial" w:eastAsia="Arial" w:hAnsi="Arial"/>
          <w:sz w:val="18"/>
          <w:szCs w:val="18"/>
          <w:i w:val="1"/>
          <w:iCs w:val="1"/>
          <w:color w:val="auto"/>
        </w:rPr>
        <w:t>Offered Securities</w:t>
      </w:r>
      <w:r>
        <w:rPr>
          <w:rFonts w:ascii="Arial" w:cs="Arial" w:eastAsia="Arial" w:hAnsi="Arial"/>
          <w:sz w:val="18"/>
          <w:szCs w:val="18"/>
          <w:color w:val="auto"/>
        </w:rPr>
        <w:t>. The Offered Securities and all other outstanding shares of capital stock of the Company will, on the Closing Date, be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the authorized equity capitalization of the Company will, on the Closing Date, be as set forth in the General Disclosure Package; all outstanding shares of capital stock of the Company, when the Offered Securities have been delivered and paid for in accordance with this Agreement on each Closing Date, will be validly issued, fully paid and nonassessable, and will conform in all material respects to the information in the General Disclosure Package and to the description of such Offered Securities contained in the Final Prospectus; the shareholders of the Company have no preemptive rights with respect to the Securities; and none of the outstanding shares of capital stock of the Company have been issued in violation of any preemptive or similar rights of any security holder.</w:t>
      </w:r>
    </w:p>
    <w:p>
      <w:pPr>
        <w:spacing w:after="0" w:line="81" w:lineRule="exact"/>
        <w:rPr>
          <w:rFonts w:ascii="Arial" w:cs="Arial" w:eastAsia="Arial" w:hAnsi="Arial"/>
          <w:sz w:val="18"/>
          <w:szCs w:val="18"/>
          <w:color w:val="auto"/>
        </w:rPr>
      </w:pPr>
    </w:p>
    <w:p>
      <w:pPr>
        <w:ind w:right="320" w:firstLine="443"/>
        <w:spacing w:after="0" w:line="264" w:lineRule="auto"/>
        <w:tabs>
          <w:tab w:leader="none" w:pos="693" w:val="left"/>
        </w:tabs>
        <w:numPr>
          <w:ilvl w:val="1"/>
          <w:numId w:val="160"/>
        </w:numPr>
        <w:rPr>
          <w:rFonts w:ascii="Arial" w:cs="Arial" w:eastAsia="Arial" w:hAnsi="Arial"/>
          <w:sz w:val="18"/>
          <w:szCs w:val="18"/>
          <w:color w:val="auto"/>
        </w:rPr>
      </w:pPr>
      <w:r>
        <w:rPr>
          <w:rFonts w:ascii="Arial" w:cs="Arial" w:eastAsia="Arial" w:hAnsi="Arial"/>
          <w:sz w:val="18"/>
          <w:szCs w:val="18"/>
          <w:i w:val="1"/>
          <w:iCs w:val="1"/>
          <w:color w:val="auto"/>
        </w:rPr>
        <w:t>No Finder’s Fee</w:t>
      </w:r>
      <w:r>
        <w:rPr>
          <w:rFonts w:ascii="Arial" w:cs="Arial" w:eastAsia="Arial" w:hAnsi="Arial"/>
          <w:sz w:val="18"/>
          <w:szCs w:val="18"/>
          <w:color w:val="auto"/>
        </w:rPr>
        <w:t>. Except as disclosed in the General Disclosure Package and the Final Prospectus, there are no contracts, agreements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between the Company and any person that would give rise to a valid claim against the Company or any Underwriter for a brokerage commission, finder’s fee or other like payment in connection with this offering.</w:t>
      </w:r>
    </w:p>
    <w:p>
      <w:pPr>
        <w:spacing w:after="0" w:line="73" w:lineRule="exact"/>
        <w:rPr>
          <w:rFonts w:ascii="Arial" w:cs="Arial" w:eastAsia="Arial" w:hAnsi="Arial"/>
          <w:sz w:val="18"/>
          <w:szCs w:val="18"/>
          <w:color w:val="auto"/>
        </w:rPr>
      </w:pPr>
    </w:p>
    <w:p>
      <w:pPr>
        <w:ind w:right="220" w:firstLine="443"/>
        <w:spacing w:after="0" w:line="259" w:lineRule="auto"/>
        <w:tabs>
          <w:tab w:leader="none" w:pos="653" w:val="left"/>
        </w:tabs>
        <w:numPr>
          <w:ilvl w:val="1"/>
          <w:numId w:val="160"/>
        </w:numPr>
        <w:rPr>
          <w:rFonts w:ascii="Arial" w:cs="Arial" w:eastAsia="Arial" w:hAnsi="Arial"/>
          <w:sz w:val="18"/>
          <w:szCs w:val="18"/>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disclosed in the General Disclosure Package and the Final Prospectus, there are no contracts, agreements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249" w:name="page250"/>
    <w:bookmarkEnd w:id="249"/>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 Registration Statement or in any securities being registered pursuant to any other registration statement filed by the Company under the Act (collectively, “registration rights”), and any person to whom the Company has granted registration rights has agreed not to exercise such rights until after the expiration of the Lock-Up Period referred to in Section 7(k) hereof.</w:t>
      </w:r>
    </w:p>
    <w:p>
      <w:pPr>
        <w:spacing w:after="0" w:line="73" w:lineRule="exact"/>
        <w:rPr>
          <w:sz w:val="20"/>
          <w:szCs w:val="20"/>
          <w:color w:val="auto"/>
        </w:rPr>
      </w:pPr>
    </w:p>
    <w:p>
      <w:pPr>
        <w:ind w:left="660" w:hanging="217"/>
        <w:spacing w:after="0"/>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Listing</w:t>
      </w:r>
      <w:r>
        <w:rPr>
          <w:rFonts w:ascii="Arial" w:cs="Arial" w:eastAsia="Arial" w:hAnsi="Arial"/>
          <w:sz w:val="17"/>
          <w:szCs w:val="17"/>
          <w:color w:val="auto"/>
        </w:rPr>
        <w:t>. The Offered Securities have been approved for listing on the NASDAQ Global [Select] Market, subject to notice of issuance.</w:t>
      </w:r>
    </w:p>
    <w:p>
      <w:pPr>
        <w:spacing w:after="0" w:line="128" w:lineRule="exact"/>
        <w:rPr>
          <w:rFonts w:ascii="Arial" w:cs="Arial" w:eastAsia="Arial" w:hAnsi="Arial"/>
          <w:sz w:val="17"/>
          <w:szCs w:val="17"/>
          <w:color w:val="auto"/>
        </w:rPr>
      </w:pPr>
    </w:p>
    <w:p>
      <w:pPr>
        <w:ind w:firstLine="443"/>
        <w:spacing w:after="0" w:line="276" w:lineRule="auto"/>
        <w:tabs>
          <w:tab w:leader="none" w:pos="693"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Absence of Further Requirements</w:t>
      </w:r>
      <w:r>
        <w:rPr>
          <w:rFonts w:ascii="Arial" w:cs="Arial" w:eastAsia="Arial" w:hAnsi="Arial"/>
          <w:sz w:val="17"/>
          <w:szCs w:val="17"/>
          <w:color w:val="auto"/>
        </w:rPr>
        <w:t>. No consent, approval, authorization, or order of, or filing or registration with, any person (including any</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agency or body or any court) is required for the consummation of the transactions contemplated by this Agreement in connection with the offering, issuance and sale of the Offered Securities by the Company, except such as have been obtained or made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320" w:firstLine="443"/>
        <w:spacing w:after="0" w:line="276" w:lineRule="auto"/>
        <w:tabs>
          <w:tab w:leader="none" w:pos="653"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The Company does not own any real property. Except as disclosed in the General Disclosure Package and the Final</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the Company has good and marketable title to all other material properties and assets owned by it, in each case free from liens, charges, encumbrances and defects that would reasonably be expected to have a Material Adverse Effect and, except as disclosed in the General Disclosure Package and the Final Prospectus, the Company holds any leased real or personal property under valid and enforceable leases with no terms or provisions that would reasonably be expected to have a Material Adverse Effect.</w:t>
      </w:r>
    </w:p>
    <w:p>
      <w:pPr>
        <w:spacing w:after="0" w:line="64" w:lineRule="exact"/>
        <w:rPr>
          <w:rFonts w:ascii="Arial" w:cs="Arial" w:eastAsia="Arial" w:hAnsi="Arial"/>
          <w:sz w:val="17"/>
          <w:szCs w:val="17"/>
          <w:color w:val="auto"/>
        </w:rPr>
      </w:pPr>
    </w:p>
    <w:p>
      <w:pPr>
        <w:ind w:right="80" w:firstLine="443"/>
        <w:spacing w:after="0" w:line="288" w:lineRule="auto"/>
        <w:tabs>
          <w:tab w:leader="none" w:pos="743"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Transaction</w:t>
      </w:r>
      <w:r>
        <w:rPr>
          <w:rFonts w:ascii="Arial" w:cs="Arial" w:eastAsia="Arial" w:hAnsi="Arial"/>
          <w:sz w:val="16"/>
          <w:szCs w:val="16"/>
          <w:color w:val="auto"/>
        </w:rPr>
        <w:t>. The execution, delivery and performance of this Agreement, and the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 of the Offered Securities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or other similar organizational documents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61" w:lineRule="exact"/>
        <w:rPr>
          <w:rFonts w:ascii="Arial" w:cs="Arial" w:eastAsia="Arial" w:hAnsi="Arial"/>
          <w:sz w:val="16"/>
          <w:szCs w:val="16"/>
          <w:color w:val="auto"/>
        </w:rPr>
      </w:pPr>
    </w:p>
    <w:p>
      <w:pPr>
        <w:ind w:right="80" w:firstLine="443"/>
        <w:spacing w:after="0" w:line="257" w:lineRule="auto"/>
        <w:tabs>
          <w:tab w:leader="none" w:pos="693"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Absence of Existing Defaults and Conflicts</w:t>
      </w:r>
      <w:r>
        <w:rPr>
          <w:rFonts w:ascii="Arial" w:cs="Arial" w:eastAsia="Arial" w:hAnsi="Arial"/>
          <w:sz w:val="18"/>
          <w:szCs w:val="18"/>
          <w:color w:val="auto"/>
        </w:rPr>
        <w:t>. The Company is not in violation of its articles of association or similar organizational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in default (or with the giving of notice or lapse of time would be in default) under any existing obligation, agreement, covenant or 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spacing w:after="0" w:line="80" w:lineRule="exact"/>
        <w:rPr>
          <w:rFonts w:ascii="Arial" w:cs="Arial" w:eastAsia="Arial" w:hAnsi="Arial"/>
          <w:sz w:val="18"/>
          <w:szCs w:val="18"/>
          <w:color w:val="auto"/>
        </w:rPr>
      </w:pPr>
    </w:p>
    <w:p>
      <w:pPr>
        <w:ind w:right="180" w:firstLine="443"/>
        <w:spacing w:after="0" w:line="277" w:lineRule="auto"/>
        <w:tabs>
          <w:tab w:leader="none" w:pos="693"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 and no other authorizations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to execute and deliver this Agreement on behalf of the Company.</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250" w:name="page251"/>
    <w:bookmarkEnd w:id="250"/>
    <w:p>
      <w:pPr>
        <w:jc w:val="both"/>
        <w:ind w:right="40" w:firstLine="443"/>
        <w:spacing w:after="0" w:line="255" w:lineRule="auto"/>
        <w:tabs>
          <w:tab w:leader="none" w:pos="693" w:val="left"/>
        </w:tabs>
        <w:numPr>
          <w:ilvl w:val="1"/>
          <w:numId w:val="1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Possession of Licenses and Permits</w:t>
      </w:r>
      <w:r>
        <w:rPr>
          <w:rFonts w:ascii="Arial" w:cs="Arial" w:eastAsia="Arial" w:hAnsi="Arial"/>
          <w:sz w:val="18"/>
          <w:szCs w:val="18"/>
          <w:color w:val="auto"/>
        </w:rPr>
        <w:t>. The Company possesses, and is in compliance with the terms of, all adequate certificates, authorizations,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franchises, licenses and permits, including, without limitation, from the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and equivalent foreign regulatory authorities (“</w:t>
      </w:r>
      <w:r>
        <w:rPr>
          <w:rFonts w:ascii="Arial" w:cs="Arial" w:eastAsia="Arial" w:hAnsi="Arial"/>
          <w:sz w:val="18"/>
          <w:szCs w:val="18"/>
          <w:b w:val="1"/>
          <w:bCs w:val="1"/>
          <w:color w:val="auto"/>
        </w:rPr>
        <w:t>Licenses</w:t>
      </w:r>
      <w:r>
        <w:rPr>
          <w:rFonts w:ascii="Arial" w:cs="Arial" w:eastAsia="Arial" w:hAnsi="Arial"/>
          <w:sz w:val="18"/>
          <w:szCs w:val="18"/>
          <w:color w:val="auto"/>
        </w:rPr>
        <w:t>”) necessary or material to the conduct of the business now conducted or proposed in the General Disclosure Package and Final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spacing w:after="0" w:line="85" w:lineRule="exact"/>
        <w:rPr>
          <w:rFonts w:ascii="Arial" w:cs="Arial" w:eastAsia="Arial" w:hAnsi="Arial"/>
          <w:sz w:val="18"/>
          <w:szCs w:val="18"/>
          <w:color w:val="auto"/>
        </w:rPr>
      </w:pPr>
    </w:p>
    <w:p>
      <w:pPr>
        <w:ind w:right="20" w:firstLine="443"/>
        <w:spacing w:after="0" w:line="277" w:lineRule="auto"/>
        <w:tabs>
          <w:tab w:leader="none" w:pos="693" w:val="left"/>
        </w:tabs>
        <w:numPr>
          <w:ilvl w:val="1"/>
          <w:numId w:val="162"/>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exists or, to the knowledge of the Company, is imminent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reasonably be expected to have a Material Adverse Effect.</w:t>
      </w:r>
    </w:p>
    <w:p>
      <w:pPr>
        <w:spacing w:after="0" w:line="62" w:lineRule="exact"/>
        <w:rPr>
          <w:rFonts w:ascii="Arial" w:cs="Arial" w:eastAsia="Arial" w:hAnsi="Arial"/>
          <w:sz w:val="18"/>
          <w:szCs w:val="18"/>
          <w:color w:val="auto"/>
        </w:rPr>
      </w:pPr>
    </w:p>
    <w:p>
      <w:pPr>
        <w:ind w:right="40" w:firstLine="443"/>
        <w:spacing w:after="0" w:line="268" w:lineRule="auto"/>
        <w:tabs>
          <w:tab w:leader="none" w:pos="663" w:val="left"/>
        </w:tabs>
        <w:numPr>
          <w:ilvl w:val="1"/>
          <w:numId w:val="162"/>
        </w:numPr>
        <w:rPr>
          <w:rFonts w:ascii="Arial" w:cs="Arial" w:eastAsia="Arial" w:hAnsi="Arial"/>
          <w:sz w:val="17"/>
          <w:szCs w:val="17"/>
          <w:color w:val="auto"/>
        </w:rPr>
      </w:pPr>
      <w:r>
        <w:rPr>
          <w:rFonts w:ascii="Arial" w:cs="Arial" w:eastAsia="Arial" w:hAnsi="Arial"/>
          <w:sz w:val="17"/>
          <w:szCs w:val="17"/>
          <w:i w:val="1"/>
          <w:iCs w:val="1"/>
          <w:color w:val="auto"/>
        </w:rPr>
        <w:t>Clinical Trials</w:t>
      </w:r>
      <w:r>
        <w:rPr>
          <w:rFonts w:ascii="Arial" w:cs="Arial" w:eastAsia="Arial" w:hAnsi="Arial"/>
          <w:sz w:val="17"/>
          <w:szCs w:val="17"/>
          <w:color w:val="auto"/>
        </w:rPr>
        <w:t>. The preclinical and clinical studies conducted by the Company, and to the knowledge of the Company, the preclinical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studies conducted on behalf of or sponsored by the Company, that are described in, or the results of which are referred to in, the General Disclosure Package and the Final Prospectus were and, if still pending, are being conducted in all material respects in accordance with protocols, procedures and controls filed with the appropriate regulatory authorities for each such test or study, as the case may be, and with standard medical and scientific research procedures, except in each case where failure to so conduct would not reasonably be expected to have a Material Adverse Effect; each description of the results of such studies contained in the General Disclosure Package and the Final Prospectus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General Disclosure Package and the Final Prospectus; the Company has not received any notices or other correspondence from the FDA or any committee thereof or from any other U.S. or foreign government or regulatory authority (collectively, the “</w:t>
      </w:r>
      <w:r>
        <w:rPr>
          <w:rFonts w:ascii="Arial" w:cs="Arial" w:eastAsia="Arial" w:hAnsi="Arial"/>
          <w:sz w:val="17"/>
          <w:szCs w:val="17"/>
          <w:b w:val="1"/>
          <w:bCs w:val="1"/>
          <w:color w:val="auto"/>
        </w:rPr>
        <w:t>Regulatory Authorities</w:t>
      </w:r>
      <w:r>
        <w:rPr>
          <w:rFonts w:ascii="Arial" w:cs="Arial" w:eastAsia="Arial" w:hAnsi="Arial"/>
          <w:sz w:val="17"/>
          <w:szCs w:val="17"/>
          <w:color w:val="auto"/>
        </w:rPr>
        <w:t>”) requiring the termination, suspension or material modification of any preclinical or clinical studies that are described or referred to in the General Disclosure Package and the Final Prospectus, other than ordinary course communications with respect to modifications in connection with the design and implementation of such studies; and the Company has operated and currently is in compliance in all respects with all applicable rules, regulations and policies of the Regulatory Authorities except as would not reasonably be expected to have a Material Adverse Effect.</w:t>
      </w:r>
    </w:p>
    <w:p>
      <w:pPr>
        <w:spacing w:after="0" w:line="77" w:lineRule="exact"/>
        <w:rPr>
          <w:rFonts w:ascii="Arial" w:cs="Arial" w:eastAsia="Arial" w:hAnsi="Arial"/>
          <w:sz w:val="17"/>
          <w:szCs w:val="17"/>
          <w:color w:val="auto"/>
        </w:rPr>
      </w:pPr>
    </w:p>
    <w:p>
      <w:pPr>
        <w:ind w:firstLine="443"/>
        <w:spacing w:after="0" w:line="283" w:lineRule="auto"/>
        <w:tabs>
          <w:tab w:leader="none" w:pos="673"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The Company owns, possesses or can acquire on reasonable terms all trademarks, trade names,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rights, copyrights, domain names, licenses, trade secrets, inventions, technology, know-how and other intellectual property and similar proprietary rights, including registrations and applications for registration thereof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described in the General Disclosure Package and, to the knowledge of the Company and except as disclosed in the General Disclosure Package and the Final Prospectus, owns all necessary or material to the conduct of the business now conducted or proposed in the General Disclosure Package to be conducted by it. Except as disclosed in the General Disclosure Package and the Final Prospectus,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 (ii) 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w:t>
      </w:r>
    </w:p>
    <w:p>
      <w:pPr>
        <w:spacing w:after="0" w:line="5" w:lineRule="exact"/>
        <w:rPr>
          <w:rFonts w:ascii="Arial" w:cs="Arial" w:eastAsia="Arial" w:hAnsi="Arial"/>
          <w:sz w:val="16"/>
          <w:szCs w:val="16"/>
          <w:color w:val="auto"/>
        </w:rPr>
      </w:pPr>
    </w:p>
    <w:p>
      <w:pPr>
        <w:ind w:right="180" w:firstLine="4"/>
        <w:spacing w:after="0" w:line="281" w:lineRule="auto"/>
        <w:tabs>
          <w:tab w:leader="none" w:pos="31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 except in the case of clauses (i)–</w:t>
      </w:r>
    </w:p>
    <w:p>
      <w:pPr>
        <w:spacing w:after="0" w:line="3" w:lineRule="exact"/>
        <w:rPr>
          <w:rFonts w:ascii="Arial" w:cs="Arial" w:eastAsia="Arial" w:hAnsi="Arial"/>
          <w:sz w:val="16"/>
          <w:szCs w:val="16"/>
          <w:color w:val="auto"/>
        </w:rPr>
      </w:pPr>
    </w:p>
    <w:p>
      <w:pPr>
        <w:ind w:left="300" w:hanging="296"/>
        <w:spacing w:after="0"/>
        <w:tabs>
          <w:tab w:leader="none" w:pos="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as would not, individually or in the aggregate, reasonably be expected to have a Material Adverse Effect.</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251" w:name="page252"/>
    <w:bookmarkEnd w:id="251"/>
    <w:p>
      <w:pPr>
        <w:ind w:right="20" w:firstLine="443"/>
        <w:spacing w:after="0" w:line="272" w:lineRule="auto"/>
        <w:tabs>
          <w:tab w:leader="none" w:pos="653"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Environmental Laws</w:t>
      </w:r>
      <w:r>
        <w:rPr>
          <w:rFonts w:ascii="Arial" w:cs="Arial" w:eastAsia="Arial" w:hAnsi="Arial"/>
          <w:sz w:val="17"/>
          <w:szCs w:val="17"/>
          <w:color w:val="auto"/>
        </w:rPr>
        <w:t>. Except as disclosed in the General Disclosure Package and the Final Prospectus, the Company is not in violation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69" w:lineRule="exact"/>
        <w:rPr>
          <w:rFonts w:ascii="Arial" w:cs="Arial" w:eastAsia="Arial" w:hAnsi="Arial"/>
          <w:sz w:val="17"/>
          <w:szCs w:val="17"/>
          <w:color w:val="auto"/>
        </w:rPr>
      </w:pPr>
    </w:p>
    <w:p>
      <w:pPr>
        <w:ind w:right="20" w:firstLine="443"/>
        <w:spacing w:after="0" w:line="279" w:lineRule="auto"/>
        <w:tabs>
          <w:tab w:leader="none" w:pos="693"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Accurate Disclosure</w:t>
      </w:r>
      <w:r>
        <w:rPr>
          <w:rFonts w:ascii="Arial" w:cs="Arial" w:eastAsia="Arial" w:hAnsi="Arial"/>
          <w:sz w:val="17"/>
          <w:szCs w:val="17"/>
          <w:color w:val="auto"/>
        </w:rPr>
        <w:t>. The statements in the General Disclosure Package and the Final Prospectus under the headings “Business—Government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and Our Regulatory Department”, “Taxation” and “Description of Share Capital and Articles of Association” insofar as such statements summarize legal matters, agreements, documents or proceedings discussed therein, are accurate and fair summaries of such legal matters, agreements, documents or proceedings and present the information required to be shown in all material respects.</w:t>
      </w:r>
    </w:p>
    <w:p>
      <w:pPr>
        <w:spacing w:after="0" w:line="63" w:lineRule="exact"/>
        <w:rPr>
          <w:rFonts w:ascii="Arial" w:cs="Arial" w:eastAsia="Arial" w:hAnsi="Arial"/>
          <w:sz w:val="17"/>
          <w:szCs w:val="17"/>
          <w:color w:val="auto"/>
        </w:rPr>
      </w:pPr>
    </w:p>
    <w:p>
      <w:pPr>
        <w:ind w:right="100" w:firstLine="443"/>
        <w:spacing w:after="0" w:line="264" w:lineRule="auto"/>
        <w:tabs>
          <w:tab w:leader="none" w:pos="693"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has not taken, directly or indirectly, any action that is designed to or that has constituted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reasonably be expected to cause or result in the stabilization or manipulation of the price of any security of the Company to facilitate the sale or resale of the Offered Securities.</w:t>
      </w:r>
    </w:p>
    <w:p>
      <w:pPr>
        <w:spacing w:after="0" w:line="73" w:lineRule="exact"/>
        <w:rPr>
          <w:rFonts w:ascii="Arial" w:cs="Arial" w:eastAsia="Arial" w:hAnsi="Arial"/>
          <w:sz w:val="18"/>
          <w:szCs w:val="18"/>
          <w:color w:val="auto"/>
        </w:rPr>
      </w:pPr>
    </w:p>
    <w:p>
      <w:pPr>
        <w:ind w:right="140" w:firstLine="443"/>
        <w:spacing w:after="0" w:line="264" w:lineRule="auto"/>
        <w:tabs>
          <w:tab w:leader="none" w:pos="733"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Statistical and Market-Related Data</w:t>
      </w:r>
      <w:r>
        <w:rPr>
          <w:rFonts w:ascii="Arial" w:cs="Arial" w:eastAsia="Arial" w:hAnsi="Arial"/>
          <w:sz w:val="18"/>
          <w:szCs w:val="18"/>
          <w:color w:val="auto"/>
        </w:rPr>
        <w:t>. Any third-party statistical and market-related data included in a Registration Statement, a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 General Disclosure Package or any Written Testing-the-Waters Communication is based on or derived from sources that the Company believes to be reliable and accurate.</w:t>
      </w:r>
    </w:p>
    <w:p>
      <w:pPr>
        <w:spacing w:after="0" w:line="73" w:lineRule="exact"/>
        <w:rPr>
          <w:rFonts w:ascii="Arial" w:cs="Arial" w:eastAsia="Arial" w:hAnsi="Arial"/>
          <w:sz w:val="18"/>
          <w:szCs w:val="18"/>
          <w:color w:val="auto"/>
        </w:rPr>
      </w:pPr>
    </w:p>
    <w:p>
      <w:pPr>
        <w:ind w:firstLine="443"/>
        <w:spacing w:after="0" w:line="268" w:lineRule="auto"/>
        <w:tabs>
          <w:tab w:leader="none" w:pos="693"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Internal Controls and Compliance with Sarbanes-Oxley</w:t>
      </w:r>
      <w:r>
        <w:rPr>
          <w:rFonts w:ascii="Arial" w:cs="Arial" w:eastAsia="Arial" w:hAnsi="Arial"/>
          <w:sz w:val="17"/>
          <w:szCs w:val="17"/>
          <w:color w:val="auto"/>
        </w:rPr>
        <w:t>. Except as set forth in the General Disclosure Package and the Final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are in compliance with the applicable provisions of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7"/>
          <w:szCs w:val="17"/>
          <w:b w:val="1"/>
          <w:bCs w:val="1"/>
          <w:color w:val="auto"/>
        </w:rPr>
        <w:t>Internal Controls</w:t>
      </w:r>
      <w:r>
        <w:rPr>
          <w:rFonts w:ascii="Arial" w:cs="Arial" w:eastAsia="Arial" w:hAnsi="Arial"/>
          <w:sz w:val="17"/>
          <w:szCs w:val="17"/>
          <w:color w:val="auto"/>
        </w:rPr>
        <w:t>”) that are designed to provide reasonable assurances that (i) transactions are executed in accordance with management’s general or specific authorization, (ii) transactions are recorded as necessary to permit preparation of financial statements in conformity with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as issued by the International Accounting Standards Board (the “</w:t>
      </w:r>
      <w:r>
        <w:rPr>
          <w:rFonts w:ascii="Arial" w:cs="Arial" w:eastAsia="Arial" w:hAnsi="Arial"/>
          <w:sz w:val="17"/>
          <w:szCs w:val="17"/>
          <w:b w:val="1"/>
          <w:bCs w:val="1"/>
          <w:color w:val="auto"/>
        </w:rPr>
        <w:t>IASB</w:t>
      </w:r>
      <w:r>
        <w:rPr>
          <w:rFonts w:ascii="Arial" w:cs="Arial" w:eastAsia="Arial" w:hAnsi="Arial"/>
          <w:sz w:val="17"/>
          <w:szCs w:val="17"/>
          <w:color w:val="auto"/>
        </w:rPr>
        <w:t>”)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Internal Controls are, or upon consummation of the offering of the Offered Securities will be, overseen by the Audit &amp; Finance Committee (the “</w:t>
      </w:r>
      <w:r>
        <w:rPr>
          <w:rFonts w:ascii="Arial" w:cs="Arial" w:eastAsia="Arial" w:hAnsi="Arial"/>
          <w:sz w:val="17"/>
          <w:szCs w:val="17"/>
          <w:b w:val="1"/>
          <w:bCs w:val="1"/>
          <w:color w:val="auto"/>
        </w:rPr>
        <w:t>Audit &amp; Finance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Committee </w:t>
      </w:r>
      <w:r>
        <w:rPr>
          <w:rFonts w:ascii="Arial" w:cs="Arial" w:eastAsia="Arial" w:hAnsi="Arial"/>
          <w:sz w:val="17"/>
          <w:szCs w:val="17"/>
          <w:color w:val="auto"/>
        </w:rPr>
        <w:t>“) of the Board in accordance with Exchange Rules. Except as disclosed in the General Disclosure Package and the Final Prospectus,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(each, an “</w:t>
      </w:r>
      <w:r>
        <w:rPr>
          <w:rFonts w:ascii="Arial" w:cs="Arial" w:eastAsia="Arial" w:hAnsi="Arial"/>
          <w:sz w:val="17"/>
          <w:szCs w:val="17"/>
          <w:b w:val="1"/>
          <w:bCs w:val="1"/>
          <w:color w:val="auto"/>
        </w:rPr>
        <w:t>Internal</w:t>
      </w:r>
      <w:r>
        <w:rPr>
          <w:rFonts w:ascii="Arial" w:cs="Arial" w:eastAsia="Arial" w:hAnsi="Arial"/>
          <w:sz w:val="17"/>
          <w:szCs w:val="17"/>
          <w:color w:val="auto"/>
        </w:rPr>
        <w:t xml:space="preserve"> </w:t>
      </w:r>
      <w:r>
        <w:rPr>
          <w:rFonts w:ascii="Arial" w:cs="Arial" w:eastAsia="Arial" w:hAnsi="Arial"/>
          <w:sz w:val="17"/>
          <w:szCs w:val="17"/>
          <w:b w:val="1"/>
          <w:bCs w:val="1"/>
          <w:color w:val="auto"/>
        </w:rPr>
        <w:t>Control Event</w:t>
      </w:r>
      <w:r>
        <w:rPr>
          <w:rFonts w:ascii="Arial" w:cs="Arial" w:eastAsia="Arial" w:hAnsi="Arial"/>
          <w:sz w:val="17"/>
          <w:szCs w:val="17"/>
          <w:color w:val="auto"/>
        </w:rPr>
        <w:t>”), any violation of, or failure to comply with, the Securities Laws, or any matter which, if determined adversely, would have a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252" w:name="page253"/>
    <w:bookmarkEnd w:id="252"/>
    <w:p>
      <w:pPr>
        <w:ind w:right="40" w:firstLine="443"/>
        <w:spacing w:after="0" w:line="255" w:lineRule="auto"/>
        <w:tabs>
          <w:tab w:leader="none" w:pos="693"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w:t>
      </w:r>
      <w:r>
        <w:rPr>
          <w:rFonts w:ascii="Arial" w:cs="Arial" w:eastAsia="Arial" w:hAnsi="Arial"/>
          <w:sz w:val="18"/>
          <w:szCs w:val="18"/>
          <w:color w:val="auto"/>
        </w:rPr>
        <w:t>. Except as disclosed in the General Disclosure Package and the Final Prospectus, there are no pending actions, suits or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Offered Securities; and no such actions, suits or proceedings (including any inquiries or investigations by any court or governmental agency or body, domestic or foreign) are, to the Company’s knowledge, threatened or contemplated.</w:t>
      </w:r>
    </w:p>
    <w:p>
      <w:pPr>
        <w:spacing w:after="0" w:line="81" w:lineRule="exact"/>
        <w:rPr>
          <w:rFonts w:ascii="Arial" w:cs="Arial" w:eastAsia="Arial" w:hAnsi="Arial"/>
          <w:sz w:val="18"/>
          <w:szCs w:val="18"/>
          <w:color w:val="auto"/>
        </w:rPr>
      </w:pPr>
    </w:p>
    <w:p>
      <w:pPr>
        <w:ind w:firstLine="443"/>
        <w:spacing w:after="0" w:line="271" w:lineRule="auto"/>
        <w:tabs>
          <w:tab w:leader="none" w:pos="683"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Ernst &amp; Young AG, which has expressed its opinion with respect to the financial statements (which term as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includes the related notes thereto) filed with the Commission as a part of the Registration Statement, the Time of Sale Prospectus and the Prospectus, is (i) an independent registered public accounting firm as required by the Securities Act, Exchange Act, the Rules and Regulations,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Swiss Code of Obligations (the “</w:t>
      </w:r>
      <w:r>
        <w:rPr>
          <w:rFonts w:ascii="Arial" w:cs="Arial" w:eastAsia="Arial" w:hAnsi="Arial"/>
          <w:sz w:val="17"/>
          <w:szCs w:val="17"/>
          <w:b w:val="1"/>
          <w:bCs w:val="1"/>
          <w:color w:val="auto"/>
        </w:rPr>
        <w:t>CO</w:t>
      </w:r>
      <w:r>
        <w:rPr>
          <w:rFonts w:ascii="Arial" w:cs="Arial" w:eastAsia="Arial" w:hAnsi="Arial"/>
          <w:sz w:val="17"/>
          <w:szCs w:val="17"/>
          <w:color w:val="auto"/>
        </w:rPr>
        <w:t>”), the Swiss Audit Supervision Act (Revisionsaufsichtsgesetz) and any ordinances promulgated thereunder.</w:t>
      </w:r>
    </w:p>
    <w:p>
      <w:pPr>
        <w:spacing w:after="0" w:line="71" w:lineRule="exact"/>
        <w:rPr>
          <w:sz w:val="20"/>
          <w:szCs w:val="20"/>
          <w:color w:val="auto"/>
        </w:rPr>
      </w:pPr>
    </w:p>
    <w:p>
      <w:pPr>
        <w:jc w:val="both"/>
        <w:ind w:right="60" w:firstLine="443"/>
        <w:spacing w:after="0" w:line="302" w:lineRule="auto"/>
        <w:tabs>
          <w:tab w:leader="none" w:pos="763"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included in each Registration Statement and the General Disclosure Package present fairly in</w:t>
      </w:r>
      <w:r>
        <w:rPr>
          <w:rFonts w:ascii="Arial" w:cs="Arial" w:eastAsia="Arial" w:hAnsi="Arial"/>
          <w:sz w:val="16"/>
          <w:szCs w:val="16"/>
          <w:i w:val="1"/>
          <w:iCs w:val="1"/>
          <w:color w:val="auto"/>
        </w:rPr>
        <w:t xml:space="preserve"> </w:t>
      </w:r>
      <w:r>
        <w:rPr>
          <w:rFonts w:ascii="Arial" w:cs="Arial" w:eastAsia="Arial" w:hAnsi="Arial"/>
          <w:sz w:val="16"/>
          <w:szCs w:val="16"/>
          <w:color w:val="auto"/>
        </w:rPr>
        <w:t>all material respects the financial position of the Company as of the dates shown and its results of operations and cash flows for the periods shown, and such financial statements have been prepared in conformity with IFRS as issued by the IASB applied on a consistent basis and the schedules included in each Registration Statement (if any) present fairly in all material respects the information required to be stated therein.</w:t>
      </w:r>
    </w:p>
    <w:p>
      <w:pPr>
        <w:spacing w:after="0" w:line="46" w:lineRule="exact"/>
        <w:rPr>
          <w:rFonts w:ascii="Arial" w:cs="Arial" w:eastAsia="Arial" w:hAnsi="Arial"/>
          <w:sz w:val="16"/>
          <w:szCs w:val="16"/>
          <w:color w:val="auto"/>
        </w:rPr>
      </w:pPr>
    </w:p>
    <w:p>
      <w:pPr>
        <w:ind w:right="140" w:firstLine="443"/>
        <w:spacing w:after="0" w:line="264" w:lineRule="auto"/>
        <w:tabs>
          <w:tab w:leader="none" w:pos="783"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There are no off balance sheet arrangements (as defined in Regulation S-K Item 303(a)(4)(ii))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have a material current or future effect on the Company’s financial condition, changes in financial condition, results of operations, liquidity, capital expenditures or capital resources.</w:t>
      </w:r>
    </w:p>
    <w:p>
      <w:pPr>
        <w:spacing w:after="0" w:line="73" w:lineRule="exact"/>
        <w:rPr>
          <w:rFonts w:ascii="Arial" w:cs="Arial" w:eastAsia="Arial" w:hAnsi="Arial"/>
          <w:sz w:val="18"/>
          <w:szCs w:val="18"/>
          <w:color w:val="auto"/>
        </w:rPr>
      </w:pPr>
    </w:p>
    <w:p>
      <w:pPr>
        <w:ind w:right="40" w:firstLine="443"/>
        <w:spacing w:after="0" w:line="297" w:lineRule="auto"/>
        <w:tabs>
          <w:tab w:leader="none" w:pos="763"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No Material Adverse Change in Business</w:t>
      </w:r>
      <w:r>
        <w:rPr>
          <w:rFonts w:ascii="Arial" w:cs="Arial" w:eastAsia="Arial" w:hAnsi="Arial"/>
          <w:sz w:val="16"/>
          <w:szCs w:val="16"/>
          <w:color w:val="auto"/>
        </w:rPr>
        <w:t>. Except as disclosed in the General Disclosure Package and the Final Prospectus, since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covered by the latest audited financial statements included in the General Disclosure Package, (i) there has been no change in the condition (financial or otherwise), results of operations, business, properties or prospects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w:t>
      </w:r>
    </w:p>
    <w:p>
      <w:pPr>
        <w:spacing w:after="0" w:line="50" w:lineRule="exact"/>
        <w:rPr>
          <w:rFonts w:ascii="Arial" w:cs="Arial" w:eastAsia="Arial" w:hAnsi="Arial"/>
          <w:sz w:val="16"/>
          <w:szCs w:val="16"/>
          <w:color w:val="auto"/>
        </w:rPr>
      </w:pPr>
    </w:p>
    <w:p>
      <w:pPr>
        <w:ind w:right="20" w:firstLine="443"/>
        <w:spacing w:after="0" w:line="264" w:lineRule="auto"/>
        <w:tabs>
          <w:tab w:leader="none" w:pos="783"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after giving effect to the offering and sale of the Offered Securities and the application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proceeds thereof as described in the General Disclosure Package, will not be an “investment company” as defined in the Investment Company Act of 1940, as amended.</w:t>
      </w:r>
    </w:p>
    <w:p>
      <w:pPr>
        <w:spacing w:after="0" w:line="73" w:lineRule="exact"/>
        <w:rPr>
          <w:rFonts w:ascii="Arial" w:cs="Arial" w:eastAsia="Arial" w:hAnsi="Arial"/>
          <w:sz w:val="18"/>
          <w:szCs w:val="18"/>
          <w:color w:val="auto"/>
        </w:rPr>
      </w:pPr>
    </w:p>
    <w:p>
      <w:pPr>
        <w:ind w:right="420" w:firstLine="443"/>
        <w:spacing w:after="0" w:line="308" w:lineRule="auto"/>
        <w:tabs>
          <w:tab w:leader="none" w:pos="763"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Ratings</w:t>
      </w:r>
      <w:r>
        <w:rPr>
          <w:rFonts w:ascii="Arial" w:cs="Arial" w:eastAsia="Arial" w:hAnsi="Arial"/>
          <w:sz w:val="17"/>
          <w:szCs w:val="17"/>
          <w:color w:val="auto"/>
        </w:rPr>
        <w:t>. The Company has no debt securities that are rated by any “nationally recognized statistical rating organization” as such term is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for purposes of Section 3(a)(62) of the Exchange Act.</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53" w:name="page254"/>
    <w:bookmarkEnd w:id="253"/>
    <w:p>
      <w:pPr>
        <w:ind w:right="200" w:firstLine="443"/>
        <w:spacing w:after="0" w:line="289" w:lineRule="auto"/>
        <w:tabs>
          <w:tab w:leader="none" w:pos="720"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PFIC Status</w:t>
      </w:r>
      <w:r>
        <w:rPr>
          <w:rFonts w:ascii="Arial" w:cs="Arial" w:eastAsia="Arial" w:hAnsi="Arial"/>
          <w:sz w:val="17"/>
          <w:szCs w:val="17"/>
          <w:color w:val="auto"/>
        </w:rPr>
        <w:t>. The Company believes it was not a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as defined in Section 1297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Internal Revenue Code of 1986, as amended, for its most recently completed taxable year and, based on the Company’s current projected income, assets and activities, the Company does not expect to be classified as a PFIC in the immediately foreseeable future.</w:t>
      </w:r>
    </w:p>
    <w:p>
      <w:pPr>
        <w:spacing w:after="0" w:line="162" w:lineRule="exact"/>
        <w:rPr>
          <w:rFonts w:ascii="Arial" w:cs="Arial" w:eastAsia="Arial" w:hAnsi="Arial"/>
          <w:sz w:val="17"/>
          <w:szCs w:val="17"/>
          <w:color w:val="auto"/>
        </w:rPr>
      </w:pPr>
    </w:p>
    <w:p>
      <w:pPr>
        <w:ind w:left="780" w:hanging="337"/>
        <w:spacing w:after="0"/>
        <w:tabs>
          <w:tab w:leader="none" w:pos="780"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Foreign Corrupt Practices Act and Money Laundering Laws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68" w:lineRule="auto"/>
        <w:tabs>
          <w:tab w:leader="none" w:pos="1091"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Company (including its directors or officers, and, to the Company’s knowledge, its employees or agents), has not taken or failed to take any action that would cause it to be in violation of the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any rules or regulations thereunder, or any other applicable anti-corruption or anti-kickback law, including without limitation: (A) the making of any offer or promise to pay, payment of, or authorization of payment of, directly or indirectly, money or anything of value to any Official, for the purpose of influencing an official act or decision, inducing the doing or omission of any act in violation of a lawful duty, or securing an improper advantage; (B) use of any corporate funds for any illegal contributions, gifts, entertainment or other unlawful expenses relating to political activity; (C) establishment or maintenance of any unlawful fund of corporate monies or other properties; and (D) making of any bribe, unlawful rebate, payoff, influence payment, kickback or other unlawful payment of any nature. For purposes of this Agreement, (i) an “</w:t>
      </w:r>
      <w:r>
        <w:rPr>
          <w:rFonts w:ascii="Arial" w:cs="Arial" w:eastAsia="Arial" w:hAnsi="Arial"/>
          <w:sz w:val="17"/>
          <w:szCs w:val="17"/>
          <w:b w:val="1"/>
          <w:bCs w:val="1"/>
          <w:color w:val="auto"/>
        </w:rPr>
        <w:t>Official</w:t>
      </w:r>
      <w:r>
        <w:rPr>
          <w:rFonts w:ascii="Arial" w:cs="Arial" w:eastAsia="Arial" w:hAnsi="Arial"/>
          <w:sz w:val="17"/>
          <w:szCs w:val="17"/>
          <w:color w:val="auto"/>
        </w:rPr>
        <w:t>” shall include any appointed or elected official, any government employee, any political party, party official, or candidate for political office, or any officer, director or employee of any Governmental Authority or employees of state-owned or state-controlled businesses and (ii) a “</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include any transnational, national, federal, state, provincial, county, municipal or local government, foreign or domestic, or the government of any political subdivision of any of the foregoing, or any entity, authority, agency, ministry or other similar body exercising executive, legislative, judicial (including any court), regulatory, or administrative authority or functions of or pertaining to government, including any authority or other quasi-governmental entity established to perform any of such functions.</w:t>
      </w:r>
    </w:p>
    <w:p>
      <w:pPr>
        <w:spacing w:after="0" w:line="77" w:lineRule="exact"/>
        <w:rPr>
          <w:rFonts w:ascii="Arial" w:cs="Arial" w:eastAsia="Arial" w:hAnsi="Arial"/>
          <w:sz w:val="17"/>
          <w:szCs w:val="17"/>
          <w:color w:val="auto"/>
        </w:rPr>
      </w:pPr>
    </w:p>
    <w:p>
      <w:pPr>
        <w:ind w:firstLine="881"/>
        <w:spacing w:after="0" w:line="255" w:lineRule="auto"/>
        <w:tabs>
          <w:tab w:leader="none" w:pos="114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Company has in place adequate controls and systems designed to ensure compliance with applicable laws pertaining to anti-corruption, including the FCPA, in each of the jurisdictions in which the Company currently does or in the past has done business, either directly or indirectly. The Company has not undergone or is not undergoing, any audit, review, inspection, investigation, survey or examination by a Governmental Authority relating to the FCPA, anti-corruption, or anti-kickback activity. To the knowledge of the Company, there are no threatened claims, nor presently existing facts or circumstances that would constitute a reasonable basis for any future claims, with respect the FCPA, anti-corruption, or anti-kickback activity by the Company.</w:t>
      </w:r>
    </w:p>
    <w:p>
      <w:pPr>
        <w:spacing w:after="0" w:line="85" w:lineRule="exact"/>
        <w:rPr>
          <w:rFonts w:ascii="Arial" w:cs="Arial" w:eastAsia="Arial" w:hAnsi="Arial"/>
          <w:sz w:val="18"/>
          <w:szCs w:val="18"/>
          <w:color w:val="auto"/>
        </w:rPr>
      </w:pPr>
    </w:p>
    <w:p>
      <w:pPr>
        <w:ind w:right="220" w:firstLine="443"/>
        <w:spacing w:after="0" w:line="257" w:lineRule="auto"/>
        <w:tabs>
          <w:tab w:leader="none" w:pos="783"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Neither the Company nor any director, officer, nor, to the Company’s knowledge, any affiliate, employee, agent or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acting on behalf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right="60" w:firstLine="443"/>
        <w:spacing w:after="0" w:line="284" w:lineRule="auto"/>
        <w:tabs>
          <w:tab w:leader="none" w:pos="703"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Export Controls</w:t>
      </w:r>
      <w:r>
        <w:rPr>
          <w:rFonts w:ascii="Arial" w:cs="Arial" w:eastAsia="Arial" w:hAnsi="Arial"/>
          <w:sz w:val="16"/>
          <w:szCs w:val="16"/>
          <w:color w:val="auto"/>
        </w:rPr>
        <w:t>. Except as disclosed in the General Disclosure Package and the Final Prospectus, neither the Company nor,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any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 § 2278), the Export Administration Act (50 U.S.C. App. §§ 2401-2420), the International Traffic in Arms Regulations (22 C.F.R. §§ 120-130), the Export Administration Regulations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(15 C.F.R. 730 </w:t>
      </w:r>
      <w:r>
        <w:rPr>
          <w:rFonts w:ascii="Arial" w:cs="Arial" w:eastAsia="Arial" w:hAnsi="Arial"/>
          <w:sz w:val="18"/>
          <w:szCs w:val="18"/>
          <w:i w:val="1"/>
          <w:iCs w:val="1"/>
          <w:color w:val="auto"/>
        </w:rPr>
        <w:t>et seq.</w:t>
      </w:r>
      <w:r>
        <w:rPr>
          <w:rFonts w:ascii="Arial" w:cs="Arial" w:eastAsia="Arial" w:hAnsi="Arial"/>
          <w:sz w:val="18"/>
          <w:szCs w:val="18"/>
          <w:color w:val="auto"/>
        </w:rPr>
        <w:t>), the Customs Laws of the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0" w:right="239" w:bottom="1440" w:gutter="0" w:footer="0" w:header="0"/>
        </w:sectPr>
      </w:pPr>
    </w:p>
    <w:bookmarkStart w:id="254" w:name="page255"/>
    <w:bookmarkEnd w:id="25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United States (19 U.S.C. § 1 </w:t>
      </w:r>
      <w:r>
        <w:rPr>
          <w:rFonts w:ascii="Arial" w:cs="Arial" w:eastAsia="Arial" w:hAnsi="Arial"/>
          <w:sz w:val="17"/>
          <w:szCs w:val="17"/>
          <w:i w:val="1"/>
          <w:iCs w:val="1"/>
          <w:color w:val="auto"/>
        </w:rPr>
        <w:t>et seq.</w:t>
      </w:r>
      <w:r>
        <w:rPr>
          <w:rFonts w:ascii="Arial" w:cs="Arial" w:eastAsia="Arial" w:hAnsi="Arial"/>
          <w:sz w:val="17"/>
          <w:szCs w:val="17"/>
          <w:color w:val="auto"/>
        </w:rPr>
        <w:t>),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General Disclosure Package and the Final Prospectus, to the Company’s knowledge, there has never been a claim or charge made, investigation undertaken, violation found, or settlement of any enforcement action under any of the laws referred to in this Section 2(ii) by any governmental entity with respect to matters arising under such laws against the Company, or against its agents, distributors or representatives in connection with their relationship with the Company. Except as disclosed in the General Disclosure Package and the Final Prospectus, the Company and any predecessors have maintained a compliance program appropriate to the requirements of the aforementioned laws at all times that any such laws applied to the Company’s activities.</w:t>
      </w:r>
    </w:p>
    <w:p>
      <w:pPr>
        <w:spacing w:after="0" w:line="74" w:lineRule="exact"/>
        <w:rPr>
          <w:sz w:val="20"/>
          <w:szCs w:val="20"/>
          <w:color w:val="auto"/>
        </w:rPr>
      </w:pPr>
    </w:p>
    <w:p>
      <w:pPr>
        <w:ind w:right="60" w:firstLine="443"/>
        <w:spacing w:after="0" w:line="257" w:lineRule="auto"/>
        <w:tabs>
          <w:tab w:leader="none" w:pos="703"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Company has filed all federal, state, local and non-U.S. tax returns that are required to be filed by it or has requested</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thereof (except in any case in which the failure so to file would not have a Material Adverse Effect); and except as disclosed in the General Disclosure Package and the Final Prospectus, the Company has paid all taxes (including any assessments, fines or penalties) required to be paid by it, except for any such taxes, assessments, fines or penalties currently being contested in good faith or as would not, individually or in the aggregate, have a Material Adverse Effect.</w:t>
      </w:r>
    </w:p>
    <w:p>
      <w:pPr>
        <w:spacing w:after="0" w:line="80" w:lineRule="exact"/>
        <w:rPr>
          <w:rFonts w:ascii="Arial" w:cs="Arial" w:eastAsia="Arial" w:hAnsi="Arial"/>
          <w:sz w:val="18"/>
          <w:szCs w:val="18"/>
          <w:color w:val="auto"/>
        </w:rPr>
      </w:pPr>
    </w:p>
    <w:p>
      <w:pPr>
        <w:ind w:right="60" w:firstLine="443"/>
        <w:spacing w:after="0" w:line="289" w:lineRule="auto"/>
        <w:tabs>
          <w:tab w:leader="none" w:pos="783"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Company is insured by insurers with appropriately rated claims paying abilities against such losses and risks and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as the Company 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General Disclosure Package and the Final Prospectus; and the Company will obtain directors’ and officers’ insurance in such amounts as is customary for an initial public offering.</w:t>
      </w:r>
    </w:p>
    <w:p>
      <w:pPr>
        <w:spacing w:after="0" w:line="58" w:lineRule="exact"/>
        <w:rPr>
          <w:rFonts w:ascii="Arial" w:cs="Arial" w:eastAsia="Arial" w:hAnsi="Arial"/>
          <w:sz w:val="16"/>
          <w:szCs w:val="16"/>
          <w:color w:val="auto"/>
        </w:rPr>
      </w:pPr>
    </w:p>
    <w:p>
      <w:pPr>
        <w:ind w:firstLine="443"/>
        <w:spacing w:after="0" w:line="259" w:lineRule="auto"/>
        <w:tabs>
          <w:tab w:leader="none" w:pos="703"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the initial confidential submission of the Registration Statement to the Commission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the first date on which the Company engaged directly or through any Person authorized to act on its behalf in any communication in reliance on Section 5(d) of the Act) through the date hereof, the Company has been and is an “emerging growth company,” as defined in Section 2(a) of the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60" w:firstLine="443"/>
        <w:spacing w:after="0" w:line="255" w:lineRule="auto"/>
        <w:tabs>
          <w:tab w:leader="none" w:pos="883"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Testing-the-Waters</w:t>
      </w:r>
      <w:r>
        <w:rPr>
          <w:rFonts w:ascii="Arial" w:cs="Arial" w:eastAsia="Arial" w:hAnsi="Arial"/>
          <w:sz w:val="18"/>
          <w:szCs w:val="18"/>
          <w:color w:val="auto"/>
        </w:rPr>
        <w:t>. The Company has not (i) alone engaged in communications with potential investors in reliance on Section 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Act other than communications with the consent of the Representatives with entities that are qualified institutional buyers within the meaning of Rule 144A under the Act or institutions that are accredited investors within the meaning of Rule 501 under the Act and (ii) authorized anyone other than the Underwriters to engage in such communications. The Company reconfirms that the Underwriters have been authorized to act on its behalf in communicating with potential investors in reliance on Section 5(d) of the Act. The Company has not distributed any Testing-the-Waters Communication. As of the Applicable Time, none of (A) the General Disclosure Package, (B) any individual Issuer Limited Use Free Writing Prospectus, when considered together with the General</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55" w:name="page256"/>
    <w:bookmarkEnd w:id="255"/>
    <w:p>
      <w:pPr>
        <w:ind w:left="460" w:right="6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Package, and (C) any individual Written Testing-the-Waters Communication, when considered together with the General Disclosure Package, included or includes an untrue statement of a material fact or omitted or omits to state a material fact necessary in order to make the statements therein, in the light of the circumstances under which they were made, not misleading.</w:t>
      </w:r>
    </w:p>
    <w:p>
      <w:pPr>
        <w:spacing w:after="0" w:line="57" w:lineRule="exact"/>
        <w:rPr>
          <w:sz w:val="20"/>
          <w:szCs w:val="20"/>
          <w:color w:val="auto"/>
        </w:rPr>
      </w:pPr>
    </w:p>
    <w:p>
      <w:pPr>
        <w:ind w:left="1240" w:hanging="337"/>
        <w:spacing w:after="0"/>
        <w:tabs>
          <w:tab w:leader="none" w:pos="1240"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Foreign Private Issuer</w:t>
      </w:r>
      <w:r>
        <w:rPr>
          <w:rFonts w:ascii="Arial" w:cs="Arial" w:eastAsia="Arial" w:hAnsi="Arial"/>
          <w:sz w:val="18"/>
          <w:szCs w:val="18"/>
          <w:color w:val="auto"/>
        </w:rPr>
        <w:t>. The Company is a “foreign private issuer” within the meaning of Rule 405 under the Act.</w:t>
      </w:r>
    </w:p>
    <w:p>
      <w:pPr>
        <w:spacing w:after="0" w:line="117" w:lineRule="exact"/>
        <w:rPr>
          <w:rFonts w:ascii="Arial" w:cs="Arial" w:eastAsia="Arial" w:hAnsi="Arial"/>
          <w:sz w:val="18"/>
          <w:szCs w:val="18"/>
          <w:color w:val="auto"/>
        </w:rPr>
      </w:pPr>
    </w:p>
    <w:p>
      <w:pPr>
        <w:ind w:left="460" w:firstLine="443"/>
        <w:spacing w:after="0" w:line="264" w:lineRule="auto"/>
        <w:tabs>
          <w:tab w:leader="none" w:pos="1243"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Capital Loss</w:t>
      </w:r>
      <w:r>
        <w:rPr>
          <w:rFonts w:ascii="Arial" w:cs="Arial" w:eastAsia="Arial" w:hAnsi="Arial"/>
          <w:sz w:val="18"/>
          <w:szCs w:val="18"/>
          <w:color w:val="auto"/>
        </w:rPr>
        <w:t>. The Company is not overindebted within the meaning of article 725 para 2 CO. The Company is not suffering from capital loss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article 725 para 1 CO assuming that only share premium in excess of 50% of the nominal share capital is included in the calculation of such capital loss.</w:t>
      </w:r>
    </w:p>
    <w:p>
      <w:pPr>
        <w:spacing w:after="0" w:line="181" w:lineRule="exact"/>
        <w:rPr>
          <w:rFonts w:ascii="Arial" w:cs="Arial" w:eastAsia="Arial" w:hAnsi="Arial"/>
          <w:sz w:val="18"/>
          <w:szCs w:val="18"/>
          <w:color w:val="auto"/>
        </w:rPr>
      </w:pPr>
    </w:p>
    <w:p>
      <w:pPr>
        <w:ind w:right="60" w:firstLine="464"/>
        <w:spacing w:after="0" w:line="259" w:lineRule="auto"/>
        <w:tabs>
          <w:tab w:leader="none" w:pos="636"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Purchase, Sale and Delivery of Offered Securities</w:t>
      </w:r>
      <w:r>
        <w:rPr>
          <w:rFonts w:ascii="Arial" w:cs="Arial" w:eastAsia="Arial" w:hAnsi="Arial"/>
          <w:sz w:val="18"/>
          <w:szCs w:val="18"/>
          <w:color w:val="auto"/>
        </w:rPr>
        <w:t>. On the basis of the representations, warranties and agreements and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herein, the Company agrees to sell to the several Underwriters, and each of the Underwriters agrees, severally and not jointly, to purchase from the Company, at a purchase price of $[•] per share, the respective number of shares of Firm Securities set forth opposite the names of the Underwriters in Schedule A hereto.</w:t>
      </w:r>
    </w:p>
    <w:p>
      <w:pPr>
        <w:spacing w:after="0" w:line="187"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The Company will deliver the Firm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the Representatives drawn to the order of the Company at the office of Goodwin Procter LLP, 53 State Street, Boston,</w:t>
      </w:r>
    </w:p>
    <w:p>
      <w:pPr>
        <w:ind w:right="120"/>
        <w:spacing w:after="0" w:line="271" w:lineRule="auto"/>
        <w:rPr>
          <w:sz w:val="20"/>
          <w:szCs w:val="20"/>
          <w:color w:val="auto"/>
        </w:rPr>
      </w:pPr>
      <w:r>
        <w:rPr>
          <w:rFonts w:ascii="Arial" w:cs="Arial" w:eastAsia="Arial" w:hAnsi="Arial"/>
          <w:sz w:val="17"/>
          <w:szCs w:val="17"/>
          <w:color w:val="auto"/>
        </w:rPr>
        <w:t>MA 02109, at 10:00 A.M., New York time, on [•], 2016, or at such other time not later than seven full business days thereafter as the Representatives and the Company determine, such time being herein referred to as the “</w:t>
      </w:r>
      <w:r>
        <w:rPr>
          <w:rFonts w:ascii="Arial" w:cs="Arial" w:eastAsia="Arial" w:hAnsi="Arial"/>
          <w:sz w:val="17"/>
          <w:szCs w:val="17"/>
          <w:b w:val="1"/>
          <w:bCs w:val="1"/>
          <w:color w:val="auto"/>
        </w:rPr>
        <w:t>First Closing Date</w:t>
      </w:r>
      <w:r>
        <w:rPr>
          <w:rFonts w:ascii="Arial" w:cs="Arial" w:eastAsia="Arial" w:hAnsi="Arial"/>
          <w:sz w:val="17"/>
          <w:szCs w:val="17"/>
          <w:color w:val="auto"/>
        </w:rPr>
        <w:t>”. For purposes of Rule 15c6-1 under the Exchange Act,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above office of Goodwin Procter LLP at least 24 hours prior to the First Closing Date.</w:t>
      </w:r>
    </w:p>
    <w:p>
      <w:pPr>
        <w:spacing w:after="0" w:line="17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upon written notice from the Representatives given to the Company from time to time not more than 30 days subsequent to the date of the Final Prospectus, the Underwriters may purchase all or less than all of the Optional Securities at the purchase price per Security to be paid for the Firm Securities less an amount per share equal to any dividends or distributions declared by the Company and payable on the Firm Securities but not payable on the Optional Securities. The Company agrees to sell to the Underwriters the number of shares of Optional Securities specified in such notice and the Underwriters agree, severally and not jointly, to purchase such Optional Securities. Such Optional Securities shall be purchased for the account of each Underwriter in the same proportion as the number of shares of Firm Securities set forth opposite such Underwriter’s name bears to the total number of shares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Company.</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time for the delivery of and payment for the Optional Securities, being herein referred to as an “</w:t>
      </w:r>
      <w:r>
        <w:rPr>
          <w:rFonts w:ascii="Arial" w:cs="Arial" w:eastAsia="Arial" w:hAnsi="Arial"/>
          <w:sz w:val="18"/>
          <w:szCs w:val="18"/>
          <w:b w:val="1"/>
          <w:bCs w:val="1"/>
          <w:color w:val="auto"/>
        </w:rPr>
        <w:t>Optional Closing Date</w:t>
      </w:r>
      <w:r>
        <w:rPr>
          <w:rFonts w:ascii="Arial" w:cs="Arial" w:eastAsia="Arial" w:hAnsi="Arial"/>
          <w:sz w:val="18"/>
          <w:szCs w:val="18"/>
          <w:color w:val="auto"/>
        </w:rPr>
        <w:t>,” which may be the First Closing Date (the First Closing Date and each Optional Closing Date, if any, being sometimes referred to as a “</w:t>
      </w:r>
      <w:r>
        <w:rPr>
          <w:rFonts w:ascii="Arial" w:cs="Arial" w:eastAsia="Arial" w:hAnsi="Arial"/>
          <w:sz w:val="18"/>
          <w:szCs w:val="18"/>
          <w:b w:val="1"/>
          <w:bCs w:val="1"/>
          <w:color w:val="auto"/>
        </w:rPr>
        <w:t>Closing Date</w:t>
      </w:r>
      <w:r>
        <w:rPr>
          <w:rFonts w:ascii="Arial" w:cs="Arial" w:eastAsia="Arial" w:hAnsi="Arial"/>
          <w:sz w:val="18"/>
          <w:szCs w:val="18"/>
          <w:color w:val="auto"/>
        </w:rPr>
        <w:t>”), shall be determined by the Representatives but except as otherwise mutually agreed between the Company and the Representatives shall be not less than three full business days nor later than five full business days after written notice of election to purchase Optional Securities is given. The Company will deliver the Optional Securities being purchased on each Optional Closing Date to or as instructed by the Representatives for the accounts of the several Underwriters in a form reasonably acceptable to the Representatives against payment of the purchase price therefor in Federal (same day) funds by wire transfer to an account at a bank acceptable 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56" w:name="page257"/>
    <w:bookmarkEnd w:id="256"/>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drawn to the order of the Company, at the above office of Goodwin Procter LLP. The Optional Securities being purchased on each Optional Closing Date or evidence of their issuance will be made available for checking at the above office of Goodwin Procter LLP at a reasonable time in advance of such Optional Closing Date.</w:t>
      </w:r>
    </w:p>
    <w:p>
      <w:pPr>
        <w:spacing w:after="0" w:line="181" w:lineRule="exact"/>
        <w:rPr>
          <w:sz w:val="20"/>
          <w:szCs w:val="20"/>
          <w:color w:val="auto"/>
        </w:rPr>
      </w:pPr>
    </w:p>
    <w:p>
      <w:pPr>
        <w:ind w:left="640" w:hanging="17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Capital Increase and Initial Subscription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Shareholder’s Resolution on Capital Increase. </w:t>
      </w:r>
      <w:r>
        <w:rPr>
          <w:rFonts w:ascii="Arial" w:cs="Arial" w:eastAsia="Arial" w:hAnsi="Arial"/>
          <w:sz w:val="18"/>
          <w:szCs w:val="18"/>
          <w:color w:val="auto"/>
        </w:rPr>
        <w:t>The Company confirms that:</w:t>
      </w:r>
    </w:p>
    <w:p>
      <w:pPr>
        <w:spacing w:after="0" w:line="117" w:lineRule="exact"/>
        <w:rPr>
          <w:rFonts w:ascii="Arial" w:cs="Arial" w:eastAsia="Arial" w:hAnsi="Arial"/>
          <w:sz w:val="18"/>
          <w:szCs w:val="18"/>
          <w:color w:val="auto"/>
        </w:rPr>
      </w:pPr>
    </w:p>
    <w:p>
      <w:pPr>
        <w:ind w:left="460" w:right="60" w:firstLine="881"/>
        <w:spacing w:after="0" w:line="264" w:lineRule="auto"/>
        <w:tabs>
          <w:tab w:leader="none" w:pos="1551" w:val="left"/>
        </w:tabs>
        <w:numPr>
          <w:ilvl w:val="2"/>
          <w:numId w:val="171"/>
        </w:numPr>
        <w:rPr>
          <w:rFonts w:ascii="Arial" w:cs="Arial" w:eastAsia="Arial" w:hAnsi="Arial"/>
          <w:sz w:val="18"/>
          <w:szCs w:val="18"/>
          <w:color w:val="auto"/>
        </w:rPr>
      </w:pPr>
      <w:r>
        <w:rPr>
          <w:rFonts w:ascii="Arial" w:cs="Arial" w:eastAsia="Arial" w:hAnsi="Arial"/>
          <w:sz w:val="18"/>
          <w:szCs w:val="18"/>
          <w:color w:val="auto"/>
        </w:rPr>
        <w:t>pursuant to the articles of association, the Board may effect an increase of the Company’s share capital in a maximum amount of CHF 320,950.00 by issuing up to 16,047,500 Securities out of the Company’s authorized share capital, such authorization having been granted by resolution of the shareholders meeting of October 21, 2015, as corrected on May 25, 2016; and</w:t>
      </w:r>
    </w:p>
    <w:p>
      <w:pPr>
        <w:spacing w:after="0" w:line="73" w:lineRule="exact"/>
        <w:rPr>
          <w:rFonts w:ascii="Arial" w:cs="Arial" w:eastAsia="Arial" w:hAnsi="Arial"/>
          <w:sz w:val="18"/>
          <w:szCs w:val="18"/>
          <w:color w:val="auto"/>
        </w:rPr>
      </w:pPr>
    </w:p>
    <w:p>
      <w:pPr>
        <w:ind w:left="460" w:right="420" w:firstLine="881"/>
        <w:spacing w:after="0" w:line="277" w:lineRule="auto"/>
        <w:tabs>
          <w:tab w:leader="none" w:pos="1601"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all statutory pre-emptive rights to which the existing shareholders of the Company are entitled under Swiss law with respect to the capital increase described in Section 4(a)(i) have been validly set aside or waived.</w:t>
      </w:r>
    </w:p>
    <w:p>
      <w:pPr>
        <w:spacing w:after="0" w:line="170" w:lineRule="exact"/>
        <w:rPr>
          <w:rFonts w:ascii="Arial" w:cs="Arial" w:eastAsia="Arial" w:hAnsi="Arial"/>
          <w:sz w:val="18"/>
          <w:szCs w:val="18"/>
          <w:color w:val="auto"/>
        </w:rPr>
      </w:pPr>
    </w:p>
    <w:p>
      <w:pPr>
        <w:ind w:left="460" w:firstLine="443"/>
        <w:spacing w:after="0" w:line="277" w:lineRule="auto"/>
        <w:tabs>
          <w:tab w:leader="none" w:pos="1153"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Subscription of Firm Capital Increase</w:t>
      </w:r>
      <w:r>
        <w:rPr>
          <w:rFonts w:ascii="Arial" w:cs="Arial" w:eastAsia="Arial" w:hAnsi="Arial"/>
          <w:sz w:val="18"/>
          <w:szCs w:val="18"/>
          <w:color w:val="auto"/>
        </w:rPr>
        <w:t>. The Representatives, acting in their own names but for the accounts of the several Underwriters, agree,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basis of the representations, warranties and agreements herein contained, to:</w:t>
      </w:r>
    </w:p>
    <w:p>
      <w:pPr>
        <w:spacing w:after="0" w:line="58" w:lineRule="exact"/>
        <w:rPr>
          <w:rFonts w:ascii="Arial" w:cs="Arial" w:eastAsia="Arial" w:hAnsi="Arial"/>
          <w:sz w:val="18"/>
          <w:szCs w:val="18"/>
          <w:color w:val="auto"/>
        </w:rPr>
      </w:pPr>
    </w:p>
    <w:p>
      <w:pPr>
        <w:ind w:left="460" w:right="120" w:firstLine="881"/>
        <w:spacing w:after="0" w:line="255" w:lineRule="auto"/>
        <w:tabs>
          <w:tab w:leader="none" w:pos="1551"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acquire for nominal value from the Company up to 5,300,000 Securities (“</w:t>
      </w:r>
      <w:r>
        <w:rPr>
          <w:rFonts w:ascii="Arial" w:cs="Arial" w:eastAsia="Arial" w:hAnsi="Arial"/>
          <w:sz w:val="18"/>
          <w:szCs w:val="18"/>
          <w:b w:val="1"/>
          <w:bCs w:val="1"/>
          <w:color w:val="auto"/>
        </w:rPr>
        <w:t>Firm Shares Tranche I</w:t>
      </w:r>
      <w:r>
        <w:rPr>
          <w:rFonts w:ascii="Arial" w:cs="Arial" w:eastAsia="Arial" w:hAnsi="Arial"/>
          <w:sz w:val="18"/>
          <w:szCs w:val="18"/>
          <w:color w:val="auto"/>
        </w:rPr>
        <w:t>”), and for the difference, if any, between the number of Firm Shares Tranche I and the number of Firm Securities (such difference being the “</w:t>
      </w:r>
      <w:r>
        <w:rPr>
          <w:rFonts w:ascii="Arial" w:cs="Arial" w:eastAsia="Arial" w:hAnsi="Arial"/>
          <w:sz w:val="18"/>
          <w:szCs w:val="18"/>
          <w:b w:val="1"/>
          <w:bCs w:val="1"/>
          <w:color w:val="auto"/>
        </w:rPr>
        <w:t>Firm Shares Tranche II</w:t>
      </w:r>
      <w:r>
        <w:rPr>
          <w:rFonts w:ascii="Arial" w:cs="Arial" w:eastAsia="Arial" w:hAnsi="Arial"/>
          <w:sz w:val="18"/>
          <w:szCs w:val="18"/>
          <w:color w:val="auto"/>
        </w:rPr>
        <w:t>”) directly or indirectly (through Credit Suisse AG) subscribe, on or by 6:00 a.m. New York time on the third business day immediately preceding the First Closing Date, or such other time and date as agreed between the Company and Representatives, for all of the Firm Shares Tranche II at the issue price (</w:t>
      </w:r>
      <w:r>
        <w:rPr>
          <w:rFonts w:ascii="Arial" w:cs="Arial" w:eastAsia="Arial" w:hAnsi="Arial"/>
          <w:sz w:val="18"/>
          <w:szCs w:val="18"/>
          <w:i w:val="1"/>
          <w:iCs w:val="1"/>
          <w:color w:val="auto"/>
        </w:rPr>
        <w:t>Ausgabebetrag</w:t>
      </w:r>
      <w:r>
        <w:rPr>
          <w:rFonts w:ascii="Arial" w:cs="Arial" w:eastAsia="Arial" w:hAnsi="Arial"/>
          <w:sz w:val="18"/>
          <w:szCs w:val="18"/>
          <w:color w:val="auto"/>
        </w:rPr>
        <w:t>) of CHF 0.02 per Firm Share Tranche II corresponding to the nominal value for each Firm Security and to deliver the corresponding subscription form (</w:t>
      </w:r>
      <w:r>
        <w:rPr>
          <w:rFonts w:ascii="Arial" w:cs="Arial" w:eastAsia="Arial" w:hAnsi="Arial"/>
          <w:sz w:val="18"/>
          <w:szCs w:val="18"/>
          <w:i w:val="1"/>
          <w:iCs w:val="1"/>
          <w:color w:val="auto"/>
        </w:rPr>
        <w:t>Zeichnungsschein</w:t>
      </w:r>
      <w:r>
        <w:rPr>
          <w:rFonts w:ascii="Arial" w:cs="Arial" w:eastAsia="Arial" w:hAnsi="Arial"/>
          <w:sz w:val="18"/>
          <w:szCs w:val="18"/>
          <w:color w:val="auto"/>
        </w:rPr>
        <w:t xml:space="preserve">) to the Company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by not later than 6:00 a.m. New York time on the third business day immediately preceding the Closing Date; and</w:t>
      </w:r>
    </w:p>
    <w:p>
      <w:pPr>
        <w:spacing w:after="0" w:line="85" w:lineRule="exact"/>
        <w:rPr>
          <w:rFonts w:ascii="Arial" w:cs="Arial" w:eastAsia="Arial" w:hAnsi="Arial"/>
          <w:sz w:val="18"/>
          <w:szCs w:val="18"/>
          <w:color w:val="auto"/>
        </w:rPr>
      </w:pPr>
    </w:p>
    <w:p>
      <w:pPr>
        <w:ind w:left="460" w:right="260" w:firstLine="881"/>
        <w:spacing w:after="0" w:line="290" w:lineRule="auto"/>
        <w:tabs>
          <w:tab w:leader="none" w:pos="1601" w:val="left"/>
        </w:tabs>
        <w:numPr>
          <w:ilvl w:val="2"/>
          <w:numId w:val="171"/>
        </w:numPr>
        <w:rPr>
          <w:rFonts w:ascii="Arial" w:cs="Arial" w:eastAsia="Arial" w:hAnsi="Arial"/>
          <w:sz w:val="16"/>
          <w:szCs w:val="16"/>
          <w:color w:val="auto"/>
        </w:rPr>
      </w:pPr>
      <w:r>
        <w:rPr>
          <w:rFonts w:ascii="Arial" w:cs="Arial" w:eastAsia="Arial" w:hAnsi="Arial"/>
          <w:sz w:val="16"/>
          <w:szCs w:val="16"/>
          <w:color w:val="auto"/>
        </w:rPr>
        <w:t>deposit or cause to be deposited, not later than 7:30 a.m. New York time on the second business day immediately preceding the First Closing Date, or such other time and date as agreed between the Company and Representatives, same-day funds for value in the amount of CHF [•] (corresponding to the aggregate nominal value of the Firm Shares Tranche II) (the “</w:t>
      </w:r>
      <w:r>
        <w:rPr>
          <w:rFonts w:ascii="Arial" w:cs="Arial" w:eastAsia="Arial" w:hAnsi="Arial"/>
          <w:sz w:val="16"/>
          <w:szCs w:val="16"/>
          <w:b w:val="1"/>
          <w:bCs w:val="1"/>
          <w:color w:val="auto"/>
        </w:rPr>
        <w:t>Firm Capital Increase Amount</w:t>
      </w:r>
      <w:r>
        <w:rPr>
          <w:rFonts w:ascii="Arial" w:cs="Arial" w:eastAsia="Arial" w:hAnsi="Arial"/>
          <w:sz w:val="16"/>
          <w:szCs w:val="16"/>
          <w:color w:val="auto"/>
        </w:rPr>
        <w:t>”) with UBS AG, Basel, Switzerland, SWIFT Code (BIC): UBSWCHZH80A, bank clearing No: 243 (the “</w:t>
      </w:r>
      <w:r>
        <w:rPr>
          <w:rFonts w:ascii="Arial" w:cs="Arial" w:eastAsia="Arial" w:hAnsi="Arial"/>
          <w:sz w:val="16"/>
          <w:szCs w:val="16"/>
          <w:b w:val="1"/>
          <w:bCs w:val="1"/>
          <w:color w:val="auto"/>
        </w:rPr>
        <w:t>Capital Increase Bank</w:t>
      </w:r>
      <w:r>
        <w:rPr>
          <w:rFonts w:ascii="Arial" w:cs="Arial" w:eastAsia="Arial" w:hAnsi="Arial"/>
          <w:sz w:val="16"/>
          <w:szCs w:val="16"/>
          <w:color w:val="auto"/>
        </w:rPr>
        <w:t>”), in a blocked account for such capital increase (</w:t>
      </w:r>
      <w:r>
        <w:rPr>
          <w:rFonts w:ascii="Arial" w:cs="Arial" w:eastAsia="Arial" w:hAnsi="Arial"/>
          <w:sz w:val="16"/>
          <w:szCs w:val="16"/>
          <w:i w:val="1"/>
          <w:iCs w:val="1"/>
          <w:color w:val="auto"/>
        </w:rPr>
        <w:t>Kapitaleinzahlungskonto</w:t>
      </w:r>
      <w:r>
        <w:rPr>
          <w:rFonts w:ascii="Arial" w:cs="Arial" w:eastAsia="Arial" w:hAnsi="Arial"/>
          <w:sz w:val="16"/>
          <w:szCs w:val="16"/>
          <w:color w:val="auto"/>
        </w:rPr>
        <w:t xml:space="preserve">), account number </w:t>
      </w:r>
      <w:r>
        <w:rPr>
          <w:rFonts w:ascii="Arial" w:cs="Arial" w:eastAsia="Arial" w:hAnsi="Arial"/>
          <w:sz w:val="16"/>
          <w:szCs w:val="16"/>
          <w:b w:val="1"/>
          <w:bCs w:val="1"/>
          <w:color w:val="auto"/>
        </w:rPr>
        <w:t>[</w:t>
      </w:r>
      <w:r>
        <w:rPr>
          <w:rFonts w:ascii="Arial" w:cs="Arial" w:eastAsia="Arial" w:hAnsi="Arial"/>
          <w:sz w:val="16"/>
          <w:szCs w:val="16"/>
          <w:color w:val="auto"/>
        </w:rPr>
        <w:t>0243 00179630.D7C</w:t>
      </w:r>
      <w:r>
        <w:rPr>
          <w:rFonts w:ascii="Arial" w:cs="Arial" w:eastAsia="Arial" w:hAnsi="Arial"/>
          <w:sz w:val="16"/>
          <w:szCs w:val="16"/>
          <w:b w:val="1"/>
          <w:bCs w:val="1"/>
          <w:color w:val="auto"/>
        </w:rPr>
        <w:t>]</w:t>
      </w:r>
      <w:r>
        <w:rPr>
          <w:rFonts w:ascii="Arial" w:cs="Arial" w:eastAsia="Arial" w:hAnsi="Arial"/>
          <w:sz w:val="16"/>
          <w:szCs w:val="16"/>
          <w:color w:val="auto"/>
        </w:rPr>
        <w:t>, made out to the Company’s name (the “</w:t>
      </w:r>
      <w:r>
        <w:rPr>
          <w:rFonts w:ascii="Arial" w:cs="Arial" w:eastAsia="Arial" w:hAnsi="Arial"/>
          <w:sz w:val="16"/>
          <w:szCs w:val="16"/>
          <w:b w:val="1"/>
          <w:bCs w:val="1"/>
          <w:color w:val="auto"/>
        </w:rPr>
        <w:t>Firm Capital Increase</w:t>
      </w:r>
      <w:r>
        <w:rPr>
          <w:rFonts w:ascii="Arial" w:cs="Arial" w:eastAsia="Arial" w:hAnsi="Arial"/>
          <w:sz w:val="16"/>
          <w:szCs w:val="16"/>
          <w:color w:val="auto"/>
        </w:rPr>
        <w:t xml:space="preserve"> </w:t>
      </w:r>
      <w:r>
        <w:rPr>
          <w:rFonts w:ascii="Arial" w:cs="Arial" w:eastAsia="Arial" w:hAnsi="Arial"/>
          <w:sz w:val="16"/>
          <w:szCs w:val="16"/>
          <w:b w:val="1"/>
          <w:bCs w:val="1"/>
          <w:color w:val="auto"/>
        </w:rPr>
        <w:t>Account</w:t>
      </w:r>
      <w:r>
        <w:rPr>
          <w:rFonts w:ascii="Arial" w:cs="Arial" w:eastAsia="Arial" w:hAnsi="Arial"/>
          <w:sz w:val="16"/>
          <w:szCs w:val="16"/>
          <w:color w:val="auto"/>
        </w:rPr>
        <w:t>”), and to cause the Capital Increase Bank to issue and deliver to VISCHER AG, Aeschenvorstadt 4, CHF 4010 Basel a written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confirmation of payment of the Firm Capital Increase Amount to the Company no later than 12:00 p.m. New York time on the second business day immediately preceding the First Closing Date (or such other time and date as agreed between the Company and the Representatives).</w:t>
      </w:r>
    </w:p>
    <w:p>
      <w:pPr>
        <w:spacing w:after="0" w:line="58" w:lineRule="exact"/>
        <w:rPr>
          <w:rFonts w:ascii="Arial" w:cs="Arial" w:eastAsia="Arial" w:hAnsi="Arial"/>
          <w:sz w:val="16"/>
          <w:szCs w:val="16"/>
          <w:color w:val="auto"/>
        </w:rPr>
      </w:pPr>
    </w:p>
    <w:p>
      <w:pPr>
        <w:ind w:left="460" w:firstLine="443"/>
        <w:spacing w:after="0" w:line="264" w:lineRule="auto"/>
        <w:tabs>
          <w:tab w:leader="none" w:pos="1143"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Board Resolution and Registration of Firm Capital Increase</w:t>
      </w:r>
      <w:r>
        <w:rPr>
          <w:rFonts w:ascii="Arial" w:cs="Arial" w:eastAsia="Arial" w:hAnsi="Arial"/>
          <w:sz w:val="18"/>
          <w:szCs w:val="18"/>
          <w:color w:val="auto"/>
        </w:rPr>
        <w:t>. Upon receipt of the documents referred to in Section 4(b) and before 2:30 a.m.</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time on the first business day immediately preceding the First Closing Date, or such other time and date as agreed between the Company and the Representatives, the Board (or a committee or a Board member duly authorized by the Board)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57" w:name="page258"/>
    <w:bookmarkEnd w:id="257"/>
    <w:p>
      <w:pPr>
        <w:ind w:left="920" w:right="120" w:firstLine="421"/>
        <w:spacing w:after="0" w:line="277" w:lineRule="auto"/>
        <w:tabs>
          <w:tab w:leader="none" w:pos="15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pass a capital increase resolution (</w:t>
      </w:r>
      <w:r>
        <w:rPr>
          <w:rFonts w:ascii="Arial" w:cs="Arial" w:eastAsia="Arial" w:hAnsi="Arial"/>
          <w:sz w:val="18"/>
          <w:szCs w:val="18"/>
          <w:i w:val="1"/>
          <w:iCs w:val="1"/>
          <w:color w:val="auto"/>
        </w:rPr>
        <w:t>Erhöhungsbeschluss</w:t>
      </w:r>
      <w:r>
        <w:rPr>
          <w:rFonts w:ascii="Arial" w:cs="Arial" w:eastAsia="Arial" w:hAnsi="Arial"/>
          <w:sz w:val="18"/>
          <w:szCs w:val="18"/>
          <w:color w:val="auto"/>
        </w:rPr>
        <w:t>) regarding the issuance of the Firm Shares Tranche II subscribed for pursuant to Section 4(b)(i) (the “</w:t>
      </w:r>
      <w:r>
        <w:rPr>
          <w:rFonts w:ascii="Arial" w:cs="Arial" w:eastAsia="Arial" w:hAnsi="Arial"/>
          <w:sz w:val="18"/>
          <w:szCs w:val="18"/>
          <w:b w:val="1"/>
          <w:bCs w:val="1"/>
          <w:color w:val="auto"/>
        </w:rPr>
        <w:t>Firm Capital Increase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20" w:firstLine="421"/>
        <w:spacing w:after="0" w:line="277" w:lineRule="auto"/>
        <w:tabs>
          <w:tab w:leader="none" w:pos="16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adopt a report on the Firm Capital Increase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and take note of the auditors’ report (</w:t>
      </w:r>
      <w:r>
        <w:rPr>
          <w:rFonts w:ascii="Arial" w:cs="Arial" w:eastAsia="Arial" w:hAnsi="Arial"/>
          <w:sz w:val="18"/>
          <w:szCs w:val="18"/>
          <w:i w:val="1"/>
          <w:iCs w:val="1"/>
          <w:color w:val="auto"/>
        </w:rPr>
        <w:t>Prüfungsbestätigung</w:t>
      </w:r>
      <w:r>
        <w:rPr>
          <w:rFonts w:ascii="Arial" w:cs="Arial" w:eastAsia="Arial" w:hAnsi="Arial"/>
          <w:sz w:val="18"/>
          <w:szCs w:val="18"/>
          <w:color w:val="auto"/>
        </w:rPr>
        <w:t>), all in accordance with Swiss statutory law;</w:t>
      </w:r>
    </w:p>
    <w:p>
      <w:pPr>
        <w:spacing w:after="0" w:line="62" w:lineRule="exact"/>
        <w:rPr>
          <w:rFonts w:ascii="Arial" w:cs="Arial" w:eastAsia="Arial" w:hAnsi="Arial"/>
          <w:sz w:val="18"/>
          <w:szCs w:val="18"/>
          <w:color w:val="auto"/>
        </w:rPr>
      </w:pPr>
    </w:p>
    <w:p>
      <w:pPr>
        <w:ind w:left="920" w:right="60" w:firstLine="421"/>
        <w:spacing w:after="0" w:line="277" w:lineRule="auto"/>
        <w:tabs>
          <w:tab w:leader="none" w:pos="1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resolve on the Firm Capital Increase and making all amendments to the articles of association of the Company necessary in connection with the Firm Capital Increase (</w:t>
      </w:r>
      <w:r>
        <w:rPr>
          <w:rFonts w:ascii="Arial" w:cs="Arial" w:eastAsia="Arial" w:hAnsi="Arial"/>
          <w:sz w:val="18"/>
          <w:szCs w:val="18"/>
          <w:i w:val="1"/>
          <w:iCs w:val="1"/>
          <w:color w:val="auto"/>
        </w:rPr>
        <w:t>Feststellungs- und Statutenänderungsbeschluss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920" w:right="80" w:firstLine="421"/>
        <w:spacing w:after="0" w:line="308" w:lineRule="auto"/>
        <w:tabs>
          <w:tab w:leader="none" w:pos="164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promptly thereafter, no later than 6:00 a.m. New York time on the first business day immediately preceding the First Closing Date, file the documents necessary for the registration of the Firm Capital Increase with the Commercial Register of the Canton of Vaud;</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this Agreement is terminated pursuant to Section 12 prior to the Company filing the relevant resolutions with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of the Canton of Vaud, (A) the Company undertakes not to resolve on the Firm Capital Increase (if it has not already done so) or to file the relevant resolutions with the Commercial Register of the Canton of Vaud, and (B) the Company shall immediately cause the Capital Increase Bank to release the Firm Capital Increase Amount in full to the Representatives, acting for the accounts of the several Underwriters, as soon as practicable; and the Underwriters understand that the Capital Increase Bank may require confirmation, including from the Underwriters, to release the Firm Capital Increase Amount and the Underwriters agree to deliver such confirmation.</w:t>
      </w:r>
    </w:p>
    <w:p>
      <w:pPr>
        <w:spacing w:after="0" w:line="85" w:lineRule="exact"/>
        <w:rPr>
          <w:sz w:val="20"/>
          <w:szCs w:val="20"/>
          <w:color w:val="auto"/>
        </w:rPr>
      </w:pPr>
    </w:p>
    <w:p>
      <w:pPr>
        <w:ind w:left="460" w:right="320" w:firstLine="443"/>
        <w:spacing w:after="0" w:line="342" w:lineRule="auto"/>
        <w:tabs>
          <w:tab w:leader="none" w:pos="1153"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Issue of Firm Securities</w:t>
      </w:r>
      <w:r>
        <w:rPr>
          <w:rFonts w:ascii="Arial" w:cs="Arial" w:eastAsia="Arial" w:hAnsi="Arial"/>
          <w:sz w:val="16"/>
          <w:szCs w:val="16"/>
          <w:color w:val="auto"/>
        </w:rPr>
        <w:t>. Immediately after the registration of the Firm Capital Increase in the Commercial Register of the Canton of Vaud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4(c), but in no event later than 3:00 p.m. New York time on the business day prior to the First Closing Date, the Company will:</w:t>
      </w:r>
    </w:p>
    <w:p>
      <w:pPr>
        <w:spacing w:after="0" w:line="16" w:lineRule="exact"/>
        <w:rPr>
          <w:sz w:val="20"/>
          <w:szCs w:val="20"/>
          <w:color w:val="auto"/>
        </w:rPr>
      </w:pPr>
    </w:p>
    <w:p>
      <w:pPr>
        <w:ind w:left="460" w:right="180" w:firstLine="443"/>
        <w:spacing w:after="0" w:line="255" w:lineRule="auto"/>
        <w:tabs>
          <w:tab w:leader="none" w:pos="111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deliver to each of the Representatives and the Capital Increase Bank, (A) a copy of the certified excerpt of the journal entry (</w:t>
      </w:r>
      <w:r>
        <w:rPr>
          <w:rFonts w:ascii="Arial" w:cs="Arial" w:eastAsia="Arial" w:hAnsi="Arial"/>
          <w:sz w:val="18"/>
          <w:szCs w:val="18"/>
          <w:i w:val="1"/>
          <w:iCs w:val="1"/>
          <w:color w:val="auto"/>
        </w:rPr>
        <w:t>Tagebuch</w:t>
      </w:r>
      <w:r>
        <w:rPr>
          <w:rFonts w:ascii="Arial" w:cs="Arial" w:eastAsia="Arial" w:hAnsi="Arial"/>
          <w:sz w:val="18"/>
          <w:szCs w:val="18"/>
          <w:color w:val="auto"/>
        </w:rPr>
        <w:t>) or a copy of the certified excerpt from the Commercial Register of the Canton of Vaud evidencing the issuance of all Firm Securities, including the Firm Capital Increase, (B) a copy of the certified updated articles of association of the Company evidencing all Firm Securities, including the shares issued in the Firm Capital Increase, (C) a copy of the Company’s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evidencing the Underwriters as first holders of the Firm Securities, and (D) a copy of the share register (</w:t>
      </w:r>
      <w:r>
        <w:rPr>
          <w:rFonts w:ascii="Arial" w:cs="Arial" w:eastAsia="Arial" w:hAnsi="Arial"/>
          <w:sz w:val="18"/>
          <w:szCs w:val="18"/>
          <w:i w:val="1"/>
          <w:iCs w:val="1"/>
          <w:color w:val="auto"/>
        </w:rPr>
        <w:t>Aktienbuch</w:t>
      </w:r>
      <w:r>
        <w:rPr>
          <w:rFonts w:ascii="Arial" w:cs="Arial" w:eastAsia="Arial" w:hAnsi="Arial"/>
          <w:sz w:val="18"/>
          <w:szCs w:val="18"/>
          <w:color w:val="auto"/>
        </w:rPr>
        <w:t>) of the Company evidencing the Underwriters as shareholders with respect to the Firm Securities; and</w:t>
      </w:r>
    </w:p>
    <w:p>
      <w:pPr>
        <w:spacing w:after="0" w:line="85" w:lineRule="exact"/>
        <w:rPr>
          <w:rFonts w:ascii="Arial" w:cs="Arial" w:eastAsia="Arial" w:hAnsi="Arial"/>
          <w:sz w:val="18"/>
          <w:szCs w:val="18"/>
          <w:color w:val="auto"/>
        </w:rPr>
      </w:pPr>
    </w:p>
    <w:p>
      <w:pPr>
        <w:jc w:val="both"/>
        <w:ind w:left="460" w:right="80" w:firstLine="443"/>
        <w:spacing w:after="0" w:line="264" w:lineRule="auto"/>
        <w:tabs>
          <w:tab w:leader="none" w:pos="116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take all steps necessary to ensure that the Firm Securities will be (A) duly recorded in an account of the Underwriters at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on the First Closing Date; and (B) freely transferable (subject to any applicable restrictions set forth in the articles of association of the Company) on the First Closing Date.</w:t>
      </w:r>
    </w:p>
    <w:p>
      <w:pPr>
        <w:spacing w:after="0" w:line="73" w:lineRule="exact"/>
        <w:rPr>
          <w:sz w:val="20"/>
          <w:szCs w:val="20"/>
          <w:color w:val="auto"/>
        </w:rPr>
      </w:pPr>
    </w:p>
    <w:p>
      <w:pPr>
        <w:jc w:val="both"/>
        <w:ind w:left="460" w:right="140" w:firstLine="443"/>
        <w:spacing w:after="0" w:line="264" w:lineRule="auto"/>
        <w:tabs>
          <w:tab w:leader="none" w:pos="1143"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Use of Firm Capital Increase Amount</w:t>
      </w:r>
      <w:r>
        <w:rPr>
          <w:rFonts w:ascii="Arial" w:cs="Arial" w:eastAsia="Arial" w:hAnsi="Arial"/>
          <w:sz w:val="18"/>
          <w:szCs w:val="18"/>
          <w:color w:val="auto"/>
        </w:rPr>
        <w:t>. The funds deposited in the Firm Capital Increase Account shall, upon registration of the Firm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pursuant to Section 4(c) and upon request by the Company, be transferred to a separate account of the Company with the Representatives and shall, in such case, remain so deposited for the account of the Company until the earlier of:</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issuance of the Firm Securities to the Underwriters as set forth in Section 4(d) on the First Closing Date;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8" w:name="page259"/>
    <w:bookmarkEnd w:id="258"/>
    <w:p>
      <w:pPr>
        <w:ind w:right="80" w:firstLine="881"/>
        <w:spacing w:after="0" w:line="277" w:lineRule="auto"/>
        <w:tabs>
          <w:tab w:leader="none" w:pos="1141"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receipt by the Representatives on behalf of the several Underwriters of the proceeds of (A) the sale of the Firm Securities as set forth in Sections 14(b), 14(c) or 14(e) or (B) the Capital Reduction as set forth in Section 14(d), as the case may be.</w:t>
      </w:r>
    </w:p>
    <w:p>
      <w:pPr>
        <w:spacing w:after="0" w:line="62" w:lineRule="exact"/>
        <w:rPr>
          <w:sz w:val="20"/>
          <w:szCs w:val="20"/>
          <w:color w:val="auto"/>
        </w:rPr>
      </w:pPr>
    </w:p>
    <w:p>
      <w:pPr>
        <w:ind w:right="520" w:firstLine="438"/>
        <w:spacing w:after="0" w:line="277" w:lineRule="auto"/>
        <w:rPr>
          <w:sz w:val="20"/>
          <w:szCs w:val="20"/>
          <w:color w:val="auto"/>
        </w:rPr>
      </w:pPr>
      <w:r>
        <w:rPr>
          <w:rFonts w:ascii="Arial" w:cs="Arial" w:eastAsia="Arial" w:hAnsi="Arial"/>
          <w:sz w:val="18"/>
          <w:szCs w:val="18"/>
          <w:color w:val="auto"/>
        </w:rPr>
        <w:t>Any fees payable to the Capital Increase Bank for any transfer of the funds deposited in the Firm Capital Increase Account pursuant to this Section 4(e) shall be payable directly to the Capital Increase Bank by the Company.</w:t>
      </w:r>
    </w:p>
    <w:p>
      <w:pPr>
        <w:spacing w:after="0" w:line="62" w:lineRule="exact"/>
        <w:rPr>
          <w:sz w:val="20"/>
          <w:szCs w:val="20"/>
          <w:color w:val="auto"/>
        </w:rPr>
      </w:pPr>
    </w:p>
    <w:p>
      <w:pPr>
        <w:ind w:left="180" w:hanging="176"/>
        <w:spacing w:after="0"/>
        <w:tabs>
          <w:tab w:leader="none" w:pos="18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Acquisition; Subscription and Issuance of Optional Securities.</w:t>
      </w:r>
    </w:p>
    <w:p>
      <w:pPr>
        <w:spacing w:after="0" w:line="117" w:lineRule="exact"/>
        <w:rPr>
          <w:rFonts w:ascii="Arial" w:cs="Arial" w:eastAsia="Arial" w:hAnsi="Arial"/>
          <w:sz w:val="18"/>
          <w:szCs w:val="18"/>
          <w:color w:val="auto"/>
        </w:rPr>
      </w:pPr>
    </w:p>
    <w:p>
      <w:pPr>
        <w:ind w:firstLine="443"/>
        <w:spacing w:after="0" w:line="257" w:lineRule="auto"/>
        <w:tabs>
          <w:tab w:leader="none" w:pos="683"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Acquisition of Optional Securities. </w:t>
      </w:r>
      <w:r>
        <w:rPr>
          <w:rFonts w:ascii="Arial" w:cs="Arial" w:eastAsia="Arial" w:hAnsi="Arial"/>
          <w:sz w:val="18"/>
          <w:szCs w:val="18"/>
          <w:color w:val="auto"/>
        </w:rPr>
        <w:t>If the Representatives exercise the option granted to them under Section 3 of this Agreement and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that the number of Firm Shares Tranche I is lower than 5,300,000 Securities (such difference being the “Applicable Priority Optional Securities”), the Representatives will acquire for nominal value from the Company any such Applicable Priority Optional Securities. If the number of Optional Securities exceeds the number of Applicable Priority Optional Securities, the subscription and issuance of Optional Securities as set out in this Section 5 below shall be applicable.</w:t>
      </w:r>
    </w:p>
    <w:p>
      <w:pPr>
        <w:spacing w:after="0" w:line="80" w:lineRule="exact"/>
        <w:rPr>
          <w:rFonts w:ascii="Arial" w:cs="Arial" w:eastAsia="Arial" w:hAnsi="Arial"/>
          <w:sz w:val="18"/>
          <w:szCs w:val="18"/>
          <w:color w:val="auto"/>
        </w:rPr>
      </w:pPr>
    </w:p>
    <w:p>
      <w:pPr>
        <w:ind w:firstLine="443"/>
        <w:spacing w:after="0" w:line="279" w:lineRule="auto"/>
        <w:tabs>
          <w:tab w:leader="none" w:pos="693" w:val="left"/>
        </w:tabs>
        <w:numPr>
          <w:ilvl w:val="1"/>
          <w:numId w:val="177"/>
        </w:numPr>
        <w:rPr>
          <w:rFonts w:ascii="Arial" w:cs="Arial" w:eastAsia="Arial" w:hAnsi="Arial"/>
          <w:sz w:val="17"/>
          <w:szCs w:val="17"/>
          <w:color w:val="auto"/>
        </w:rPr>
      </w:pPr>
      <w:r>
        <w:rPr>
          <w:rFonts w:ascii="Arial" w:cs="Arial" w:eastAsia="Arial" w:hAnsi="Arial"/>
          <w:sz w:val="17"/>
          <w:szCs w:val="17"/>
          <w:i w:val="1"/>
          <w:iCs w:val="1"/>
          <w:color w:val="auto"/>
        </w:rPr>
        <w:t>Subscription of Over-Allotment Capital Increase</w:t>
      </w:r>
      <w:r>
        <w:rPr>
          <w:rFonts w:ascii="Arial" w:cs="Arial" w:eastAsia="Arial" w:hAnsi="Arial"/>
          <w:sz w:val="17"/>
          <w:szCs w:val="17"/>
          <w:color w:val="auto"/>
        </w:rPr>
        <w:t>. If the Representatives exercise the option granted to them under Section 3 of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such number of Optional Securities which, as the case may be, cannot be acquired from the Company as per Section 5(a) above, the Representatives, acting in their own names but for the accounts of the several Underwriters, agree, on the basis of the representations, warranties and agreements herein contained, and subject to the conditions stated below and to this Agreement having not been terminated, to:</w:t>
      </w:r>
    </w:p>
    <w:p>
      <w:pPr>
        <w:spacing w:after="0" w:line="63" w:lineRule="exact"/>
        <w:rPr>
          <w:sz w:val="20"/>
          <w:szCs w:val="20"/>
          <w:color w:val="auto"/>
        </w:rPr>
      </w:pPr>
    </w:p>
    <w:p>
      <w:pPr>
        <w:ind w:right="140" w:firstLine="881"/>
        <w:spacing w:after="0" w:line="276" w:lineRule="auto"/>
        <w:tabs>
          <w:tab w:leader="none" w:pos="109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subscribe for the number of Optional Securities for which the option to purchase has been exercised pursuant to Section 3 (the “</w:t>
      </w:r>
      <w:r>
        <w:rPr>
          <w:rFonts w:ascii="Arial" w:cs="Arial" w:eastAsia="Arial" w:hAnsi="Arial"/>
          <w:sz w:val="17"/>
          <w:szCs w:val="17"/>
          <w:b w:val="1"/>
          <w:bCs w:val="1"/>
          <w:color w:val="auto"/>
        </w:rPr>
        <w:t>Applicable Optional Securities</w:t>
      </w:r>
      <w:r>
        <w:rPr>
          <w:rFonts w:ascii="Arial" w:cs="Arial" w:eastAsia="Arial" w:hAnsi="Arial"/>
          <w:sz w:val="17"/>
          <w:szCs w:val="17"/>
          <w:color w:val="auto"/>
        </w:rPr>
        <w:t>”) at the issue price (</w:t>
      </w:r>
      <w:r>
        <w:rPr>
          <w:rFonts w:ascii="Arial" w:cs="Arial" w:eastAsia="Arial" w:hAnsi="Arial"/>
          <w:sz w:val="17"/>
          <w:szCs w:val="17"/>
          <w:i w:val="1"/>
          <w:iCs w:val="1"/>
          <w:color w:val="auto"/>
        </w:rPr>
        <w:t>Ausgabebetrag</w:t>
      </w:r>
      <w:r>
        <w:rPr>
          <w:rFonts w:ascii="Arial" w:cs="Arial" w:eastAsia="Arial" w:hAnsi="Arial"/>
          <w:sz w:val="17"/>
          <w:szCs w:val="17"/>
          <w:color w:val="auto"/>
        </w:rPr>
        <w:t>) of CHF 0.02 for each Applicable Optional Security corresponding to the nominal value of each Applicable Optional Security, and to deliver the corresponding subscription form (</w:t>
      </w:r>
      <w:r>
        <w:rPr>
          <w:rFonts w:ascii="Arial" w:cs="Arial" w:eastAsia="Arial" w:hAnsi="Arial"/>
          <w:sz w:val="17"/>
          <w:szCs w:val="17"/>
          <w:i w:val="1"/>
          <w:iCs w:val="1"/>
          <w:color w:val="auto"/>
        </w:rPr>
        <w:t>Zeichnungsschein</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to the Company by not later than 6:00 a.m. New York time on the third business day immediately preceding the Optional Closing Date (or such other date set forth in the relevant option exercise notice delivered by the Representatives pursuant to Section 3); and</w:t>
      </w:r>
    </w:p>
    <w:p>
      <w:pPr>
        <w:spacing w:after="0" w:line="64" w:lineRule="exact"/>
        <w:rPr>
          <w:rFonts w:ascii="Arial" w:cs="Arial" w:eastAsia="Arial" w:hAnsi="Arial"/>
          <w:sz w:val="17"/>
          <w:szCs w:val="17"/>
          <w:color w:val="auto"/>
        </w:rPr>
      </w:pPr>
    </w:p>
    <w:p>
      <w:pPr>
        <w:ind w:right="120" w:firstLine="881"/>
        <w:spacing w:after="0" w:line="271" w:lineRule="auto"/>
        <w:tabs>
          <w:tab w:leader="none" w:pos="114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deposit or cause to be deposited, not later than 7:30 a.m. New York time on the second business day immediately preceding the Optional Closing Date (or such other date set forth in the relevant option exercise notice delivered by the Representatives pursuant to Section 3), same day funds for value on such date, in the amount of CHF 0.02 multiplied by the number of Applicable Optional Securities (the “</w:t>
      </w:r>
      <w:r>
        <w:rPr>
          <w:rFonts w:ascii="Arial" w:cs="Arial" w:eastAsia="Arial" w:hAnsi="Arial"/>
          <w:sz w:val="17"/>
          <w:szCs w:val="17"/>
          <w:b w:val="1"/>
          <w:bCs w:val="1"/>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color w:val="auto"/>
        </w:rPr>
        <w:t>Capital Increase Amount</w:t>
      </w:r>
      <w:r>
        <w:rPr>
          <w:rFonts w:ascii="Arial" w:cs="Arial" w:eastAsia="Arial" w:hAnsi="Arial"/>
          <w:sz w:val="17"/>
          <w:szCs w:val="17"/>
          <w:color w:val="auto"/>
        </w:rPr>
        <w:t>”) with the Capital Increase Bank, in a blocked account for the Over-Allotment Capital Increase (</w:t>
      </w:r>
      <w:r>
        <w:rPr>
          <w:rFonts w:ascii="Arial" w:cs="Arial" w:eastAsia="Arial" w:hAnsi="Arial"/>
          <w:sz w:val="17"/>
          <w:szCs w:val="17"/>
          <w:i w:val="1"/>
          <w:iCs w:val="1"/>
          <w:color w:val="auto"/>
        </w:rPr>
        <w:t>Kapitaleinzahlungskonto</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number 0243 00179630.D7C, made out to the Company’s name (the “</w:t>
      </w:r>
      <w:r>
        <w:rPr>
          <w:rFonts w:ascii="Arial" w:cs="Arial" w:eastAsia="Arial" w:hAnsi="Arial"/>
          <w:sz w:val="17"/>
          <w:szCs w:val="17"/>
          <w:b w:val="1"/>
          <w:bCs w:val="1"/>
          <w:color w:val="auto"/>
        </w:rPr>
        <w:t>Over-Allotment Capital Increase Account</w:t>
      </w:r>
      <w:r>
        <w:rPr>
          <w:rFonts w:ascii="Arial" w:cs="Arial" w:eastAsia="Arial" w:hAnsi="Arial"/>
          <w:sz w:val="17"/>
          <w:szCs w:val="17"/>
          <w:color w:val="auto"/>
        </w:rPr>
        <w:t>”), and to cause the Capital Increase Bank to issue and deliver a written confirmation of payment of the Over-Allotment Capital Increase Amount to the Company no later than 12:00 p.m. New York time on the second business day immediately preceding the Optional Closing Date (or at a later date, as set forth in the option exercise notice delivered by the Representatives pursuant to Section 3).</w:t>
      </w:r>
    </w:p>
    <w:p>
      <w:pPr>
        <w:spacing w:after="0" w:line="70" w:lineRule="exact"/>
        <w:rPr>
          <w:rFonts w:ascii="Arial" w:cs="Arial" w:eastAsia="Arial" w:hAnsi="Arial"/>
          <w:sz w:val="17"/>
          <w:szCs w:val="17"/>
          <w:color w:val="auto"/>
        </w:rPr>
      </w:pPr>
    </w:p>
    <w:p>
      <w:pPr>
        <w:jc w:val="both"/>
        <w:ind w:right="100" w:firstLine="443"/>
        <w:spacing w:after="0" w:line="259" w:lineRule="auto"/>
        <w:tabs>
          <w:tab w:leader="none" w:pos="683"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Board Resolution and Registration of Over-Allotment Capital Increase</w:t>
      </w:r>
      <w:r>
        <w:rPr>
          <w:rFonts w:ascii="Arial" w:cs="Arial" w:eastAsia="Arial" w:hAnsi="Arial"/>
          <w:sz w:val="18"/>
          <w:szCs w:val="18"/>
          <w:color w:val="auto"/>
        </w:rPr>
        <w:t>. Upon receipt of the documents referred to under Section 5(a) in</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 to any Applicable Optional Securities and before 2:30 a.m. New York time on the first business day immediately preceding the Optional Closing Date (or at a later date, as set forth in the relevant option exercise notice delivered by the Representatives pursuant to Section 3), the Board (or a committee or Board member duly authorized by the Board) will:</w:t>
      </w:r>
    </w:p>
    <w:p>
      <w:pPr>
        <w:spacing w:after="0" w:line="78" w:lineRule="exact"/>
        <w:rPr>
          <w:rFonts w:ascii="Arial" w:cs="Arial" w:eastAsia="Arial" w:hAnsi="Arial"/>
          <w:sz w:val="18"/>
          <w:szCs w:val="18"/>
          <w:color w:val="auto"/>
        </w:rPr>
      </w:pPr>
    </w:p>
    <w:p>
      <w:pPr>
        <w:ind w:right="420" w:firstLine="881"/>
        <w:spacing w:after="0" w:line="277" w:lineRule="auto"/>
        <w:tabs>
          <w:tab w:leader="none" w:pos="109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pass a capital increase resolution (</w:t>
      </w:r>
      <w:r>
        <w:rPr>
          <w:rFonts w:ascii="Arial" w:cs="Arial" w:eastAsia="Arial" w:hAnsi="Arial"/>
          <w:sz w:val="18"/>
          <w:szCs w:val="18"/>
          <w:i w:val="1"/>
          <w:iCs w:val="1"/>
          <w:color w:val="auto"/>
        </w:rPr>
        <w:t>Erhöhungsbeschluss</w:t>
      </w:r>
      <w:r>
        <w:rPr>
          <w:rFonts w:ascii="Arial" w:cs="Arial" w:eastAsia="Arial" w:hAnsi="Arial"/>
          <w:sz w:val="18"/>
          <w:szCs w:val="18"/>
          <w:color w:val="auto"/>
        </w:rPr>
        <w:t>) regarding the issuance of the Applicable Optional Securities subscribed for pursuant to Section 5(a)(i) (the “</w:t>
      </w:r>
      <w:r>
        <w:rPr>
          <w:rFonts w:ascii="Arial" w:cs="Arial" w:eastAsia="Arial" w:hAnsi="Arial"/>
          <w:sz w:val="18"/>
          <w:szCs w:val="18"/>
          <w:b w:val="1"/>
          <w:bCs w:val="1"/>
          <w:color w:val="auto"/>
        </w:rPr>
        <w:t>Over-Allotment Capital Increase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adopt a report on the Over-Allotment Capital Increase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and take note of the auditors’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Prüfungsbestätigung</w:t>
      </w:r>
      <w:r>
        <w:rPr>
          <w:rFonts w:ascii="Arial" w:cs="Arial" w:eastAsia="Arial" w:hAnsi="Arial"/>
          <w:sz w:val="18"/>
          <w:szCs w:val="18"/>
          <w:color w:val="auto"/>
        </w:rPr>
        <w:t>), all in accordance with Swiss statutory law;</w:t>
      </w:r>
    </w:p>
    <w:p>
      <w:pPr>
        <w:spacing w:after="0" w:line="103" w:lineRule="exact"/>
        <w:rPr>
          <w:sz w:val="20"/>
          <w:szCs w:val="20"/>
          <w:color w:val="auto"/>
        </w:rPr>
      </w:pPr>
    </w:p>
    <w:p>
      <w:pPr>
        <w:ind w:right="100" w:firstLine="881"/>
        <w:spacing w:after="0" w:line="277" w:lineRule="auto"/>
        <w:tabs>
          <w:tab w:leader="none" w:pos="11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resolve on the Over-Allotment Capital Increase and making all amendments to the articles of association of the Company necessary in connection with the Over-Allotment Capital Increase (</w:t>
      </w:r>
      <w:r>
        <w:rPr>
          <w:rFonts w:ascii="Arial" w:cs="Arial" w:eastAsia="Arial" w:hAnsi="Arial"/>
          <w:sz w:val="18"/>
          <w:szCs w:val="18"/>
          <w:i w:val="1"/>
          <w:iCs w:val="1"/>
          <w:color w:val="auto"/>
        </w:rPr>
        <w:t>Feststellungs-und Statutenänderungsbeschluss</w:t>
      </w:r>
      <w:r>
        <w:rPr>
          <w:rFonts w:ascii="Arial" w:cs="Arial" w:eastAsia="Arial" w:hAnsi="Arial"/>
          <w:sz w:val="18"/>
          <w:szCs w:val="18"/>
          <w:color w:val="auto"/>
        </w:rPr>
        <w:t>); and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259" w:name="page260"/>
    <w:bookmarkEnd w:id="259"/>
    <w:p>
      <w:pPr>
        <w:ind w:left="440" w:firstLine="881"/>
        <w:spacing w:after="0" w:line="270" w:lineRule="auto"/>
        <w:tabs>
          <w:tab w:leader="none" w:pos="1621" w:val="left"/>
        </w:tabs>
        <w:numPr>
          <w:ilvl w:val="1"/>
          <w:numId w:val="1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thereafter, no later than 6:00 a.m. New York time on the first business day immediately preceding the Optional Closing Date (or at a later date, as set forth in the relevant option exercise notice delivered by the Representatives pursuant to Section 3) file the documents necessary for the registration of the Over-Allotment Capital Increase with the Commercial Register of the Canton of Vaud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this Agreement is terminated pursuant to Section 12 prior to the Company filing the relevant resolutions with the Commercial Register of the Canton of Vaud, (A) the Company undertakes not to resolve on the Over-Allotment Capital Increase (if it has not already done so) or to file the relevant resolutions with the Commercial Register of the Canton of Vaud, and (B) the Company shall immediately cause the Capital Increase Bank to release the Capital Increase Amount in full to the Representatives, acting for the accounts of the several Underwriters, as soon as practicable; and the Underwriters understand that the Capital Increase Bank may require confirmation, including from the Underwriters, to release the Firm Capital Increase Amount and the Underwriters agree to deliver such confirmation.</w:t>
      </w:r>
    </w:p>
    <w:p>
      <w:pPr>
        <w:spacing w:after="0" w:line="73" w:lineRule="exact"/>
        <w:rPr>
          <w:rFonts w:ascii="Arial" w:cs="Arial" w:eastAsia="Arial" w:hAnsi="Arial"/>
          <w:sz w:val="17"/>
          <w:szCs w:val="17"/>
          <w:color w:val="auto"/>
        </w:rPr>
      </w:pPr>
    </w:p>
    <w:p>
      <w:pPr>
        <w:jc w:val="both"/>
        <w:ind w:left="440" w:right="40" w:firstLine="443"/>
        <w:spacing w:after="0" w:line="259" w:lineRule="auto"/>
        <w:tabs>
          <w:tab w:leader="none" w:pos="1133"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Issue of Applicable Optional Securities</w:t>
      </w:r>
      <w:r>
        <w:rPr>
          <w:rFonts w:ascii="Arial" w:cs="Arial" w:eastAsia="Arial" w:hAnsi="Arial"/>
          <w:sz w:val="18"/>
          <w:szCs w:val="18"/>
          <w:color w:val="auto"/>
        </w:rPr>
        <w:t>. Immediately after the registration of the Over-Allotment Capital Increase in the Commercial Register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Canton of Vaud pursuant to Section 5(b) in relation to any Applicable Optional Securities, but in no event later than 3:00 p.m. New York time on the business day prior to the Optional Closing Date (or such other date set forth in the relevant option exercise notice delivered by the Representatives pursuant to Section 3), the Company will:</w:t>
      </w:r>
    </w:p>
    <w:p>
      <w:pPr>
        <w:spacing w:after="0" w:line="78" w:lineRule="exact"/>
        <w:rPr>
          <w:rFonts w:ascii="Arial" w:cs="Arial" w:eastAsia="Arial" w:hAnsi="Arial"/>
          <w:sz w:val="18"/>
          <w:szCs w:val="18"/>
          <w:color w:val="auto"/>
        </w:rPr>
      </w:pPr>
    </w:p>
    <w:p>
      <w:pPr>
        <w:ind w:left="440" w:right="60" w:firstLine="881"/>
        <w:spacing w:after="0" w:line="255" w:lineRule="auto"/>
        <w:tabs>
          <w:tab w:leader="none" w:pos="153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deliver to the Representatives, the Capital Increase Bank and the share registrar of the Company, (A) a copy of the certified excerpt of the journal entry (</w:t>
      </w:r>
      <w:r>
        <w:rPr>
          <w:rFonts w:ascii="Arial" w:cs="Arial" w:eastAsia="Arial" w:hAnsi="Arial"/>
          <w:sz w:val="18"/>
          <w:szCs w:val="18"/>
          <w:i w:val="1"/>
          <w:iCs w:val="1"/>
          <w:color w:val="auto"/>
        </w:rPr>
        <w:t>Tagebuch</w:t>
      </w:r>
      <w:r>
        <w:rPr>
          <w:rFonts w:ascii="Arial" w:cs="Arial" w:eastAsia="Arial" w:hAnsi="Arial"/>
          <w:sz w:val="18"/>
          <w:szCs w:val="18"/>
          <w:color w:val="auto"/>
        </w:rPr>
        <w:t>) or a copy of the certified excerpt from the Commercial Register of the Canton of Vaud evidencing the Over-Allotment Capital Increase, (B) a copy of the certified updated articles of association of the Company evidencing the Over-Allotment Capital Increase, (C) a copy of the Company’s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evidencing the Underwriters as first holders of the Applicable Optional Securities, and (D) a copy of the share register (</w:t>
      </w:r>
      <w:r>
        <w:rPr>
          <w:rFonts w:ascii="Arial" w:cs="Arial" w:eastAsia="Arial" w:hAnsi="Arial"/>
          <w:sz w:val="18"/>
          <w:szCs w:val="18"/>
          <w:i w:val="1"/>
          <w:iCs w:val="1"/>
          <w:color w:val="auto"/>
        </w:rPr>
        <w:t>Aktienbuch</w:t>
      </w:r>
      <w:r>
        <w:rPr>
          <w:rFonts w:ascii="Arial" w:cs="Arial" w:eastAsia="Arial" w:hAnsi="Arial"/>
          <w:sz w:val="18"/>
          <w:szCs w:val="18"/>
          <w:color w:val="auto"/>
        </w:rPr>
        <w:t>) of the Company evidencing the Underwriters as shareholders with respect to the Applicable Optional Securities; and</w:t>
      </w:r>
    </w:p>
    <w:p>
      <w:pPr>
        <w:spacing w:after="0" w:line="85" w:lineRule="exact"/>
        <w:rPr>
          <w:rFonts w:ascii="Arial" w:cs="Arial" w:eastAsia="Arial" w:hAnsi="Arial"/>
          <w:sz w:val="18"/>
          <w:szCs w:val="18"/>
          <w:color w:val="auto"/>
        </w:rPr>
      </w:pPr>
    </w:p>
    <w:p>
      <w:pPr>
        <w:jc w:val="both"/>
        <w:ind w:left="440" w:right="20" w:firstLine="881"/>
        <w:spacing w:after="0" w:line="264" w:lineRule="auto"/>
        <w:tabs>
          <w:tab w:leader="none" w:pos="158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take all steps necessary to ensure that the Applicable Optional Securities will be (A) issued to the Underwriters, (B) duly recorded in an account of the Underwriters at DTC on the relevant Optional Closing Date, and (C) freely transferable (subject to any applicable restrictions set forth in the articles of association of the Company) on the relevant Optional Closing Date.</w:t>
      </w:r>
    </w:p>
    <w:p>
      <w:pPr>
        <w:spacing w:after="0" w:line="73" w:lineRule="exact"/>
        <w:rPr>
          <w:rFonts w:ascii="Arial" w:cs="Arial" w:eastAsia="Arial" w:hAnsi="Arial"/>
          <w:sz w:val="18"/>
          <w:szCs w:val="18"/>
          <w:color w:val="auto"/>
        </w:rPr>
      </w:pPr>
    </w:p>
    <w:p>
      <w:pPr>
        <w:jc w:val="both"/>
        <w:ind w:left="440" w:right="20" w:firstLine="443"/>
        <w:spacing w:after="0" w:line="312" w:lineRule="auto"/>
        <w:tabs>
          <w:tab w:leader="none" w:pos="1123"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Use of Over-Allotment Capital Increase Amount</w:t>
      </w:r>
      <w:r>
        <w:rPr>
          <w:rFonts w:ascii="Arial" w:cs="Arial" w:eastAsia="Arial" w:hAnsi="Arial"/>
          <w:sz w:val="16"/>
          <w:szCs w:val="16"/>
          <w:color w:val="auto"/>
        </w:rPr>
        <w:t>. The funds deposited in the Over-Allotment Capital Increase Account shall, upon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Over-Allotment Capital Increase pursuant to Section 5(b) and upon request by the Company, be transferred to a separate account of the Company with the Representatives and shall, in such case, remain so deposited, without interest, for the account of the Company until the earlier of:</w:t>
      </w:r>
    </w:p>
    <w:p>
      <w:pPr>
        <w:spacing w:after="0" w:line="38" w:lineRule="exact"/>
        <w:rPr>
          <w:rFonts w:ascii="Arial" w:cs="Arial" w:eastAsia="Arial" w:hAnsi="Arial"/>
          <w:sz w:val="16"/>
          <w:szCs w:val="16"/>
          <w:color w:val="auto"/>
        </w:rPr>
      </w:pPr>
    </w:p>
    <w:p>
      <w:pPr>
        <w:ind w:left="1540" w:hanging="219"/>
        <w:spacing w:after="0"/>
        <w:tabs>
          <w:tab w:leader="none" w:pos="154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issuance of the Applicable Optional Securities to the Underwriters as set forth in Section 5(c) on the relevant Optional Closing Date;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right="20" w:firstLine="881"/>
        <w:spacing w:after="0" w:line="264" w:lineRule="auto"/>
        <w:tabs>
          <w:tab w:leader="none" w:pos="158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date of receipt by the Representatives on behalf of the several Underwriters of the proceeds of (A) the sale of the Applicable Optional Securities as set forth in Sections 14(b), 14(c) or 14(e) hereof or (B) the Capital Reduction as set forth in Section 14(d) hereof, as the case may be.</w:t>
      </w:r>
    </w:p>
    <w:p>
      <w:pPr>
        <w:spacing w:after="0" w:line="73"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Any fees payable to the Capital Increase Bank for any transfer of the funds deposited in the Over-Allotment Capital Increase Account pursuant to this Section 5(d) shall be payable directly to the Capital Increase Bank by the Company.</w:t>
      </w:r>
    </w:p>
    <w:p>
      <w:pPr>
        <w:spacing w:after="0" w:line="62" w:lineRule="exact"/>
        <w:rPr>
          <w:sz w:val="20"/>
          <w:szCs w:val="20"/>
          <w:color w:val="auto"/>
        </w:rPr>
      </w:pPr>
    </w:p>
    <w:p>
      <w:pPr>
        <w:ind w:left="440" w:right="80" w:firstLine="443"/>
        <w:spacing w:after="0" w:line="277" w:lineRule="auto"/>
        <w:tabs>
          <w:tab w:leader="none" w:pos="110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For the avoidance of doubt, in the event that the Offered Securities are lower than 5,300,000 Securities, any such difference in Securities shall be retained by the Company as treasury shares.</w:t>
      </w:r>
    </w:p>
    <w:p>
      <w:pPr>
        <w:spacing w:after="0" w:line="62" w:lineRule="exact"/>
        <w:rPr>
          <w:rFonts w:ascii="Arial" w:cs="Arial" w:eastAsia="Arial" w:hAnsi="Arial"/>
          <w:sz w:val="18"/>
          <w:szCs w:val="18"/>
          <w:color w:val="auto"/>
        </w:rPr>
      </w:pPr>
    </w:p>
    <w:p>
      <w:pPr>
        <w:ind w:left="-20" w:right="240" w:firstLine="464"/>
        <w:spacing w:after="0" w:line="277" w:lineRule="auto"/>
        <w:tabs>
          <w:tab w:leader="none" w:pos="616"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Offered Securities for sale to the public as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Final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260" w:name="page261"/>
    <w:bookmarkEnd w:id="260"/>
    <w:p>
      <w:pPr>
        <w:ind w:left="180" w:hanging="176"/>
        <w:spacing w:after="0"/>
        <w:tabs>
          <w:tab w:leader="none" w:pos="18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Agreements of the Company</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right="40" w:firstLine="443"/>
        <w:spacing w:after="0" w:line="288" w:lineRule="auto"/>
        <w:tabs>
          <w:tab w:leader="none" w:pos="683"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Additional Filings</w:t>
      </w:r>
      <w:r>
        <w:rPr>
          <w:rFonts w:ascii="Arial" w:cs="Arial" w:eastAsia="Arial" w:hAnsi="Arial"/>
          <w:sz w:val="16"/>
          <w:szCs w:val="16"/>
          <w:color w:val="auto"/>
        </w:rPr>
        <w:t>. Unless filed pursuant to Rule 462(c) as part of the Additional Registration Statement in accordance with the next sentence,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will file the Final Prospectus, in a form approved by the Representatives,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 Effective Time of the Initial Registration Statement. The Company will advise the Representatives promptly of any such filing pursuant to Rule 424(b) and provide satisfactory evidence to the Representatives of such timely filing.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61" w:lineRule="exact"/>
        <w:rPr>
          <w:rFonts w:ascii="Arial" w:cs="Arial" w:eastAsia="Arial" w:hAnsi="Arial"/>
          <w:sz w:val="16"/>
          <w:szCs w:val="16"/>
          <w:color w:val="auto"/>
        </w:rPr>
      </w:pPr>
    </w:p>
    <w:p>
      <w:pPr>
        <w:ind w:firstLine="443"/>
        <w:spacing w:after="0" w:line="286" w:lineRule="auto"/>
        <w:tabs>
          <w:tab w:leader="none" w:pos="693"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Filing of Amendments; Response to Commission Requests</w:t>
      </w:r>
      <w:r>
        <w:rPr>
          <w:rFonts w:ascii="Arial" w:cs="Arial" w:eastAsia="Arial" w:hAnsi="Arial"/>
          <w:sz w:val="16"/>
          <w:szCs w:val="16"/>
          <w:color w:val="auto"/>
        </w:rPr>
        <w:t>. The Company will promptly advise the Representatives of any proposal to amend</w:t>
      </w:r>
      <w:r>
        <w:rPr>
          <w:rFonts w:ascii="Arial" w:cs="Arial" w:eastAsia="Arial" w:hAnsi="Arial"/>
          <w:sz w:val="16"/>
          <w:szCs w:val="16"/>
          <w:i w:val="1"/>
          <w:iCs w:val="1"/>
          <w:color w:val="auto"/>
        </w:rPr>
        <w:t xml:space="preserve"> </w:t>
      </w:r>
      <w:r>
        <w:rPr>
          <w:rFonts w:ascii="Arial" w:cs="Arial" w:eastAsia="Arial" w:hAnsi="Arial"/>
          <w:sz w:val="16"/>
          <w:szCs w:val="16"/>
          <w:color w:val="auto"/>
        </w:rPr>
        <w:t>or supplement at any time the Initial Registration Statement, any Additional Registration Statement or any Statutory Prospectus and will not effect such amendment or supplementation without the Representatives’ consent;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 information, (iv) the institution by the Commission of any stop order proceedings in respect of a Registration Statement or the threatening of any proceeding for that purpose, and (v) the receipt by the Company of any notification with respect to the suspension of the qualification of the Offered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 If, at any time prior to the filing of the Final Prospectus pursuant to Rule 424(b), any event occurs as a result of which the General Disclosure Package would include any untrue statement of a material fact or omit to state any material fact necessary to make the statements therein in the light of the circumstances under which they were made at such time not misleading, the Company will (x) promptly notify the Representatives so that any use of the General Disclosure Package may cease until it is amended or supplemented; (y) amend or supplement the General Disclosure Package to correct such statement or omission; and (z) supply any amendment or supplement to the Representatives in such quantities as the Representatives may reasonably request.</w:t>
      </w:r>
    </w:p>
    <w:p>
      <w:pPr>
        <w:spacing w:after="0" w:line="60" w:lineRule="exact"/>
        <w:rPr>
          <w:rFonts w:ascii="Arial" w:cs="Arial" w:eastAsia="Arial" w:hAnsi="Arial"/>
          <w:sz w:val="16"/>
          <w:szCs w:val="16"/>
          <w:color w:val="auto"/>
        </w:rPr>
      </w:pPr>
    </w:p>
    <w:p>
      <w:pPr>
        <w:ind w:right="20" w:firstLine="443"/>
        <w:spacing w:after="0" w:line="270" w:lineRule="auto"/>
        <w:tabs>
          <w:tab w:leader="none" w:pos="683" w:val="left"/>
        </w:tabs>
        <w:numPr>
          <w:ilvl w:val="1"/>
          <w:numId w:val="185"/>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If, at any time when a prospectus relating to the Offered Securities is (or but for the exemption</w:t>
      </w:r>
      <w:r>
        <w:rPr>
          <w:rFonts w:ascii="Arial" w:cs="Arial" w:eastAsia="Arial" w:hAnsi="Arial"/>
          <w:sz w:val="17"/>
          <w:szCs w:val="17"/>
          <w:i w:val="1"/>
          <w:iCs w:val="1"/>
          <w:color w:val="auto"/>
        </w:rPr>
        <w:t xml:space="preserve"> </w:t>
      </w:r>
      <w:r>
        <w:rPr>
          <w:rFonts w:ascii="Arial" w:cs="Arial" w:eastAsia="Arial" w:hAnsi="Arial"/>
          <w:sz w:val="17"/>
          <w:szCs w:val="17"/>
          <w:color w:val="auto"/>
        </w:rPr>
        <w:t>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8 hereof.</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61" w:name="page262"/>
    <w:bookmarkEnd w:id="261"/>
    <w:p>
      <w:pPr>
        <w:ind w:right="300" w:firstLine="443"/>
        <w:spacing w:after="0" w:line="308" w:lineRule="auto"/>
        <w:tabs>
          <w:tab w:leader="none" w:pos="693"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 158</w:t>
      </w:r>
      <w:r>
        <w:rPr>
          <w:rFonts w:ascii="Arial" w:cs="Arial" w:eastAsia="Arial" w:hAnsi="Arial"/>
          <w:sz w:val="17"/>
          <w:szCs w:val="17"/>
          <w:color w:val="auto"/>
        </w:rPr>
        <w:t>. As soon as practicable, the Company will make generally available to its security holders and to the Representatives an earning</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or statements of the Company which will satisfy the provisions of Section 11(a) of the Act and Rule 158.</w:t>
      </w:r>
    </w:p>
    <w:p>
      <w:pPr>
        <w:spacing w:after="0" w:line="38" w:lineRule="exact"/>
        <w:rPr>
          <w:rFonts w:ascii="Arial" w:cs="Arial" w:eastAsia="Arial" w:hAnsi="Arial"/>
          <w:sz w:val="17"/>
          <w:szCs w:val="17"/>
          <w:color w:val="auto"/>
        </w:rPr>
      </w:pPr>
    </w:p>
    <w:p>
      <w:pPr>
        <w:jc w:val="both"/>
        <w:ind w:right="120" w:firstLine="443"/>
        <w:spacing w:after="0" w:line="286" w:lineRule="auto"/>
        <w:tabs>
          <w:tab w:leader="none" w:pos="683"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Furnishing of Prospectuses</w:t>
      </w:r>
      <w:r>
        <w:rPr>
          <w:rFonts w:ascii="Arial" w:cs="Arial" w:eastAsia="Arial" w:hAnsi="Arial"/>
          <w:sz w:val="16"/>
          <w:szCs w:val="16"/>
          <w:color w:val="auto"/>
        </w:rPr>
        <w:t>. The Company will furnish to the Representatives copies of each Registration Statement (three (3) of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signed and will include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reasonably request. The Final Prospectus shall be so furnished on or prior to</w:t>
      </w:r>
    </w:p>
    <w:p>
      <w:pPr>
        <w:spacing w:after="0" w:line="1" w:lineRule="exact"/>
        <w:rPr>
          <w:rFonts w:ascii="Arial" w:cs="Arial" w:eastAsia="Arial" w:hAnsi="Arial"/>
          <w:sz w:val="16"/>
          <w:szCs w:val="16"/>
          <w:color w:val="auto"/>
        </w:rPr>
      </w:pPr>
    </w:p>
    <w:p>
      <w:pPr>
        <w:ind w:right="200"/>
        <w:spacing w:after="0" w:line="290" w:lineRule="auto"/>
        <w:rPr>
          <w:rFonts w:ascii="Arial" w:cs="Arial" w:eastAsia="Arial" w:hAnsi="Arial"/>
          <w:sz w:val="16"/>
          <w:szCs w:val="16"/>
          <w:color w:val="auto"/>
        </w:rPr>
      </w:pPr>
      <w:r>
        <w:rPr>
          <w:rFonts w:ascii="Arial" w:cs="Arial" w:eastAsia="Arial" w:hAnsi="Arial"/>
          <w:sz w:val="17"/>
          <w:szCs w:val="17"/>
          <w:color w:val="auto"/>
        </w:rPr>
        <w:t>3:00 p.m., New York time, on the business day following the execution and delivery of this Agreement. All other documents shall be so furnished as soon as available. The Company will pay the expenses of printing and distributing to the Underwriters all such documents.</w:t>
      </w:r>
    </w:p>
    <w:p>
      <w:pPr>
        <w:spacing w:after="0" w:line="53" w:lineRule="exact"/>
        <w:rPr>
          <w:rFonts w:ascii="Arial" w:cs="Arial" w:eastAsia="Arial" w:hAnsi="Arial"/>
          <w:sz w:val="16"/>
          <w:szCs w:val="16"/>
          <w:color w:val="auto"/>
        </w:rPr>
      </w:pPr>
    </w:p>
    <w:p>
      <w:pPr>
        <w:jc w:val="both"/>
        <w:ind w:right="40" w:firstLine="443"/>
        <w:spacing w:after="0" w:line="302" w:lineRule="auto"/>
        <w:tabs>
          <w:tab w:leader="none" w:pos="663"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arrange for the qualification of the Offered Securities for sale under the laws of such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Representatives designate and will continue such qualifications in effect so long as required for the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required to qualify as a foreign corporation in any jurisdiction in which it is not so qualified or to file a general consent to service of process in any such jurisdiction or to take any action that would subject it to taxation in any such jurisdiction where it is not then so subject.</w:t>
      </w:r>
    </w:p>
    <w:p>
      <w:pPr>
        <w:spacing w:after="0" w:line="46" w:lineRule="exact"/>
        <w:rPr>
          <w:rFonts w:ascii="Arial" w:cs="Arial" w:eastAsia="Arial" w:hAnsi="Arial"/>
          <w:sz w:val="16"/>
          <w:szCs w:val="16"/>
          <w:color w:val="auto"/>
        </w:rPr>
      </w:pPr>
    </w:p>
    <w:p>
      <w:pPr>
        <w:ind w:firstLine="443"/>
        <w:spacing w:after="0" w:line="291" w:lineRule="auto"/>
        <w:tabs>
          <w:tab w:leader="none" w:pos="693"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Reporting Requirements</w:t>
      </w:r>
      <w:r>
        <w:rPr>
          <w:rFonts w:ascii="Arial" w:cs="Arial" w:eastAsia="Arial" w:hAnsi="Arial"/>
          <w:sz w:val="16"/>
          <w:szCs w:val="16"/>
          <w:color w:val="auto"/>
        </w:rPr>
        <w:t>. During the period of three (3) years hereafter, the Company will furnish to the Representatives and, upon request,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other Underwriters, as soon as practicable after the end of each fiscal year, a copy of its annual report to shareholders for such year; and the Company will furnish to the Representatives (i) as soon as available, a copy of each report and any definitive proxy statement of the Company filed with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w:t>
      </w:r>
      <w:r>
        <w:rPr>
          <w:rFonts w:ascii="Arial" w:cs="Arial" w:eastAsia="Arial" w:hAnsi="Arial"/>
          <w:sz w:val="16"/>
          <w:szCs w:val="16"/>
          <w:b w:val="1"/>
          <w:bCs w:val="1"/>
          <w:color w:val="auto"/>
        </w:rPr>
        <w:t>EDGAR</w:t>
      </w:r>
      <w:r>
        <w:rPr>
          <w:rFonts w:ascii="Arial" w:cs="Arial" w:eastAsia="Arial" w:hAnsi="Arial"/>
          <w:sz w:val="16"/>
          <w:szCs w:val="16"/>
          <w:color w:val="auto"/>
        </w:rPr>
        <w:t>”), it is not required to furnish such reports or statements to the Underwriters.</w:t>
      </w:r>
    </w:p>
    <w:p>
      <w:pPr>
        <w:spacing w:after="0" w:line="59" w:lineRule="exact"/>
        <w:rPr>
          <w:rFonts w:ascii="Arial" w:cs="Arial" w:eastAsia="Arial" w:hAnsi="Arial"/>
          <w:sz w:val="16"/>
          <w:szCs w:val="16"/>
          <w:color w:val="auto"/>
        </w:rPr>
      </w:pPr>
    </w:p>
    <w:p>
      <w:pPr>
        <w:ind w:right="80" w:firstLine="443"/>
        <w:spacing w:after="0" w:line="287" w:lineRule="auto"/>
        <w:tabs>
          <w:tab w:leader="none" w:pos="693"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Payment of Expenses</w:t>
      </w:r>
      <w:r>
        <w:rPr>
          <w:rFonts w:ascii="Arial" w:cs="Arial" w:eastAsia="Arial" w:hAnsi="Arial"/>
          <w:sz w:val="16"/>
          <w:szCs w:val="16"/>
          <w:color w:val="auto"/>
        </w:rPr>
        <w:t>. The Company will pay all expenses incident to the performance of its obligations under this Agreement, including but</w:t>
      </w:r>
      <w:r>
        <w:rPr>
          <w:rFonts w:ascii="Arial" w:cs="Arial" w:eastAsia="Arial" w:hAnsi="Arial"/>
          <w:sz w:val="16"/>
          <w:szCs w:val="16"/>
          <w:i w:val="1"/>
          <w:iCs w:val="1"/>
          <w:color w:val="auto"/>
        </w:rPr>
        <w:t xml:space="preserve"> </w:t>
      </w:r>
      <w:r>
        <w:rPr>
          <w:rFonts w:ascii="Arial" w:cs="Arial" w:eastAsia="Arial" w:hAnsi="Arial"/>
          <w:sz w:val="16"/>
          <w:szCs w:val="16"/>
          <w:color w:val="auto"/>
        </w:rPr>
        <w:t>not limited to any filing fees and other expenses (including fees and disbursements of counsel to the Underwriters) incurred in connection with qualification of the Offered Securities for sale under the laws of such jurisdictions as the Representatives designate and the preparation and printing of memoranda relating thereto in an amount not to exceed $10,000, costs and expenses related to the review by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of the Offered Securities (including filing fees and the fees and expenses of counsel for the Underwriters relating to such review in an amount not to exceed $30,000), costs and expenses relating to investor presentations or any “road show” in connection with the offering and sale of the Offered Securities including, without limitation, any travel expenses of the Company’s officers and employees and any other expenses of the Company including one-half of the cost of the chartering of airplanes in connection with any “roadshow,” fees and expenses incident to listing the Offered Securities on the New York Stock Exchange, American Stock Exchange, NASDAQ Global [Select] Market and other national and foreign exchanges, fees and expenses in connection with the registration of the Offered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w:t>
      </w:r>
    </w:p>
    <w:p>
      <w:pPr>
        <w:spacing w:after="0" w:line="10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74" w:right="299" w:bottom="1440" w:gutter="0" w:footer="0" w:header="0"/>
        </w:sectPr>
      </w:pPr>
    </w:p>
    <w:bookmarkStart w:id="262" w:name="page263"/>
    <w:bookmarkEnd w:id="262"/>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 or prospective investors. Notwithstanding the foregoing, each of the several Underwriters will pay its own costs and expenses relating to any investor presentations or roadshow and one-half the costs and expenses of chartering of airplanes in connection with any roadshow.</w:t>
      </w:r>
    </w:p>
    <w:p>
      <w:pPr>
        <w:spacing w:after="0" w:line="38" w:lineRule="exact"/>
        <w:rPr>
          <w:sz w:val="20"/>
          <w:szCs w:val="20"/>
          <w:color w:val="auto"/>
        </w:rPr>
      </w:pPr>
    </w:p>
    <w:p>
      <w:pPr>
        <w:ind w:right="20" w:firstLine="443"/>
        <w:spacing w:after="0" w:line="259" w:lineRule="auto"/>
        <w:tabs>
          <w:tab w:leader="none" w:pos="653"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in connection with this offering in the manner described in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section of the General Disclosure Package and, except as disclosed in the General Disclosure Package and the Final Prospectus, the Company does not intend to use any of the proceeds from the sale of the Offered Securities hereunder to repay any outstanding debt owed to any Underwriter or affiliate of any Underwriter.</w:t>
      </w:r>
    </w:p>
    <w:p>
      <w:pPr>
        <w:spacing w:after="0" w:line="78" w:lineRule="exact"/>
        <w:rPr>
          <w:rFonts w:ascii="Arial" w:cs="Arial" w:eastAsia="Arial" w:hAnsi="Arial"/>
          <w:sz w:val="18"/>
          <w:szCs w:val="18"/>
          <w:color w:val="auto"/>
        </w:rPr>
      </w:pPr>
    </w:p>
    <w:p>
      <w:pPr>
        <w:ind w:right="40" w:firstLine="443"/>
        <w:spacing w:after="0" w:line="264" w:lineRule="auto"/>
        <w:tabs>
          <w:tab w:leader="none" w:pos="653"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will not take, directly or indirectly, any action designed to or that would constitute or that might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reasonably be expected to cause or result in, stabilization or manipulation of the price of any securities of the Company to facilitate the sale or resale of the Offered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is made in this Section with respect to the Underwriters.</w:t>
      </w:r>
    </w:p>
    <w:p>
      <w:pPr>
        <w:spacing w:after="0" w:line="69" w:lineRule="exact"/>
        <w:rPr>
          <w:rFonts w:ascii="Arial" w:cs="Arial" w:eastAsia="Arial" w:hAnsi="Arial"/>
          <w:sz w:val="18"/>
          <w:szCs w:val="18"/>
          <w:color w:val="auto"/>
        </w:rPr>
      </w:pPr>
    </w:p>
    <w:p>
      <w:pPr>
        <w:ind w:firstLine="443"/>
        <w:spacing w:after="0" w:line="271" w:lineRule="auto"/>
        <w:tabs>
          <w:tab w:leader="none" w:pos="693"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Restriction on Sale of Securities</w:t>
      </w:r>
      <w:r>
        <w:rPr>
          <w:rFonts w:ascii="Arial" w:cs="Arial" w:eastAsia="Arial" w:hAnsi="Arial"/>
          <w:sz w:val="17"/>
          <w:szCs w:val="17"/>
          <w:color w:val="auto"/>
        </w:rPr>
        <w:t>. For the period specified below (the “</w:t>
      </w:r>
      <w:r>
        <w:rPr>
          <w:rFonts w:ascii="Arial" w:cs="Arial" w:eastAsia="Arial" w:hAnsi="Arial"/>
          <w:sz w:val="17"/>
          <w:szCs w:val="17"/>
          <w:b w:val="1"/>
          <w:bCs w:val="1"/>
          <w:color w:val="auto"/>
        </w:rPr>
        <w:t>Lock-Up Period</w:t>
      </w:r>
      <w:r>
        <w:rPr>
          <w:rFonts w:ascii="Arial" w:cs="Arial" w:eastAsia="Arial" w:hAnsi="Arial"/>
          <w:sz w:val="17"/>
          <w:szCs w:val="17"/>
          <w:color w:val="auto"/>
        </w:rPr>
        <w:t>”), the Company will not, directly or indirectly, take</w:t>
      </w:r>
      <w:r>
        <w:rPr>
          <w:rFonts w:ascii="Arial" w:cs="Arial" w:eastAsia="Arial" w:hAnsi="Arial"/>
          <w:sz w:val="17"/>
          <w:szCs w:val="17"/>
          <w:i w:val="1"/>
          <w:iCs w:val="1"/>
          <w:color w:val="auto"/>
        </w:rPr>
        <w:t xml:space="preserve"> </w:t>
      </w:r>
      <w:r>
        <w:rPr>
          <w:rFonts w:ascii="Arial" w:cs="Arial" w:eastAsia="Arial" w:hAnsi="Arial"/>
          <w:sz w:val="17"/>
          <w:szCs w:val="17"/>
          <w:color w:val="auto"/>
        </w:rPr>
        <w:t>any of the following actions with respect to its Securities or any securities convertible into or exchangeable or exercisable for any of its Securities (“</w:t>
      </w:r>
      <w:r>
        <w:rPr>
          <w:rFonts w:ascii="Arial" w:cs="Arial" w:eastAsia="Arial" w:hAnsi="Arial"/>
          <w:sz w:val="17"/>
          <w:szCs w:val="17"/>
          <w:b w:val="1"/>
          <w:bCs w:val="1"/>
          <w:color w:val="auto"/>
        </w:rPr>
        <w:t>Lock-Up Securities</w:t>
      </w:r>
      <w:r>
        <w:rPr>
          <w:rFonts w:ascii="Arial" w:cs="Arial" w:eastAsia="Arial" w:hAnsi="Arial"/>
          <w:sz w:val="17"/>
          <w:szCs w:val="17"/>
          <w:color w:val="auto"/>
        </w:rPr>
        <w:t>”):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 without the prior written consent of Credit Suisse. The Lock-Up Period will commence on the date hereof and continue for one hundred eighty (180) days after the date hereof or such earlier date that Credit Suisse consents to in writing.</w:t>
      </w:r>
    </w:p>
    <w:p>
      <w:pPr>
        <w:spacing w:after="0" w:line="70"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 xml:space="preserve">The restrictions contained in the preceding paragraph shall not apply to (a) the Offered Securities to be issued or sold hereunder; (b) the issuance by the Company of Common Shares upon the exercise of an option or warrant or the conversion of a security outstanding on the date hereof or described in the General Disclosure Package and the Final Prospectus; (c) the issuance by the Company of any options or warrants pursuant to any employee equity incentive plan or share ownership plan existing on the date hereof or described in the General Disclosure Package and the Final Prospectus; (d) the filing by the Company of a registration statement with the Commission on Form S-8 in respect of any shares issued under or the grant of any award pursuant to an employee equity incentive plan or share ownership plan existing on the date hereof or described in the General Disclosure Package and the Final Prospectus; (e) the transfer of Common Shares or any securities convertible into or exchangeable for Common Shares pursuant to a bona fide third-party tender offer, merger, consolidation or other similar transaction that is approved by the board of directors of the Company, made to all holders of Common Shares, involving a Change of Control (as defined below) after the completion of the offering of the Offered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Shares or any securities convertible into or exchangeable for Common Shares shall remain subject to the restrictions contained in the preceding paragraph; or (f) the sale or issuance of or entry into an agreement to sell or issue Common Shares or securities convertible into or exercisable for Common Shares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w:t>
      </w:r>
    </w:p>
    <w:p>
      <w:pPr>
        <w:spacing w:after="0" w:line="2" w:lineRule="exact"/>
        <w:rPr>
          <w:sz w:val="20"/>
          <w:szCs w:val="20"/>
          <w:color w:val="auto"/>
        </w:rPr>
      </w:pPr>
    </w:p>
    <w:p>
      <w:pPr>
        <w:ind w:left="5160" w:right="4040" w:hanging="5156"/>
        <w:spacing w:after="0" w:line="433" w:lineRule="auto"/>
        <w:tabs>
          <w:tab w:leader="none" w:pos="30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filing of a Registration Statement with respect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18</w:t>
      </w:r>
    </w:p>
    <w:p>
      <w:pPr>
        <w:sectPr>
          <w:pgSz w:w="11900" w:h="16838" w:orient="portrait"/>
          <w:cols w:equalWidth="0" w:num="1">
            <w:col w:w="10940"/>
          </w:cols>
          <w:pgMar w:left="700" w:top="274" w:right="259" w:bottom="1440" w:gutter="0" w:footer="0" w:header="0"/>
        </w:sectPr>
      </w:pPr>
    </w:p>
    <w:bookmarkStart w:id="263" w:name="page264"/>
    <w:bookmarkEnd w:id="263"/>
    <w:p>
      <w:pPr>
        <w:ind w:left="440"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aggregate number of Common Shares or securities convertible into or exercisable for Common Shares (on an as-converted or as-exercised basis, as the case may be) that the Company may sell or issue or agree to sell or issue pursuant to this clause (f) shall not exceed 10% of the total number of Common Shares issued and outstanding immediately following the completion of the transactions contemplated by this Agreement (determined on a fully-diluted basis and as adjusted for share splits, share dividends and other similar events after the date 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each recipient of Common Shares or securities convertible into or exercisable for Common Stock pursuant to this clause (f) shall, on or prior to such issuance, execute a lock-up letter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with respect to the remaining portion of the Lock-Up Period.</w:t>
      </w:r>
    </w:p>
    <w:p>
      <w:pPr>
        <w:spacing w:after="0" w:line="53" w:lineRule="exact"/>
        <w:rPr>
          <w:sz w:val="20"/>
          <w:szCs w:val="20"/>
          <w:color w:val="auto"/>
        </w:rPr>
      </w:pPr>
    </w:p>
    <w:p>
      <w:pPr>
        <w:ind w:left="440" w:right="120" w:firstLine="438"/>
        <w:spacing w:after="0" w:line="281" w:lineRule="auto"/>
        <w:rPr>
          <w:sz w:val="20"/>
          <w:szCs w:val="20"/>
          <w:color w:val="auto"/>
        </w:rPr>
      </w:pPr>
      <w:r>
        <w:rPr>
          <w:rFonts w:ascii="Arial" w:cs="Arial" w:eastAsia="Arial" w:hAnsi="Arial"/>
          <w:sz w:val="17"/>
          <w:szCs w:val="17"/>
          <w:color w:val="auto"/>
        </w:rPr>
        <w:t>For purposes of the foregoing paragraph,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the transfer (whether by tender offer, merger, consolidation or other similar transaction), in one transaction or a series of related transactions, to a person or group of affiliated persons (other than an Underwriter pursuant to the public offering contemplated by this Agreement), of the Company’s voting securities if, after such transfer, such person or group of affiliated persons would hold more than 50% of the outstanding voting securities of the Company (or the surviving entity).</w:t>
      </w:r>
    </w:p>
    <w:p>
      <w:pPr>
        <w:spacing w:after="0" w:line="61" w:lineRule="exact"/>
        <w:rPr>
          <w:sz w:val="20"/>
          <w:szCs w:val="20"/>
          <w:color w:val="auto"/>
        </w:rPr>
      </w:pPr>
    </w:p>
    <w:p>
      <w:pPr>
        <w:ind w:left="440" w:right="360" w:firstLine="438"/>
        <w:spacing w:after="0" w:line="342" w:lineRule="auto"/>
        <w:rPr>
          <w:sz w:val="20"/>
          <w:szCs w:val="20"/>
          <w:color w:val="auto"/>
        </w:rPr>
      </w:pPr>
      <w:r>
        <w:rPr>
          <w:rFonts w:ascii="Arial" w:cs="Arial" w:eastAsia="Arial" w:hAnsi="Arial"/>
          <w:sz w:val="16"/>
          <w:szCs w:val="16"/>
          <w:color w:val="auto"/>
        </w:rPr>
        <w:t>In addition, during the Lock-Up Period, the Company will enforce its shareholders’ obligations to comply with any and all restrictions on the sale, pledge or transfer of the Company’s Securities pursuant to any shareholders’ agreement by and among the Company and its shareholders.</w:t>
      </w:r>
    </w:p>
    <w:p>
      <w:pPr>
        <w:spacing w:after="0" w:line="16" w:lineRule="exact"/>
        <w:rPr>
          <w:sz w:val="20"/>
          <w:szCs w:val="20"/>
          <w:color w:val="auto"/>
        </w:rPr>
      </w:pPr>
    </w:p>
    <w:p>
      <w:pPr>
        <w:ind w:left="440" w:right="280" w:firstLine="443"/>
        <w:spacing w:after="0" w:line="264" w:lineRule="auto"/>
        <w:tabs>
          <w:tab w:leader="none" w:pos="109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(a) completion of the distribution of the Securities within the meaning of the Act and (b) completion of the 180-day restricted period referred to in Section 7(k) hereof.</w:t>
      </w:r>
    </w:p>
    <w:p>
      <w:pPr>
        <w:spacing w:after="0" w:line="73" w:lineRule="exact"/>
        <w:rPr>
          <w:rFonts w:ascii="Arial" w:cs="Arial" w:eastAsia="Arial" w:hAnsi="Arial"/>
          <w:sz w:val="18"/>
          <w:szCs w:val="18"/>
          <w:color w:val="auto"/>
        </w:rPr>
      </w:pPr>
    </w:p>
    <w:p>
      <w:pPr>
        <w:ind w:left="440" w:right="40" w:firstLine="443"/>
        <w:spacing w:after="0" w:line="276" w:lineRule="auto"/>
        <w:tabs>
          <w:tab w:leader="none" w:pos="1183"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Testing-the-Waters</w:t>
      </w:r>
      <w:r>
        <w:rPr>
          <w:rFonts w:ascii="Arial" w:cs="Arial" w:eastAsia="Arial" w:hAnsi="Arial"/>
          <w:sz w:val="17"/>
          <w:szCs w:val="17"/>
          <w:color w:val="auto"/>
        </w:rPr>
        <w:t>. If at any time following the distribution of any Written Testing-the-Waters Communication there occurred or occurs an</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64" w:lineRule="exact"/>
        <w:rPr>
          <w:rFonts w:ascii="Arial" w:cs="Arial" w:eastAsia="Arial" w:hAnsi="Arial"/>
          <w:sz w:val="17"/>
          <w:szCs w:val="17"/>
          <w:color w:val="auto"/>
        </w:rPr>
      </w:pPr>
    </w:p>
    <w:p>
      <w:pPr>
        <w:ind w:left="440" w:firstLine="443"/>
        <w:spacing w:after="0" w:line="257" w:lineRule="auto"/>
        <w:tabs>
          <w:tab w:leader="none" w:pos="113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Agreement to Announce Lock-up Waiver</w:t>
      </w:r>
      <w:r>
        <w:rPr>
          <w:rFonts w:ascii="Arial" w:cs="Arial" w:eastAsia="Arial" w:hAnsi="Arial"/>
          <w:sz w:val="18"/>
          <w:szCs w:val="18"/>
          <w:color w:val="auto"/>
        </w:rPr>
        <w:t>. If Credit Suisse, in its sole discretion, agrees to release or waive the restrictions set forth in a lock-up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letter described in Section 9(j)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through a major news service at least two business days before the effective date of the release or waiver.</w:t>
      </w:r>
    </w:p>
    <w:p>
      <w:pPr>
        <w:spacing w:after="0" w:line="80" w:lineRule="exact"/>
        <w:rPr>
          <w:rFonts w:ascii="Arial" w:cs="Arial" w:eastAsia="Arial" w:hAnsi="Arial"/>
          <w:sz w:val="18"/>
          <w:szCs w:val="18"/>
          <w:color w:val="auto"/>
        </w:rPr>
      </w:pPr>
    </w:p>
    <w:p>
      <w:pPr>
        <w:ind w:left="-20" w:right="60" w:firstLine="464"/>
        <w:spacing w:after="0" w:line="253" w:lineRule="auto"/>
        <w:tabs>
          <w:tab w:leader="none" w:pos="616"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The Company represents and agrees that, unless it obtains the prior consent of the Representatives, and each Underwriter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8"/>
          <w:szCs w:val="18"/>
          <w:b w:val="1"/>
          <w:bCs w:val="1"/>
          <w:color w:val="auto"/>
        </w:rPr>
        <w:t>Permitted Free Writing Prospectus</w:t>
      </w:r>
      <w:r>
        <w:rPr>
          <w:rFonts w:ascii="Arial" w:cs="Arial" w:eastAsia="Arial" w:hAnsi="Arial"/>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74" w:right="239" w:bottom="1440" w:gutter="0" w:footer="0" w:header="0"/>
        </w:sectPr>
      </w:pPr>
    </w:p>
    <w:bookmarkStart w:id="264" w:name="page265"/>
    <w:bookmarkEnd w:id="264"/>
    <w:p>
      <w:pPr>
        <w:ind w:left="-20" w:right="300" w:firstLine="464"/>
        <w:spacing w:after="0" w:line="302" w:lineRule="auto"/>
        <w:tabs>
          <w:tab w:leader="none" w:pos="616" w:val="left"/>
        </w:tabs>
        <w:numPr>
          <w:ilvl w:val="0"/>
          <w:numId w:val="19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the Obligations of the Underwriters</w:t>
      </w:r>
      <w:r>
        <w:rPr>
          <w:rFonts w:ascii="Arial" w:cs="Arial" w:eastAsia="Arial" w:hAnsi="Arial"/>
          <w:sz w:val="16"/>
          <w:szCs w:val="16"/>
          <w:color w:val="auto"/>
        </w:rPr>
        <w:t>. The obligations of the several Underwriters to purchase and pay for the Firm Securities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Closing Date and the Optional Securities to be purchased on each Optional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46" w:lineRule="exact"/>
        <w:rPr>
          <w:rFonts w:ascii="Arial" w:cs="Arial" w:eastAsia="Arial" w:hAnsi="Arial"/>
          <w:sz w:val="16"/>
          <w:szCs w:val="16"/>
          <w:color w:val="auto"/>
        </w:rPr>
      </w:pPr>
    </w:p>
    <w:p>
      <w:pPr>
        <w:ind w:left="440" w:right="220" w:firstLine="443"/>
        <w:spacing w:after="0" w:line="259" w:lineRule="auto"/>
        <w:tabs>
          <w:tab w:leader="none" w:pos="1123"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The Representatives shall have received letters, dated, respectively, the date hereof and each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Ernst &amp; Young AG confirming that they are a registered public accounting firm and independent public accountants within the meaning of the Securities Laws and substantially in the form of Schedule C hereto (except that, in any letter dated a Closing Date, the specified date referred to in Schedule C hereto shall be a date no more than three business days prior to such Closing Date).</w:t>
      </w:r>
    </w:p>
    <w:p>
      <w:pPr>
        <w:spacing w:after="0" w:line="78" w:lineRule="exact"/>
        <w:rPr>
          <w:rFonts w:ascii="Arial" w:cs="Arial" w:eastAsia="Arial" w:hAnsi="Arial"/>
          <w:sz w:val="18"/>
          <w:szCs w:val="18"/>
          <w:color w:val="auto"/>
        </w:rPr>
      </w:pPr>
    </w:p>
    <w:p>
      <w:pPr>
        <w:ind w:left="440" w:firstLine="443"/>
        <w:spacing w:after="0" w:line="255" w:lineRule="auto"/>
        <w:tabs>
          <w:tab w:leader="none" w:pos="1133"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If the Effective Time of the Additional Registration Statement (if any) is not prior to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this Agreement, such Effective Time shall have occurred not later than 10:00 p.m., New York time,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Section 7(a) hereof. Prior to such Closing Date, no stop order suspending the effectiveness of a Registration Statement shall have been issued and no proceedings for that purpose shall have been instituted or, to the knowledge of the Company or the Representatives, shall be contemplated by the Commission.</w:t>
      </w:r>
    </w:p>
    <w:p>
      <w:pPr>
        <w:spacing w:after="0" w:line="81" w:lineRule="exact"/>
        <w:rPr>
          <w:rFonts w:ascii="Arial" w:cs="Arial" w:eastAsia="Arial" w:hAnsi="Arial"/>
          <w:sz w:val="18"/>
          <w:szCs w:val="18"/>
          <w:color w:val="auto"/>
        </w:rPr>
      </w:pPr>
    </w:p>
    <w:p>
      <w:pPr>
        <w:ind w:left="440" w:firstLine="443"/>
        <w:spacing w:after="0" w:line="268" w:lineRule="auto"/>
        <w:tabs>
          <w:tab w:leader="none" w:pos="1123"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Subsequent to the execution and delivery of this Agreement, there shall not have occurred (i) any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(financial or otherwise), results of operations, business or properties or prospects of the Company which, in the judgment of the Representatives, is material and adverse and makes it impractical or inadvisable to market the Offered Securities; (ii) any change in U.S. or international financial, political or economic conditions or currency exchange rates or exchange controls the effect of which is such as to make it, in the judgment of the Representatives, impractical to market or to enforce contracts for the sale of the Offered Securities, whether in the primary market or in respect of dealings in the secondary market; (iii) any suspension or material limitation of trading in securities generally on the New York Stock Exchange or NASDAQ Global [Select] Market, or any setting of minimum or maximum prices for trading on such exchange; (iv) any banking moratorium declared by any U.S. federal, New York or Swiss authorities; (v) any suspension of trading of any securities of the Company on any exchange or in the over-the-counter market; (vi) any major disruption of settlements of securities, payment, or clearance services in the United States or any other country where such securities are listed or (vii)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Securities or to enforce contracts for the sale of the Offered Securities.</w:t>
      </w:r>
    </w:p>
    <w:p>
      <w:pPr>
        <w:spacing w:after="0" w:line="79" w:lineRule="exact"/>
        <w:rPr>
          <w:rFonts w:ascii="Arial" w:cs="Arial" w:eastAsia="Arial" w:hAnsi="Arial"/>
          <w:sz w:val="17"/>
          <w:szCs w:val="17"/>
          <w:color w:val="auto"/>
        </w:rPr>
      </w:pPr>
    </w:p>
    <w:p>
      <w:pPr>
        <w:ind w:left="440" w:right="580" w:firstLine="443"/>
        <w:spacing w:after="0" w:line="277" w:lineRule="auto"/>
        <w:tabs>
          <w:tab w:leader="none" w:pos="1133"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Opinion of U.S. Counsel for Company</w:t>
      </w:r>
      <w:r>
        <w:rPr>
          <w:rFonts w:ascii="Arial" w:cs="Arial" w:eastAsia="Arial" w:hAnsi="Arial"/>
          <w:sz w:val="18"/>
          <w:szCs w:val="18"/>
          <w:color w:val="auto"/>
        </w:rPr>
        <w:t>. The Representatives shall have received an opinion, dated such Closing Date, of Davis Polk &amp;</w:t>
      </w:r>
      <w:r>
        <w:rPr>
          <w:rFonts w:ascii="Arial" w:cs="Arial" w:eastAsia="Arial" w:hAnsi="Arial"/>
          <w:sz w:val="18"/>
          <w:szCs w:val="18"/>
          <w:i w:val="1"/>
          <w:iCs w:val="1"/>
          <w:color w:val="auto"/>
        </w:rPr>
        <w:t xml:space="preserve"> </w:t>
      </w:r>
      <w:r>
        <w:rPr>
          <w:rFonts w:ascii="Arial" w:cs="Arial" w:eastAsia="Arial" w:hAnsi="Arial"/>
          <w:sz w:val="18"/>
          <w:szCs w:val="18"/>
          <w:color w:val="auto"/>
        </w:rPr>
        <w:t>Wardwell LLP, U.S. counsel for the Company, in form and substance satisfactory to the Representatives.</w:t>
      </w:r>
    </w:p>
    <w:p>
      <w:pPr>
        <w:spacing w:after="0" w:line="62" w:lineRule="exact"/>
        <w:rPr>
          <w:rFonts w:ascii="Arial" w:cs="Arial" w:eastAsia="Arial" w:hAnsi="Arial"/>
          <w:sz w:val="18"/>
          <w:szCs w:val="18"/>
          <w:color w:val="auto"/>
        </w:rPr>
      </w:pPr>
    </w:p>
    <w:p>
      <w:pPr>
        <w:ind w:left="440" w:right="320" w:firstLine="443"/>
        <w:spacing w:after="0" w:line="277" w:lineRule="auto"/>
        <w:tabs>
          <w:tab w:leader="none" w:pos="1123"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Opinion of Swiss Counsel for the Company</w:t>
      </w:r>
      <w:r>
        <w:rPr>
          <w:rFonts w:ascii="Arial" w:cs="Arial" w:eastAsia="Arial" w:hAnsi="Arial"/>
          <w:sz w:val="18"/>
          <w:szCs w:val="18"/>
          <w:color w:val="auto"/>
        </w:rPr>
        <w:t>. The Representatives shall have received an opinion, dated such Closing Date, of Vischer AG,</w:t>
      </w:r>
      <w:r>
        <w:rPr>
          <w:rFonts w:ascii="Arial" w:cs="Arial" w:eastAsia="Arial" w:hAnsi="Arial"/>
          <w:sz w:val="18"/>
          <w:szCs w:val="18"/>
          <w:i w:val="1"/>
          <w:iCs w:val="1"/>
          <w:color w:val="auto"/>
        </w:rPr>
        <w:t xml:space="preserve"> </w:t>
      </w:r>
      <w:r>
        <w:rPr>
          <w:rFonts w:ascii="Arial" w:cs="Arial" w:eastAsia="Arial" w:hAnsi="Arial"/>
          <w:sz w:val="18"/>
          <w:szCs w:val="18"/>
          <w:color w:val="auto"/>
        </w:rPr>
        <w:t>Swiss counsel for the Company, in form and substance satisfactory to the Representatives.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74" w:right="259" w:bottom="1440" w:gutter="0" w:footer="0" w:header="0"/>
        </w:sectPr>
      </w:pPr>
    </w:p>
    <w:bookmarkStart w:id="265" w:name="page266"/>
    <w:bookmarkEnd w:id="265"/>
    <w:p>
      <w:pPr>
        <w:ind w:left="460" w:right="280" w:firstLine="443"/>
        <w:spacing w:after="0" w:line="264" w:lineRule="auto"/>
        <w:tabs>
          <w:tab w:leader="none" w:pos="1123"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Opinions of Intellectual Property Counsel for the Company</w:t>
      </w:r>
      <w:r>
        <w:rPr>
          <w:rFonts w:ascii="Arial" w:cs="Arial" w:eastAsia="Arial" w:hAnsi="Arial"/>
          <w:sz w:val="18"/>
          <w:szCs w:val="18"/>
          <w:color w:val="auto"/>
        </w:rPr>
        <w:t>. The Representatives shall have received opinions, dated such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Johnson, Marcou &amp; Isaacs LLP, Vossius &amp; Partner and Jones Day LLP, each intellectual property counsel for the Company, in form and substance satisfactory to the Representatives.</w:t>
      </w:r>
    </w:p>
    <w:p>
      <w:pPr>
        <w:spacing w:after="0" w:line="73" w:lineRule="exact"/>
        <w:rPr>
          <w:rFonts w:ascii="Arial" w:cs="Arial" w:eastAsia="Arial" w:hAnsi="Arial"/>
          <w:sz w:val="18"/>
          <w:szCs w:val="18"/>
          <w:color w:val="auto"/>
        </w:rPr>
      </w:pPr>
    </w:p>
    <w:p>
      <w:pPr>
        <w:ind w:left="460" w:right="280" w:firstLine="443"/>
        <w:spacing w:after="0" w:line="312" w:lineRule="auto"/>
        <w:tabs>
          <w:tab w:leader="none" w:pos="1153"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Opinion of U.S. Counsel for Underwriters</w:t>
      </w:r>
      <w:r>
        <w:rPr>
          <w:rFonts w:ascii="Arial" w:cs="Arial" w:eastAsia="Arial" w:hAnsi="Arial"/>
          <w:sz w:val="16"/>
          <w:szCs w:val="16"/>
          <w:color w:val="auto"/>
        </w:rPr>
        <w:t>. The Representatives shall have received from Goodwin Procter LLP, U.S.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Opinion of Swiss Counsel for Underwriters</w:t>
      </w:r>
      <w:r>
        <w:rPr>
          <w:rFonts w:ascii="Arial" w:cs="Arial" w:eastAsia="Arial" w:hAnsi="Arial"/>
          <w:sz w:val="18"/>
          <w:szCs w:val="18"/>
          <w:color w:val="auto"/>
        </w:rPr>
        <w:t>. The Representatives shall have received from Homburger AG, Swiss counsel for the</w:t>
      </w:r>
    </w:p>
    <w:p>
      <w:pPr>
        <w:spacing w:after="0" w:line="23" w:lineRule="exact"/>
        <w:rPr>
          <w:rFonts w:ascii="Arial" w:cs="Arial" w:eastAsia="Arial" w:hAnsi="Arial"/>
          <w:sz w:val="18"/>
          <w:szCs w:val="18"/>
          <w:color w:val="auto"/>
        </w:rPr>
      </w:pPr>
    </w:p>
    <w:p>
      <w:pPr>
        <w:ind w:left="460" w:right="280"/>
        <w:spacing w:after="0" w:line="323" w:lineRule="auto"/>
        <w:rPr>
          <w:rFonts w:ascii="Arial" w:cs="Arial" w:eastAsia="Arial" w:hAnsi="Arial"/>
          <w:sz w:val="18"/>
          <w:szCs w:val="18"/>
          <w:color w:val="auto"/>
        </w:rPr>
      </w:pPr>
      <w:r>
        <w:rPr>
          <w:rFonts w:ascii="Arial" w:cs="Arial" w:eastAsia="Arial" w:hAnsi="Arial"/>
          <w:sz w:val="16"/>
          <w:szCs w:val="16"/>
          <w:color w:val="auto"/>
        </w:rPr>
        <w:t>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p>
      <w:pPr>
        <w:spacing w:after="0" w:line="30" w:lineRule="exact"/>
        <w:rPr>
          <w:rFonts w:ascii="Arial" w:cs="Arial" w:eastAsia="Arial" w:hAnsi="Arial"/>
          <w:sz w:val="18"/>
          <w:szCs w:val="18"/>
          <w:color w:val="auto"/>
        </w:rPr>
      </w:pPr>
    </w:p>
    <w:p>
      <w:pPr>
        <w:ind w:left="460" w:right="40" w:firstLine="443"/>
        <w:spacing w:after="0" w:line="270" w:lineRule="auto"/>
        <w:tabs>
          <w:tab w:leader="none" w:pos="1113"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The Representatives shall have received a certificate, dated such Closing Date, of an executive officer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to the best of their knowledge and after reasonable investigation, are contemplated by the Commission; the Additional Registration Statement (if any) satisfying the requirements of subparagraphs (1) and (3) of Rule 462(b) was timely filed pursuant to Rule 462(b), including payment of the applicable filing fee in accordance with Rule 111(a) or (b) of Regulation S-T of the Commission; and, subsequent to the date of the most recent financial statements in the General Disclosure Package, there has been no material adverse change in the condition (financial or otherwise), results of operations, business, properties or prospects of the Company except as set forth in the General Disclosure Package and the Final Prospectus or as described in such certificate.</w:t>
      </w:r>
    </w:p>
    <w:p>
      <w:pPr>
        <w:spacing w:after="0" w:line="69" w:lineRule="exact"/>
        <w:rPr>
          <w:rFonts w:ascii="Arial" w:cs="Arial" w:eastAsia="Arial" w:hAnsi="Arial"/>
          <w:sz w:val="17"/>
          <w:szCs w:val="17"/>
          <w:color w:val="auto"/>
        </w:rPr>
      </w:pPr>
    </w:p>
    <w:p>
      <w:pPr>
        <w:ind w:left="460" w:right="160" w:firstLine="443"/>
        <w:spacing w:after="0" w:line="264" w:lineRule="auto"/>
        <w:tabs>
          <w:tab w:leader="none" w:pos="1113"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On or prior to the date hereof, the Representatives shall have received lockup letters each in substantially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from (i) each of the executive officers and directors of the Company, and (ii) all shareholders, option holders and other equityholders of the Company.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181" w:lineRule="exact"/>
        <w:rPr>
          <w:sz w:val="20"/>
          <w:szCs w:val="20"/>
          <w:color w:val="auto"/>
        </w:rPr>
      </w:pPr>
    </w:p>
    <w:p>
      <w:pPr>
        <w:ind w:left="740" w:hanging="276"/>
        <w:spacing w:after="0"/>
        <w:tabs>
          <w:tab w:leader="none" w:pos="740"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90" w:lineRule="auto"/>
        <w:tabs>
          <w:tab w:leader="none" w:pos="1143" w:val="left"/>
        </w:tabs>
        <w:numPr>
          <w:ilvl w:val="1"/>
          <w:numId w:val="193"/>
        </w:numPr>
        <w:rPr>
          <w:rFonts w:ascii="Arial" w:cs="Arial" w:eastAsia="Arial" w:hAnsi="Arial"/>
          <w:sz w:val="16"/>
          <w:szCs w:val="16"/>
          <w:color w:val="auto"/>
        </w:rPr>
      </w:pPr>
      <w:r>
        <w:rPr>
          <w:rFonts w:ascii="Arial" w:cs="Arial" w:eastAsia="Arial" w:hAnsi="Arial"/>
          <w:sz w:val="16"/>
          <w:szCs w:val="16"/>
          <w:i w:val="1"/>
          <w:iCs w:val="1"/>
          <w:color w:val="auto"/>
        </w:rPr>
        <w:t>Indemnification of Underwriters</w:t>
      </w:r>
      <w:r>
        <w:rPr>
          <w:rFonts w:ascii="Arial" w:cs="Arial" w:eastAsia="Arial" w:hAnsi="Arial"/>
          <w:sz w:val="16"/>
          <w:szCs w:val="16"/>
          <w:color w:val="auto"/>
        </w:rPr>
        <w:t>. The Company will indemnify and hold harmless each Underwriter, its partners, members,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agents, affiliates and each person, if any, who controls such Underwriter within the meaning of Section 15 of the Act or Section 20 of the Exchange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Written Testing-the-Waters Communication at any time, any Statutory Prospectus as of any time, the Final Prospectus or any Issuer Free Writing Prospectus, or arise out of or are based upon the omission or alleged omission of a material fact required to be stated therein or necessary to make the statements therein not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6" w:name="page267"/>
    <w:bookmarkEnd w:id="26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will not be liable in any such case to the extent that any such loss, claim, damage or liability arises out of or is based upon an untrue statement or alleged untrue statement in or omission or alleged omission from any of such documents made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71" w:lineRule="exact"/>
        <w:rPr>
          <w:sz w:val="20"/>
          <w:szCs w:val="20"/>
          <w:color w:val="auto"/>
        </w:rPr>
      </w:pPr>
    </w:p>
    <w:p>
      <w:pPr>
        <w:ind w:firstLine="443"/>
        <w:spacing w:after="0" w:line="285" w:lineRule="auto"/>
        <w:tabs>
          <w:tab w:leader="none" w:pos="693"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Indemnification of Company</w:t>
      </w:r>
      <w:r>
        <w:rPr>
          <w:rFonts w:ascii="Arial" w:cs="Arial" w:eastAsia="Arial" w:hAnsi="Arial"/>
          <w:sz w:val="16"/>
          <w:szCs w:val="16"/>
          <w:color w:val="auto"/>
        </w:rPr>
        <w:t>. Each Underwriter will severally and not jointly indemnify and hold harmless the Company, each of its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any Written Testing-the-Waters Communication,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fourth paragraph under the caption “Underwriting” and the information relating to stabilizing transactions, over-allotment transactions, syndicate covering transactions and penalty bids contained in the paragraphs under the caption “Underwriting—Price Stabilization, Short Positions and Penalty Bids.”</w:t>
      </w:r>
    </w:p>
    <w:p>
      <w:pPr>
        <w:spacing w:after="0" w:line="67" w:lineRule="exact"/>
        <w:rPr>
          <w:rFonts w:ascii="Arial" w:cs="Arial" w:eastAsia="Arial" w:hAnsi="Arial"/>
          <w:sz w:val="16"/>
          <w:szCs w:val="16"/>
          <w:color w:val="auto"/>
        </w:rPr>
      </w:pPr>
    </w:p>
    <w:p>
      <w:pPr>
        <w:ind w:right="40" w:firstLine="443"/>
        <w:spacing w:after="0" w:line="288" w:lineRule="auto"/>
        <w:tabs>
          <w:tab w:leader="none" w:pos="683"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Promptly after receipt by an indemnified party under this Section 10 of notice of the commencement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action, 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267" w:name="page268"/>
    <w:bookmarkEnd w:id="267"/>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will not be liable to such indemnified party under this Section 10 for any legal or other expenses subsequently incurred by such indemnified party in connection with the defense thereof other than reasonable costs of investigation.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77" w:lineRule="exact"/>
        <w:rPr>
          <w:sz w:val="20"/>
          <w:szCs w:val="20"/>
          <w:color w:val="auto"/>
        </w:rPr>
      </w:pPr>
    </w:p>
    <w:p>
      <w:pPr>
        <w:ind w:firstLine="443"/>
        <w:spacing w:after="0" w:line="284" w:lineRule="auto"/>
        <w:tabs>
          <w:tab w:leader="none" w:pos="693"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underwriting discount or commission applicable to the Securities purchased by such Underwriter hereunder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10(d) were determined by pro rata allocation (even if the Underwriters were treated as one entity for such purpose) or by any other method of allocation which does not take account of the equitable considerations referred to in this Section 10(d).</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268" w:name="page269"/>
    <w:bookmarkEnd w:id="268"/>
    <w:p>
      <w:pPr>
        <w:ind w:left="-20" w:right="40" w:firstLine="464"/>
        <w:spacing w:after="0" w:line="286" w:lineRule="auto"/>
        <w:tabs>
          <w:tab w:leader="none" w:pos="700" w:val="left"/>
        </w:tabs>
        <w:numPr>
          <w:ilvl w:val="0"/>
          <w:numId w:val="19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of Underwriters</w:t>
      </w:r>
      <w:r>
        <w:rPr>
          <w:rFonts w:ascii="Arial" w:cs="Arial" w:eastAsia="Arial" w:hAnsi="Arial"/>
          <w:sz w:val="16"/>
          <w:szCs w:val="16"/>
          <w:color w:val="auto"/>
        </w:rPr>
        <w:t>. If any Underwriter or Underwriters default in their obligations to purchase Offered Securities hereunder on either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or the Company, except as provided in Section 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74" w:lineRule="exact"/>
        <w:rPr>
          <w:rFonts w:ascii="Arial" w:cs="Arial" w:eastAsia="Arial" w:hAnsi="Arial"/>
          <w:sz w:val="16"/>
          <w:szCs w:val="16"/>
          <w:color w:val="auto"/>
        </w:rPr>
      </w:pPr>
    </w:p>
    <w:p>
      <w:pPr>
        <w:ind w:left="-20" w:firstLine="464"/>
        <w:spacing w:after="0" w:line="268" w:lineRule="auto"/>
        <w:tabs>
          <w:tab w:leader="none" w:pos="706" w:val="left"/>
        </w:tabs>
        <w:numPr>
          <w:ilvl w:val="0"/>
          <w:numId w:val="196"/>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this Agreement. </w:t>
      </w:r>
      <w:r>
        <w:rPr>
          <w:rFonts w:ascii="Arial" w:cs="Arial" w:eastAsia="Arial" w:hAnsi="Arial"/>
          <w:sz w:val="17"/>
          <w:szCs w:val="17"/>
          <w:color w:val="auto"/>
        </w:rPr>
        <w:t>Prior to the purchase of the Firm Securities by the Underwriters on the First Closing Date, this Agreement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of federal, New York or Swiss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a Statutory Prospectus or to enforce contracts for the sale of securities; or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7(h) hereof if the purchase of the Offered Securities by the Underwriters is not consummated for any reason other than solely because of the termination of this Agreement pursuant to Section 11 hereof or (b) any Underwriter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provisions of Section 10 shall at all times be effective and shall survive such termination.</w:t>
      </w:r>
    </w:p>
    <w:p>
      <w:pPr>
        <w:spacing w:after="0" w:line="180" w:lineRule="exact"/>
        <w:rPr>
          <w:rFonts w:ascii="Arial" w:cs="Arial" w:eastAsia="Arial" w:hAnsi="Arial"/>
          <w:sz w:val="17"/>
          <w:szCs w:val="17"/>
          <w:color w:val="auto"/>
        </w:rPr>
      </w:pPr>
    </w:p>
    <w:p>
      <w:pPr>
        <w:ind w:left="-20" w:right="20" w:firstLine="464"/>
        <w:spacing w:after="0" w:line="293" w:lineRule="auto"/>
        <w:tabs>
          <w:tab w:leader="none" w:pos="706" w:val="left"/>
        </w:tabs>
        <w:numPr>
          <w:ilvl w:val="0"/>
          <w:numId w:val="196"/>
        </w:numPr>
        <w:rPr>
          <w:rFonts w:ascii="Arial" w:cs="Arial" w:eastAsia="Arial" w:hAnsi="Arial"/>
          <w:sz w:val="16"/>
          <w:szCs w:val="16"/>
          <w:color w:val="auto"/>
        </w:rPr>
      </w:pPr>
      <w:r>
        <w:rPr>
          <w:rFonts w:ascii="Arial" w:cs="Arial" w:eastAsia="Arial" w:hAnsi="Arial"/>
          <w:sz w:val="16"/>
          <w:szCs w:val="16"/>
          <w:i w:val="1"/>
          <w:iCs w:val="1"/>
          <w:color w:val="auto"/>
        </w:rPr>
        <w:t>Survival of Certain Representations and Obligations</w:t>
      </w:r>
      <w:r>
        <w:rPr>
          <w:rFonts w:ascii="Arial" w:cs="Arial" w:eastAsia="Arial" w:hAnsi="Arial"/>
          <w:sz w:val="16"/>
          <w:szCs w:val="16"/>
          <w:color w:val="auto"/>
        </w:rPr>
        <w:t>. The respective indemnities, agreements, representations, warranties and other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Section 11 hereof, the Company will reimburse the Underwriters for all out-of-pocket expenses (including fees and disbursements of counsel) reasonably incurred by them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60" w:top="274" w:right="239" w:bottom="1440" w:gutter="0" w:footer="0" w:header="0"/>
        </w:sectPr>
      </w:pPr>
    </w:p>
    <w:bookmarkStart w:id="269" w:name="page270"/>
    <w:bookmarkEnd w:id="26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offering of the Offered Securities, and the respective obligations of the Company and the Underwriters pursuant to Section 10 hereof shall remain in effect. In addition, if any Offered Securities have been purchased hereunder, the representations and warranties in Section 2 and all obligations under Section 7 shall also remain in effect.</w:t>
      </w:r>
    </w:p>
    <w:p>
      <w:pPr>
        <w:spacing w:after="0" w:line="181" w:lineRule="exact"/>
        <w:rPr>
          <w:sz w:val="20"/>
          <w:szCs w:val="20"/>
          <w:color w:val="auto"/>
        </w:rPr>
      </w:pPr>
    </w:p>
    <w:p>
      <w:pPr>
        <w:ind w:left="740" w:hanging="276"/>
        <w:spacing w:after="0"/>
        <w:tabs>
          <w:tab w:leader="none" w:pos="740"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Effects of Termination on Offered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443"/>
        <w:spacing w:after="0" w:line="273" w:lineRule="auto"/>
        <w:tabs>
          <w:tab w:leader="none" w:pos="1143" w:val="left"/>
        </w:tabs>
        <w:numPr>
          <w:ilvl w:val="1"/>
          <w:numId w:val="197"/>
        </w:numPr>
        <w:rPr>
          <w:rFonts w:ascii="Arial" w:cs="Arial" w:eastAsia="Arial" w:hAnsi="Arial"/>
          <w:sz w:val="17"/>
          <w:szCs w:val="17"/>
          <w:color w:val="auto"/>
        </w:rPr>
      </w:pPr>
      <w:r>
        <w:rPr>
          <w:rFonts w:ascii="Arial" w:cs="Arial" w:eastAsia="Arial" w:hAnsi="Arial"/>
          <w:sz w:val="17"/>
          <w:szCs w:val="17"/>
          <w:color w:val="auto"/>
        </w:rPr>
        <w:t xml:space="preserve">If, after application and registration of the Firm Capital Increase and/or any Over-Allotment Capital Increase with the Commercial Register of the Canton of Vaud pursuant to Section 4(c) or Section 5(b), prior to the First Closing Date or the relevant Optional Closing Date, as the case may be, this Agreement is terminated pursuant to Section 12, or if the delivery of the Firm Securities or Applicable Optional Securities to the Representatives for the account of the several Underwriters is not completed on the First Closing Date or the relevant Optional Closing Date, as the case may be (each, an </w:t>
      </w:r>
      <w:r>
        <w:rPr>
          <w:rFonts w:ascii="Arial" w:cs="Arial" w:eastAsia="Arial" w:hAnsi="Arial"/>
          <w:sz w:val="17"/>
          <w:szCs w:val="17"/>
          <w:b w:val="1"/>
          <w:bCs w:val="1"/>
          <w:color w:val="auto"/>
        </w:rPr>
        <w:t>“Event of Non-Completion”)</w:t>
      </w:r>
      <w:r>
        <w:rPr>
          <w:rFonts w:ascii="Arial" w:cs="Arial" w:eastAsia="Arial" w:hAnsi="Arial"/>
          <w:sz w:val="17"/>
          <w:szCs w:val="17"/>
          <w:color w:val="auto"/>
        </w:rPr>
        <w:t>, and unless the Company and the Representatives, acting on behalf of the several Underwriters, otherwise agree within ten calendar days after the Event of Non-Completion, then:</w:t>
      </w:r>
    </w:p>
    <w:p>
      <w:pPr>
        <w:spacing w:after="0" w:line="70" w:lineRule="exact"/>
        <w:rPr>
          <w:rFonts w:ascii="Arial" w:cs="Arial" w:eastAsia="Arial" w:hAnsi="Arial"/>
          <w:sz w:val="17"/>
          <w:szCs w:val="17"/>
          <w:color w:val="auto"/>
        </w:rPr>
      </w:pPr>
    </w:p>
    <w:p>
      <w:pPr>
        <w:ind w:left="1560" w:hanging="219"/>
        <w:spacing w:after="0"/>
        <w:tabs>
          <w:tab w:leader="none" w:pos="156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Company shall have a call option against the Underwriters pursuant to Section 14(b);</w:t>
      </w:r>
    </w:p>
    <w:p>
      <w:pPr>
        <w:spacing w:after="0" w:line="117" w:lineRule="exact"/>
        <w:rPr>
          <w:rFonts w:ascii="Arial" w:cs="Arial" w:eastAsia="Arial" w:hAnsi="Arial"/>
          <w:sz w:val="18"/>
          <w:szCs w:val="18"/>
          <w:color w:val="auto"/>
        </w:rPr>
      </w:pPr>
    </w:p>
    <w:p>
      <w:pPr>
        <w:ind w:left="460" w:right="240" w:firstLine="881"/>
        <w:spacing w:after="0" w:line="277" w:lineRule="auto"/>
        <w:tabs>
          <w:tab w:leader="none" w:pos="1601" w:val="left"/>
        </w:tabs>
        <w:numPr>
          <w:ilvl w:val="2"/>
          <w:numId w:val="197"/>
        </w:numPr>
        <w:rPr>
          <w:rFonts w:ascii="Arial" w:cs="Arial" w:eastAsia="Arial" w:hAnsi="Arial"/>
          <w:sz w:val="18"/>
          <w:szCs w:val="18"/>
          <w:color w:val="auto"/>
        </w:rPr>
      </w:pPr>
      <w:r>
        <w:rPr>
          <w:rFonts w:ascii="Arial" w:cs="Arial" w:eastAsia="Arial" w:hAnsi="Arial"/>
          <w:sz w:val="18"/>
          <w:szCs w:val="18"/>
          <w:color w:val="auto"/>
        </w:rPr>
        <w:t>if the call option is not exercised, the Representatives acting on behalf of the several Underwriters shall have a put option against the Company pursuant to Section 14(c);</w:t>
      </w:r>
    </w:p>
    <w:p>
      <w:pPr>
        <w:spacing w:after="0" w:line="62" w:lineRule="exact"/>
        <w:rPr>
          <w:rFonts w:ascii="Arial" w:cs="Arial" w:eastAsia="Arial" w:hAnsi="Arial"/>
          <w:sz w:val="18"/>
          <w:szCs w:val="18"/>
          <w:color w:val="auto"/>
        </w:rPr>
      </w:pPr>
    </w:p>
    <w:p>
      <w:pPr>
        <w:jc w:val="both"/>
        <w:ind w:left="460" w:right="100" w:firstLine="881"/>
        <w:spacing w:after="0" w:line="264" w:lineRule="auto"/>
        <w:tabs>
          <w:tab w:leader="none" w:pos="1651" w:val="left"/>
        </w:tabs>
        <w:numPr>
          <w:ilvl w:val="2"/>
          <w:numId w:val="197"/>
        </w:numPr>
        <w:rPr>
          <w:rFonts w:ascii="Arial" w:cs="Arial" w:eastAsia="Arial" w:hAnsi="Arial"/>
          <w:sz w:val="18"/>
          <w:szCs w:val="18"/>
          <w:color w:val="auto"/>
        </w:rPr>
      </w:pPr>
      <w:r>
        <w:rPr>
          <w:rFonts w:ascii="Arial" w:cs="Arial" w:eastAsia="Arial" w:hAnsi="Arial"/>
          <w:sz w:val="18"/>
          <w:szCs w:val="18"/>
          <w:color w:val="auto"/>
        </w:rPr>
        <w:t>if the put option is not possible for legal reasons or insufficient to dispose of the Firm Securities or Applicable Optional Securities, as applicable, or if such put option is not exercised within the deadline set forth in Section 14(c), the Company shall effect a capital reduction pursuant to Section 14(d); and</w:t>
      </w:r>
    </w:p>
    <w:p>
      <w:pPr>
        <w:spacing w:after="0" w:line="73" w:lineRule="exact"/>
        <w:rPr>
          <w:rFonts w:ascii="Arial" w:cs="Arial" w:eastAsia="Arial" w:hAnsi="Arial"/>
          <w:sz w:val="18"/>
          <w:szCs w:val="18"/>
          <w:color w:val="auto"/>
        </w:rPr>
      </w:pPr>
    </w:p>
    <w:p>
      <w:pPr>
        <w:ind w:left="460" w:right="240" w:firstLine="881"/>
        <w:spacing w:after="0" w:line="277" w:lineRule="auto"/>
        <w:tabs>
          <w:tab w:leader="none" w:pos="1641" w:val="left"/>
        </w:tabs>
        <w:numPr>
          <w:ilvl w:val="2"/>
          <w:numId w:val="197"/>
        </w:numPr>
        <w:rPr>
          <w:rFonts w:ascii="Arial" w:cs="Arial" w:eastAsia="Arial" w:hAnsi="Arial"/>
          <w:sz w:val="18"/>
          <w:szCs w:val="18"/>
          <w:color w:val="auto"/>
        </w:rPr>
      </w:pPr>
      <w:r>
        <w:rPr>
          <w:rFonts w:ascii="Arial" w:cs="Arial" w:eastAsia="Arial" w:hAnsi="Arial"/>
          <w:sz w:val="18"/>
          <w:szCs w:val="18"/>
          <w:color w:val="auto"/>
        </w:rPr>
        <w:t>if the capital reduction is not effected in accordance with Section 14(d), the Underwriters may sell the Firm Securities or Applicable Optional Securities, as applicable, in the market as provided in Section 14(e).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97"/>
        </w:numPr>
        <w:rPr>
          <w:rFonts w:ascii="Arial" w:cs="Arial" w:eastAsia="Arial" w:hAnsi="Arial"/>
          <w:sz w:val="18"/>
          <w:szCs w:val="18"/>
          <w:color w:val="auto"/>
        </w:rPr>
      </w:pPr>
      <w:r>
        <w:rPr>
          <w:rFonts w:ascii="Arial" w:cs="Arial" w:eastAsia="Arial" w:hAnsi="Arial"/>
          <w:sz w:val="18"/>
          <w:szCs w:val="18"/>
          <w:i w:val="1"/>
          <w:iCs w:val="1"/>
          <w:color w:val="auto"/>
        </w:rPr>
        <w:t>Call Option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right="40" w:firstLine="881"/>
        <w:spacing w:after="0" w:line="258" w:lineRule="auto"/>
        <w:tabs>
          <w:tab w:leader="none" w:pos="1551" w:val="left"/>
        </w:tabs>
        <w:numPr>
          <w:ilvl w:val="2"/>
          <w:numId w:val="197"/>
        </w:numPr>
        <w:rPr>
          <w:rFonts w:ascii="Arial" w:cs="Arial" w:eastAsia="Arial" w:hAnsi="Arial"/>
          <w:sz w:val="18"/>
          <w:szCs w:val="18"/>
          <w:color w:val="auto"/>
        </w:rPr>
      </w:pPr>
      <w:r>
        <w:rPr>
          <w:rFonts w:ascii="Arial" w:cs="Arial" w:eastAsia="Arial" w:hAnsi="Arial"/>
          <w:sz w:val="18"/>
          <w:szCs w:val="18"/>
          <w:color w:val="auto"/>
        </w:rPr>
        <w:t xml:space="preserve">The Company, acting on its own behalf or on behalf of third parties, shall have the right (the </w:t>
      </w:r>
      <w:r>
        <w:rPr>
          <w:rFonts w:ascii="Arial" w:cs="Arial" w:eastAsia="Arial" w:hAnsi="Arial"/>
          <w:sz w:val="18"/>
          <w:szCs w:val="18"/>
          <w:b w:val="1"/>
          <w:bCs w:val="1"/>
          <w:color w:val="auto"/>
        </w:rPr>
        <w:t>“Call Option”</w:t>
      </w:r>
      <w:r>
        <w:rPr>
          <w:rFonts w:ascii="Arial" w:cs="Arial" w:eastAsia="Arial" w:hAnsi="Arial"/>
          <w:sz w:val="18"/>
          <w:szCs w:val="18"/>
          <w:color w:val="auto"/>
        </w:rPr>
        <w:t>) to request in writing that the Representatives, acting on behalf of the several Underwriters, deliver the Firm Securities or Applicable Optional Securities, as applicable, to an account specified by the Company against payment of an amount representing the aggregate nominal value of the respective Firm Securities or Applicable Optional Securities, as applicable, plus expenses of the Representatives as set out in Section 14(f). The Call Option shall expire on the tenth calendar day after the Event of Non-Completion.</w:t>
      </w:r>
    </w:p>
    <w:p>
      <w:pPr>
        <w:spacing w:after="0" w:line="79" w:lineRule="exact"/>
        <w:rPr>
          <w:rFonts w:ascii="Arial" w:cs="Arial" w:eastAsia="Arial" w:hAnsi="Arial"/>
          <w:sz w:val="18"/>
          <w:szCs w:val="18"/>
          <w:color w:val="auto"/>
        </w:rPr>
      </w:pPr>
    </w:p>
    <w:p>
      <w:pPr>
        <w:ind w:left="460" w:right="20" w:firstLine="881"/>
        <w:spacing w:after="0" w:line="255" w:lineRule="auto"/>
        <w:tabs>
          <w:tab w:leader="none" w:pos="1601" w:val="left"/>
        </w:tabs>
        <w:numPr>
          <w:ilvl w:val="2"/>
          <w:numId w:val="197"/>
        </w:numPr>
        <w:rPr>
          <w:rFonts w:ascii="Arial" w:cs="Arial" w:eastAsia="Arial" w:hAnsi="Arial"/>
          <w:sz w:val="18"/>
          <w:szCs w:val="18"/>
          <w:color w:val="auto"/>
        </w:rPr>
      </w:pPr>
      <w:r>
        <w:rPr>
          <w:rFonts w:ascii="Arial" w:cs="Arial" w:eastAsia="Arial" w:hAnsi="Arial"/>
          <w:sz w:val="18"/>
          <w:szCs w:val="18"/>
          <w:color w:val="auto"/>
        </w:rPr>
        <w:t>An acquisition of the Firm Securities or Applicable Optional Securities, as applicable, by the Company for its own account shall only be permitted if the Company has delivered evidence to the Representatives reasonably satisfactory to the Representatives that the Company has sufficient freely available reserves to acquire the Firm Securities or Applicable Optional Securities, as applicable, under this Section 14(b) or, alternatively, that the Company has entered into arrangements with a third party ensuring for the immediate re-sale of the Firm Securities or Applicable Optional Securities, as applicable, to such third party, at no less than their nominal value, on the date of acquisition of the Firm Securities or Applicable Optional Securities, as applicable, by the Company.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70" w:name="page271"/>
    <w:bookmarkEnd w:id="270"/>
    <w:p>
      <w:pPr>
        <w:ind w:left="680" w:hanging="237"/>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Put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881"/>
        <w:spacing w:after="0" w:line="297" w:lineRule="auto"/>
        <w:tabs>
          <w:tab w:leader="none" w:pos="109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Following the expiry of the Call Option pursuant to Section 14(b), the Representatives, acting on behalf of the several Underwriters, shall have an option (the “</w:t>
      </w:r>
      <w:r>
        <w:rPr>
          <w:rFonts w:ascii="Arial" w:cs="Arial" w:eastAsia="Arial" w:hAnsi="Arial"/>
          <w:sz w:val="16"/>
          <w:szCs w:val="16"/>
          <w:b w:val="1"/>
          <w:bCs w:val="1"/>
          <w:color w:val="auto"/>
        </w:rPr>
        <w:t>Put Option</w:t>
      </w:r>
      <w:r>
        <w:rPr>
          <w:rFonts w:ascii="Arial" w:cs="Arial" w:eastAsia="Arial" w:hAnsi="Arial"/>
          <w:sz w:val="16"/>
          <w:szCs w:val="16"/>
          <w:color w:val="auto"/>
        </w:rPr>
        <w:t>”) to require the Company, subject to article 659 CO, to purchase all Firm Securities or Applicable Optional Securities, as applicable, entered in the Commercial Register of the Canton of Vaud at their nominal value, plus expenses of the Representatives as set out in Section 14(f), within ten calendar days after receipt of a notice in writing addressed to the Company from the Representatives, stating that the Representatives exercises the Put Option. The Put Option shall expire on the twentieth calendar day after the Event of Non-Completion.</w:t>
      </w:r>
    </w:p>
    <w:p>
      <w:pPr>
        <w:spacing w:after="0" w:line="50" w:lineRule="exact"/>
        <w:rPr>
          <w:rFonts w:ascii="Arial" w:cs="Arial" w:eastAsia="Arial" w:hAnsi="Arial"/>
          <w:sz w:val="16"/>
          <w:szCs w:val="16"/>
          <w:color w:val="auto"/>
        </w:rPr>
      </w:pPr>
    </w:p>
    <w:p>
      <w:pPr>
        <w:ind w:right="20" w:firstLine="881"/>
        <w:spacing w:after="0" w:line="279" w:lineRule="auto"/>
        <w:tabs>
          <w:tab w:leader="none" w:pos="1141"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The notice in which the Representatives, acting on behalf of the several Underwriters, exercises the Put Option shall specify the date on which the Representatives will deliver the Firm Securities or Applicable Optional Securities, as applicable, to the Company against direct payment therefore, and shall contain detailed instructions regarding payment, delivery of the Firm Securities or Applicable Optional Securities, as applicable, and amount payable (including satisfactory details regarding the costs claimed according to Section 14(f)).</w:t>
      </w:r>
    </w:p>
    <w:p>
      <w:pPr>
        <w:spacing w:after="0" w:line="63" w:lineRule="exact"/>
        <w:rPr>
          <w:rFonts w:ascii="Arial" w:cs="Arial" w:eastAsia="Arial" w:hAnsi="Arial"/>
          <w:sz w:val="17"/>
          <w:szCs w:val="17"/>
          <w:color w:val="auto"/>
        </w:rPr>
      </w:pPr>
    </w:p>
    <w:p>
      <w:pPr>
        <w:ind w:left="700" w:hanging="257"/>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Capital Reduction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88" w:lineRule="auto"/>
        <w:tabs>
          <w:tab w:leader="none" w:pos="109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If the Put Option is not exercised within the deadline set forth in Section 14(c) or it is not possible for legal reasons or insufficient to dispose of the Firm Securities or Applicable Optional Securities, as applicable, including due to non-availability of sufficient freely disposable reserves, the Company shall immediately call a shareholders’ meeting and table the reduction of the share capital. Such shareholders’ meeting shall take place no later than seventy days after the Event of Non-Completion. The Representatives acting on behalf of the several Underwriters, will vote in favor of a reduction of the issued and outstanding share capital of the Company (the “</w:t>
      </w:r>
      <w:r>
        <w:rPr>
          <w:rFonts w:ascii="Arial" w:cs="Arial" w:eastAsia="Arial" w:hAnsi="Arial"/>
          <w:sz w:val="16"/>
          <w:szCs w:val="16"/>
          <w:b w:val="1"/>
          <w:bCs w:val="1"/>
          <w:color w:val="auto"/>
        </w:rPr>
        <w:t>Capital Reduction</w:t>
      </w:r>
      <w:r>
        <w:rPr>
          <w:rFonts w:ascii="Arial" w:cs="Arial" w:eastAsia="Arial" w:hAnsi="Arial"/>
          <w:sz w:val="16"/>
          <w:szCs w:val="16"/>
          <w:color w:val="auto"/>
        </w:rPr>
        <w:t xml:space="preserve">”) by cancellation of the Firm Securities or Applicable Optional Securities, as applicable, entered in the Commercial Register of the Canton of Vaud against repayment of the aggregate nominal value of such securities to the Representatives, acting on behalf of the several Underwriters. Prior to such shareholders’ meeting, the Company shall use its reasonable best efforts to cause its auditors to confirm in writing, pursuant to article 732 para. 2 CO, that the claims of the Company’s creditors are fully covered notwithstanding the Capital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confirmation is not made by the auditors prior to such meeting, the meeting shall be cancelled. The Company shall use its reasonable best efforts to cause its shareholders to vote in favor of the Capital Reduction.</w:t>
      </w:r>
    </w:p>
    <w:p>
      <w:pPr>
        <w:spacing w:after="0" w:line="61" w:lineRule="exact"/>
        <w:rPr>
          <w:rFonts w:ascii="Arial" w:cs="Arial" w:eastAsia="Arial" w:hAnsi="Arial"/>
          <w:sz w:val="16"/>
          <w:szCs w:val="16"/>
          <w:color w:val="auto"/>
        </w:rPr>
      </w:pPr>
    </w:p>
    <w:p>
      <w:pPr>
        <w:ind w:right="140" w:firstLine="881"/>
        <w:spacing w:after="0" w:line="259" w:lineRule="auto"/>
        <w:tabs>
          <w:tab w:leader="none" w:pos="114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At the earliest possible date, and subject to statutory law, the Capital Reduction shall be consummated by registration in the Commercial Register of the Canton of Vaud. The proceeds of the Capital Reduction, being an amount representing the aggregate nominal value of the Firm Securities or Applicable Optional Securities, as applicable, shall be paid (for value on the date of the entry in the Commercial Register of the Canton of Vaud) in cash to the Representatives, acting on behalf of the several Underwriters.</w:t>
      </w:r>
    </w:p>
    <w:p>
      <w:pPr>
        <w:spacing w:after="0" w:line="78" w:lineRule="exact"/>
        <w:rPr>
          <w:rFonts w:ascii="Arial" w:cs="Arial" w:eastAsia="Arial" w:hAnsi="Arial"/>
          <w:sz w:val="18"/>
          <w:szCs w:val="18"/>
          <w:color w:val="auto"/>
        </w:rPr>
      </w:pPr>
    </w:p>
    <w:p>
      <w:pPr>
        <w:ind w:right="120" w:firstLine="881"/>
        <w:spacing w:after="0" w:line="264" w:lineRule="auto"/>
        <w:tabs>
          <w:tab w:leader="none" w:pos="119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Upon consummation of the Capital Reduction, the Company shall deregister the Firm Securities or Applicable Optional Securities, as applicable, in its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to reflect the number of Shares registered with the Commercial Register of the Canton of Vaud.</w:t>
      </w:r>
    </w:p>
    <w:p>
      <w:pPr>
        <w:spacing w:after="0" w:line="73" w:lineRule="exact"/>
        <w:rPr>
          <w:rFonts w:ascii="Arial" w:cs="Arial" w:eastAsia="Arial" w:hAnsi="Arial"/>
          <w:sz w:val="18"/>
          <w:szCs w:val="18"/>
          <w:color w:val="auto"/>
        </w:rPr>
      </w:pPr>
    </w:p>
    <w:p>
      <w:pPr>
        <w:ind w:left="680" w:hanging="237"/>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 xml:space="preserve">Sale of Firm Securities or Applicable Optional Securities. </w:t>
      </w:r>
      <w:r>
        <w:rPr>
          <w:rFonts w:ascii="Arial" w:cs="Arial" w:eastAsia="Arial" w:hAnsi="Arial"/>
          <w:sz w:val="18"/>
          <w:szCs w:val="18"/>
          <w:color w:val="auto"/>
        </w:rPr>
        <w:t>In addition, if an Event of Non-Completion occurs and,</w:t>
      </w:r>
    </w:p>
    <w:p>
      <w:pPr>
        <w:spacing w:after="0" w:line="117" w:lineRule="exact"/>
        <w:rPr>
          <w:rFonts w:ascii="Arial" w:cs="Arial" w:eastAsia="Arial" w:hAnsi="Arial"/>
          <w:sz w:val="18"/>
          <w:szCs w:val="18"/>
          <w:color w:val="auto"/>
        </w:rPr>
      </w:pPr>
    </w:p>
    <w:p>
      <w:pPr>
        <w:ind w:right="320" w:firstLine="881"/>
        <w:spacing w:after="0" w:line="277" w:lineRule="auto"/>
        <w:tabs>
          <w:tab w:leader="none" w:pos="109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Company fails to acquire or cause a third party to acquire the Firm Securities or Applicable Optional Securities, as applicable, in accordance with Section 14(b) at any time after the Event of Non-Completion; and</w:t>
      </w:r>
    </w:p>
    <w:p>
      <w:pPr>
        <w:spacing w:after="0" w:line="62" w:lineRule="exact"/>
        <w:rPr>
          <w:rFonts w:ascii="Arial" w:cs="Arial" w:eastAsia="Arial" w:hAnsi="Arial"/>
          <w:sz w:val="18"/>
          <w:szCs w:val="18"/>
          <w:color w:val="auto"/>
        </w:rPr>
      </w:pPr>
    </w:p>
    <w:p>
      <w:pPr>
        <w:ind w:right="240" w:firstLine="881"/>
        <w:spacing w:after="0" w:line="264" w:lineRule="auto"/>
        <w:tabs>
          <w:tab w:leader="none" w:pos="114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 the event and to the extent the Put Option is not possible for legal reasons or insufficient to dispose of the Firm Securities or Applicable Optional Securities, as applicable, including due to insufficient freely disposable reserves, or if the Put Option is not exercised within the deadline set forth in Section 14(c); and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74" w:right="259" w:bottom="1440" w:gutter="0" w:footer="0" w:header="0"/>
        </w:sectPr>
      </w:pPr>
    </w:p>
    <w:bookmarkStart w:id="271" w:name="page272"/>
    <w:bookmarkEnd w:id="271"/>
    <w:p>
      <w:pPr>
        <w:ind w:left="440" w:right="120" w:firstLine="443"/>
        <w:spacing w:after="0" w:line="276" w:lineRule="auto"/>
        <w:tabs>
          <w:tab w:leader="none" w:pos="1193" w:val="left"/>
        </w:tabs>
        <w:numPr>
          <w:ilvl w:val="0"/>
          <w:numId w:val="1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Capital Reduction has not been resolved by the shareholders’ meeting of the Company within seventy days after the Event of Non-Completion, the Representatives, acting on behalf of the several Underwriters, are entitled to sell any or all Firm Securities or Applicable Optional Securities on terms which the Representatives deem fit under the circumstances. The difference between the proceeds of such sale and the nominal amount of such Firm Securities or Applicable Optional Securities, as applicable, sold, less the costs and expenses pursuant to Section 14(f) reasonably incurred by the Representatives in connection with the sale, if any, shall be transferred to the Company.</w:t>
      </w:r>
    </w:p>
    <w:p>
      <w:pPr>
        <w:spacing w:after="0" w:line="64" w:lineRule="exact"/>
        <w:rPr>
          <w:sz w:val="20"/>
          <w:szCs w:val="20"/>
          <w:color w:val="auto"/>
        </w:rPr>
      </w:pPr>
    </w:p>
    <w:p>
      <w:pPr>
        <w:ind w:left="1100" w:hanging="217"/>
        <w:spacing w:after="0"/>
        <w:tabs>
          <w:tab w:leader="none" w:pos="1100"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t>Costs; Indemnity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881"/>
        <w:spacing w:after="0" w:line="297" w:lineRule="auto"/>
        <w:tabs>
          <w:tab w:leader="none" w:pos="1531" w:val="left"/>
        </w:tabs>
        <w:numPr>
          <w:ilvl w:val="2"/>
          <w:numId w:val="200"/>
        </w:numPr>
        <w:rPr>
          <w:rFonts w:ascii="Arial" w:cs="Arial" w:eastAsia="Arial" w:hAnsi="Arial"/>
          <w:sz w:val="16"/>
          <w:szCs w:val="16"/>
          <w:color w:val="auto"/>
        </w:rPr>
      </w:pPr>
      <w:r>
        <w:rPr>
          <w:rFonts w:ascii="Arial" w:cs="Arial" w:eastAsia="Arial" w:hAnsi="Arial"/>
          <w:sz w:val="16"/>
          <w:szCs w:val="16"/>
          <w:color w:val="auto"/>
        </w:rPr>
        <w:t>The Company shall bear (A) all costs directly incidental to the Capital Reduction, including but not limited to notarization costs, costs of the Commercial Register and costs of publication of the Capital Reduction and (B) the costs of the Representatives reasonably incurred in connection with the Call Option, the Put Option or the Capital Reduction, as applicable (including but not limited to (x) taxes, (y) interest at a rate of the higher of zero or the 3-month CHF LIBOR, calculated on a 30/360 basis, following the Event of Non-Completion until the payment of proceeds to the Representatives, acting on behalf of the several Underwriters, and (z) reasonable out of pocket expenses of the Representatives and their counsel).</w:t>
      </w:r>
    </w:p>
    <w:p>
      <w:pPr>
        <w:spacing w:after="0" w:line="50" w:lineRule="exact"/>
        <w:rPr>
          <w:rFonts w:ascii="Arial" w:cs="Arial" w:eastAsia="Arial" w:hAnsi="Arial"/>
          <w:sz w:val="16"/>
          <w:szCs w:val="16"/>
          <w:color w:val="auto"/>
        </w:rPr>
      </w:pPr>
    </w:p>
    <w:p>
      <w:pPr>
        <w:jc w:val="both"/>
        <w:ind w:left="440" w:right="140" w:firstLine="881"/>
        <w:spacing w:after="0" w:line="264" w:lineRule="auto"/>
        <w:tabs>
          <w:tab w:leader="none" w:pos="1581" w:val="left"/>
        </w:tabs>
        <w:numPr>
          <w:ilvl w:val="2"/>
          <w:numId w:val="200"/>
        </w:numPr>
        <w:rPr>
          <w:rFonts w:ascii="Arial" w:cs="Arial" w:eastAsia="Arial" w:hAnsi="Arial"/>
          <w:sz w:val="18"/>
          <w:szCs w:val="18"/>
          <w:color w:val="auto"/>
        </w:rPr>
      </w:pPr>
      <w:r>
        <w:rPr>
          <w:rFonts w:ascii="Arial" w:cs="Arial" w:eastAsia="Arial" w:hAnsi="Arial"/>
          <w:sz w:val="18"/>
          <w:szCs w:val="18"/>
          <w:color w:val="auto"/>
        </w:rPr>
        <w:t>The Company further undertakes to indemnify the Representatives for, and to hold the Representatives harmless from, any reasonable costs, expenses, third party claims and liabilities, actual or contingent, that may be incurred by or made against the Representatives in connection with the Capital Reduction.</w:t>
      </w:r>
    </w:p>
    <w:p>
      <w:pPr>
        <w:spacing w:after="0" w:line="73" w:lineRule="exact"/>
        <w:rPr>
          <w:rFonts w:ascii="Arial" w:cs="Arial" w:eastAsia="Arial" w:hAnsi="Arial"/>
          <w:sz w:val="18"/>
          <w:szCs w:val="18"/>
          <w:color w:val="auto"/>
        </w:rPr>
      </w:pPr>
    </w:p>
    <w:p>
      <w:pPr>
        <w:ind w:left="-20" w:firstLine="464"/>
        <w:spacing w:after="0" w:line="257" w:lineRule="auto"/>
        <w:tabs>
          <w:tab w:leader="none" w:pos="706"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will be in writing and, if sent to the Underwriters, will be mailed by registered mail, or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Credit Suisse Securities (USA) LLC, Eleven Madison Avenue, New York, N.Y. 10010-3629, Attention: LCD-IBD, or, if sent to the Company, will be mailed by registered mail or at AC Immune SA, EPFL Innovation Park Building B, 1050 Lausanne, Switzerland, Attention: Chief Financial Officer with copies (which shall not constitute notice) to Vischer AG, attn. Dr. Matthias Staehelin, Aeschenvorstadt 4, CH 4051 Basel, Switzerland, and Davis Polk &amp; Wardwell LLP, attn. Richard D. Truesdell, Jr., 450 Lexington Avenue, New York, NY 10017.</w:t>
      </w:r>
    </w:p>
    <w:p>
      <w:pPr>
        <w:spacing w:after="0" w:line="80" w:lineRule="exact"/>
        <w:rPr>
          <w:rFonts w:ascii="Arial" w:cs="Arial" w:eastAsia="Arial" w:hAnsi="Arial"/>
          <w:sz w:val="18"/>
          <w:szCs w:val="18"/>
          <w:color w:val="auto"/>
        </w:rPr>
      </w:pPr>
    </w:p>
    <w:p>
      <w:pPr>
        <w:ind w:left="-20" w:right="180" w:firstLine="464"/>
        <w:spacing w:after="0" w:line="277" w:lineRule="auto"/>
        <w:tabs>
          <w:tab w:leader="none" w:pos="706"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no other person will have any right or obligation hereunder.</w:t>
      </w:r>
    </w:p>
    <w:p>
      <w:pPr>
        <w:spacing w:after="0" w:line="62" w:lineRule="exact"/>
        <w:rPr>
          <w:rFonts w:ascii="Arial" w:cs="Arial" w:eastAsia="Arial" w:hAnsi="Arial"/>
          <w:sz w:val="18"/>
          <w:szCs w:val="18"/>
          <w:color w:val="auto"/>
        </w:rPr>
      </w:pPr>
    </w:p>
    <w:p>
      <w:pPr>
        <w:ind w:left="-20" w:right="200" w:firstLine="464"/>
        <w:spacing w:after="0" w:line="277" w:lineRule="auto"/>
        <w:tabs>
          <w:tab w:leader="none" w:pos="706"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Representation of Underwriters</w:t>
      </w:r>
      <w:r>
        <w:rPr>
          <w:rFonts w:ascii="Arial" w:cs="Arial" w:eastAsia="Arial" w:hAnsi="Arial"/>
          <w:sz w:val="18"/>
          <w:szCs w:val="18"/>
          <w:color w:val="auto"/>
        </w:rPr>
        <w:t>. The Representatives will act for the several Underwriters in connection with this financing, and any action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taken by the Representatives will be binding upon all the Underwriters.</w:t>
      </w:r>
    </w:p>
    <w:p>
      <w:pPr>
        <w:spacing w:after="0" w:line="62" w:lineRule="exact"/>
        <w:rPr>
          <w:rFonts w:ascii="Arial" w:cs="Arial" w:eastAsia="Arial" w:hAnsi="Arial"/>
          <w:sz w:val="18"/>
          <w:szCs w:val="18"/>
          <w:color w:val="auto"/>
        </w:rPr>
      </w:pPr>
    </w:p>
    <w:p>
      <w:pPr>
        <w:ind w:left="-20" w:right="560" w:firstLine="464"/>
        <w:spacing w:after="0" w:line="277" w:lineRule="auto"/>
        <w:tabs>
          <w:tab w:leader="none" w:pos="706"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62" w:lineRule="exact"/>
        <w:rPr>
          <w:rFonts w:ascii="Arial" w:cs="Arial" w:eastAsia="Arial" w:hAnsi="Arial"/>
          <w:sz w:val="18"/>
          <w:szCs w:val="18"/>
          <w:color w:val="auto"/>
        </w:rPr>
      </w:pPr>
    </w:p>
    <w:p>
      <w:pPr>
        <w:ind w:left="720" w:hanging="276"/>
        <w:spacing w:after="0"/>
        <w:tabs>
          <w:tab w:leader="none" w:pos="72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Absence of Fiduciary Relationship</w:t>
      </w:r>
      <w:r>
        <w:rPr>
          <w:rFonts w:ascii="Arial" w:cs="Arial" w:eastAsia="Arial" w:hAnsi="Arial"/>
          <w:sz w:val="18"/>
          <w:szCs w:val="18"/>
          <w:color w:val="auto"/>
        </w:rPr>
        <w:t>. The Company acknowledges and agrees that:</w:t>
      </w:r>
    </w:p>
    <w:p>
      <w:pPr>
        <w:spacing w:after="0" w:line="117" w:lineRule="exact"/>
        <w:rPr>
          <w:rFonts w:ascii="Arial" w:cs="Arial" w:eastAsia="Arial" w:hAnsi="Arial"/>
          <w:sz w:val="18"/>
          <w:szCs w:val="18"/>
          <w:color w:val="auto"/>
        </w:rPr>
      </w:pPr>
    </w:p>
    <w:p>
      <w:pPr>
        <w:ind w:left="1120" w:hanging="237"/>
        <w:spacing w:after="0"/>
        <w:tabs>
          <w:tab w:leader="none" w:pos="1120" w:val="left"/>
        </w:tabs>
        <w:numPr>
          <w:ilvl w:val="1"/>
          <w:numId w:val="201"/>
        </w:numPr>
        <w:rPr>
          <w:rFonts w:ascii="Arial" w:cs="Arial" w:eastAsia="Arial" w:hAnsi="Arial"/>
          <w:sz w:val="17"/>
          <w:szCs w:val="17"/>
          <w:color w:val="auto"/>
        </w:rPr>
      </w:pPr>
      <w:r>
        <w:rPr>
          <w:rFonts w:ascii="Arial" w:cs="Arial" w:eastAsia="Arial" w:hAnsi="Arial"/>
          <w:sz w:val="17"/>
          <w:szCs w:val="17"/>
          <w:i w:val="1"/>
          <w:iCs w:val="1"/>
          <w:color w:val="auto"/>
        </w:rPr>
        <w:t>No Other Relationship</w:t>
      </w:r>
      <w:r>
        <w:rPr>
          <w:rFonts w:ascii="Arial" w:cs="Arial" w:eastAsia="Arial" w:hAnsi="Arial"/>
          <w:sz w:val="17"/>
          <w:szCs w:val="17"/>
          <w:color w:val="auto"/>
        </w:rPr>
        <w:t>. The Representatives have been retained solely to act as an underwriter in connection with the sale of Offered</w:t>
      </w:r>
    </w:p>
    <w:p>
      <w:pPr>
        <w:spacing w:after="0" w:line="34" w:lineRule="exact"/>
        <w:rPr>
          <w:rFonts w:ascii="Arial" w:cs="Arial" w:eastAsia="Arial" w:hAnsi="Arial"/>
          <w:sz w:val="17"/>
          <w:szCs w:val="17"/>
          <w:color w:val="auto"/>
        </w:rPr>
      </w:pPr>
    </w:p>
    <w:p>
      <w:pPr>
        <w:ind w:left="440" w:right="20"/>
        <w:spacing w:after="0" w:line="255" w:lineRule="auto"/>
        <w:rPr>
          <w:rFonts w:ascii="Arial" w:cs="Arial" w:eastAsia="Arial" w:hAnsi="Arial"/>
          <w:sz w:val="17"/>
          <w:szCs w:val="17"/>
          <w:color w:val="auto"/>
        </w:rPr>
      </w:pPr>
      <w:r>
        <w:rPr>
          <w:rFonts w:ascii="Arial" w:cs="Arial" w:eastAsia="Arial" w:hAnsi="Arial"/>
          <w:sz w:val="18"/>
          <w:szCs w:val="18"/>
          <w:color w:val="auto"/>
        </w:rPr>
        <w:t>Securities and that no fiduciary, advisory or agency relationship between the Company and the Representatives has been created in respect of any of the transactions contemplated by this Agreement or the Final Prospectus, irrespective of whether the Representatives have advised or are advising the Company on other matters;</w:t>
      </w:r>
    </w:p>
    <w:p>
      <w:pPr>
        <w:spacing w:after="0" w:line="82" w:lineRule="exact"/>
        <w:rPr>
          <w:rFonts w:ascii="Arial" w:cs="Arial" w:eastAsia="Arial" w:hAnsi="Arial"/>
          <w:sz w:val="17"/>
          <w:szCs w:val="17"/>
          <w:color w:val="auto"/>
        </w:rPr>
      </w:pPr>
    </w:p>
    <w:p>
      <w:pPr>
        <w:ind w:left="440" w:right="240" w:firstLine="443"/>
        <w:spacing w:after="0" w:line="264" w:lineRule="auto"/>
        <w:tabs>
          <w:tab w:leader="none" w:pos="1133" w:val="left"/>
        </w:tabs>
        <w:numPr>
          <w:ilvl w:val="1"/>
          <w:numId w:val="201"/>
        </w:numPr>
        <w:rPr>
          <w:rFonts w:ascii="Arial" w:cs="Arial" w:eastAsia="Arial" w:hAnsi="Arial"/>
          <w:sz w:val="18"/>
          <w:szCs w:val="18"/>
          <w:color w:val="auto"/>
        </w:rPr>
      </w:pPr>
      <w:r>
        <w:rPr>
          <w:rFonts w:ascii="Arial" w:cs="Arial" w:eastAsia="Arial" w:hAnsi="Arial"/>
          <w:sz w:val="18"/>
          <w:szCs w:val="18"/>
          <w:i w:val="1"/>
          <w:iCs w:val="1"/>
          <w:color w:val="auto"/>
        </w:rPr>
        <w:t>Arms’ Length Negotiations</w:t>
      </w:r>
      <w:r>
        <w:rPr>
          <w:rFonts w:ascii="Arial" w:cs="Arial" w:eastAsia="Arial" w:hAnsi="Arial"/>
          <w:sz w:val="18"/>
          <w:szCs w:val="18"/>
          <w:color w:val="auto"/>
        </w:rPr>
        <w:t>. The price of the Offered Securities set forth in this Agreement was established by the Company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and arms-length negotiations with the Representatives and the Company is capable of evaluating and understanding and understands and accepts the terms, risks and conditions of the transactions contemplated by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272" w:name="page273"/>
    <w:bookmarkEnd w:id="272"/>
    <w:p>
      <w:pPr>
        <w:ind w:left="460" w:firstLine="443"/>
        <w:spacing w:after="0" w:line="264" w:lineRule="auto"/>
        <w:tabs>
          <w:tab w:leader="none" w:pos="1143" w:val="left"/>
        </w:tabs>
        <w:numPr>
          <w:ilvl w:val="1"/>
          <w:numId w:val="20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Obligation to Disclose</w:t>
      </w:r>
      <w:r>
        <w:rPr>
          <w:rFonts w:ascii="Arial" w:cs="Arial" w:eastAsia="Arial" w:hAnsi="Arial"/>
          <w:sz w:val="18"/>
          <w:szCs w:val="18"/>
          <w:color w:val="auto"/>
        </w:rPr>
        <w:t>. The Company has been advised that the Representatives and their affiliates are engaged in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1"/>
          <w:numId w:val="202"/>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The Company waives, to the fullest extent permitted by law, any claims it may have against the Representatives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78" w:lineRule="exact"/>
        <w:rPr>
          <w:rFonts w:ascii="Arial" w:cs="Arial" w:eastAsia="Arial" w:hAnsi="Arial"/>
          <w:sz w:val="18"/>
          <w:szCs w:val="18"/>
          <w:color w:val="auto"/>
        </w:rPr>
      </w:pPr>
    </w:p>
    <w:p>
      <w:pPr>
        <w:ind w:right="40" w:firstLine="464"/>
        <w:spacing w:after="0" w:line="268" w:lineRule="auto"/>
        <w:tabs>
          <w:tab w:leader="none" w:pos="726"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laws of the State of New York. The Company hereby</w:t>
      </w:r>
      <w:r>
        <w:rPr>
          <w:rFonts w:ascii="Arial" w:cs="Arial" w:eastAsia="Arial" w:hAnsi="Arial"/>
          <w:sz w:val="17"/>
          <w:szCs w:val="17"/>
          <w:i w:val="1"/>
          <w:iCs w:val="1"/>
          <w:color w:val="auto"/>
        </w:rPr>
        <w:t xml:space="preserve"> </w:t>
      </w:r>
      <w:r>
        <w:rPr>
          <w:rFonts w:ascii="Arial" w:cs="Arial" w:eastAsia="Arial" w:hAnsi="Arial"/>
          <w:sz w:val="17"/>
          <w:szCs w:val="17"/>
          <w:color w:val="auto"/>
        </w:rPr>
        <w:t>agrees that the U.S. federal and New York state courts in the Borough of Manhattan in The City of New York shall have sole and exclusive jurisdiction over any suit or proceeding against the Underwriters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Company has appointed National Corporate Research, Ltd. as its authorized agent (the “</w:t>
      </w:r>
      <w:r>
        <w:rPr>
          <w:rFonts w:ascii="Arial" w:cs="Arial" w:eastAsia="Arial" w:hAnsi="Arial"/>
          <w:sz w:val="17"/>
          <w:szCs w:val="17"/>
          <w:b w:val="1"/>
          <w:bCs w:val="1"/>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which may be instituted in any New York state or United States federal court, by any Underwriter, the directors, officers, employees and agents of any Underwriter, or by any person who controls any Underwriter, and expressly accepts the 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France. The provisions of this paragraph shall survive any termination of this Agreement.</w:t>
      </w:r>
    </w:p>
    <w:p>
      <w:pPr>
        <w:spacing w:after="0" w:line="18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To the extent that the Company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Company hereby irrevocably waives and agrees not to plead or claim such immunity in respect of its obligations under this Agreement.</w:t>
      </w:r>
    </w:p>
    <w:p>
      <w:pPr>
        <w:spacing w:after="0" w:line="39" w:lineRule="exact"/>
        <w:rPr>
          <w:sz w:val="20"/>
          <w:szCs w:val="20"/>
          <w:color w:val="auto"/>
        </w:rPr>
      </w:pPr>
    </w:p>
    <w:p>
      <w:pPr>
        <w:ind w:right="280" w:firstLine="464"/>
        <w:spacing w:after="0" w:line="308" w:lineRule="auto"/>
        <w:tabs>
          <w:tab w:leader="none" w:pos="726"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Waiver of Jury Trial</w:t>
      </w:r>
      <w:r>
        <w:rPr>
          <w:rFonts w:ascii="Arial" w:cs="Arial" w:eastAsia="Arial" w:hAnsi="Arial"/>
          <w:sz w:val="17"/>
          <w:szCs w:val="17"/>
          <w:color w:val="auto"/>
        </w:rPr>
        <w:t>. Each of the Company and the Underwriters hereby irrevocably waive, to the fullest extent permitted by applicable law, any</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right to trial by jury in any legal proceeding arising out of or relating to this Agreement or the transactions contemplated hereby.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73" w:name="page274"/>
    <w:bookmarkEnd w:id="273"/>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the several Underwriters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[Signature Page to Underwriting Agreement]</w:t>
      </w:r>
    </w:p>
    <w:p>
      <w:pPr>
        <w:sectPr>
          <w:pgSz w:w="11900" w:h="16838" w:orient="portrait"/>
          <w:cols w:equalWidth="0" w:num="1">
            <w:col w:w="10760"/>
          </w:cols>
          <w:pgMar w:left="240" w:top="274" w:right="89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40" w:type="dxa"/>
            <w:vAlign w:val="bottom"/>
            <w:gridSpan w:val="3"/>
          </w:tcPr>
          <w:p>
            <w:pPr>
              <w:jc w:val="right"/>
              <w:ind w:right="5030"/>
              <w:spacing w:after="0"/>
              <w:rPr>
                <w:sz w:val="20"/>
                <w:szCs w:val="20"/>
                <w:color w:val="auto"/>
              </w:rPr>
            </w:pPr>
            <w:r>
              <w:rPr>
                <w:rFonts w:ascii="Arial" w:cs="Arial" w:eastAsia="Arial" w:hAnsi="Arial"/>
                <w:sz w:val="18"/>
                <w:szCs w:val="18"/>
                <w:b w:val="1"/>
                <w:bCs w:val="1"/>
                <w:color w:val="auto"/>
              </w:rPr>
              <w:t>SCHEDULE A</w:t>
            </w:r>
          </w:p>
        </w:tc>
      </w:tr>
      <w:tr>
        <w:trPr>
          <w:trHeight w:val="392"/>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5780" w:type="dxa"/>
            <w:vAlign w:val="bottom"/>
          </w:tcPr>
          <w:p>
            <w:pPr>
              <w:spacing w:after="0"/>
              <w:rPr>
                <w:sz w:val="24"/>
                <w:szCs w:val="24"/>
                <w:color w:val="auto"/>
              </w:rPr>
            </w:pPr>
          </w:p>
        </w:tc>
        <w:tc>
          <w:tcPr>
            <w:tcW w:w="17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2"/>
              </w:rPr>
              <w:t>Number of Firm Securities</w:t>
            </w: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57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[_______</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8"/>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7540" w:type="dxa"/>
            <w:vAlign w:val="bottom"/>
            <w:gridSpan w:val="3"/>
          </w:tcPr>
          <w:p>
            <w:pPr>
              <w:jc w:val="right"/>
              <w:spacing w:after="0"/>
              <w:rPr>
                <w:sz w:val="20"/>
                <w:szCs w:val="20"/>
                <w:color w:val="auto"/>
              </w:rPr>
            </w:pPr>
            <w:r>
              <w:rPr>
                <w:rFonts w:ascii="Arial" w:cs="Arial" w:eastAsia="Arial" w:hAnsi="Arial"/>
                <w:sz w:val="18"/>
                <w:szCs w:val="18"/>
                <w:color w:val="auto"/>
              </w:rPr>
              <w:t>[_______]</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Leerink Partners LLC</w:t>
            </w:r>
          </w:p>
        </w:tc>
        <w:tc>
          <w:tcPr>
            <w:tcW w:w="7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[_______]</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540" w:type="dxa"/>
            <w:vAlign w:val="bottom"/>
            <w:gridSpan w:val="3"/>
          </w:tcPr>
          <w:p>
            <w:pPr>
              <w:jc w:val="right"/>
              <w:spacing w:after="0"/>
              <w:rPr>
                <w:sz w:val="20"/>
                <w:szCs w:val="20"/>
                <w:color w:val="auto"/>
              </w:rPr>
            </w:pPr>
            <w:r>
              <w:rPr>
                <w:rFonts w:ascii="Arial" w:cs="Arial" w:eastAsia="Arial" w:hAnsi="Arial"/>
                <w:sz w:val="18"/>
                <w:szCs w:val="18"/>
                <w:color w:val="auto"/>
              </w:rPr>
              <w:t>[_______]</w:t>
            </w:r>
          </w:p>
        </w:tc>
      </w:tr>
    </w:tbl>
    <w:p>
      <w:pPr>
        <w:jc w:val="right"/>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5" w:name="page276"/>
    <w:bookmarkEnd w:id="275"/>
    <w:p>
      <w:pPr>
        <w:ind w:left="51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131" w:lineRule="exact"/>
        <w:rPr>
          <w:sz w:val="20"/>
          <w:szCs w:val="20"/>
          <w:color w:val="auto"/>
        </w:rPr>
      </w:pPr>
    </w:p>
    <w:p>
      <w:pPr>
        <w:ind w:left="452" w:right="3259" w:hanging="452"/>
        <w:spacing w:after="0" w:line="425" w:lineRule="auto"/>
        <w:tabs>
          <w:tab w:leader="none" w:pos="441"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Use Free Writing Prospectuses (included in the General Disclosure Package) </w:t>
      </w:r>
      <w:r>
        <w:rPr>
          <w:rFonts w:ascii="Arial" w:cs="Arial" w:eastAsia="Arial" w:hAnsi="Arial"/>
          <w:sz w:val="16"/>
          <w:szCs w:val="16"/>
          <w:color w:val="auto"/>
        </w:rPr>
        <w:t>“General Use Issuer Free Writing Prospectus” includes each of the following documents:</w:t>
      </w:r>
    </w:p>
    <w:p>
      <w:pPr>
        <w:ind w:left="632" w:hanging="176"/>
        <w:spacing w:after="0"/>
        <w:tabs>
          <w:tab w:leader="none" w:pos="63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 Included in the General Disclosure Package</w:t>
      </w:r>
    </w:p>
    <w:p>
      <w:pPr>
        <w:spacing w:after="0" w:line="121" w:lineRule="exact"/>
        <w:rPr>
          <w:rFonts w:ascii="Arial" w:cs="Arial" w:eastAsia="Arial" w:hAnsi="Arial"/>
          <w:sz w:val="18"/>
          <w:szCs w:val="18"/>
          <w:b w:val="1"/>
          <w:bCs w:val="1"/>
          <w:color w:val="auto"/>
        </w:rPr>
      </w:pPr>
    </w:p>
    <w:p>
      <w:pPr>
        <w:ind w:left="452" w:right="4099"/>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The following information is also included in the General Disclosure Package: [1. The initial price to the public of the Offered Securities.</w:t>
      </w:r>
    </w:p>
    <w:p>
      <w:pPr>
        <w:spacing w:after="0" w:line="1" w:lineRule="exact"/>
        <w:rPr>
          <w:rFonts w:ascii="Arial" w:cs="Arial" w:eastAsia="Arial" w:hAnsi="Arial"/>
          <w:sz w:val="18"/>
          <w:szCs w:val="18"/>
          <w:b w:val="1"/>
          <w:bCs w:val="1"/>
          <w:color w:val="auto"/>
        </w:rPr>
      </w:pPr>
    </w:p>
    <w:p>
      <w:pPr>
        <w:ind w:left="632" w:hanging="176"/>
        <w:spacing w:after="0"/>
        <w:tabs>
          <w:tab w:leader="none" w:pos="63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211"/>
          </w:cols>
          <w:pgMar w:left="248" w:top="270" w:right="1440"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Comfort Letter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come]</w:t>
      </w:r>
    </w:p>
    <w:p>
      <w:pPr>
        <w:sectPr>
          <w:pgSz w:w="11900" w:h="16838" w:orient="portrait"/>
          <w:cols w:equalWidth="0" w:num="1">
            <w:col w:w="9019"/>
          </w:cols>
          <w:pgMar w:left="1440" w:top="270"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Subscription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come]</w:t>
      </w:r>
    </w:p>
    <w:p>
      <w:pPr>
        <w:sectPr>
          <w:pgSz w:w="11900" w:h="16838" w:orient="portrait"/>
          <w:cols w:equalWidth="0" w:num="1">
            <w:col w:w="11420"/>
          </w:cols>
          <w:pgMar w:left="240" w:top="270"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-10160</wp:posOffset>
            </wp:positionV>
            <wp:extent cx="571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1050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Credit Suisse Securities (USA)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As an inducement to the Underwriters to execute the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pursuant to which an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will be made that is intended to result in the establishment of a public market in the United States for common shares, nominal value CHF 0.02 per share (the “</w:t>
      </w:r>
      <w:r>
        <w:rPr>
          <w:rFonts w:ascii="Arial" w:cs="Arial" w:eastAsia="Arial" w:hAnsi="Arial"/>
          <w:sz w:val="16"/>
          <w:szCs w:val="16"/>
          <w:b w:val="1"/>
          <w:bCs w:val="1"/>
          <w:color w:val="auto"/>
        </w:rPr>
        <w:t>Securities</w:t>
      </w:r>
      <w:r>
        <w:rPr>
          <w:rFonts w:ascii="Arial" w:cs="Arial" w:eastAsia="Arial" w:hAnsi="Arial"/>
          <w:sz w:val="16"/>
          <w:szCs w:val="16"/>
          <w:color w:val="auto"/>
        </w:rPr>
        <w:t>”) of AC Immune SA, and any successor (by merger or otherwise) thereto (the “</w:t>
      </w:r>
      <w:r>
        <w:rPr>
          <w:rFonts w:ascii="Arial" w:cs="Arial" w:eastAsia="Arial" w:hAnsi="Arial"/>
          <w:sz w:val="16"/>
          <w:szCs w:val="16"/>
          <w:b w:val="1"/>
          <w:bCs w:val="1"/>
          <w:color w:val="auto"/>
        </w:rPr>
        <w:t>Company</w:t>
      </w:r>
      <w:r>
        <w:rPr>
          <w:rFonts w:ascii="Arial" w:cs="Arial" w:eastAsia="Arial" w:hAnsi="Arial"/>
          <w:sz w:val="16"/>
          <w:szCs w:val="16"/>
          <w:color w:val="auto"/>
        </w:rPr>
        <w:t>”), the undersigned hereby agrees that during the period specified in the following paragraph (the “</w:t>
      </w:r>
      <w:r>
        <w:rPr>
          <w:rFonts w:ascii="Arial" w:cs="Arial" w:eastAsia="Arial" w:hAnsi="Arial"/>
          <w:sz w:val="16"/>
          <w:szCs w:val="16"/>
          <w:b w:val="1"/>
          <w:bCs w:val="1"/>
          <w:color w:val="auto"/>
        </w:rPr>
        <w:t>Lock-Up Period</w:t>
      </w:r>
      <w:r>
        <w:rPr>
          <w:rFonts w:ascii="Arial" w:cs="Arial" w:eastAsia="Arial" w:hAnsi="Arial"/>
          <w:sz w:val="16"/>
          <w:szCs w:val="16"/>
          <w:color w:val="auto"/>
        </w:rPr>
        <w:t>”), the undersigned will not offer, sell, contract to sell, pledge or otherwise dispose of, directly or indirectly, any Securities or securities convertible into or exchangeable or exercisable for any Securities, enter into a transaction which would have the same effect, or enter into any swap, hedge or other arrangement that transfers, in whole or in part, any of the economic consequences of ownership of the Securities, whether any such aforementioned transaction is to be settled by delivery of the Securities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w:t>
      </w:r>
      <w:r>
        <w:rPr>
          <w:rFonts w:ascii="Arial" w:cs="Arial" w:eastAsia="Arial" w:hAnsi="Arial"/>
          <w:sz w:val="16"/>
          <w:szCs w:val="16"/>
          <w:b w:val="1"/>
          <w:bCs w:val="1"/>
          <w:color w:val="auto"/>
        </w:rPr>
        <w:t>Credit Suisse</w:t>
      </w:r>
      <w:r>
        <w:rPr>
          <w:rFonts w:ascii="Arial" w:cs="Arial" w:eastAsia="Arial" w:hAnsi="Arial"/>
          <w:sz w:val="16"/>
          <w:szCs w:val="16"/>
          <w:color w:val="auto"/>
        </w:rPr>
        <w:t>”). In addition, the undersigned agrees that, without the prior written consent of Credit Suisse, it will not, during the Lock-Up Period, make any demand for or exercise any right with respect to, the registration of any Securities or any security convertible into or exercisable or exchangeable for the Securities.</w:t>
      </w:r>
    </w:p>
    <w:p>
      <w:pPr>
        <w:spacing w:after="0" w:line="168"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The Lock-Up Period will commence on the filing of a preliminary prospectus by the Company which contains a bona fide price range and will continue and include the date 180 days after the public offering date set forth on the final prospectus used to sell the Securities (the “</w:t>
      </w:r>
      <w:r>
        <w:rPr>
          <w:rFonts w:ascii="Arial" w:cs="Arial" w:eastAsia="Arial" w:hAnsi="Arial"/>
          <w:sz w:val="16"/>
          <w:szCs w:val="16"/>
          <w:b w:val="1"/>
          <w:bCs w:val="1"/>
          <w:color w:val="auto"/>
        </w:rPr>
        <w:t>Public Offering Date</w:t>
      </w:r>
      <w:r>
        <w:rPr>
          <w:rFonts w:ascii="Arial" w:cs="Arial" w:eastAsia="Arial" w:hAnsi="Arial"/>
          <w:sz w:val="16"/>
          <w:szCs w:val="16"/>
          <w:color w:val="auto"/>
        </w:rPr>
        <w:t>”).</w:t>
      </w:r>
    </w:p>
    <w:p>
      <w:pPr>
        <w:spacing w:after="0" w:line="124"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Any Securities received upon exercise of options granted to the undersigned will also be subject to this Lock-Up Agreement. Notwithstanding anything contained herein to the contrary, the restrictions described in this Lock-Up Agreement shall not apply to:</w:t>
      </w:r>
    </w:p>
    <w:p>
      <w:pPr>
        <w:spacing w:after="0" w:line="76"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transactions relating to Securities or other securities acquired by the undersigned in the Public Offering or in open market transactions;</w:t>
      </w:r>
    </w:p>
    <w:p>
      <w:pPr>
        <w:sectPr>
          <w:pgSz w:w="11900" w:h="16838" w:orient="portrait"/>
          <w:cols w:equalWidth="0" w:num="1">
            <w:col w:w="11420"/>
          </w:cols>
          <w:pgMar w:left="240" w:top="270" w:right="239" w:bottom="1440" w:gutter="0" w:footer="0" w:header="0"/>
        </w:sectPr>
      </w:pPr>
    </w:p>
    <w:bookmarkStart w:id="279" w:name="page280"/>
    <w:bookmarkEnd w:id="279"/>
    <w:p>
      <w:pPr>
        <w:ind w:left="446" w:right="40" w:hanging="446"/>
        <w:spacing w:after="0" w:line="270" w:lineRule="auto"/>
        <w:tabs>
          <w:tab w:leader="none" w:pos="446" w:val="left"/>
        </w:tabs>
        <w:numPr>
          <w:ilvl w:val="0"/>
          <w:numId w:val="2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the exercise of stock options or other similar awards granted pursuant to the Company’s equity incentive plans or the vesting or settlement of awards granted pursuant to the Company’s equity incentive plans (including the delivery and receipt of Securities, other awards or any securities convertible into or exercisable or exchangeable for Securities in connection with such vesting or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 the foregoing restrictions shall apply to any of the undersigned’s Securities issued upon such exercise, vesting or settlement; or (ii) the transfer of Securities or any securities convertible into or exercisable or exchangeable for Securities from the undersigned to the Company (or the purchase and cancellation of same by the Company) upon a vesting event of the Company’s securities or upon the exercise of options to purchase Securities by the undersigned, in each case on a “cashless” or “net exercise” basis, or to cover income or withholding and other tax obligations of the undersigned in connection with such vesting or exercise in 2015 and 2016 of options for Securities of the Company, whether by means of a “net settlement” or otherwise;</w:t>
      </w:r>
    </w:p>
    <w:p>
      <w:pPr>
        <w:spacing w:after="0" w:line="87" w:lineRule="exact"/>
        <w:rPr>
          <w:rFonts w:ascii="Arial" w:cs="Arial" w:eastAsia="Arial" w:hAnsi="Arial"/>
          <w:sz w:val="17"/>
          <w:szCs w:val="17"/>
          <w:color w:val="auto"/>
        </w:rPr>
      </w:pPr>
    </w:p>
    <w:p>
      <w:pPr>
        <w:ind w:left="446" w:hanging="446"/>
        <w:spacing w:after="0"/>
        <w:tabs>
          <w:tab w:leader="none" w:pos="44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transfers of Securities or any security convertible into or exercisable or exchangeable for Securities:</w:t>
      </w:r>
    </w:p>
    <w:p>
      <w:pPr>
        <w:spacing w:after="0" w:line="130" w:lineRule="exact"/>
        <w:rPr>
          <w:rFonts w:ascii="Arial" w:cs="Arial" w:eastAsia="Arial" w:hAnsi="Arial"/>
          <w:sz w:val="18"/>
          <w:szCs w:val="18"/>
          <w:color w:val="auto"/>
        </w:rPr>
      </w:pPr>
    </w:p>
    <w:p>
      <w:pPr>
        <w:ind w:left="1026" w:right="420" w:hanging="567"/>
        <w:spacing w:after="0" w:line="277" w:lineRule="auto"/>
        <w:tabs>
          <w:tab w:leader="none" w:pos="10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026" w:right="40" w:hanging="567"/>
        <w:spacing w:after="0" w:line="264" w:lineRule="auto"/>
        <w:tabs>
          <w:tab w:leader="none" w:pos="10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the undersigned is a natural person, to a member of the immediate family of the undersigned (for purposes of this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026" w:right="40" w:hanging="567"/>
        <w:spacing w:after="0" w:line="277" w:lineRule="auto"/>
        <w:tabs>
          <w:tab w:leader="none" w:pos="10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the undersigned is a natural person, to any trust or other like entity for the direct or indirect benefit of the undersigned or the immediate family of the undersigned;</w:t>
      </w:r>
    </w:p>
    <w:p>
      <w:pPr>
        <w:spacing w:after="0" w:line="75" w:lineRule="exact"/>
        <w:rPr>
          <w:rFonts w:ascii="Arial" w:cs="Arial" w:eastAsia="Arial" w:hAnsi="Arial"/>
          <w:sz w:val="18"/>
          <w:szCs w:val="18"/>
          <w:color w:val="auto"/>
        </w:rPr>
      </w:pPr>
    </w:p>
    <w:p>
      <w:pPr>
        <w:ind w:left="1026" w:right="700" w:hanging="567"/>
        <w:spacing w:after="0" w:line="277" w:lineRule="auto"/>
        <w:tabs>
          <w:tab w:leader="none" w:pos="10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the undersigned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026" w:hanging="567"/>
        <w:spacing w:after="0" w:line="264" w:lineRule="auto"/>
        <w:tabs>
          <w:tab w:leader="none" w:pos="10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the undersigned is a natural person, to a corporation, partnership, limited liability company or other entity of which the undersigned and the immediate family of the undersigned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jc w:val="both"/>
        <w:ind w:left="1026" w:right="120" w:hanging="567"/>
        <w:spacing w:after="0" w:line="342" w:lineRule="auto"/>
        <w:tabs>
          <w:tab w:leader="none" w:pos="1026" w:val="left"/>
        </w:tabs>
        <w:numPr>
          <w:ilvl w:val="1"/>
          <w:numId w:val="208"/>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entity, to any trust or other like entity for the direct or indirect benefit of the undersigned or any affiliate, wholly-owned subsidiary, limited partner, member or stockholder of the undersigned;</w:t>
      </w:r>
    </w:p>
    <w:p>
      <w:pPr>
        <w:spacing w:after="0" w:line="29" w:lineRule="exact"/>
        <w:rPr>
          <w:rFonts w:ascii="Arial" w:cs="Arial" w:eastAsia="Arial" w:hAnsi="Arial"/>
          <w:sz w:val="16"/>
          <w:szCs w:val="16"/>
          <w:color w:val="auto"/>
        </w:rPr>
      </w:pPr>
    </w:p>
    <w:p>
      <w:pPr>
        <w:ind w:left="1026" w:hanging="567"/>
        <w:spacing w:after="0"/>
        <w:tabs>
          <w:tab w:leader="none" w:pos="10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026" w:right="20" w:hanging="567"/>
        <w:spacing w:after="0" w:line="277" w:lineRule="auto"/>
        <w:tabs>
          <w:tab w:leader="none" w:pos="10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investment fund or other entity controlled or managed by the undersigned; or</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the undersigned;</w:t>
      </w:r>
    </w:p>
    <w:p>
      <w:pPr>
        <w:spacing w:after="0" w:line="225" w:lineRule="exact"/>
        <w:rPr>
          <w:sz w:val="20"/>
          <w:szCs w:val="20"/>
          <w:color w:val="auto"/>
        </w:rPr>
      </w:pPr>
    </w:p>
    <w:p>
      <w:pPr>
        <w:ind w:left="466" w:right="4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clause (c)(i)-(ix) above, each donee, distributee or transferee agrees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bound in writing by the terms of this Lock-Up</w:t>
      </w:r>
    </w:p>
    <w:p>
      <w:pPr>
        <w:sectPr>
          <w:pgSz w:w="11900" w:h="16838" w:orient="portrait"/>
          <w:cols w:equalWidth="0" w:num="1">
            <w:col w:w="10966"/>
          </w:cols>
          <w:pgMar w:left="694" w:top="274" w:right="239" w:bottom="1440" w:gutter="0" w:footer="0" w:header="0"/>
        </w:sectPr>
      </w:pPr>
    </w:p>
    <w:bookmarkStart w:id="280" w:name="page281"/>
    <w:bookmarkEnd w:id="280"/>
    <w:p>
      <w:pPr>
        <w:jc w:val="both"/>
        <w:ind w:left="92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prior to such transfer, such transfer shall not involve a disposition for value and no filing by any party (donor, donee, transferor or transferee) under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shall be required or shall be voluntarily made in connection with such transfer;</w:t>
      </w:r>
    </w:p>
    <w:p>
      <w:pPr>
        <w:spacing w:after="0" w:line="87" w:lineRule="exact"/>
        <w:rPr>
          <w:sz w:val="20"/>
          <w:szCs w:val="20"/>
          <w:color w:val="auto"/>
        </w:rPr>
      </w:pPr>
    </w:p>
    <w:p>
      <w:pPr>
        <w:ind w:left="900" w:right="100" w:hanging="446"/>
        <w:spacing w:after="0" w:line="255"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Lock-Up Period, (ii) the establishment of such plan shall not be voluntarily publicly announced or filed under the Exchange Act and (iii) to the extent a public announcement or filing under the Exchange Act, if any, is required by or on behalf of the undersigned or the Company regarding the establishment or modification of such plan, such announcement or filing shall include a statement to the effect that no transfer of Securities may be made under such plan during the Lock-Up Period;</w:t>
      </w:r>
    </w:p>
    <w:p>
      <w:pPr>
        <w:spacing w:after="0" w:line="98"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transfer of Securities or any security convertible into or exercisable or exchangeable for Securities to the Company, pursuant to agreements or rights in existence on the Public Offering Date under which the Company has the option to repurchase such shares or a right of first refusal with respect to transfers of such shares or in connection with the termination of the undersigned’s employment with the Company;</w:t>
      </w:r>
    </w:p>
    <w:p>
      <w:pPr>
        <w:spacing w:after="0" w:line="52"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transfer of Securities or any security convertible into or exercisable or exchangeable for Securities that occurs by any order or settlement resulting from any legal proceeding;</w:t>
      </w:r>
    </w:p>
    <w:p>
      <w:pPr>
        <w:spacing w:after="0" w:line="75" w:lineRule="exact"/>
        <w:rPr>
          <w:rFonts w:ascii="Arial" w:cs="Arial" w:eastAsia="Arial" w:hAnsi="Arial"/>
          <w:sz w:val="18"/>
          <w:szCs w:val="18"/>
          <w:color w:val="auto"/>
        </w:rPr>
      </w:pPr>
    </w:p>
    <w:p>
      <w:pPr>
        <w:ind w:left="900" w:right="140" w:hanging="446"/>
        <w:spacing w:after="0" w:line="279" w:lineRule="auto"/>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the transfer of Securities or any security convertible into or exercisable or exchangeable for Securities pursuant to a bona fide third-party tender offer, merger, amalgamation, consolidation or other similar transaction made to all holders of the Securities involving a change of control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tender offer, merger, amalgamation, consolidation or other such transaction is not completed, the Securities owned by the undersigned shall remain subject to the restrictions contained in this Lock-Up Agreement; [or]</w:t>
      </w:r>
    </w:p>
    <w:p>
      <w:pPr>
        <w:spacing w:after="0" w:line="76" w:lineRule="exact"/>
        <w:rPr>
          <w:rFonts w:ascii="Arial" w:cs="Arial" w:eastAsia="Arial" w:hAnsi="Arial"/>
          <w:sz w:val="17"/>
          <w:szCs w:val="17"/>
          <w:color w:val="auto"/>
        </w:rPr>
      </w:pPr>
    </w:p>
    <w:p>
      <w:pPr>
        <w:ind w:left="900" w:hanging="446"/>
        <w:spacing w:after="0" w:line="259"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the Company of Securities or any securities convertible into or exercisable or exchangeable for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the undersigned’s Securities proposed to be registered pursuant to the exercise of such rights under this clause (h) shall occur, and no registration statement shall be filed, during the Lock-Up Period [.] / [or]</w:t>
      </w:r>
    </w:p>
    <w:p>
      <w:pPr>
        <w:spacing w:after="0" w:line="92" w:lineRule="exact"/>
        <w:rPr>
          <w:rFonts w:ascii="Arial" w:cs="Arial" w:eastAsia="Arial" w:hAnsi="Arial"/>
          <w:sz w:val="18"/>
          <w:szCs w:val="18"/>
          <w:color w:val="auto"/>
        </w:rPr>
      </w:pPr>
    </w:p>
    <w:p>
      <w:pPr>
        <w:ind w:left="900" w:right="20" w:hanging="446"/>
        <w:spacing w:after="0" w:line="271" w:lineRule="auto"/>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 sale of Securities in a single private transaction exempt from registration under the Securities Act of 1933, as amended, to a single beneficial owner where such sale is not executed through the Nasdaq Stock Market (or any other market on which the Securities are listed);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single sale permitted by this clause, (A) the undersigned provides at least five (5) days’ notice to Credit Suisse in advance of such sale where such notice shall include the identity of the purchaser, the number of Securities to be sold and any other information which is required to be disclosed by either the undersigned or such purchaser pursuant to Section 13 of the Exchange Act, (B) such purchaser agrees to be bound in writing by the terms of this Lock-Up Agreement prior to consummating such sale, and (C) no filing by any party (the undersigned or such purchaser) under the Exchange Act shall be required or shall be voluntarily made in connection with such sale except for filings required by Section 13 of the Exchange Act;]</w:t>
      </w:r>
      <w:r>
        <w:rPr>
          <w:rFonts w:ascii="Arial" w:cs="Arial" w:eastAsia="Arial" w:hAnsi="Arial"/>
          <w:sz w:val="14"/>
          <w:szCs w:val="14"/>
          <w:color w:val="auto"/>
        </w:rPr>
        <w:t>1</w:t>
      </w:r>
    </w:p>
    <w:p>
      <w:pPr>
        <w:spacing w:after="0" w:line="179"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shares of Securities if such transfer would constitute a violation or breach of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89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ind w:left="220" w:hanging="212"/>
        <w:spacing w:after="0"/>
        <w:tabs>
          <w:tab w:leader="none" w:pos="220" w:val="left"/>
        </w:tabs>
        <w:numPr>
          <w:ilvl w:val="0"/>
          <w:numId w:val="210"/>
        </w:numPr>
        <w:rPr>
          <w:rFonts w:ascii="Arial" w:cs="Arial" w:eastAsia="Arial" w:hAnsi="Arial"/>
          <w:sz w:val="15"/>
          <w:szCs w:val="15"/>
          <w:color w:val="auto"/>
        </w:rPr>
      </w:pPr>
      <w:r>
        <w:rPr>
          <w:rFonts w:ascii="Arial" w:cs="Arial" w:eastAsia="Arial" w:hAnsi="Arial"/>
          <w:sz w:val="18"/>
          <w:szCs w:val="18"/>
          <w:color w:val="auto"/>
        </w:rPr>
        <w:t>For lock-up for dievini and its representatives.</w:t>
      </w:r>
    </w:p>
    <w:p>
      <w:pPr>
        <w:sectPr>
          <w:pgSz w:w="11900" w:h="16838" w:orient="portrait"/>
          <w:cols w:equalWidth="0" w:num="1">
            <w:col w:w="11380"/>
          </w:cols>
          <w:pgMar w:left="240" w:top="274" w:right="279" w:bottom="1440" w:gutter="0" w:footer="0" w:header="0"/>
        </w:sectPr>
      </w:pPr>
    </w:p>
    <w:bookmarkStart w:id="281" w:name="page282"/>
    <w:bookmarkEnd w:id="281"/>
    <w:p>
      <w:pPr>
        <w:ind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Furthermore, the undersigned instructs the Escrow Agent Vischer AG to release the shares in the Company held by the undersigned and to deliver such shares to the Transfer Agent designated by the Company and agrees that the corresponding share certificates shall be cancelled by the Secretary of the Board and such shares shall become intermediated securities. The undersigned also grants power of attorney to represent the undersigned towards such Transfer Agent including meeting all formalities required so that the undersigned can after the expiry of the lock-up dispose of such shares.</w:t>
      </w:r>
    </w:p>
    <w:p>
      <w:pPr>
        <w:spacing w:after="0" w:line="15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If the undersigned is an officer or director of the Company, (i) Credit Suisse agrees that, at least three business days before the effective date of any release or waiver of the foregoing restrictions in connection with a transfer of Securities, Credit Suisse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Credit Suisse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6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This Lock-Up Agreement shall be binding on the undersigned and the successors, heirs, personal representatives and assigns of the undersigned. This Lock-Up Agreement shall automatically terminate, and the undersigned will, in each case, be released from its obligations under this Lock-Up Agreement, upon the earliest to occur, if any, of (a) the date that the Company advises Credit Suisse that it does not intend to proceed with the Public Offering, (b) the date of termination of the Underwriting Agreement (if executed) if prior to the closing of the Public Offering, (c) December 31, 2016 if the Underwriting Agreement has not been entered into by such date, or (d) the date on which the Company files an application with the Securities and Exchange Commission to withdraw the registration statement relating to the Public Offering. </w:t>
      </w:r>
      <w:r>
        <w:rPr>
          <w:rFonts w:ascii="Arial" w:cs="Arial" w:eastAsia="Arial" w:hAnsi="Arial"/>
          <w:sz w:val="18"/>
          <w:szCs w:val="18"/>
          <w:b w:val="1"/>
          <w:bCs w:val="1"/>
          <w:color w:val="auto"/>
        </w:rPr>
        <w:t>This Lock-Up Agreement shall be governed by, and construed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the laws of the State of New York.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62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announced today that Credit Suisse Securities (USA) LLC, a lead book-running manager in the Company’s recent public sale of [•] shares of the Company’s common stock, is [waiving] [releasing] a lock-up restriction with respect to [•] shares of the Company’s common shares held by [certain officers or directors] [an officer or director] of the Company. The [waiver] [release] will take effect on [•], 20[•] , and the shares may be sold on or after such date.</w:t>
      </w:r>
    </w:p>
    <w:p>
      <w:pPr>
        <w:spacing w:after="0" w:line="180"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420"/>
          </w:cols>
          <w:pgMar w:left="240" w:top="270"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RESEARCH COLLABORATION AND LICENSE AGREEMENT</w:t>
      </w:r>
    </w:p>
    <w:p>
      <w:pPr>
        <w:spacing w:after="0" w:line="225" w:lineRule="exact"/>
        <w:rPr>
          <w:sz w:val="20"/>
          <w:szCs w:val="20"/>
          <w:color w:val="auto"/>
        </w:rPr>
      </w:pPr>
    </w:p>
    <w:p>
      <w:pPr>
        <w:jc w:val="both"/>
        <w:ind w:right="180" w:firstLine="456"/>
        <w:spacing w:after="0" w:line="289" w:lineRule="auto"/>
        <w:rPr>
          <w:sz w:val="20"/>
          <w:szCs w:val="20"/>
          <w:color w:val="auto"/>
        </w:rPr>
      </w:pPr>
      <w:r>
        <w:rPr>
          <w:rFonts w:ascii="Arial" w:cs="Arial" w:eastAsia="Arial" w:hAnsi="Arial"/>
          <w:sz w:val="16"/>
          <w:szCs w:val="16"/>
          <w:color w:val="auto"/>
        </w:rPr>
        <w:t>This Research Collaboration and License Agreement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the 15th day of June 2012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AC Immune SA Corporation, a Swiss corporation with a principal place of business at Parc scientifique EPFL, PSE-B, CH-1015 Lausanne, Switzerland (“</w:t>
      </w:r>
      <w:r>
        <w:rPr>
          <w:rFonts w:ascii="Arial" w:cs="Arial" w:eastAsia="Arial" w:hAnsi="Arial"/>
          <w:sz w:val="16"/>
          <w:szCs w:val="16"/>
          <w:b w:val="1"/>
          <w:bCs w:val="1"/>
          <w:color w:val="auto"/>
        </w:rPr>
        <w:t>ACI</w:t>
      </w:r>
      <w:r>
        <w:rPr>
          <w:rFonts w:ascii="Arial" w:cs="Arial" w:eastAsia="Arial" w:hAnsi="Arial"/>
          <w:sz w:val="16"/>
          <w:szCs w:val="16"/>
          <w:color w:val="auto"/>
        </w:rPr>
        <w:t>”) and Genentech, Inc., a Delaware corporation, with offices located at 1 DNA Way, South San Francisco, CA 94080 (“</w:t>
      </w:r>
      <w:r>
        <w:rPr>
          <w:rFonts w:ascii="Arial" w:cs="Arial" w:eastAsia="Arial" w:hAnsi="Arial"/>
          <w:sz w:val="16"/>
          <w:szCs w:val="16"/>
          <w:b w:val="1"/>
          <w:bCs w:val="1"/>
          <w:color w:val="auto"/>
        </w:rPr>
        <w:t>GNE</w:t>
      </w:r>
      <w:r>
        <w:rPr>
          <w:rFonts w:ascii="Arial" w:cs="Arial" w:eastAsia="Arial" w:hAnsi="Arial"/>
          <w:sz w:val="16"/>
          <w:szCs w:val="16"/>
          <w:color w:val="auto"/>
        </w:rPr>
        <w:t>”) and F.</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Hoffmann-La Roche Ltd, a Swiss corporation with its principal place of business at Grenzacherstrasse 124, CH 4070 Basel, Switzerland (“</w:t>
      </w:r>
      <w:r>
        <w:rPr>
          <w:rFonts w:ascii="Arial" w:cs="Arial" w:eastAsia="Arial" w:hAnsi="Arial"/>
          <w:sz w:val="17"/>
          <w:szCs w:val="17"/>
          <w:b w:val="1"/>
          <w:bCs w:val="1"/>
          <w:color w:val="auto"/>
        </w:rPr>
        <w:t>Roche</w:t>
      </w:r>
      <w:r>
        <w:rPr>
          <w:rFonts w:ascii="Arial" w:cs="Arial" w:eastAsia="Arial" w:hAnsi="Arial"/>
          <w:sz w:val="17"/>
          <w:szCs w:val="17"/>
          <w:color w:val="auto"/>
        </w:rPr>
        <w:t>”) (GNE and Roche, collectively, “</w:t>
      </w:r>
      <w:r>
        <w:rPr>
          <w:rFonts w:ascii="Arial" w:cs="Arial" w:eastAsia="Arial" w:hAnsi="Arial"/>
          <w:sz w:val="17"/>
          <w:szCs w:val="17"/>
          <w:b w:val="1"/>
          <w:bCs w:val="1"/>
          <w:color w:val="auto"/>
        </w:rPr>
        <w:t>Genentech</w:t>
      </w:r>
      <w:r>
        <w:rPr>
          <w:rFonts w:ascii="Arial" w:cs="Arial" w:eastAsia="Arial" w:hAnsi="Arial"/>
          <w:sz w:val="17"/>
          <w:szCs w:val="17"/>
          <w:color w:val="auto"/>
        </w:rPr>
        <w:t>”). ACI and Genentech are each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ACI possesses certain expertise and proprietary technologies related to antibody products that interact with tau protein and its derivatives.</w:t>
      </w:r>
    </w:p>
    <w:p>
      <w:pPr>
        <w:spacing w:after="0" w:line="24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ACI and Genentech wish to collaborate in further research related to antibody materials that interact with tau protein and its derivatives for the diagnosis, prevention and treatment of diseases;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WHEREAS Genentech is a health care company with expertise and capability in researching, developing, manufacturing and marketing human therapeutics and diagnostics;</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WHEREAS, ACI and Genentech wish to enter into an exclusive licensing arrangement whereby Genentech will have exclusive rights to research, develop and commercialize antibody products that interact with tau protein derivatives for the selection and evaluation of patients and the treatment of Alzheimer’s disease and other indications in exchange for upfront, milestone and royalty payments.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amount and sufficiency of which are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ACI Antibodies</w:t>
      </w:r>
      <w:r>
        <w:rPr>
          <w:rFonts w:ascii="Arial" w:cs="Arial" w:eastAsia="Arial" w:hAnsi="Arial"/>
          <w:sz w:val="18"/>
          <w:szCs w:val="18"/>
          <w:color w:val="auto"/>
        </w:rPr>
        <w:t>” means all Tau-Active Antibodies that are owned or Controlled by ACI as of the Effective Date, or during the Term of this Agreement, or provided by, or on behalf of, ACI to the Research Program; but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ACI Confidential Information</w:t>
      </w:r>
      <w:r>
        <w:rPr>
          <w:rFonts w:ascii="Arial" w:cs="Arial" w:eastAsia="Arial" w:hAnsi="Arial"/>
          <w:sz w:val="18"/>
          <w:szCs w:val="18"/>
          <w:color w:val="auto"/>
        </w:rPr>
        <w:t>” means Confidential Information disclosed or provided by, or on behalf of, ACI to Genentech or its designees, other than [*****].</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ACI IP Rights</w:t>
      </w:r>
      <w:r>
        <w:rPr>
          <w:rFonts w:ascii="Arial" w:cs="Arial" w:eastAsia="Arial" w:hAnsi="Arial"/>
          <w:sz w:val="18"/>
          <w:szCs w:val="18"/>
          <w:color w:val="auto"/>
        </w:rPr>
        <w:t xml:space="preserve">” means (i) all Patents which claim Tau-Active Antibodies (including assays, and methods of immunization to generate, methods of making or methods of using any of the foregoing) or methods of screening or detecting Tau interaction, binding or modulation activity, which Patents include but are not limited to those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and (ii) all other intellectual property rights in and to Know-How related to Licensed Products and Tau-Active Antibodies (including assays, and methods of immunization to generate, methods of making or methods of using any of the foregoing) or methods of screening or detecting Tau interaction, binding or modulation activity; in each case (a) owned or Controlled by ACI or its Affiliates as of the Effective Date or during the Term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1" w:right="2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Agreement, which shall include (A) those antibodies that have been generated as of the Effective Date utilizing the antigens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but have not yet been sequenced or characterized and (B) those antibodies that will be generated by ACI through the use of the antigens listed on Exhibit C (each in clauses (A) and (B), a “</w:t>
      </w:r>
      <w:r>
        <w:rPr>
          <w:rFonts w:ascii="Arial" w:cs="Arial" w:eastAsia="Arial" w:hAnsi="Arial"/>
          <w:sz w:val="17"/>
          <w:szCs w:val="17"/>
          <w:u w:val="single" w:color="auto"/>
          <w:color w:val="auto"/>
        </w:rPr>
        <w:t>Discovery Antibody</w:t>
      </w:r>
      <w:r>
        <w:rPr>
          <w:rFonts w:ascii="Arial" w:cs="Arial" w:eastAsia="Arial" w:hAnsi="Arial"/>
          <w:sz w:val="17"/>
          <w:szCs w:val="17"/>
          <w:color w:val="auto"/>
        </w:rPr>
        <w:t>” or collectively the “</w:t>
      </w:r>
      <w:r>
        <w:rPr>
          <w:rFonts w:ascii="Arial" w:cs="Arial" w:eastAsia="Arial" w:hAnsi="Arial"/>
          <w:sz w:val="17"/>
          <w:szCs w:val="17"/>
          <w:u w:val="single" w:color="auto"/>
          <w:color w:val="auto"/>
        </w:rPr>
        <w:t>Discovery Antibodies</w:t>
      </w:r>
      <w:r>
        <w:rPr>
          <w:rFonts w:ascii="Arial" w:cs="Arial" w:eastAsia="Arial" w:hAnsi="Arial"/>
          <w:sz w:val="17"/>
          <w:szCs w:val="17"/>
          <w:color w:val="auto"/>
        </w:rPr>
        <w:t>”) (b) excluding (1) any [*****], (2) any claims which are specific to [*****], but in each case except to the extent rights to and under such claims which are specific to a [*****] are necessary for Genentech to fully exploit its rights and activities as contemplated in this Agreement, including research, development and commercialization of Licensed Products in the Genentech Field and (3) any claims specifically directed to methods for producing antibodies other than Tau-Active Antibodies [*****] Tau.</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ACI Licensee</w:t>
      </w:r>
      <w:r>
        <w:rPr>
          <w:rFonts w:ascii="Arial" w:cs="Arial" w:eastAsia="Arial" w:hAnsi="Arial"/>
          <w:sz w:val="18"/>
          <w:szCs w:val="18"/>
          <w:color w:val="auto"/>
        </w:rPr>
        <w:t>” means any Third Party which enters into an agreement with ACI or an Affiliate of ACI involving the grant to such Third Party of a right to make, use, sell, offer for sale or import a Tau-Active Antibody outside the Genentech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Additional Indication</w:t>
      </w:r>
      <w:r>
        <w:rPr>
          <w:rFonts w:ascii="Arial" w:cs="Arial" w:eastAsia="Arial" w:hAnsi="Arial"/>
          <w:sz w:val="18"/>
          <w:szCs w:val="18"/>
          <w:color w:val="auto"/>
        </w:rPr>
        <w:t>” means any disease condition, [*****].</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Person that, directly or indirectly (through one or more intermediaries) controls, is controlled by, or is under common control with a Party. For purposes of this </w:t>
      </w:r>
      <w:r>
        <w:rPr>
          <w:rFonts w:ascii="Arial" w:cs="Arial" w:eastAsia="Arial" w:hAnsi="Arial"/>
          <w:sz w:val="18"/>
          <w:szCs w:val="18"/>
          <w:u w:val="single" w:color="auto"/>
          <w:color w:val="auto"/>
        </w:rPr>
        <w:t>Section 1.9</w:t>
      </w:r>
      <w:r>
        <w:rPr>
          <w:rFonts w:ascii="Arial" w:cs="Arial" w:eastAsia="Arial" w:hAnsi="Arial"/>
          <w:sz w:val="18"/>
          <w:szCs w:val="18"/>
          <w:color w:val="auto"/>
        </w:rPr>
        <w:t>, “</w:t>
      </w:r>
      <w:r>
        <w:rPr>
          <w:rFonts w:ascii="Arial" w:cs="Arial" w:eastAsia="Arial" w:hAnsi="Arial"/>
          <w:sz w:val="18"/>
          <w:szCs w:val="18"/>
          <w:u w:val="single" w:color="auto"/>
          <w:color w:val="auto"/>
        </w:rPr>
        <w:t>control</w:t>
      </w:r>
      <w:r>
        <w:rPr>
          <w:rFonts w:ascii="Arial" w:cs="Arial" w:eastAsia="Arial" w:hAnsi="Arial"/>
          <w:sz w:val="18"/>
          <w:szCs w:val="18"/>
          <w:color w:val="auto"/>
        </w:rPr>
        <w:t>” means (i) the direct or indirect ownership of fifty percent (50%) or more of the voting stock or other voting interests or interest in the profits of the Party, or (ii) the ability to otherwise control or direct the decisions of the board of directors or equivalent governing body thereof. For purposes of this Agreement, with respect to Genentech, the term “</w:t>
      </w:r>
      <w:r>
        <w:rPr>
          <w:rFonts w:ascii="Arial" w:cs="Arial" w:eastAsia="Arial" w:hAnsi="Arial"/>
          <w:sz w:val="18"/>
          <w:szCs w:val="18"/>
          <w:u w:val="single" w:color="auto"/>
          <w:color w:val="auto"/>
        </w:rPr>
        <w:t>Affiliate</w:t>
      </w:r>
      <w:r>
        <w:rPr>
          <w:rFonts w:ascii="Arial" w:cs="Arial" w:eastAsia="Arial" w:hAnsi="Arial"/>
          <w:sz w:val="18"/>
          <w:szCs w:val="18"/>
          <w:color w:val="auto"/>
        </w:rPr>
        <w:t>” shall not include [*****] and its successors, or any entity that controls, is controlled by or is under common control with [*****], in each case that is not controlled by Genentech unless and until GNE [*****] provides written notice to ACI specifying [*****] as an Affiliate of Genentech.</w:t>
      </w:r>
    </w:p>
    <w:p>
      <w:pPr>
        <w:spacing w:after="0" w:line="193"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applicable statutes, ordinances, regulations, rules, or orders of any kind whatsoever of any government or regulatory authority, or court, of competent jurisdiction.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BLA</w:t>
      </w:r>
      <w:r>
        <w:rPr>
          <w:rFonts w:ascii="Arial" w:cs="Arial" w:eastAsia="Arial" w:hAnsi="Arial"/>
          <w:sz w:val="18"/>
          <w:szCs w:val="18"/>
          <w:color w:val="auto"/>
        </w:rPr>
        <w:t>” means a complete biologics license application as defined in, and containing the content, and in the format, required by 21 C.F.R. § 600 et seq filed with the FDA, or a corresponding application with a Regulatory Authority in a country other than the United States, together with all replacements,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Blocking Third Party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5.7.2</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or day on which commercial banks located in San Francisco or Lausanne are authorized or required by law or regulation to close.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Section 14.3.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the exercise of such efforts and commitment of such resources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0" w:right="2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 all information and materials (of whatever kind and in whatever form or medium) disclosed by or on behalf of a Party to the other Party (or its designee) in connection with this Agreement, including any Know-How, whether prior to or during the term of this Agreement (including any such information and materials disclosed pursuant to the Confidential Disclosure Agreement between the Parties dated March 18, 2010, as amended) and whether provided orally, electronically, visually, or in writing; (ii) all copies of the information and materials described in (i) above; and (iii) the existence and each of the terms and conditions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to the extent a Party can demonstrate, through its contemporaneous written records, information and materials (a) known to the receiving Party, or in the public domain, at the time of its receipt by a Party, or which thereafter becomes part of the public domain other than by virtue of a breach of this Agreement or the obligations of confidentiality under this Agreement; (b) received without an obligation of confidentiality from a Third Party having the right to disclose without restriction such information; (c) independently developed by the receiving Party without use of or reference to Confidential Information disclosed by the other Party; and (d) released from the restrictions set forth in this Agreement by the express prior written consent of the disclosing Party.</w:t>
      </w:r>
    </w:p>
    <w:p>
      <w:pPr>
        <w:spacing w:after="0" w:line="16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Control(s)</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a Party, as of the Effective Date or during the term of this Agreement, with respect to Know How or Patent rights either (i) physical possession or the right to such physical possession of those items, with the right to provide them to Third Parties; or</w:t>
      </w:r>
    </w:p>
    <w:p>
      <w:pPr>
        <w:ind w:right="320" w:firstLine="8"/>
        <w:spacing w:after="0" w:line="261" w:lineRule="auto"/>
        <w:tabs>
          <w:tab w:leader="none" w:pos="2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rights sufficient to grant the applicable license or sublicense under this Agreement, in each case without violating the terms of any agreement with any Third Party.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CRO</w:t>
      </w:r>
      <w:r>
        <w:rPr>
          <w:rFonts w:ascii="Arial" w:cs="Arial" w:eastAsia="Arial" w:hAnsi="Arial"/>
          <w:sz w:val="18"/>
          <w:szCs w:val="18"/>
          <w:color w:val="auto"/>
        </w:rPr>
        <w:t>” means a Third Party contract research organization.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Covers</w:t>
      </w:r>
      <w:r>
        <w:rPr>
          <w:rFonts w:ascii="Arial" w:cs="Arial" w:eastAsia="Arial" w:hAnsi="Arial"/>
          <w:sz w:val="18"/>
          <w:szCs w:val="18"/>
          <w:color w:val="auto"/>
        </w:rPr>
        <w:t>” or “</w:t>
      </w:r>
      <w:r>
        <w:rPr>
          <w:rFonts w:ascii="Arial" w:cs="Arial" w:eastAsia="Arial" w:hAnsi="Arial"/>
          <w:sz w:val="18"/>
          <w:szCs w:val="18"/>
          <w:u w:val="single" w:color="auto"/>
          <w:color w:val="auto"/>
        </w:rPr>
        <w:t>Covered by</w:t>
      </w:r>
      <w:r>
        <w:rPr>
          <w:rFonts w:ascii="Arial" w:cs="Arial" w:eastAsia="Arial" w:hAnsi="Arial"/>
          <w:sz w:val="18"/>
          <w:szCs w:val="18"/>
          <w:color w:val="auto"/>
        </w:rPr>
        <w:t>,” or the like, with reference to a particular Licensed Product means that the making, using, selling, offering for sale, or importing of such Licensed Product would, but for ownership of, or a license granted under this Agreement to, the relevant Patent infringe a Valid Patent Claim of the relevant Patent in the country in which the activity occurs.</w:t>
      </w:r>
    </w:p>
    <w:p>
      <w:pPr>
        <w:spacing w:after="0" w:line="18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Diagnostic Field</w:t>
      </w:r>
      <w:r>
        <w:rPr>
          <w:rFonts w:ascii="Arial" w:cs="Arial" w:eastAsia="Arial" w:hAnsi="Arial"/>
          <w:sz w:val="17"/>
          <w:szCs w:val="17"/>
          <w:color w:val="auto"/>
        </w:rPr>
        <w:t>” means the detection and/or quantification of the presence or amount of an analyte in body fluids or tissue that affects the pathogenesis of any disease or a biological marker or a set of biological markers shown to indicate a predisposition to any disease.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Diagnostic Net Sales</w:t>
      </w:r>
      <w:r>
        <w:rPr>
          <w:rFonts w:ascii="Arial" w:cs="Arial" w:eastAsia="Arial" w:hAnsi="Arial"/>
          <w:sz w:val="18"/>
          <w:szCs w:val="18"/>
          <w:color w:val="auto"/>
        </w:rPr>
        <w:t>” mean, with respect to sales or other dispositions of a Diagnostic Product, [*****]</w:t>
      </w:r>
    </w:p>
    <w:p>
      <w:pPr>
        <w:spacing w:after="0" w:line="131" w:lineRule="exact"/>
        <w:rPr>
          <w:sz w:val="20"/>
          <w:szCs w:val="20"/>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70" w:right="2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Diagnostic Product</w:t>
      </w:r>
      <w:r>
        <w:rPr>
          <w:rFonts w:ascii="Arial" w:cs="Arial" w:eastAsia="Arial" w:hAnsi="Arial"/>
          <w:sz w:val="18"/>
          <w:szCs w:val="18"/>
          <w:color w:val="auto"/>
        </w:rPr>
        <w:t>” means any product, method or technologies in the form of a device, compound, kit or service that contains a Tau Active Antibody for use in the Diagnostic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Discovery Antibody IP Rights</w:t>
      </w:r>
      <w:r>
        <w:rPr>
          <w:rFonts w:ascii="Arial" w:cs="Arial" w:eastAsia="Arial" w:hAnsi="Arial"/>
          <w:sz w:val="18"/>
          <w:szCs w:val="18"/>
          <w:color w:val="auto"/>
        </w:rPr>
        <w:t>” means a Valid Patent Claim within the ACI IP Rights that Covers a Discovery Antibody.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Discovery Antibody(ies)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ED-Go Decision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FDA</w:t>
      </w:r>
      <w:r>
        <w:rPr>
          <w:rFonts w:ascii="Arial" w:cs="Arial" w:eastAsia="Arial" w:hAnsi="Arial"/>
          <w:sz w:val="17"/>
          <w:szCs w:val="17"/>
          <w:color w:val="auto"/>
        </w:rPr>
        <w:t>” means the U.S. Food and Drug Administration or corresponding governmental authority in another country, or any successor thereto.</w:t>
      </w:r>
    </w:p>
    <w:p>
      <w:pPr>
        <w:spacing w:after="0" w:line="23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Filing</w:t>
      </w:r>
      <w:r>
        <w:rPr>
          <w:rFonts w:ascii="Arial" w:cs="Arial" w:eastAsia="Arial" w:hAnsi="Arial"/>
          <w:sz w:val="18"/>
          <w:szCs w:val="18"/>
          <w:color w:val="auto"/>
        </w:rPr>
        <w:t>” or “</w:t>
      </w:r>
      <w:r>
        <w:rPr>
          <w:rFonts w:ascii="Arial" w:cs="Arial" w:eastAsia="Arial" w:hAnsi="Arial"/>
          <w:sz w:val="18"/>
          <w:szCs w:val="18"/>
          <w:u w:val="single" w:color="auto"/>
          <w:color w:val="auto"/>
        </w:rPr>
        <w:t>Filed</w:t>
      </w:r>
      <w:r>
        <w:rPr>
          <w:rFonts w:ascii="Arial" w:cs="Arial" w:eastAsia="Arial" w:hAnsi="Arial"/>
          <w:sz w:val="18"/>
          <w:szCs w:val="18"/>
          <w:color w:val="auto"/>
        </w:rPr>
        <w:t>” means, with respect to an application for Marketing Approval that such application has been filed with and accepted for review by the appropriate Regulatory Authority.</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 particular Licensed Product in a given country, the first bona fide arm’s length commercial sale of such Licensed Product following Marketing Approval in such country by or under authority of Genentech, its Affiliates or Genentech Licensees to a Third Party.</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 determined by the standard practices in the biopharmaceutical industry in the geographic area in which such personnel are working.</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Genentech Confidential Information</w:t>
      </w:r>
      <w:r>
        <w:rPr>
          <w:rFonts w:ascii="Arial" w:cs="Arial" w:eastAsia="Arial" w:hAnsi="Arial"/>
          <w:sz w:val="18"/>
          <w:szCs w:val="18"/>
          <w:color w:val="auto"/>
        </w:rPr>
        <w:t>” means Confidential Information disclosed or provided by, or on behalf of, Genentech to ACI or its designees, other than Program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8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70" w:right="2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Genentech Field</w:t>
      </w:r>
      <w:r>
        <w:rPr>
          <w:rFonts w:ascii="Arial" w:cs="Arial" w:eastAsia="Arial" w:hAnsi="Arial"/>
          <w:sz w:val="18"/>
          <w:szCs w:val="18"/>
          <w:color w:val="auto"/>
        </w:rPr>
        <w:t>” means the [*****].</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means (i) all Patents which claim a Tau-Active Antibody (including a method of making or using a Tau-Active Antibody) or assays, methods of screening or detecting Tau interaction and (ii) all other intellectual property rights, or rights in confidential or proprietary information, relating to a Tau-Active Antibody; in each case owned or Controlled by GNE as of the Effective Date or during the Term of this Agreement and all Genentech Program IP Rights and Genentech’s interest in the Joint Program IP Rights. Genentech IP Rights are exclusive of any ACI IP Rights licensed to Genentech under this Agreement.</w:t>
      </w:r>
    </w:p>
    <w:p>
      <w:pPr>
        <w:spacing w:after="0" w:line="18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Genentech Licensee(s)</w:t>
      </w:r>
      <w:r>
        <w:rPr>
          <w:rFonts w:ascii="Arial" w:cs="Arial" w:eastAsia="Arial" w:hAnsi="Arial"/>
          <w:sz w:val="18"/>
          <w:szCs w:val="18"/>
          <w:color w:val="auto"/>
        </w:rPr>
        <w:t>” means any Third Party which enters into an agreement with Genentech or an Affiliate of Genentech involving the grant to such Third Party of a right to make, use, sell, offer for sale or import a Tau-Active Antibody or Licensed Product or a sublicense under any of the licenses granted to Genentech 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ICC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ICC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IFRS</w:t>
      </w:r>
      <w:r>
        <w:rPr>
          <w:rFonts w:ascii="Arial" w:cs="Arial" w:eastAsia="Arial" w:hAnsi="Arial"/>
          <w:sz w:val="18"/>
          <w:szCs w:val="18"/>
          <w:color w:val="auto"/>
        </w:rPr>
        <w:t>” shall mean the International Financial Reporting Standards (IFRS), consistently applied.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7.2.2</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IND</w:t>
      </w:r>
      <w:r>
        <w:rPr>
          <w:rFonts w:ascii="Arial" w:cs="Arial" w:eastAsia="Arial" w:hAnsi="Arial"/>
          <w:sz w:val="18"/>
          <w:szCs w:val="18"/>
          <w:color w:val="auto"/>
        </w:rPr>
        <w:t>” means a complete “</w:t>
      </w:r>
      <w:r>
        <w:rPr>
          <w:rFonts w:ascii="Arial" w:cs="Arial" w:eastAsia="Arial" w:hAnsi="Arial"/>
          <w:sz w:val="18"/>
          <w:szCs w:val="18"/>
          <w:u w:val="single" w:color="auto"/>
          <w:color w:val="auto"/>
        </w:rPr>
        <w:t>Investigational New Drug Application</w:t>
      </w:r>
      <w:r>
        <w:rPr>
          <w:rFonts w:ascii="Arial" w:cs="Arial" w:eastAsia="Arial" w:hAnsi="Arial"/>
          <w:sz w:val="18"/>
          <w:szCs w:val="18"/>
          <w:color w:val="auto"/>
        </w:rPr>
        <w:t>” as defined in 21 C.F.R. 312.3 and containing the content, and in the format, required by 21 C.F.R. 312.23, or a corresponding application with a regulatory agency in a country other than the United States, together with all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 or “</w:t>
      </w:r>
      <w:r>
        <w:rPr>
          <w:rFonts w:ascii="Arial" w:cs="Arial" w:eastAsia="Arial" w:hAnsi="Arial"/>
          <w:sz w:val="18"/>
          <w:szCs w:val="18"/>
          <w:u w:val="single" w:color="auto"/>
          <w:color w:val="auto"/>
        </w:rPr>
        <w:t>JRC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1.44 “</w:t>
      </w:r>
      <w:r>
        <w:rPr>
          <w:rFonts w:ascii="Arial" w:cs="Arial" w:eastAsia="Arial" w:hAnsi="Arial"/>
          <w:sz w:val="16"/>
          <w:szCs w:val="16"/>
          <w:u w:val="single" w:color="auto"/>
          <w:color w:val="auto"/>
        </w:rPr>
        <w:t>Know-How</w:t>
      </w:r>
      <w:r>
        <w:rPr>
          <w:rFonts w:ascii="Arial" w:cs="Arial" w:eastAsia="Arial" w:hAnsi="Arial"/>
          <w:sz w:val="16"/>
          <w:szCs w:val="16"/>
          <w:color w:val="auto"/>
        </w:rPr>
        <w:t>” means all compositions of matter, techniques and data and other know-how and technical information, including inventions (whether or not patentable), improvements and developments, practices, methods, concepts, know-how, trade secrets, documents, computer data, computer code, apparatus, clinical and regulatory strategies, test data, analytical and quality control data, formulation, manufacturing, patent data or descriptions, development information, drawings, specifications, designs, plans, proposals and technical data and manuals and all other proprietary information.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K.U. Leuven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1.46 “</w:t>
      </w:r>
      <w:r>
        <w:rPr>
          <w:rFonts w:ascii="Arial" w:cs="Arial" w:eastAsia="Arial" w:hAnsi="Arial"/>
          <w:sz w:val="17"/>
          <w:szCs w:val="17"/>
          <w:u w:val="single" w:color="auto"/>
          <w:color w:val="auto"/>
        </w:rPr>
        <w:t>Licensed Product(s)</w:t>
      </w:r>
      <w:r>
        <w:rPr>
          <w:rFonts w:ascii="Arial" w:cs="Arial" w:eastAsia="Arial" w:hAnsi="Arial"/>
          <w:sz w:val="17"/>
          <w:szCs w:val="17"/>
          <w:color w:val="auto"/>
        </w:rPr>
        <w:t>” means (i) any product containing a Tau-Active Antibody for use in the Therapeutics Field or (ii) a Diagnostic Product.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Germany, France, the United Kingdom, Spain or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0" w:right="2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Marketing Approval</w:t>
      </w:r>
      <w:r>
        <w:rPr>
          <w:rFonts w:ascii="Arial" w:cs="Arial" w:eastAsia="Arial" w:hAnsi="Arial"/>
          <w:sz w:val="18"/>
          <w:szCs w:val="18"/>
          <w:color w:val="auto"/>
        </w:rPr>
        <w:t>” means all approvals, licenses, registrations or authorizations of any federal, state or local regulatory agency, department, bureau or other governmental entity, necessary for the manufacturing, use, storage, import, transport, marketing and sale of Licensed Products in a country or regulatory jurisdiction. For countries where governmental approval is required for pricing or reimbursement for the Licensed Product, “</w:t>
      </w:r>
      <w:r>
        <w:rPr>
          <w:rFonts w:ascii="Arial" w:cs="Arial" w:eastAsia="Arial" w:hAnsi="Arial"/>
          <w:sz w:val="18"/>
          <w:szCs w:val="18"/>
          <w:u w:val="single" w:color="auto"/>
          <w:color w:val="auto"/>
        </w:rPr>
        <w:t>Marketing Approval</w:t>
      </w:r>
      <w:r>
        <w:rPr>
          <w:rFonts w:ascii="Arial" w:cs="Arial" w:eastAsia="Arial" w:hAnsi="Arial"/>
          <w:sz w:val="18"/>
          <w:szCs w:val="18"/>
          <w:color w:val="auto"/>
        </w:rPr>
        <w:t>” shall not be deemed to occur until such pricing or reimbursement approval is obtained.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Net Sales</w:t>
      </w:r>
      <w:r>
        <w:rPr>
          <w:rFonts w:ascii="Arial" w:cs="Arial" w:eastAsia="Arial" w:hAnsi="Arial"/>
          <w:sz w:val="18"/>
          <w:szCs w:val="18"/>
          <w:color w:val="auto"/>
        </w:rPr>
        <w:t>” of a Licensed Product in a particular period means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70" w:right="2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7.4.3</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Patent(s)</w:t>
      </w:r>
      <w:r>
        <w:rPr>
          <w:rFonts w:ascii="Arial" w:cs="Arial" w:eastAsia="Arial" w:hAnsi="Arial"/>
          <w:sz w:val="18"/>
          <w:szCs w:val="18"/>
          <w:color w:val="auto"/>
        </w:rPr>
        <w:t>” means a patent or a patent application, including any additions, divisions, continuations, continuations-in-part, pipeline protection, invention certificates, substitutions, reissues, reexaminations, extensions, registrations, patent term extensions, supplementary protection certificates and renewals of any of the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Person</w:t>
      </w:r>
      <w:r>
        <w:rPr>
          <w:rFonts w:ascii="Arial" w:cs="Arial" w:eastAsia="Arial" w:hAnsi="Arial"/>
          <w:sz w:val="18"/>
          <w:szCs w:val="18"/>
          <w:color w:val="auto"/>
        </w:rPr>
        <w:t>” means any person or entity, including any individual, trustee, corporation, partnership, trust, unincorporated organization, limited liability company, business association, firm, joint venture or governmental agency or authority.</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1.55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as to a specific Therapeutic Product, a controlled and lawful study in humans designed with the principal purpose of preliminarily determining the safety of a pharmaceutical product in healthy individuals or patients, and for which there are no primary endpoints related to efficacy, as further defined in 21 C.F.R. § 312.21(a); or similar clinical study in a country other than the United States.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as to a specific Therapeutic Product, a controlled and lawful study in humans designed with the principal purpose of determining initial efficacy and dosing of such Licensed Product in patients for the indication(s) being studied, as further defined in 21 C.F.R. § 312.21(b); or similar clinical study in a country other than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as to a specific Therapeutic Product, a controlled and lawful study in humans of the efficacy and safety of such Licensed Product, which is prospectively designed to demonstrate statistically whether such Licensed Product is effective and safe for use in a particular indication in a manner sufficient to file an application to obtain Marketing Approval to market and sell that Licensed Product in the United States or another country for the indication being investigated by the study, as further defined in 21 C.F.R. § 312.21; or similar clinical study in a country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70" w:right="2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Product Reversion Package</w:t>
      </w:r>
      <w:r>
        <w:rPr>
          <w:rFonts w:ascii="Arial" w:cs="Arial" w:eastAsia="Arial" w:hAnsi="Arial"/>
          <w:sz w:val="18"/>
          <w:szCs w:val="18"/>
          <w:color w:val="auto"/>
        </w:rPr>
        <w:t>” means, [*****].</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Program Antibody</w:t>
      </w:r>
      <w:r>
        <w:rPr>
          <w:rFonts w:ascii="Arial" w:cs="Arial" w:eastAsia="Arial" w:hAnsi="Arial"/>
          <w:sz w:val="18"/>
          <w:szCs w:val="18"/>
          <w:color w:val="auto"/>
        </w:rPr>
        <w:t>” means any Tau-Active Antibody created, discovered, conceived or reduced to practice by the Parties jointly or solely by either Party during the conduct of activities under the Research Program or Research Plan during the Research Term.</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1.60 “</w:t>
      </w:r>
      <w:r>
        <w:rPr>
          <w:rFonts w:ascii="Arial" w:cs="Arial" w:eastAsia="Arial" w:hAnsi="Arial"/>
          <w:sz w:val="17"/>
          <w:szCs w:val="17"/>
          <w:u w:val="single" w:color="auto"/>
          <w:color w:val="auto"/>
        </w:rPr>
        <w:t>Program IP Rights</w:t>
      </w:r>
      <w:r>
        <w:rPr>
          <w:rFonts w:ascii="Arial" w:cs="Arial" w:eastAsia="Arial" w:hAnsi="Arial"/>
          <w:sz w:val="17"/>
          <w:szCs w:val="17"/>
          <w:color w:val="auto"/>
        </w:rPr>
        <w:t>” means (i) all Patents which claim a (including a method of making or using) Know How conceived, reduced to practice or otherwise created during the conduct of and in connection with activities under the Research Program or Research Plan (whether solely by one Party and/or its respective employees, contractors or consultants or jointly by the Parties and/or their employees, contractors or consultants), and (ii) all other intellectual property rights, or rights in confidential or proprietary information, in and to Know-How conceived, reduced to practice or otherwise created during the conduct of and in connection with activities under the Research Program or Research Plan (whether solely by one Party and/or its respective employees, contractors or consultants or jointly by the Parties and/or their employees, contractors or consultants). [*****].</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means (i) all information and materials (of whatever kind and in whatever form or medium), including any Know-How, created by, or on behalf of, either Party, or created jointly by the Parties during the course of performing the activities contemplated by the Research Plan and (ii) all copies of the information and materials described in (i) above.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shall not include, to the extent a Party can demonstrate, through its contemporaneous written records, information and materials (a) known to either Party, or in the public domain, prior to its creation hereunder, or which thereafter becomes part of the public domain other than by virtue of a breach of this Agreement or the obligations of confidentiality under the Agreement; (b) received without an obligation of confidentiality from a Third Party having the right to disclose without restrictions such information; and (c) released from the restrictions set forth in this Agreement by the express prior written consent of the other Party.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xml:space="preserve">” or “Prosecute and Maintain,” has the meaning set forth in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70" w:right="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1.63 “</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means any national (</w:t>
      </w:r>
      <w:r>
        <w:rPr>
          <w:rFonts w:ascii="Arial" w:cs="Arial" w:eastAsia="Arial" w:hAnsi="Arial"/>
          <w:sz w:val="17"/>
          <w:szCs w:val="17"/>
          <w:i w:val="1"/>
          <w:iCs w:val="1"/>
          <w:color w:val="auto"/>
        </w:rPr>
        <w:t>e.g</w:t>
      </w:r>
      <w:r>
        <w:rPr>
          <w:rFonts w:ascii="Arial" w:cs="Arial" w:eastAsia="Arial" w:hAnsi="Arial"/>
          <w:sz w:val="17"/>
          <w:szCs w:val="17"/>
          <w:color w:val="auto"/>
        </w:rPr>
        <w:t>., the FDA), supra-national (</w:t>
      </w:r>
      <w:r>
        <w:rPr>
          <w:rFonts w:ascii="Arial" w:cs="Arial" w:eastAsia="Arial" w:hAnsi="Arial"/>
          <w:sz w:val="17"/>
          <w:szCs w:val="17"/>
          <w:i w:val="1"/>
          <w:iCs w:val="1"/>
          <w:color w:val="auto"/>
        </w:rPr>
        <w:t>e.g</w:t>
      </w:r>
      <w:r>
        <w:rPr>
          <w:rFonts w:ascii="Arial" w:cs="Arial" w:eastAsia="Arial" w:hAnsi="Arial"/>
          <w:sz w:val="17"/>
          <w:szCs w:val="17"/>
          <w:color w:val="auto"/>
        </w:rPr>
        <w:t>., the EMA), regional, state or local regulatory agency, department, bureau, commission, council or other governmental entity, in any jurisdiction of the world, involved in the granting of Marketing Approval.</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u w:val="single" w:color="auto"/>
          <w:color w:val="auto"/>
        </w:rPr>
        <w:t>Research Plan</w:t>
      </w:r>
      <w:r>
        <w:rPr>
          <w:rFonts w:ascii="Arial" w:cs="Arial" w:eastAsia="Arial" w:hAnsi="Arial"/>
          <w:sz w:val="18"/>
          <w:szCs w:val="18"/>
          <w:color w:val="auto"/>
        </w:rPr>
        <w:t xml:space="preserve">” means the written research plan for the Research Program to be prepared by the Parties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initial draft Research Plan is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The Research Plan may be amended or modified from time to time by the Joint Research Committee by written agreement or as evidenced in the approved minutes of the JRC meetings.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Research Program</w:t>
      </w:r>
      <w:r>
        <w:rPr>
          <w:rFonts w:ascii="Arial" w:cs="Arial" w:eastAsia="Arial" w:hAnsi="Arial"/>
          <w:sz w:val="18"/>
          <w:szCs w:val="18"/>
          <w:color w:val="auto"/>
        </w:rPr>
        <w:t>” means the program of research and preclinical development the Parties engage in under this Agreement, which program is set forth on the Research Plan.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Research Term</w:t>
      </w:r>
      <w:r>
        <w:rPr>
          <w:rFonts w:ascii="Arial" w:cs="Arial" w:eastAsia="Arial" w:hAnsi="Arial"/>
          <w:sz w:val="18"/>
          <w:szCs w:val="18"/>
          <w:color w:val="auto"/>
        </w:rPr>
        <w:t xml:space="preserve">” means the period of time during which each Party will undertake activities in the Research Program or on the Research Plan, as such period of time is identified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ROFN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1.68 “</w:t>
      </w:r>
      <w:r>
        <w:rPr>
          <w:rFonts w:ascii="Arial" w:cs="Arial" w:eastAsia="Arial" w:hAnsi="Arial"/>
          <w:sz w:val="18"/>
          <w:szCs w:val="18"/>
          <w:u w:val="single" w:color="auto"/>
          <w:color w:val="auto"/>
        </w:rPr>
        <w:t>Tau</w:t>
      </w:r>
      <w:r>
        <w:rPr>
          <w:rFonts w:ascii="Arial" w:cs="Arial" w:eastAsia="Arial" w:hAnsi="Arial"/>
          <w:sz w:val="18"/>
          <w:szCs w:val="18"/>
          <w:color w:val="auto"/>
        </w:rPr>
        <w:t>” means the microtubule-associated protein known as tau and all isoforms thereof.</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Tau-Active Antibody</w:t>
      </w:r>
      <w:r>
        <w:rPr>
          <w:rFonts w:ascii="Arial" w:cs="Arial" w:eastAsia="Arial" w:hAnsi="Arial"/>
          <w:sz w:val="18"/>
          <w:szCs w:val="18"/>
          <w:color w:val="auto"/>
        </w:rPr>
        <w:t>” means any antibody protein, including variants, modifications, fragments or derivatives thereof, that binds to and interacts with or modulates Tau or variants, modifications, derivatives or fragments of Tau.</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1.71 “</w:t>
      </w:r>
      <w:r>
        <w:rPr>
          <w:rFonts w:ascii="Arial" w:cs="Arial" w:eastAsia="Arial" w:hAnsi="Arial"/>
          <w:sz w:val="17"/>
          <w:szCs w:val="17"/>
          <w:u w:val="single" w:color="auto"/>
          <w:color w:val="auto"/>
        </w:rPr>
        <w:t>Termination Product</w:t>
      </w:r>
      <w:r>
        <w:rPr>
          <w:rFonts w:ascii="Arial" w:cs="Arial" w:eastAsia="Arial" w:hAnsi="Arial"/>
          <w:sz w:val="17"/>
          <w:szCs w:val="17"/>
          <w:color w:val="auto"/>
        </w:rPr>
        <w:t>” means a Therapeutic Product that (a) exists as of the date of termination (but not expiration) of this Agreement and</w:t>
      </w:r>
    </w:p>
    <w:p>
      <w:pPr>
        <w:spacing w:after="0" w:line="35" w:lineRule="exact"/>
        <w:rPr>
          <w:sz w:val="20"/>
          <w:szCs w:val="20"/>
          <w:color w:val="auto"/>
        </w:rPr>
      </w:pPr>
    </w:p>
    <w:p>
      <w:pPr>
        <w:ind w:left="460" w:right="8060" w:hanging="452"/>
        <w:spacing w:after="0" w:line="554" w:lineRule="auto"/>
        <w:tabs>
          <w:tab w:leader="none" w:pos="25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contains [*****] as an active ingredient. 1.72 “</w:t>
      </w:r>
      <w:r>
        <w:rPr>
          <w:rFonts w:ascii="Arial" w:cs="Arial" w:eastAsia="Arial" w:hAnsi="Arial"/>
          <w:sz w:val="16"/>
          <w:szCs w:val="16"/>
          <w:u w:val="single" w:color="auto"/>
          <w:color w:val="auto"/>
        </w:rPr>
        <w:t>Territory</w:t>
      </w:r>
      <w:r>
        <w:rPr>
          <w:rFonts w:ascii="Arial" w:cs="Arial" w:eastAsia="Arial" w:hAnsi="Arial"/>
          <w:sz w:val="16"/>
          <w:szCs w:val="16"/>
          <w:color w:val="auto"/>
        </w:rPr>
        <w:t>” means the entire world.</w:t>
      </w:r>
    </w:p>
    <w:p>
      <w:pPr>
        <w:spacing w:after="0" w:line="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Therapeutic Field</w:t>
      </w:r>
      <w:r>
        <w:rPr>
          <w:rFonts w:ascii="Arial" w:cs="Arial" w:eastAsia="Arial" w:hAnsi="Arial"/>
          <w:sz w:val="18"/>
          <w:szCs w:val="18"/>
          <w:color w:val="auto"/>
        </w:rPr>
        <w:t>” means the prevention, cure, amelioration or treatment of any disease or condition, in each case other than by means of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1.74 “</w:t>
      </w:r>
      <w:r>
        <w:rPr>
          <w:rFonts w:ascii="Arial" w:cs="Arial" w:eastAsia="Arial" w:hAnsi="Arial"/>
          <w:sz w:val="16"/>
          <w:szCs w:val="16"/>
          <w:u w:val="single" w:color="auto"/>
          <w:color w:val="auto"/>
        </w:rPr>
        <w:t>Therapeutic Product</w:t>
      </w:r>
      <w:r>
        <w:rPr>
          <w:rFonts w:ascii="Arial" w:cs="Arial" w:eastAsia="Arial" w:hAnsi="Arial"/>
          <w:sz w:val="16"/>
          <w:szCs w:val="16"/>
          <w:color w:val="auto"/>
        </w:rPr>
        <w:t>” means any Licensed Product developed and/or marketed for use in the Therapeutic Field, but expressly excluding [*****].</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that is not a Party to this Agreement or an Affiliate of a Party to this Agreement.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as of the Effective Date, including the Commonwealth of Puerto Rico.</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Valid Patent Claim</w:t>
      </w:r>
      <w:r>
        <w:rPr>
          <w:rFonts w:ascii="Arial" w:cs="Arial" w:eastAsia="Arial" w:hAnsi="Arial"/>
          <w:sz w:val="18"/>
          <w:szCs w:val="18"/>
          <w:color w:val="auto"/>
        </w:rPr>
        <w:t>” means a claim of an issued and unexpired Patent which has not been disclaimed, revoked, held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Vaccine Product</w:t>
      </w:r>
      <w:r>
        <w:rPr>
          <w:rFonts w:ascii="Arial" w:cs="Arial" w:eastAsia="Arial" w:hAnsi="Arial"/>
          <w:sz w:val="18"/>
          <w:szCs w:val="18"/>
          <w:color w:val="auto"/>
        </w:rPr>
        <w:t>” means an active vaccination product that incorporates Tau or any variant, derivative, modification, or fragment of Tau for use as a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70" w:right="2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Vaccine Product Rights</w:t>
      </w:r>
      <w:r>
        <w:rPr>
          <w:rFonts w:ascii="Arial" w:cs="Arial" w:eastAsia="Arial" w:hAnsi="Arial"/>
          <w:sz w:val="18"/>
          <w:szCs w:val="18"/>
          <w:color w:val="auto"/>
        </w:rPr>
        <w:t>” mean (i) all Patents which claim Know-How related to Vaccine Products (including methods of making or using Vaccine Products), and (ii) all other intellectual property rights, or rights in confidential or proprietary information, in and to Know-How specific to a Vaccine Product; in each case owned or Controlled by ACI as of the Effective Date or during the Term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RESEARCH PROGRAM</w:t>
      </w:r>
    </w:p>
    <w:p>
      <w:pPr>
        <w:spacing w:after="0" w:line="22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Research Program Overview and Responsibilities</w:t>
      </w:r>
      <w:r>
        <w:rPr>
          <w:rFonts w:ascii="Arial" w:cs="Arial" w:eastAsia="Arial" w:hAnsi="Arial"/>
          <w:sz w:val="16"/>
          <w:szCs w:val="16"/>
          <w:color w:val="auto"/>
        </w:rPr>
        <w:t>. Under this Agreement, the Parties are establishing a Research Program directed to the advancement and research of existing ACI Antibodies and the development of new antibodies. The Research Program will be coordinated by the Joint Research Committee. The Research Program will be described, and the Parties’ responsibilities with respect to the Research Program will be set forth, in the Research Plan. Each Party shall use diligent efforts to perform its respective responsibilities under the Research Plan and for the Research Program, and shall cooperate with and provide reasonable support to the other Party in such other Party’s performance of its responsibilities thereunder.</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The JRC</w:t>
      </w:r>
      <w:r>
        <w:rPr>
          <w:rFonts w:ascii="Arial" w:cs="Arial" w:eastAsia="Arial" w:hAnsi="Arial"/>
          <w:sz w:val="17"/>
          <w:szCs w:val="17"/>
          <w:color w:val="auto"/>
        </w:rPr>
        <w:t>. Within [*****] days after the Effective Date, the Parties shall establish a committee to oversee the Research Program, and to plan and coordinate the activities under the Research Plan (“</w:t>
      </w:r>
      <w:r>
        <w:rPr>
          <w:rFonts w:ascii="Arial" w:cs="Arial" w:eastAsia="Arial" w:hAnsi="Arial"/>
          <w:sz w:val="17"/>
          <w:szCs w:val="17"/>
          <w:u w:val="single" w:color="auto"/>
          <w:color w:val="auto"/>
        </w:rPr>
        <w:t>Joint Research Committee</w:t>
      </w:r>
      <w:r>
        <w:rPr>
          <w:rFonts w:ascii="Arial" w:cs="Arial" w:eastAsia="Arial" w:hAnsi="Arial"/>
          <w:sz w:val="17"/>
          <w:szCs w:val="17"/>
          <w:color w:val="auto"/>
        </w:rPr>
        <w:t>” or “</w:t>
      </w:r>
      <w:r>
        <w:rPr>
          <w:rFonts w:ascii="Arial" w:cs="Arial" w:eastAsia="Arial" w:hAnsi="Arial"/>
          <w:sz w:val="17"/>
          <w:szCs w:val="17"/>
          <w:u w:val="single" w:color="auto"/>
          <w:color w:val="auto"/>
        </w:rPr>
        <w:t>JRC</w:t>
      </w:r>
      <w:r>
        <w:rPr>
          <w:rFonts w:ascii="Arial" w:cs="Arial" w:eastAsia="Arial" w:hAnsi="Arial"/>
          <w:sz w:val="17"/>
          <w:szCs w:val="17"/>
          <w:color w:val="auto"/>
        </w:rPr>
        <w:t>”). The JRC will be composed of three (3) representatives designated by each Party (or such other number as the Parties may agree, provided that each of the Parties shall have the same number of JRC members). Representatives must be appropriate for the tasks then being undertaken and the stage of research or pre-clinical development, in terms of their seniority, availability, function in their respective organizations, training and experience. Each Party shall designate one of its representatives as its primary JRC contact. Either Party may replace any or all of its representatives to the JRC at any time upon prior written notice to the other Party. If a Party’s representative is unable to attend a meeting, that Party may designate an alternate representative.</w:t>
      </w:r>
    </w:p>
    <w:p>
      <w:pPr>
        <w:spacing w:after="0" w:line="17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Meetings</w:t>
      </w:r>
      <w:r>
        <w:rPr>
          <w:rFonts w:ascii="Arial" w:cs="Arial" w:eastAsia="Arial" w:hAnsi="Arial"/>
          <w:sz w:val="17"/>
          <w:szCs w:val="17"/>
          <w:color w:val="auto"/>
        </w:rPr>
        <w:t xml:space="preserve">. The JRC shall meet at such times as are unanimously agreed to by the JRC members, but no less than once each calendar quarter. Such meetings may be in-person, via videoconference, or via teleconference,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one meeting per calendar year shall be held in person. JRC meetings must be attended by at least one representative from each Party. The location of in-person JRC meetings will alternate between South San Francisco, California and Lausanne, Switzerland, unless otherwise agreed to by the Parties. Each Party will bear the expense of its respective Committee members’ participation in JRC meetings. he JRC shall record all decisions made, and otherwise take minutes as appropriate. Genentech shall have the responsibility for keeping minutes. JRC meeting minutes will be sent to each member of the JRC for review as soon as practicable after a meeting. A Party may, with the prior written consent of the other Party, invite a reasonable number of non-voting employees, consultants or scientific advisors to attend a meeting of the JRC. Those invitees must be bound by appropriate confidentiality obligations.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Responsibilities of the JRC</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the Joint Research Committee shall perform the following functions:</w:t>
      </w:r>
    </w:p>
    <w:p>
      <w:pPr>
        <w:spacing w:after="0" w:line="117" w:lineRule="exact"/>
        <w:rPr>
          <w:sz w:val="20"/>
          <w:szCs w:val="20"/>
          <w:color w:val="auto"/>
        </w:rPr>
      </w:pPr>
    </w:p>
    <w:p>
      <w:pPr>
        <w:ind w:left="1120" w:hanging="217"/>
        <w:spacing w:after="0"/>
        <w:tabs>
          <w:tab w:leader="none" w:pos="11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review and amend the Research Plan, as needed;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review the allocation of resources and efforts for the Research Program;</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monitor the progress of the Research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70" w:right="2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right="220" w:firstLine="443"/>
        <w:spacing w:after="0" w:line="277" w:lineRule="auto"/>
        <w:tabs>
          <w:tab w:leader="none" w:pos="120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coordinate, and be the primary conduit for, the transfer of ACI Antibodies, Program Antibodies and related research materials, Know-How, and Confidential Information between the Parties; and</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Perform such other functions referred to in the Research Plan, as appropriate to further the purposes of the Research Program, or as otherwise specified in this Agreement or agreed to by the Parties.</w:t>
      </w:r>
    </w:p>
    <w:p>
      <w:pPr>
        <w:spacing w:after="0" w:line="170" w:lineRule="exact"/>
        <w:rPr>
          <w:sz w:val="20"/>
          <w:szCs w:val="20"/>
          <w:color w:val="auto"/>
        </w:rPr>
      </w:pPr>
    </w:p>
    <w:p>
      <w:pPr>
        <w:ind w:right="740" w:firstLine="913"/>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Decision-Making Authority</w:t>
      </w:r>
      <w:r>
        <w:rPr>
          <w:rFonts w:ascii="Arial" w:cs="Arial" w:eastAsia="Arial" w:hAnsi="Arial"/>
          <w:sz w:val="16"/>
          <w:szCs w:val="16"/>
          <w:color w:val="auto"/>
        </w:rPr>
        <w:t>. The Joint Research Committee will attempt to make decisions by consensus. If the JRC cannot reach consensus, then Genentech shall have final decision making authority; except for the following, which require agreement of the Parties: [*****].</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of Know-How During Research Term</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JRC Meetings and Communication</w:t>
      </w:r>
      <w:r>
        <w:rPr>
          <w:rFonts w:ascii="Arial" w:cs="Arial" w:eastAsia="Arial" w:hAnsi="Arial"/>
          <w:sz w:val="18"/>
          <w:szCs w:val="18"/>
          <w:color w:val="auto"/>
        </w:rPr>
        <w:t>. In addition to JRC meetings, project team scientists working on the Research Plan shall have periodic meetings or teleconference or videoconference discussions.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Ongoing Transfer of ACI Antibodies and related Know-How</w:t>
      </w:r>
      <w:r>
        <w:rPr>
          <w:rFonts w:ascii="Arial" w:cs="Arial" w:eastAsia="Arial" w:hAnsi="Arial"/>
          <w:sz w:val="17"/>
          <w:szCs w:val="17"/>
          <w:color w:val="auto"/>
        </w:rPr>
        <w:t>. Within [*****] days of the Effective Date, ACI shall deliver to Genentech:</w:t>
      </w:r>
    </w:p>
    <w:p>
      <w:pPr>
        <w:spacing w:after="0" w:line="35" w:lineRule="exact"/>
        <w:rPr>
          <w:sz w:val="20"/>
          <w:szCs w:val="20"/>
          <w:color w:val="auto"/>
        </w:rPr>
      </w:pPr>
    </w:p>
    <w:p>
      <w:pPr>
        <w:jc w:val="both"/>
        <w:ind w:firstLine="8"/>
        <w:spacing w:after="0" w:line="302" w:lineRule="auto"/>
        <w:tabs>
          <w:tab w:leader="none" w:pos="24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 reasonable amount of research materials [*****] and (b) other Know-How related to the rights granted to Genentech by this Agreement in ACI’s control as of the Effective Date. On an ongoing basis during the Term, ACI shall, as determined by the JRC, deliver to Genentech: (i) a reasonable amount of research materials [*****] and (ii) other Know-How created under the Research Plan or otherwise obtained by ACI and not already in Genentech’s possession.</w:t>
      </w:r>
    </w:p>
    <w:p>
      <w:pPr>
        <w:spacing w:after="0" w:line="15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Written Reports</w:t>
      </w:r>
      <w:r>
        <w:rPr>
          <w:rFonts w:ascii="Arial" w:cs="Arial" w:eastAsia="Arial" w:hAnsi="Arial"/>
          <w:sz w:val="16"/>
          <w:szCs w:val="16"/>
          <w:color w:val="auto"/>
        </w:rPr>
        <w:t>. At least once every calendar quarter during the Research Term and within [*****] following the end of the Research Term, ACI shall provide to Genentech, through the JRC, the following written communications regarding work undertaken or assigned as part of the Research Program: (a) a written description of significant discoveries or advances, promptly after such results are obtained or their significance is appreciated; (b) a written summary of research conducted and the results thereof, including any antibodies made or discovered, the results of in vitro and in vivo studies, any inventions conceived or reduced to practice, on at least a calendar quarter basis; (c) raw data for research undertaken under the Research Program, upon request of Genentech; and (d) a list of the CROs performing activities during that calendar quarter and a brief summary of the work performed by each CRO. The foregoing reporting obligation may be satisfied in the form of a joint report created by the Parties following a JRC meeting, such joint report to reflect the information contained in Research Program updates made by the Parties at such JRC meeting along with supporting raw data.</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Subcontracting</w:t>
      </w:r>
      <w:r>
        <w:rPr>
          <w:rFonts w:ascii="Arial" w:cs="Arial" w:eastAsia="Arial" w:hAnsi="Arial"/>
          <w:sz w:val="18"/>
          <w:szCs w:val="18"/>
          <w:color w:val="auto"/>
        </w:rPr>
        <w:t>. ACI may use CROs or research institutions to outsource some of its activities under the Research Plan provided that ACI shall delegate such responsibilities to CROs or research institutions in writing. All individual contractors or consultants performing any of ACI’s activities under a Research Plan must have entered into a written agreement with ACI that includes terms and conditions protecting and limiting use and disclosure of Confidential Information and Know-How to the same extent as under this Agreement, and requiring all such individuals to assign to ACI all right, title and interest in and to any intellectual property (and intellectual property rights) created, discovered, conceived or reduced to practice in conducting such activities. ACI is responsible for compliance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70" w:right="23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CROs, research institutions and Third Party FTEs with the terms and conditions of this Agreement as if those CROs, research institutions and Third Party FTEs were ACI’s employees.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Research Costs</w:t>
      </w:r>
      <w:r>
        <w:rPr>
          <w:rFonts w:ascii="Arial" w:cs="Arial" w:eastAsia="Arial" w:hAnsi="Arial"/>
          <w:sz w:val="18"/>
          <w:szCs w:val="18"/>
          <w:color w:val="auto"/>
        </w:rPr>
        <w:t>. During the Research Term, each Party shall perform, at its expense, those activities to be undertaken by such Party as set forth in the Research Plan.</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Research Term</w:t>
      </w:r>
      <w:r>
        <w:rPr>
          <w:rFonts w:ascii="Arial" w:cs="Arial" w:eastAsia="Arial" w:hAnsi="Arial"/>
          <w:sz w:val="17"/>
          <w:szCs w:val="17"/>
          <w:color w:val="auto"/>
        </w:rPr>
        <w:t>. The Research Term commences as of the Effective Date and, unless the Agreement is earlier terminated under Article 9, or the Research Program is earlier terminated under Section 14.1, shall continue until either (a) Genentech notifies ACI of termination of the Research Term at any time following the [*****] of the Effective Date or (b) ACI notifies Genentech of termination of the Research Term at any time following the earlier of (i) the date on which the first Therapeutic Product is administered to the first human subject in a Phase I Clinical Trial, or (ii) [*****] years after the Effective Date. After [*****] months following the end of the Research Term, the JRC is no longer required to meet.</w:t>
      </w:r>
    </w:p>
    <w:p>
      <w:pPr>
        <w:spacing w:after="0" w:line="38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ARTICLE 3: DEVELOPMENT AND COMMERCIALIZATION EFFORTS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Commercialization Responsibilities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Exclusive Genentech Right</w:t>
      </w:r>
      <w:r>
        <w:rPr>
          <w:rFonts w:ascii="Arial" w:cs="Arial" w:eastAsia="Arial" w:hAnsi="Arial"/>
          <w:sz w:val="18"/>
          <w:szCs w:val="18"/>
          <w:color w:val="auto"/>
        </w:rPr>
        <w:t>. Except for those activities set forth in the Research Plan, as between the Parties, Genentech (and, if applicable, Genentech Licensees) have the sole right and responsibility for, and control over, all research, development, manufacturing and commercialization activities, including all regulatory activities, with respect to any Licensed Products.</w:t>
      </w:r>
    </w:p>
    <w:p>
      <w:pPr>
        <w:spacing w:after="0" w:line="18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Development Costs</w:t>
      </w:r>
      <w:r>
        <w:rPr>
          <w:rFonts w:ascii="Arial" w:cs="Arial" w:eastAsia="Arial" w:hAnsi="Arial"/>
          <w:sz w:val="18"/>
          <w:szCs w:val="18"/>
          <w:color w:val="auto"/>
        </w:rPr>
        <w:t>. Except as otherwise agreed to by the Parties, [*****] shall bear all costs and expenses associated with research, development, manufacturing and commercialization activities with respect to Licensed Products, excluding costs incurred by [*****] in performance of its activities under the Research Plan.</w:t>
      </w:r>
    </w:p>
    <w:p>
      <w:pPr>
        <w:spacing w:after="0" w:line="18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ACI Cooperation</w:t>
      </w:r>
      <w:r>
        <w:rPr>
          <w:rFonts w:ascii="Arial" w:cs="Arial" w:eastAsia="Arial" w:hAnsi="Arial"/>
          <w:sz w:val="18"/>
          <w:szCs w:val="18"/>
          <w:color w:val="auto"/>
        </w:rPr>
        <w:t>. ACI shall, and shall cause its employees, contractors and agents to, cooperate with and provide reasonable support and assistance to Genentech in its conduct of any activities in the research, development, manufacturing and commercialization, including in the seeking of Marketing Approval, of Licensed Products. [*****] shall [*****] for any [*****] reasonably incurred by [*****] in connection with such cooperation and support provided that such [*****] are approved in advance by [*****].</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Development Updates</w:t>
      </w:r>
      <w:r>
        <w:rPr>
          <w:rFonts w:ascii="Arial" w:cs="Arial" w:eastAsia="Arial" w:hAnsi="Arial"/>
          <w:sz w:val="16"/>
          <w:szCs w:val="16"/>
          <w:color w:val="auto"/>
        </w:rPr>
        <w:t xml:space="preserve">. Throughout the Term, Genentech shall provide to ACI periodic updates on the plan for development of Licensed Products containing ACI Antibody(ies) or Program Antibody(ies) under this Agreement on at least a [*****] basis. Such updates to include a summary of any significant progress or advances along with a general description of Genentech’s then-current plan of development. It is understood and agreed that the development plan summaries provided under this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are non-binding and provided to ACI for informational purposes only.</w:t>
      </w:r>
    </w:p>
    <w:p>
      <w:pPr>
        <w:spacing w:after="0" w:line="15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Genentech Diligence</w:t>
      </w:r>
      <w:r>
        <w:rPr>
          <w:rFonts w:ascii="Arial" w:cs="Arial" w:eastAsia="Arial" w:hAnsi="Arial"/>
          <w:sz w:val="17"/>
          <w:szCs w:val="17"/>
          <w:color w:val="auto"/>
        </w:rPr>
        <w:t xml:space="preserve">. Genentech shall use Commercially Reasonable Efforts to develop and commercialize at least one Licensed Product (other than a Diagnostic Product) for Alzheimer’s disease [*****] as indicated by compelling biologic rationale and commercial viability, and one Diagnostic Product for Alzheimer’s disease (whereby the failure to use Commercially Reasonable Efforts to develop a Diagnostic Product only entitles ACI to pursuant to </w:t>
      </w:r>
      <w:r>
        <w:rPr>
          <w:rFonts w:ascii="Arial" w:cs="Arial" w:eastAsia="Arial" w:hAnsi="Arial"/>
          <w:sz w:val="17"/>
          <w:szCs w:val="17"/>
          <w:u w:val="single" w:color="auto"/>
          <w:color w:val="auto"/>
        </w:rPr>
        <w:t>Section 9.2.1</w:t>
      </w:r>
      <w:r>
        <w:rPr>
          <w:rFonts w:ascii="Arial" w:cs="Arial" w:eastAsia="Arial" w:hAnsi="Arial"/>
          <w:sz w:val="17"/>
          <w:szCs w:val="17"/>
          <w:color w:val="auto"/>
        </w:rPr>
        <w:t xml:space="preserve"> partially terminate the license for Diagnostic Products). Activities by Genentech Licensees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70" w:right="23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will be considered as Genentech’s activities under this Agreement for purposes of determining whether Genentech has complied with its obligations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Development of Licensed Products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Generally</w:t>
      </w:r>
      <w:r>
        <w:rPr>
          <w:rFonts w:ascii="Arial" w:cs="Arial" w:eastAsia="Arial" w:hAnsi="Arial"/>
          <w:sz w:val="17"/>
          <w:szCs w:val="17"/>
          <w:color w:val="auto"/>
        </w:rPr>
        <w:t>. The Parties intend and agree that filing for any Marketing Approval and commercialization of Licensed Products shall be controlled by Genentech. Without limiting the generality of the foregoing, Genentech shall be responsible for making and have authority to make all decisions, and undertake any actions necessary as a result of such decisions, regarding development (including additional preclinical and clinical development and testing), selecting drug candidates and preparing and filing BLAs and any other applications for Marketing Approval. Genentech shall own all regulatory submissions, including all Marketing Approvals and applications therefor, for Licensed Products in the United States.</w:t>
      </w:r>
    </w:p>
    <w:p>
      <w:pPr>
        <w:spacing w:after="0" w:line="17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Cooperation</w:t>
      </w:r>
      <w:r>
        <w:rPr>
          <w:rFonts w:ascii="Arial" w:cs="Arial" w:eastAsia="Arial" w:hAnsi="Arial"/>
          <w:sz w:val="18"/>
          <w:szCs w:val="18"/>
          <w:color w:val="auto"/>
        </w:rPr>
        <w:t>. ACI shall cooperate with and provide reasonable support to Genentech in its conduct of any activities in the development and seeking of Marketing Approval of Licensed Products. Without limiting the generality of the foregoing, ACI shall assist Genentech and any Genentech Licensee in the preparation and filing of any applications for Marketing Approval with respect to Licensed Products, including by delivering all information in ACI’s Control (in a complete and accurate form) necessary or useful to complete and file any Marketing Approval for a Licensed Product in the United States. [*****] shall [*****] for any [*****] reasonably incurred by [*****] in connection with such cooperation and support provided that such [*****] are approved in advance by [*****].</w:t>
      </w:r>
    </w:p>
    <w:p>
      <w:pPr>
        <w:spacing w:after="0" w:line="19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Transfer of Information and Regulatory Filings</w:t>
      </w:r>
      <w:r>
        <w:rPr>
          <w:rFonts w:ascii="Arial" w:cs="Arial" w:eastAsia="Arial" w:hAnsi="Arial"/>
          <w:sz w:val="18"/>
          <w:szCs w:val="18"/>
          <w:color w:val="auto"/>
        </w:rPr>
        <w:t>. Within [*****] days following the Effective Date and on an ongoing basis during the Term, ACI agrees to transfer to Genentech all Know-How, including any preclinical data, assays and associated materials, protocols, reports, procedures and any other information in ACI’s Control, necessary or useful to continue or initiate pre-clinical or clinical development, or in seeking Marketing Approval, of Licensed Products.</w:t>
      </w:r>
    </w:p>
    <w:p>
      <w:pPr>
        <w:spacing w:after="0" w:line="18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Manufacturing and Supply</w:t>
      </w:r>
      <w:r>
        <w:rPr>
          <w:rFonts w:ascii="Arial" w:cs="Arial" w:eastAsia="Arial" w:hAnsi="Arial"/>
          <w:sz w:val="18"/>
          <w:szCs w:val="18"/>
          <w:color w:val="auto"/>
        </w:rPr>
        <w:t>. Genentech shall be responsible for manufacturing and supplying Licensed Products for clinical use and commercial sale in the Genentech Field.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LICENSE GRANTS, NEGOTIATION RIGHT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License Grants to Genentech</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Therapeutic License</w:t>
      </w:r>
      <w:r>
        <w:rPr>
          <w:rFonts w:ascii="Arial" w:cs="Arial" w:eastAsia="Arial" w:hAnsi="Arial"/>
          <w:sz w:val="16"/>
          <w:szCs w:val="16"/>
          <w:color w:val="auto"/>
        </w:rPr>
        <w:t xml:space="preserve">. ACI hereby grants to Genentech, and Genentech hereby accepts an exclusive (even as to ACI) right and license under the ACI IP Rights, the ACI Program IP Rights and ACI’s interest in the Joint Program IP Rights to research, develop, make, have made, use, sell, offer for sale and import Tau-Active Antibodies and Licensed Products in each case for use in the Therapeutic Field in the Territory. The license granted to Genentech in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shall include the right to sublicense to multiple tiers of Third Parties in accordance with the terms of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Diagnostic License</w:t>
      </w:r>
      <w:r>
        <w:rPr>
          <w:rFonts w:ascii="Arial" w:cs="Arial" w:eastAsia="Arial" w:hAnsi="Arial"/>
          <w:sz w:val="17"/>
          <w:szCs w:val="17"/>
          <w:color w:val="auto"/>
        </w:rPr>
        <w:t xml:space="preserve">. ACI hereby grants to Genentech, and Genentech hereby accepts an exclusive (even as to ACI) right and license under the ACI IP Rights, the ACI Program IP Rights and ACI’s interest in the Joint Program IP Rights to research, develop, make, have made, use, sell, offer for sale and import Tau-Active Antibodies and Licensed Products for use in the Diagnostic Field in the Territory. The license granted to Genentech in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shall include the right to sublicense to multiple tiers of Third Parties in accordance with the terms of </w:t>
      </w:r>
      <w:r>
        <w:rPr>
          <w:rFonts w:ascii="Arial" w:cs="Arial" w:eastAsia="Arial" w:hAnsi="Arial"/>
          <w:sz w:val="17"/>
          <w:szCs w:val="17"/>
          <w:u w:val="single" w:color="auto"/>
          <w:color w:val="auto"/>
        </w:rPr>
        <w:t>Section 4.6</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70" w:right="2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4.1.3 For the avoidance of doubt, no license is granted to Genentech to make, use, sell, offer for sale or import [*****], provided however that nothing in this Section 4.1.3 shall limit Genentech’s right to make any biological materials for use in the research and development of Licensed Products.</w:t>
      </w:r>
    </w:p>
    <w:p>
      <w:pPr>
        <w:spacing w:after="0" w:line="12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License Grant to ACI for Conduct of the Research Program</w:t>
      </w:r>
      <w:r>
        <w:rPr>
          <w:rFonts w:ascii="Arial" w:cs="Arial" w:eastAsia="Arial" w:hAnsi="Arial"/>
          <w:sz w:val="18"/>
          <w:szCs w:val="18"/>
          <w:color w:val="auto"/>
        </w:rPr>
        <w:t>. Subject to the terms of this Agreement, Genentech hereby grants to ACI a non-exclusive, non-transferable, non-sublicenseable (except as expressly provided in Section 2.4), right and license under the (i) ACI IP Rights (to the extent exclusively licensed to Genentech hereunder), (ii) ACI Program IP Rights and ACI’s interest in the Joint Program IP Rights (each to the extent exclusively licensed to Genentech hereunder), and (iii) Genentech IP Rights, in each case to research, develop, make and use (but not to sell or offer for sale) Tau-Active Antibodies solely to the extent necessary for ACI to conduct those activities specified in the Research Plan or to otherwise generate and develop Discovery Antibodies for use or inclusion in the Research Program.</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Exclusivity; Restrictions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4.3.1 ACI shall not (i) provide any Tau-Active Antibodies or Licensed Products to any Third Party; or (ii) provide to any Third Party any methods of screening for, identifying or making any Tau-Active Antibodies or Licensed Products, except as expressly provided in, and in strict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For clarity, the foregoing restriction will not apply to limit ACI’s use or transfer of Tau-Active Antibodies and related methods of screening, identification or manufacture, with respect to ACI’s activities outside the Genentech Field, including without limitation the research, development and commercialization of Vaccine Products.</w:t>
      </w:r>
    </w:p>
    <w:p>
      <w:pPr>
        <w:spacing w:after="0" w:line="18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4.3.2 During the Term, the Parties agree that Genentech shall have the sole right to develop and commercialize Tau-Active Antibodies and ACI shall not have any rights to develop or commercialize products containing Tau-Active Antibodies for any purpose.</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Academic Research</w:t>
      </w:r>
      <w:r>
        <w:rPr>
          <w:rFonts w:ascii="Arial" w:cs="Arial" w:eastAsia="Arial" w:hAnsi="Arial"/>
          <w:sz w:val="18"/>
          <w:szCs w:val="18"/>
          <w:color w:val="auto"/>
        </w:rPr>
        <w:t>. ACI may provide Tau-Active Antibody material existing prior the Effective Date to Katholieke Universiteit Leuven (“</w:t>
      </w:r>
      <w:r>
        <w:rPr>
          <w:rFonts w:ascii="Arial" w:cs="Arial" w:eastAsia="Arial" w:hAnsi="Arial"/>
          <w:sz w:val="18"/>
          <w:szCs w:val="18"/>
          <w:u w:val="single" w:color="auto"/>
          <w:color w:val="auto"/>
        </w:rPr>
        <w:t>K.U. Leuven</w:t>
      </w:r>
      <w:r>
        <w:rPr>
          <w:rFonts w:ascii="Arial" w:cs="Arial" w:eastAsia="Arial" w:hAnsi="Arial"/>
          <w:sz w:val="18"/>
          <w:szCs w:val="18"/>
          <w:color w:val="auto"/>
        </w:rPr>
        <w:t>”) solely for use in the academic research performed under the agreement entered into between ACI and K.U. Leuven effective as of July 1, 2008 (the “</w:t>
      </w:r>
      <w:r>
        <w:rPr>
          <w:rFonts w:ascii="Arial" w:cs="Arial" w:eastAsia="Arial" w:hAnsi="Arial"/>
          <w:sz w:val="18"/>
          <w:szCs w:val="18"/>
          <w:u w:val="single" w:color="auto"/>
          <w:color w:val="auto"/>
        </w:rPr>
        <w:t>K.U. Leuven Agreement</w:t>
      </w:r>
      <w:r>
        <w:rPr>
          <w:rFonts w:ascii="Arial" w:cs="Arial" w:eastAsia="Arial" w:hAnsi="Arial"/>
          <w:sz w:val="18"/>
          <w:szCs w:val="18"/>
          <w:color w:val="auto"/>
        </w:rPr>
        <w:t>”) provided, however, that (i) use of such Tau-Active Antibodies shall not conflict with Genentech’s exclusive rights under this Agreement; and (ii) all intellectual property rights (including but not limited to Patents and Know-How) made pursuant to the K.U. Leuven Agreement shall be included within the ACI IP Rights to the extent necessary or useful to Genentech in exercising its rights under the licenses granted in this Agreement.</w:t>
      </w:r>
    </w:p>
    <w:p>
      <w:pPr>
        <w:spacing w:after="0" w:line="193"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Leuven License</w:t>
      </w:r>
      <w:r>
        <w:rPr>
          <w:rFonts w:ascii="Arial" w:cs="Arial" w:eastAsia="Arial" w:hAnsi="Arial"/>
          <w:sz w:val="17"/>
          <w:szCs w:val="17"/>
          <w:color w:val="auto"/>
        </w:rPr>
        <w:t>. ACI has provided to Genentech a true and correct copy (except for redactions of financial terms) of that certain License Agreement between ACI and K. U. Leuven dated September 22, 2010 (the “</w:t>
      </w:r>
      <w:r>
        <w:rPr>
          <w:rFonts w:ascii="Arial" w:cs="Arial" w:eastAsia="Arial" w:hAnsi="Arial"/>
          <w:sz w:val="17"/>
          <w:szCs w:val="17"/>
          <w:u w:val="single" w:color="auto"/>
          <w:color w:val="auto"/>
        </w:rPr>
        <w:t>Leuven License</w:t>
      </w:r>
      <w:r>
        <w:rPr>
          <w:rFonts w:ascii="Arial" w:cs="Arial" w:eastAsia="Arial" w:hAnsi="Arial"/>
          <w:sz w:val="17"/>
          <w:szCs w:val="17"/>
          <w:color w:val="auto"/>
        </w:rPr>
        <w:t>”). Genentech acknowledges that Leuven retained certain rights as set forth in the License Agreement and ACT has certain obligations owed to Leuven and that the rights granted under this Agreement are subject to those retained rights and obligations. ACI shall not commit any acts or omissions that could cause a material breach of the Leuven License, such that K. U. Leuven would be entitled to terminate the Leuven License or amend it in any way that would adversely affect a license or other rights granted to GNE under this Agreement. In addition, (i) without the prior written consent of GNE, ACI shall not exercise any rights it may have with respect to the Leuven License or amend, terminate, or waive any of its rights under, the Leuven License in any way that would adversely affect a license or other rights granted to GNE under this Agreement and (ii) ACI agrees to promptly notify GNE in the event that ACI receives notice of any alleged breach of the Leuven License or otherwise has reason to believe such an allegation is likely. ACI agrees that GNE may take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270" w:right="2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necessary to remedy any actual or alleged breach of the Leuven License where such action does not relieve ACI from any obligation hereunder.</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Each Party acknowledges that the licenses granted under this Article 4 are limited to the scope expressly granted, and all other rights under a Party’s Patents and other intellectual property rights are expressly reserved to the granting Party.</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Right of First Negotiation</w:t>
      </w:r>
      <w:r>
        <w:rPr>
          <w:rFonts w:ascii="Arial" w:cs="Arial" w:eastAsia="Arial" w:hAnsi="Arial"/>
          <w:sz w:val="17"/>
          <w:szCs w:val="17"/>
          <w:color w:val="auto"/>
        </w:rPr>
        <w:t>. Promptly following the Effective Date, ACI shall provide to Genentech all information in ACI’s Control as reasonably necessary or useful for Genentech to evaluate its interest in the Vaccine Product Rights (including information and data regarding safety, efficacy, toxicity, potential side effects and any and all Marketing Approval filings). Genentech shall have [*****] calendar days from receipt of such notice to notify ACI of Genentech’s intent to negotiate for the Vaccine Product Rights. Upon receipt by ACI of Genentech’s notice of intent to negotiate, ACI shall negotiate solely and in good faith with Genentech for a period of [*****] calendar days (the “</w:t>
      </w:r>
      <w:r>
        <w:rPr>
          <w:rFonts w:ascii="Arial" w:cs="Arial" w:eastAsia="Arial" w:hAnsi="Arial"/>
          <w:sz w:val="17"/>
          <w:szCs w:val="17"/>
          <w:u w:val="single" w:color="auto"/>
          <w:color w:val="auto"/>
        </w:rPr>
        <w:t>ROFN Period</w:t>
      </w:r>
      <w:r>
        <w:rPr>
          <w:rFonts w:ascii="Arial" w:cs="Arial" w:eastAsia="Arial" w:hAnsi="Arial"/>
          <w:sz w:val="17"/>
          <w:szCs w:val="17"/>
          <w:color w:val="auto"/>
        </w:rPr>
        <w:t>”). If the Parties are unable to agree on substantive terms within the ROFN Period, Genentech shall promptly reduce to writing its last offer to ACI and provide such writing to ACI, and ACI shall be free to enter into an agreement with a Third Party for the sale or licensing of the ACI Vaccine Rights provided that the terms of such agreement when taken as a whole shall be no more favorable to the Third Party than those last offered by Genentech. If ACI is unable to enter into an agreement with a Third Party on terms that are not more favorable to the Third Party than those terms last offered by Genentech and ACI notifies Genentech of ACI’s desire to resume negotiations, the Parties agree to negotiate in good faith to reach a definitive agreement on mutually acceptable terms.</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Sublicenses</w:t>
      </w:r>
      <w:r>
        <w:rPr>
          <w:rFonts w:ascii="Arial" w:cs="Arial" w:eastAsia="Arial" w:hAnsi="Arial"/>
          <w:sz w:val="18"/>
          <w:szCs w:val="18"/>
          <w:color w:val="auto"/>
        </w:rPr>
        <w:t xml:space="preserve">. Genentech may sublicense its rights under the license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provided that any such sublicense agreement is consistent with the terms and conditions of this Agreement. In the event of any such sublicense, Genentech shall continue to remain primarily liable for all liabilities and obligations under this Agreement, including the payment obligations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Genentech is responsible for compliance by Genentech Licensees with the terms and conditions of this Agreement and the applicable sublicense agreement, including the diligence obligations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Up-Front Payment</w:t>
      </w:r>
      <w:r>
        <w:rPr>
          <w:rFonts w:ascii="Arial" w:cs="Arial" w:eastAsia="Arial" w:hAnsi="Arial"/>
          <w:sz w:val="18"/>
          <w:szCs w:val="18"/>
          <w:color w:val="auto"/>
        </w:rPr>
        <w:t xml:space="preserve">. In consideration for the rights granted and promises made hereunder, including the license granted to Genentech under the ACI IP Rights, Genentech shall, within thirty (30) days of the Effective Date, pay to ACI a one-time payment of </w:t>
      </w:r>
      <w:r>
        <w:rPr>
          <w:rFonts w:ascii="Arial" w:cs="Arial" w:eastAsia="Arial" w:hAnsi="Arial"/>
          <w:sz w:val="18"/>
          <w:szCs w:val="18"/>
          <w:b w:val="1"/>
          <w:bCs w:val="1"/>
          <w:color w:val="auto"/>
        </w:rPr>
        <w:t>seventeen million Swiss Francs (CHF</w:t>
      </w:r>
      <w:r>
        <w:rPr>
          <w:rFonts w:ascii="Arial" w:cs="Arial" w:eastAsia="Arial" w:hAnsi="Arial"/>
          <w:sz w:val="18"/>
          <w:szCs w:val="18"/>
          <w:color w:val="auto"/>
        </w:rPr>
        <w:t xml:space="preserve"> </w:t>
      </w:r>
      <w:r>
        <w:rPr>
          <w:rFonts w:ascii="Arial" w:cs="Arial" w:eastAsia="Arial" w:hAnsi="Arial"/>
          <w:sz w:val="18"/>
          <w:szCs w:val="18"/>
          <w:b w:val="1"/>
          <w:bCs w:val="1"/>
          <w:color w:val="auto"/>
        </w:rPr>
        <w:t>17,000,000).</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 Therapeutic Product Milestone Payments.</w:t>
      </w:r>
    </w:p>
    <w:p>
      <w:pPr>
        <w:spacing w:after="0" w:line="11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5.2.1 With respect to the first Therapeutic Product containing an ACI Antibody (including a Discovery Antibody) or a Program Antibody (each a “</w:t>
      </w:r>
      <w:r>
        <w:rPr>
          <w:rFonts w:ascii="Arial" w:cs="Arial" w:eastAsia="Arial" w:hAnsi="Arial"/>
          <w:sz w:val="16"/>
          <w:szCs w:val="16"/>
          <w:u w:val="single" w:color="auto"/>
          <w:color w:val="auto"/>
        </w:rPr>
        <w:t>Milestone Product</w:t>
      </w:r>
      <w:r>
        <w:rPr>
          <w:rFonts w:ascii="Arial" w:cs="Arial" w:eastAsia="Arial" w:hAnsi="Arial"/>
          <w:sz w:val="16"/>
          <w:szCs w:val="16"/>
          <w:color w:val="auto"/>
        </w:rPr>
        <w:t>”) to achieve the clinical development, Marketing Approval Filing, or First Commercial Sale milestones (each a “</w:t>
      </w:r>
      <w:r>
        <w:rPr>
          <w:rFonts w:ascii="Arial" w:cs="Arial" w:eastAsia="Arial" w:hAnsi="Arial"/>
          <w:sz w:val="16"/>
          <w:szCs w:val="16"/>
          <w:u w:val="single" w:color="auto"/>
          <w:color w:val="auto"/>
        </w:rPr>
        <w:t>Milestone</w:t>
      </w:r>
      <w:r>
        <w:rPr>
          <w:rFonts w:ascii="Arial" w:cs="Arial" w:eastAsia="Arial" w:hAnsi="Arial"/>
          <w:sz w:val="16"/>
          <w:szCs w:val="16"/>
          <w:color w:val="auto"/>
        </w:rPr>
        <w:t>”) set forth below, within [*****] days of the first occurrence that each such Milestone is achieved, Genentech shall pay ACI the amounts set forth herein below.</w:t>
      </w:r>
    </w:p>
    <w:p>
      <w:pPr>
        <w:spacing w:after="0" w:line="147" w:lineRule="exact"/>
        <w:rPr>
          <w:sz w:val="20"/>
          <w:szCs w:val="20"/>
          <w:color w:val="auto"/>
        </w:rPr>
      </w:pPr>
    </w:p>
    <w:p>
      <w:pPr>
        <w:ind w:firstLine="1492"/>
        <w:spacing w:after="0" w:line="257" w:lineRule="auto"/>
        <w:tabs>
          <w:tab w:leader="none" w:pos="172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fourteen million Swiss Francs (CHF 14,000,000) upon the earlier of (i) ED-Go Decision by Genentech for a Milestone Product or (ii) the date Genentech files an IND for a Milestone Product. As used herein, the term “ED-Go Decision” means the review and endorsement by GNE’s Early Stage Portfolio Committee (or any equivalent or successor governance body of Genentech) of the following details for the applicable Milestone Product: (a) available efficacy, safety, and pharmacology data, (b) plan and timeline to IND submission, (c) resources required for IND-enabling activities and (d) strategic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270"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(b) fourteen million Swiss Francs (CHF 14,000,000) upon commencement (i.e., first patient dosed) of the first Phase I Clinical Trial for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Milestone Product;</w:t>
      </w:r>
    </w:p>
    <w:p>
      <w:pPr>
        <w:spacing w:after="0" w:line="319" w:lineRule="exact"/>
        <w:rPr>
          <w:sz w:val="20"/>
          <w:szCs w:val="20"/>
          <w:color w:val="auto"/>
        </w:rPr>
      </w:pPr>
    </w:p>
    <w:p>
      <w:pPr>
        <w:ind w:left="1740" w:hanging="248"/>
        <w:spacing w:after="0"/>
        <w:tabs>
          <w:tab w:leader="none" w:pos="1740"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With respect to Alzheimer’s disease indication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upon [*****].</w:t>
      </w:r>
    </w:p>
    <w:p>
      <w:pPr>
        <w:spacing w:after="0" w:line="333" w:lineRule="exact"/>
        <w:rPr>
          <w:rFonts w:ascii="Arial" w:cs="Arial" w:eastAsia="Arial" w:hAnsi="Arial"/>
          <w:sz w:val="18"/>
          <w:szCs w:val="18"/>
          <w:color w:val="auto"/>
        </w:rPr>
      </w:pPr>
    </w:p>
    <w:p>
      <w:pPr>
        <w:ind w:left="1740" w:hanging="248"/>
        <w:spacing w:after="0"/>
        <w:tabs>
          <w:tab w:leader="none" w:pos="1740"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With respect to each of the first [*****] to achieve the applicable Milestone</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270" w:right="2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upon [*****].</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Diagnostic Product Milestone Payments</w:t>
      </w:r>
      <w:r>
        <w:rPr>
          <w:rFonts w:ascii="Arial" w:cs="Arial" w:eastAsia="Arial" w:hAnsi="Arial"/>
          <w:sz w:val="18"/>
          <w:szCs w:val="18"/>
          <w:color w:val="auto"/>
        </w:rPr>
        <w:t>. Upon [*****], Genentech shall pay ACI [*****]. Within [*****] days following the end of the first calendar year in which Diagnostic Net Sales for such calendar year equal or exceed [*****] Genentech shall pay ACI [*****].</w:t>
      </w:r>
    </w:p>
    <w:p>
      <w:pPr>
        <w:spacing w:after="0" w:line="170" w:lineRule="exact"/>
        <w:rPr>
          <w:sz w:val="20"/>
          <w:szCs w:val="20"/>
          <w:color w:val="auto"/>
        </w:rPr>
      </w:pPr>
    </w:p>
    <w:p>
      <w:pPr>
        <w:jc w:val="both"/>
        <w:ind w:right="38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Therapeutic Product Royalties</w:t>
      </w:r>
      <w:r>
        <w:rPr>
          <w:rFonts w:ascii="Arial" w:cs="Arial" w:eastAsia="Arial" w:hAnsi="Arial"/>
          <w:sz w:val="18"/>
          <w:szCs w:val="18"/>
          <w:color w:val="auto"/>
        </w:rPr>
        <w:t>. In consideration for the rights granted hereunder, in each calendar quarter during the Term of this Agreement in which Genentech records Net Sales of a Therapeutic Product, royalties as follows:</w:t>
      </w:r>
    </w:p>
    <w:p>
      <w:pPr>
        <w:spacing w:after="0" w:line="170" w:lineRule="exact"/>
        <w:rPr>
          <w:sz w:val="20"/>
          <w:szCs w:val="20"/>
          <w:color w:val="auto"/>
        </w:rPr>
      </w:pPr>
    </w:p>
    <w:p>
      <w:pPr>
        <w:jc w:val="both"/>
        <w:ind w:right="400" w:firstLine="913"/>
        <w:spacing w:after="0" w:line="312" w:lineRule="auto"/>
        <w:rPr>
          <w:sz w:val="20"/>
          <w:szCs w:val="20"/>
          <w:color w:val="auto"/>
        </w:rPr>
      </w:pPr>
      <w:r>
        <w:rPr>
          <w:rFonts w:ascii="Arial" w:cs="Arial" w:eastAsia="Arial" w:hAnsi="Arial"/>
          <w:sz w:val="16"/>
          <w:szCs w:val="16"/>
          <w:color w:val="auto"/>
        </w:rPr>
        <w:t>5.4.1 For Net Sales of a Therapeutic Product Covered by a Valid Patent Claim within the ACI IP Rights in the country of sale other than the Discovery Antibody IP Rights in such country, and subject to and in accordance with the terms and conditions of this Agreement, Genentech shall pay to ACI, on a Therapeutic Product-by-Therapeutic Product and country-by-country basis, an amount equal to [*****] of such annual Net Sales.</w:t>
      </w:r>
    </w:p>
    <w:p>
      <w:pPr>
        <w:spacing w:after="0" w:line="147"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5.4.2 For Net Sales of a Therapeutic Product Covered by the Discovery Antibody IP Rights in the country of sale and not Covered by any other Valid Patent Claim within the ACI IP Rights in such country, and subject to and in accordance with the terms and conditions of this Agreement, Genentech shall pay to ACI, on a Therapeutic Product-by-Therapeutic Product and country-by-country basis, an amount equal to [*****] of such annual Net Sales.</w:t>
      </w:r>
    </w:p>
    <w:p>
      <w:pPr>
        <w:spacing w:after="0" w:line="147"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5.4.3 For Net Sales of a Therapeutic Product Covered by a Valid Patent Claim within the ACI Program IP Rights or ACI’s interest in the Joint Program IP Rights in the country of sale (and not covered by a Valid Patent Claim within the ACI IP Rights), and subject to and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270" w:right="2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terms and conditions of this Agreement, Genentech shall pay to ACI, on a Therapeutic Product-by- Therapeutic Product and country-by-country basis, an amount equal to [*****] of such annual Net Sales.</w:t>
      </w:r>
    </w:p>
    <w:p>
      <w:pPr>
        <w:spacing w:after="0" w:line="170"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5.4.4 For Net Sales of Therapeutic Products that contain as an active ingredient a Tau-Active Antibody that is (i) an ACI Antibody or (ii) is generated by Genentech using proprietary screening technology within the ACI IP Rights and such Therapeutic Product is not Covered by a Valid Patent Claim within the ACI IP Rights (including the Discovery Antibody IP Rights), the ACI Program IP Rights or the Joint Program IP Rights in the country of sale, a royalty equal to [*****] of annual Net Sales, provided, however, that royalty payment obligations under this Section 5.4.4 shall terminate, on a country-by-country basis, upon the date that is [*****] years from the date of First Commercial Sale of the applicable Therapeutic Product in a country. For the sake of clarity, royalties paid under this Section 5.4.4 shall be mutually exclusive of royalties to be paid under </w:t>
      </w:r>
      <w:r>
        <w:rPr>
          <w:rFonts w:ascii="Arial" w:cs="Arial" w:eastAsia="Arial" w:hAnsi="Arial"/>
          <w:sz w:val="16"/>
          <w:szCs w:val="16"/>
          <w:u w:val="single" w:color="auto"/>
          <w:color w:val="auto"/>
        </w:rPr>
        <w:t>Sections 5.4.1-5.4.3</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5.4.4</w:t>
      </w:r>
      <w:r>
        <w:rPr>
          <w:rFonts w:ascii="Arial" w:cs="Arial" w:eastAsia="Arial" w:hAnsi="Arial"/>
          <w:sz w:val="16"/>
          <w:szCs w:val="16"/>
          <w:color w:val="auto"/>
        </w:rPr>
        <w:t xml:space="preserve"> on Net Sales of Therapeutic Products Covered by a Valid Patent Claim of the ACI IP Rights for which the royalty is paid under </w:t>
      </w:r>
      <w:r>
        <w:rPr>
          <w:rFonts w:ascii="Arial" w:cs="Arial" w:eastAsia="Arial" w:hAnsi="Arial"/>
          <w:sz w:val="16"/>
          <w:szCs w:val="16"/>
          <w:u w:val="single" w:color="auto"/>
          <w:color w:val="auto"/>
        </w:rPr>
        <w:t>Section 5.4.1 or 5.4.2</w:t>
      </w:r>
      <w:r>
        <w:rPr>
          <w:rFonts w:ascii="Arial" w:cs="Arial" w:eastAsia="Arial" w:hAnsi="Arial"/>
          <w:sz w:val="16"/>
          <w:szCs w:val="16"/>
          <w:color w:val="auto"/>
        </w:rPr>
        <w:t xml:space="preserve"> or of the ACI Program IP Rights or Joint Program IP Rights for which a royalty is paid under </w:t>
      </w:r>
      <w:r>
        <w:rPr>
          <w:rFonts w:ascii="Arial" w:cs="Arial" w:eastAsia="Arial" w:hAnsi="Arial"/>
          <w:sz w:val="16"/>
          <w:szCs w:val="16"/>
          <w:u w:val="single" w:color="auto"/>
          <w:color w:val="auto"/>
        </w:rPr>
        <w:t>5.4.3</w:t>
      </w:r>
      <w:r>
        <w:rPr>
          <w:rFonts w:ascii="Arial" w:cs="Arial" w:eastAsia="Arial" w:hAnsi="Arial"/>
          <w:sz w:val="16"/>
          <w:szCs w:val="16"/>
          <w:color w:val="auto"/>
        </w:rPr>
        <w:t>.</w:t>
      </w:r>
    </w:p>
    <w:p>
      <w:pPr>
        <w:spacing w:after="0" w:line="166"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Diagnostic Product Royalties</w:t>
      </w:r>
      <w:r>
        <w:rPr>
          <w:rFonts w:ascii="Arial" w:cs="Arial" w:eastAsia="Arial" w:hAnsi="Arial"/>
          <w:sz w:val="18"/>
          <w:szCs w:val="18"/>
          <w:color w:val="auto"/>
        </w:rPr>
        <w:t>. In consideration for the rights granted hereunder, in each calendar quarter during the Term of this Agreement in which Genentech records Diagnostic Net Sales of a Diagnostic Product Covered by a Valid Patent Claim within the ACI IP Rights, the ACI Program IP Rights or the Joint Program IP Rights in the country of sale, and subject to and in accordance with the terms and conditions of this Agreement, Genentech shall pay to ACI, on a Diagnostic Product-by- Diagnostic Product and country-by-country basis, an amount equal to [*****] of such annual Diagnostic Net Sales.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Timing of Payments</w:t>
      </w:r>
      <w:r>
        <w:rPr>
          <w:rFonts w:ascii="Arial" w:cs="Arial" w:eastAsia="Arial" w:hAnsi="Arial"/>
          <w:sz w:val="18"/>
          <w:szCs w:val="18"/>
          <w:color w:val="auto"/>
        </w:rPr>
        <w:t>. All payments due under Sections 5.4 and 5.5 shall be paid in quarterly installments and be paid within [*****] days following the end of each calendar quarter.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Deductions from Payments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 xml:space="preserve">5.7.1 If in Genentech’s reasonable business judgment it is necessary to obtain a license under a issued patent of a Third Party in connection with the research, development, manufacture, distribution, use, sale, import or export of a Therapeutic Product, [*****], including fee, royalty or other payment, against the royalties payable pursuant to </w:t>
      </w:r>
      <w:r>
        <w:rPr>
          <w:rFonts w:ascii="Arial" w:cs="Arial" w:eastAsia="Arial" w:hAnsi="Arial"/>
          <w:sz w:val="18"/>
          <w:szCs w:val="18"/>
          <w:u w:val="single" w:color="auto"/>
          <w:color w:val="auto"/>
        </w:rPr>
        <w:t>Section 5.4.1 – 5.4.3</w:t>
      </w:r>
      <w:r>
        <w:rPr>
          <w:rFonts w:ascii="Arial" w:cs="Arial" w:eastAsia="Arial" w:hAnsi="Arial"/>
          <w:sz w:val="18"/>
          <w:szCs w:val="18"/>
          <w:color w:val="auto"/>
        </w:rPr>
        <w:t xml:space="preserve"> above; provided, that [*****].</w:t>
      </w:r>
    </w:p>
    <w:p>
      <w:pPr>
        <w:spacing w:after="0" w:line="181"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 xml:space="preserve">5.7.2 If in Genentech’s reasonable business judgment it is necessary to obtain a license under any Blocking Third Party Intellectual Property in connection with the research, development, manufacture, distribution, use, sale, import or export of a Diagnostic Product, [*****], including fee, royalty or other payment, against the royalties payable pursuant to Section 5.5 above; [*****] shall be in addition to, and not in lieu of, any other rights or claims Genentech may have under this Agreement or otherwise. For the purposes of this </w:t>
      </w:r>
      <w:r>
        <w:rPr>
          <w:rFonts w:ascii="Arial" w:cs="Arial" w:eastAsia="Arial" w:hAnsi="Arial"/>
          <w:sz w:val="17"/>
          <w:szCs w:val="17"/>
          <w:u w:val="single" w:color="auto"/>
          <w:color w:val="auto"/>
        </w:rPr>
        <w:t>Section 5.7.2</w:t>
      </w:r>
      <w:r>
        <w:rPr>
          <w:rFonts w:ascii="Arial" w:cs="Arial" w:eastAsia="Arial" w:hAnsi="Arial"/>
          <w:sz w:val="17"/>
          <w:szCs w:val="17"/>
          <w:color w:val="auto"/>
        </w:rPr>
        <w:t>, “Blocking Third Party Intellectual Property” means, with respect to any country in the Territory, Patent rights in such country owned or controlled by a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70" w:right="2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Party that cover specific reagents, assays and/or platform or any other technology required for use or sale of a Diagnostic Product, if the manufacture, use or sale of such Diagnostic Product would in the absence of a license granted by such Third Party, infringe such Patent rights.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5.7.3 For clarity, in no event will royalties payable on Therapeutic Products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be reduced below a rate of [*****] of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Additional Royalty Terms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u w:val="single" w:color="auto"/>
          <w:color w:val="auto"/>
        </w:rPr>
        <w:t>Single Royalty</w:t>
      </w:r>
      <w:r>
        <w:rPr>
          <w:rFonts w:ascii="Arial" w:cs="Arial" w:eastAsia="Arial" w:hAnsi="Arial"/>
          <w:sz w:val="18"/>
          <w:szCs w:val="18"/>
          <w:color w:val="auto"/>
        </w:rPr>
        <w:t>. Notwithstanding anything herein to the contrary, with respect to any Licensed Product only a single royalty payment shall be due and payable, regardless if such Licensed Product is covered by more than one Valid Patent Claim or contains more than one component Covered by a Valid Patent Claim.</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5.8.2 </w:t>
      </w:r>
      <w:r>
        <w:rPr>
          <w:rFonts w:ascii="Arial" w:cs="Arial" w:eastAsia="Arial" w:hAnsi="Arial"/>
          <w:sz w:val="18"/>
          <w:szCs w:val="18"/>
          <w:u w:val="single" w:color="auto"/>
          <w:color w:val="auto"/>
        </w:rPr>
        <w:t>Royalty Term; Fully Paid Licenses</w:t>
      </w:r>
      <w:r>
        <w:rPr>
          <w:rFonts w:ascii="Arial" w:cs="Arial" w:eastAsia="Arial" w:hAnsi="Arial"/>
          <w:sz w:val="18"/>
          <w:szCs w:val="18"/>
          <w:color w:val="auto"/>
        </w:rPr>
        <w:t xml:space="preserve">. Where tied to a Valid Patent Claim, royalties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payable only during time periods in which sale of the applicable Licensed Product is Covered by a Valid Patent Claim in the applicable country. Upon expiration of the obligation to pay royalties for a particular Licensed Product in a given country under Section 5.4 and Section 5.5, the licenses granted to the Party under this Agreement with respect to such Licensed Product in such country shall become fully paid and irrevocable.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REPORTS, AUDITS AND FINANCIAL TERMS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 Genentech shall send to ACI a report of Net Sales of the Licensed Products for which a royalty is due, which report sets forth for such calendar quarter the following information: (i) total Net Sales of all Licensed Products sold in the Territory during such calendar quarter, (ii) the exchange rate used to convert Net Sales from the currency in which they are earned to Swiss Francs (CHF), (iii) Net Sales on a country-by-country basis for each of [*****] and (iv) the total royalty payments due.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Financial Terms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Currency</w:t>
      </w:r>
      <w:r>
        <w:rPr>
          <w:rFonts w:ascii="Arial" w:cs="Arial" w:eastAsia="Arial" w:hAnsi="Arial"/>
          <w:sz w:val="18"/>
          <w:szCs w:val="18"/>
          <w:color w:val="auto"/>
        </w:rPr>
        <w:t>. All payments to be made under this Agreement shall be made in Swiss Francs (CHF). Amounts invoiced in a currency other than Swiss Francs must be expressed in the Swiss Francs (CHF) equivalent as well as any local currency. Net Sales shall be first determined in the currency in which they are earned and shall then be converted into an amount in Swiss Francs (CHF). All currency conversions shall use the conversion rate used by Roche for its then-current external reporting requirements, consistently applied.</w:t>
      </w:r>
    </w:p>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Payment Type</w:t>
      </w:r>
      <w:r>
        <w:rPr>
          <w:rFonts w:ascii="Arial" w:cs="Arial" w:eastAsia="Arial" w:hAnsi="Arial"/>
          <w:sz w:val="18"/>
          <w:szCs w:val="18"/>
          <w:color w:val="auto"/>
        </w:rPr>
        <w:t>. Amounts paid by one Party to the other under this Agreement shall be paid in Swiss Francs (CHF), in immediately available funds, by means of wire transfer to an account identified by the payee.</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 Each Party may withhold from payments due to the other Party amounts for payment of any withholding tax that is required by law to be paid to any taxing authority with respect to such payments. The Party withholding the tax shall provide to the other Party all relevant documents and correspondence, and shall also provide to the Party from whose payment that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70"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was withheld any other cooperation or assistance on a reasonable basis as may be necessary to enable that Party subject to withholding to claim exemption from such withholding taxes and to receive a full refund of such withholding tax or claim a foreign tax credit. The Party withholding the tax shall give proper evidence from time to time as to the payment of such tax. The Parties shall cooperate with each other in seeking deductions under any double taxation or other similar treaty or agreement from time to time in force. Such cooperation may include Genentech making payments from a single source in the U.S., where possible or Switzerland.</w:t>
      </w:r>
    </w:p>
    <w:p>
      <w:pPr>
        <w:spacing w:after="0" w:line="18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Late Payments</w:t>
      </w:r>
      <w:r>
        <w:rPr>
          <w:rFonts w:ascii="Arial" w:cs="Arial" w:eastAsia="Arial" w:hAnsi="Arial"/>
          <w:sz w:val="18"/>
          <w:szCs w:val="18"/>
          <w:color w:val="auto"/>
        </w:rPr>
        <w:t>. Any amounts not paid within [*****] days after the date due under this Agreement are subject to interest from the date due through and including the date upon which payment is received. Interest is calculated, over the period between the date due and the date paid, at a rate equal to [*****].</w:t>
      </w:r>
    </w:p>
    <w:p>
      <w:pPr>
        <w:spacing w:after="0" w:line="18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Blocked Currency</w:t>
      </w:r>
      <w:r>
        <w:rPr>
          <w:rFonts w:ascii="Arial" w:cs="Arial" w:eastAsia="Arial" w:hAnsi="Arial"/>
          <w:sz w:val="17"/>
          <w:szCs w:val="17"/>
          <w:color w:val="auto"/>
        </w:rPr>
        <w:t>. If, at any time, legal restrictions prevent the prompt remittance of part or all royalties with respect to any country where a Licensed Product is sold, payment shall be made through such lawful means or methods as the Party paying may determine. When in any country, the law or regulations prohibit both the transmittal and deposit of royalties or other payments, the Party paying shall continue to report all such amounts, but may suspend payment for as long as such prohibition is in effect. As soon as such prohibition ceases to be in effect, all amounts that would have been obligated to be transmitted or deposited, but for the prohibition, shall forthwith be deposited or transmitted promptly.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Accounts and Audit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Records</w:t>
      </w:r>
      <w:r>
        <w:rPr>
          <w:rFonts w:ascii="Arial" w:cs="Arial" w:eastAsia="Arial" w:hAnsi="Arial"/>
          <w:sz w:val="18"/>
          <w:szCs w:val="18"/>
          <w:color w:val="auto"/>
        </w:rPr>
        <w:t>. Each Party shall keep full, true and accurate books of account containing the particulars of Net Sales, the calculation of royalties. Each Party shall keep such books of account and the supporting data and other records. Such books and records must be maintained available for examination in accordance with this Section for [*****] calendar years after the end of the calendar year to which they pertain, and otherwise as reasonably required to comply with IFRS.</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Appointment of Auditor</w:t>
      </w:r>
      <w:r>
        <w:rPr>
          <w:rFonts w:ascii="Arial" w:cs="Arial" w:eastAsia="Arial" w:hAnsi="Arial"/>
          <w:sz w:val="18"/>
          <w:szCs w:val="18"/>
          <w:color w:val="auto"/>
        </w:rPr>
        <w:t>. Each Party may appoint an internationally-recognized independent accounting firm reasonably acceptable to the audited Party to inspect the relevant books of account of the audited Party to verify any reports or statements provided, or amounts paid or invoiced (as appropriate), by that audited Party. The independent accounting firm (and any individuals, if applicable) appointed to perform the examination under this Agreement must execute a confidential disclosure agreement with the audited Party, or otherwise be subject to terms governing non-use and non-disclosure of information that the audited Party has agreed in writing are acceptable.</w:t>
      </w:r>
    </w:p>
    <w:p>
      <w:pPr>
        <w:spacing w:after="0" w:line="188"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Procedures for Audit</w:t>
      </w:r>
      <w:r>
        <w:rPr>
          <w:rFonts w:ascii="Arial" w:cs="Arial" w:eastAsia="Arial" w:hAnsi="Arial"/>
          <w:sz w:val="18"/>
          <w:szCs w:val="18"/>
          <w:color w:val="auto"/>
        </w:rPr>
        <w:t>. Each Party may exercise its right to have the other Party’s relevant records examined only during the [*****] year period during which the audited Party is required to maintain records, no more than once in any consecutive [*****] calendar quarter period, and only once with respect to records covering any specific period of time. The audited Party is required to make its records available for inspection only during regular business hours, only at such place or places where such records are customarily kept, and only upon receipt of at least [*****] days written advance notice from the other Party.</w:t>
      </w:r>
    </w:p>
    <w:p>
      <w:pPr>
        <w:spacing w:after="0" w:line="1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Audit Report</w:t>
      </w:r>
      <w:r>
        <w:rPr>
          <w:rFonts w:ascii="Arial" w:cs="Arial" w:eastAsia="Arial" w:hAnsi="Arial"/>
          <w:sz w:val="18"/>
          <w:szCs w:val="18"/>
          <w:color w:val="auto"/>
        </w:rPr>
        <w:t>. The independent accountant will be instructed to provide an audit report containing its conclusions regarding the audit, and specifying whether the amounts paid were correct, and, if incorrect, the amount of any underpayment or overpayment. The independent accountant further will be instructed to provide that audit report first to the audited Party, and will be further instructed to redact any proprietary information of the audited Party not relevant to the calculation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70" w:right="2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royalties prior to providing that audit report to the other Party. That audit report shall be deemed to be Confidential Information of the audited Party, and used only for purposes germane to this Section.</w:t>
      </w:r>
    </w:p>
    <w:p>
      <w:pPr>
        <w:spacing w:after="0" w:line="17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u w:val="single" w:color="auto"/>
          <w:color w:val="auto"/>
        </w:rPr>
        <w:t>Underpayment and Overpayment</w:t>
      </w:r>
      <w:r>
        <w:rPr>
          <w:rFonts w:ascii="Arial" w:cs="Arial" w:eastAsia="Arial" w:hAnsi="Arial"/>
          <w:sz w:val="18"/>
          <w:szCs w:val="18"/>
          <w:color w:val="auto"/>
        </w:rPr>
        <w:t xml:space="preserve">. After review of the auditor’s report: (i) if there is an uncontested underpayment by the audited Party for the period in question, then the audited Party shall pay to the other Party the full amount of that uncontested underpayment, and (ii) if there is an uncontested overpayment by the audited Party for the period in question, then the other Party shall provide to the audited Party a credit against future payments (such credit equal to the full amount of that overpayment), or, if the audited Party is not obligated to make any future payments, then the other Party shall pay to the audited Party the full amount of that overpayment. Contested amounts are subject to dispute resolution under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If the total amount of any underpayment (as agreed to by the audited Party or as determined under </w:t>
      </w:r>
      <w:r>
        <w:rPr>
          <w:rFonts w:ascii="Arial" w:cs="Arial" w:eastAsia="Arial" w:hAnsi="Arial"/>
          <w:sz w:val="18"/>
          <w:szCs w:val="18"/>
          <w:u w:val="single" w:color="auto"/>
          <w:color w:val="auto"/>
        </w:rPr>
        <w:t>Article 13</w:t>
      </w:r>
      <w:r>
        <w:rPr>
          <w:rFonts w:ascii="Arial" w:cs="Arial" w:eastAsia="Arial" w:hAnsi="Arial"/>
          <w:sz w:val="18"/>
          <w:szCs w:val="18"/>
          <w:color w:val="auto"/>
        </w:rPr>
        <w:t>) exceeds [*****] of the amount previously paid by the audited Party for the period subject to audit (as long as that period is at least [*****] consecutive calendar quarters), then the audited Party shall pay the reasonable costs for the audit.</w:t>
      </w:r>
    </w:p>
    <w:p>
      <w:pPr>
        <w:spacing w:after="0" w:line="19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Rights Regarding Consolidation of ACI Financial Data</w:t>
      </w:r>
      <w:r>
        <w:rPr>
          <w:rFonts w:ascii="Arial" w:cs="Arial" w:eastAsia="Arial" w:hAnsi="Arial"/>
          <w:sz w:val="17"/>
          <w:szCs w:val="17"/>
          <w:color w:val="auto"/>
        </w:rPr>
        <w:t xml:space="preserve">. If, at any time during the term of this Agreement, compliance with any term or condition of this Agreement would, in Genentech’s opinion and with the concurrence of Genentech’s independent auditors, require Genentech to consolidate ACI within Genentech’s financial statements in order to comply with Accounting Standards in effect at that time, then upon Genentech’s request, ACI shall provide to Genentech (a) ACI’s unaudited quarterly consolidated financial statements, prepared in accordance with IFRS (i.e., balance sheet, income statement and statement of cash flows) for each calendar quarter within [*****] days after the end of the calendar quarter, and (b) subject to the obligations under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regarding Confidential Information, ACI’s forecasted results for a given calendar quarter, based on its best available estimates, no earlier than [*****] days prior to, and no later than [*****] days prior to, the close of such calendar quarter. Those forecasted results must be based on at least [*****] months of actual results and will encompass all of the financial statements noted above.</w:t>
      </w:r>
    </w:p>
    <w:p>
      <w:pPr>
        <w:spacing w:after="0" w:line="39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ARTICLE 7: INTELLECTUAL PROPERTY; PATENT PROSECUTION AND MAINTENANCE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7.1.1 ACI shall promptly disclose to GNE any inventions or other Know-How created, discovered, conceived or reduced to practice pursuant to the Research Program and the activities in the Research Plan. During the Research Term and the remainder of the Term of the Agreement, ACI shall disclose to GNE all Patents within ACI IP Rights and Program IP Rights (including in each case, any such Patents of which ACI acquires Control after the Effective Date).</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7.1.2 Promptly after the Effective Date, ACI shall deliver to GNE copies of all patent applications, amendments, correspondence with patent offices and information relating to Patents within the ACI IP Rights. ACI shall timely deliver to GNE within [*****] days of its receipt, copies of any patent applications, amendments, correspondence or other materials that ACI receives following the Effective Date from the U.S. Patent and Trademark Office and all other patent offices relating to the Patents within the ACI IP Rights.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 of IP Rights</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Program IP Rights</w:t>
      </w:r>
      <w:r>
        <w:rPr>
          <w:rFonts w:ascii="Arial" w:cs="Arial" w:eastAsia="Arial" w:hAnsi="Arial"/>
          <w:sz w:val="18"/>
          <w:szCs w:val="18"/>
          <w:color w:val="auto"/>
        </w:rPr>
        <w:t>. As between the Parties, (i) Program IP Rights that are invented by employees of ACI solely (or jointly with a Third Party subcontractor of ACI)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will be solely owned by ACI; (ii) Program IP Rights that are invented by employees of Genentech solely (or jointly with a Third Party subcontractor of Genentech) (“</w:t>
      </w:r>
      <w:r>
        <w:rPr>
          <w:rFonts w:ascii="Arial" w:cs="Arial" w:eastAsia="Arial" w:hAnsi="Arial"/>
          <w:sz w:val="18"/>
          <w:szCs w:val="18"/>
          <w:u w:val="single" w:color="auto"/>
          <w:color w:val="auto"/>
        </w:rPr>
        <w:t>Genentech Program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70" w:right="2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 will be solely owned by Genentech; and (iii) Program IP Rights that are invented by an employee of Genentech (or a Third Party subcontractor of Genentech) and an employee of ACI (or a Third Party subcontractor of ACI) jointly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will be jointly owned by Genentech and ACI. Inventorship for purposes of determining ownership under this Section is determined under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81"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Joint Ownership</w:t>
      </w:r>
      <w:r>
        <w:rPr>
          <w:rFonts w:ascii="Arial" w:cs="Arial" w:eastAsia="Arial" w:hAnsi="Arial"/>
          <w:sz w:val="16"/>
          <w:szCs w:val="16"/>
          <w:color w:val="auto"/>
        </w:rPr>
        <w:t>. Each Party retains an undivided one-half interest in and to Joint Program IP Rights. ACI shall exercise its ownership rights in and to Joint Program IP Rights, for any field, and including the right to license and sublicense or otherwise to exploit, transfer or encumber its ownership interest, only (i) with prior written consent of Genentech, not to be unreasonably withheld; (ii) subject to the licenses under this Agreement; and</w:t>
      </w:r>
    </w:p>
    <w:p>
      <w:pPr>
        <w:ind w:right="60" w:firstLine="8"/>
        <w:spacing w:after="0" w:line="268" w:lineRule="auto"/>
        <w:tabs>
          <w:tab w:leader="none" w:pos="31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in accordance with the restrictions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Notwithstanding the foregoing, solely with respect to (a) improvements made by the Parties in the performance of activities under the Research Plan to techniques and/or methods consisting of assays, detection methods and screening methods within the ACI IP Rights existing as of the Effective Date and (b) such other techniques and/or methods consisting of assays, detection methods and screening methods made by the Parties in the performance of activities under the Research Plan (together, the “</w:t>
      </w:r>
      <w:r>
        <w:rPr>
          <w:rFonts w:ascii="Arial" w:cs="Arial" w:eastAsia="Arial" w:hAnsi="Arial"/>
          <w:sz w:val="17"/>
          <w:szCs w:val="17"/>
          <w:u w:val="single" w:color="auto"/>
          <w:color w:val="auto"/>
        </w:rPr>
        <w:t>Improvements</w:t>
      </w:r>
      <w:r>
        <w:rPr>
          <w:rFonts w:ascii="Arial" w:cs="Arial" w:eastAsia="Arial" w:hAnsi="Arial"/>
          <w:sz w:val="17"/>
          <w:szCs w:val="17"/>
          <w:color w:val="auto"/>
        </w:rPr>
        <w:t xml:space="preserve">”), ACI may freely exploit Joint Program IP Rights that constitute Improvements for uses outside the Genentech Field without obtaining Genentech’s prior consent. This Agreement shall be understood to be a joint research agreement in accordance with 35 U.S.C. § 103(c) to develop Tau-Active Antibodies for use in and outside the Genentech Field, provided that neither Party shall be required by this reference to have any Patent take advantage of or become subject to such § 103(c) except in accordance with the provisions of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regarding Prosecution and Maintenance of such Patent.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 xml:space="preserve">7.3.1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require all of its employees, contractors and agents, and any Affiliates and Third Parties working on its behalf under this Agreement (and their respective employees, contractors and agents), to assign to Genentech any Program IP Rights and Genentech IP Rights, created, discovered, conceived or reduced to practice by such employees, contractors or agents or Affiliates or Third Parties.</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ACI</w:t>
      </w:r>
      <w:r>
        <w:rPr>
          <w:rFonts w:ascii="Arial" w:cs="Arial" w:eastAsia="Arial" w:hAnsi="Arial"/>
          <w:sz w:val="18"/>
          <w:szCs w:val="18"/>
          <w:color w:val="auto"/>
        </w:rPr>
        <w:t>. ACI shall require all of its employees, contractors and agents, and any Affiliates and Third Parties working on its behalf under this Agreement (and their respective employees, contractors and agents), to assign to ACI any Program IP Rights and ACI IP Rights, created, discovered, conceived or reduced to practice by such employees, contractors or agents or Affiliates or Third Parties.</w:t>
      </w:r>
    </w:p>
    <w:p>
      <w:pPr>
        <w:spacing w:after="0" w:line="18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shall cooperate with each other to effectuate ownership of any intellectual property rights as set forth in this Agreement, including, but not limited to, by executing and recording documents.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 Patent Prosecution and Maintenance.</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7.4.1</w:t>
      </w:r>
      <w:r>
        <w:rPr>
          <w:rFonts w:ascii="Arial" w:cs="Arial" w:eastAsia="Arial" w:hAnsi="Arial"/>
          <w:sz w:val="18"/>
          <w:szCs w:val="18"/>
          <w:color w:val="auto"/>
        </w:rPr>
        <w:t>,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with regard to a particular Patent, means the preparation, filing, prosecution and maintenance of such Patent, as well as re-examinations, reissues, applications for patent term extensions and the like with respect to that Patent, together with the conduct of interferences, the defense of oppositions and other similar proceedings with respect to that Patent.</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Genentech Controlled Prosecution and Maintenance</w:t>
      </w:r>
      <w:r>
        <w:rPr>
          <w:rFonts w:ascii="Arial" w:cs="Arial" w:eastAsia="Arial" w:hAnsi="Arial"/>
          <w:sz w:val="18"/>
          <w:szCs w:val="18"/>
          <w:color w:val="auto"/>
        </w:rPr>
        <w:t>. As between the Parties, Genentech shall, at its sole discretion and expense, have the right (but not the obligation) to Prosecute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269" w:right="2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Maintain Patents within the Genentech IP Rights, but excluding [*****] and [*****].</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Prosecution and Maintenance of ACI IP Rights and Program IP Rights</w:t>
      </w:r>
      <w:r>
        <w:rPr>
          <w:rFonts w:ascii="Arial" w:cs="Arial" w:eastAsia="Arial" w:hAnsi="Arial"/>
          <w:sz w:val="18"/>
          <w:szCs w:val="18"/>
          <w:color w:val="auto"/>
        </w:rPr>
        <w:t xml:space="preserve">. Subject to the provisions of this Section and </w:t>
      </w:r>
      <w:r>
        <w:rPr>
          <w:rFonts w:ascii="Arial" w:cs="Arial" w:eastAsia="Arial" w:hAnsi="Arial"/>
          <w:sz w:val="18"/>
          <w:szCs w:val="18"/>
          <w:u w:val="single" w:color="auto"/>
          <w:color w:val="auto"/>
        </w:rPr>
        <w:t>Section 7.4.5</w:t>
      </w:r>
      <w:r>
        <w:rPr>
          <w:rFonts w:ascii="Arial" w:cs="Arial" w:eastAsia="Arial" w:hAnsi="Arial"/>
          <w:sz w:val="18"/>
          <w:szCs w:val="18"/>
          <w:color w:val="auto"/>
        </w:rPr>
        <w:t>, ACI and Genentech shall select a mutually agreeable outside counsel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to be responsible for the Prosecution and Maintenance of ACI IP Rights and Program IP Rights.</w:t>
      </w:r>
    </w:p>
    <w:p>
      <w:pPr>
        <w:spacing w:after="0" w:line="181" w:lineRule="exact"/>
        <w:rPr>
          <w:sz w:val="20"/>
          <w:szCs w:val="20"/>
          <w:color w:val="auto"/>
        </w:rPr>
      </w:pPr>
    </w:p>
    <w:p>
      <w:pPr>
        <w:ind w:right="240" w:firstLine="1492"/>
        <w:spacing w:after="0" w:line="277" w:lineRule="auto"/>
        <w:tabs>
          <w:tab w:leader="none" w:pos="1728"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With respect to Patents within the ACI IP Rights and Program IP Rights, the Parties shall cooperate and assist each in the Prosecution and Maintenance of such Patents as set forth below and in </w:t>
      </w:r>
      <w:r>
        <w:rPr>
          <w:rFonts w:ascii="Arial" w:cs="Arial" w:eastAsia="Arial" w:hAnsi="Arial"/>
          <w:sz w:val="18"/>
          <w:szCs w:val="18"/>
          <w:u w:val="single" w:color="auto"/>
          <w:color w:val="auto"/>
        </w:rPr>
        <w:t>Section 7.4.4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492"/>
        <w:spacing w:after="0" w:line="257" w:lineRule="auto"/>
        <w:tabs>
          <w:tab w:leader="none" w:pos="173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ACI IP Rights or Program IP Rights, it shall promptly inform the other Party thereof. With respect thereto, the Parties shall promptly engage the Outside Patent Counsel to draft a patent application for such invention and to make a preliminary determination of inventors, and scope of claims. The Parties shall instruct the Outside Patent Counsel to provide to each Party a copy of such patent application for review and comments by the Parties, and such Outside Patent Counsel shall be instructed to reasonably consider the comments of both Parties.</w:t>
      </w:r>
    </w:p>
    <w:p>
      <w:pPr>
        <w:spacing w:after="0" w:line="188" w:lineRule="exact"/>
        <w:rPr>
          <w:rFonts w:ascii="Arial" w:cs="Arial" w:eastAsia="Arial" w:hAnsi="Arial"/>
          <w:sz w:val="18"/>
          <w:szCs w:val="18"/>
          <w:color w:val="auto"/>
        </w:rPr>
      </w:pPr>
    </w:p>
    <w:p>
      <w:pPr>
        <w:ind w:right="20" w:firstLine="1492"/>
        <w:spacing w:after="0" w:line="290" w:lineRule="auto"/>
        <w:tabs>
          <w:tab w:leader="none" w:pos="172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Outside Patent Counsel shall be instructed to (i) keep the Parties informed as to the filing, and Prosecution and Maintenance (including those involving in which countries to initiate or continue prosecution (including validation), the question of the scope of, the issuance of, the rejection of, an interference involving, or an opposition to any such patent application or resulting Patent) of, such Patents, such that each Party has sufficient time to review and comment upon any documents intended for submission to any patent office; (ii) furnish to each Party a copy of the patent application and copies of documents relevant to such Prosecution and Maintenance, including copies of correspondence with any patent office, foreign associates, and outside counsel; and (iii) reasonably consider and incorporate comments of the Parties on documents filed with any patent office. In addition, the Outside Patent Counsel shall provide the Parties with a report, no less frequently than once per calendar quarter (or as otherwise mutually agreed by the Parties), listing all Patents within ACI IP Rights and Program IP Rights, identifying them by country and patent or application number, and briefly describing the status thereof.</w:t>
      </w:r>
    </w:p>
    <w:p>
      <w:pPr>
        <w:spacing w:after="0" w:line="166" w:lineRule="exact"/>
        <w:rPr>
          <w:rFonts w:ascii="Arial" w:cs="Arial" w:eastAsia="Arial" w:hAnsi="Arial"/>
          <w:sz w:val="16"/>
          <w:szCs w:val="16"/>
          <w:color w:val="auto"/>
        </w:rPr>
      </w:pPr>
    </w:p>
    <w:p>
      <w:pPr>
        <w:ind w:right="180" w:firstLine="1492"/>
        <w:spacing w:after="0" w:line="279" w:lineRule="auto"/>
        <w:tabs>
          <w:tab w:leader="none" w:pos="173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The Outside Patent Counsel shall be instructed to advise and consult with each Party promptly after receiving any substantial action or development in the prosecution of any patent application it is responsible for prosecuting pursuant to </w:t>
      </w:r>
      <w:r>
        <w:rPr>
          <w:rFonts w:ascii="Arial" w:cs="Arial" w:eastAsia="Arial" w:hAnsi="Arial"/>
          <w:sz w:val="17"/>
          <w:szCs w:val="17"/>
          <w:u w:val="single" w:color="auto"/>
          <w:color w:val="auto"/>
        </w:rPr>
        <w:t>Section 7.4.3(a)</w:t>
      </w:r>
      <w:r>
        <w:rPr>
          <w:rFonts w:ascii="Arial" w:cs="Arial" w:eastAsia="Arial" w:hAnsi="Arial"/>
          <w:sz w:val="17"/>
          <w:szCs w:val="17"/>
          <w:color w:val="auto"/>
        </w:rPr>
        <w:t xml:space="preserve"> (in particular any actions or developments concerning in which countries to initiate or continue prosecution (including validation), questions of the scope, issuance or rejection of, any interference involving, any such patent application or any opposition to any such patent application or resulting patent).</w:t>
      </w:r>
    </w:p>
    <w:p>
      <w:pPr>
        <w:spacing w:after="0" w:line="17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 xml:space="preserve">7.4.4 </w:t>
      </w:r>
      <w:r>
        <w:rPr>
          <w:rFonts w:ascii="Arial" w:cs="Arial" w:eastAsia="Arial" w:hAnsi="Arial"/>
          <w:sz w:val="16"/>
          <w:szCs w:val="16"/>
          <w:u w:val="single" w:color="auto"/>
          <w:color w:val="auto"/>
        </w:rPr>
        <w:t>Consultation and Cooperation</w:t>
      </w:r>
      <w:r>
        <w:rPr>
          <w:rFonts w:ascii="Arial" w:cs="Arial" w:eastAsia="Arial" w:hAnsi="Arial"/>
          <w:sz w:val="16"/>
          <w:szCs w:val="16"/>
          <w:color w:val="auto"/>
        </w:rPr>
        <w:t>. Generally, the Parties shall cooperate with and assist each other in the Prosecution and Maintenance of Patents within the ACI IP Rights and Program IP Rights, including (i) consulting with the other Party promptly after receiving any substantial action or development in the prosecution of any such Patent, (ii) making scientists and scientific records reasonably available in connection with such Prosecution and Maintenance, and (iii) making reasonably available its respective authorized attorneys, agents or representatives. In addition, each Party shall sign or use its best efforts to have signed and delivered, at no charge to the other Party, all documents necessary in connection with such Prosecution and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269" w:right="2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80" w:firstLine="913"/>
        <w:spacing w:after="0" w:line="284" w:lineRule="auto"/>
        <w:rPr>
          <w:sz w:val="20"/>
          <w:szCs w:val="20"/>
          <w:color w:val="auto"/>
        </w:rPr>
      </w:pPr>
      <w:r>
        <w:rPr>
          <w:rFonts w:ascii="Arial" w:cs="Arial" w:eastAsia="Arial" w:hAnsi="Arial"/>
          <w:sz w:val="16"/>
          <w:szCs w:val="16"/>
          <w:color w:val="auto"/>
        </w:rPr>
        <w:t xml:space="preserve">7.4.5 </w:t>
      </w:r>
      <w:r>
        <w:rPr>
          <w:rFonts w:ascii="Arial" w:cs="Arial" w:eastAsia="Arial" w:hAnsi="Arial"/>
          <w:sz w:val="16"/>
          <w:szCs w:val="16"/>
          <w:u w:val="single" w:color="auto"/>
          <w:color w:val="auto"/>
        </w:rPr>
        <w:t>Abandonment of Prosecution and Maintenance</w:t>
      </w:r>
      <w:r>
        <w:rPr>
          <w:rFonts w:ascii="Arial" w:cs="Arial" w:eastAsia="Arial" w:hAnsi="Arial"/>
          <w:sz w:val="16"/>
          <w:szCs w:val="16"/>
          <w:color w:val="auto"/>
        </w:rPr>
        <w:t>. With respect to Patents within the ACI IP Rights and Program IP Rights, if a Party (the “</w:t>
      </w:r>
      <w:r>
        <w:rPr>
          <w:rFonts w:ascii="Arial" w:cs="Arial" w:eastAsia="Arial" w:hAnsi="Arial"/>
          <w:sz w:val="16"/>
          <w:szCs w:val="16"/>
          <w:u w:val="single" w:color="auto"/>
          <w:color w:val="auto"/>
        </w:rPr>
        <w:t>Electing Party</w:t>
      </w:r>
      <w:r>
        <w:rPr>
          <w:rFonts w:ascii="Arial" w:cs="Arial" w:eastAsia="Arial" w:hAnsi="Arial"/>
          <w:sz w:val="16"/>
          <w:szCs w:val="16"/>
          <w:color w:val="auto"/>
        </w:rPr>
        <w:t>”) elects not to Prosecute and Maintain such Patents (whether worldwide or with respect to any particular country),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u w:val="single" w:color="auto"/>
          <w:color w:val="auto"/>
        </w:rPr>
        <w:t>Non- Electing Party</w:t>
      </w:r>
      <w:r>
        <w:rPr>
          <w:rFonts w:ascii="Arial" w:cs="Arial" w:eastAsia="Arial" w:hAnsi="Arial"/>
          <w:sz w:val="16"/>
          <w:szCs w:val="16"/>
          <w:color w:val="auto"/>
        </w:rPr>
        <w:t xml:space="preserve">”) in writing (which such notice shall be at least [*****] days prior to the lapse or abandonment of any such Patent). Thereafter, the Non-Electing Party may, but is not required to, undertake, at its sole expense and in its sole discretion, the Prosecution and Maintenance of such Patents. In the event that the Non-Electing Party undertakes such Prosecution and Maintenance, (i) the Electing Party shall assign all right, title and interest in and to such Patents to the Non-Electing Party, (ii) Electing Party shall cooperate as set forth in </w:t>
      </w:r>
      <w:r>
        <w:rPr>
          <w:rFonts w:ascii="Arial" w:cs="Arial" w:eastAsia="Arial" w:hAnsi="Arial"/>
          <w:sz w:val="16"/>
          <w:szCs w:val="16"/>
          <w:u w:val="single" w:color="auto"/>
          <w:color w:val="auto"/>
        </w:rPr>
        <w:t>Section 7.4.4</w:t>
      </w:r>
      <w:r>
        <w:rPr>
          <w:rFonts w:ascii="Arial" w:cs="Arial" w:eastAsia="Arial" w:hAnsi="Arial"/>
          <w:sz w:val="16"/>
          <w:szCs w:val="16"/>
          <w:color w:val="auto"/>
        </w:rPr>
        <w:t>, and</w:t>
      </w:r>
    </w:p>
    <w:p>
      <w:pPr>
        <w:spacing w:after="0" w:line="3" w:lineRule="exact"/>
        <w:rPr>
          <w:sz w:val="20"/>
          <w:szCs w:val="20"/>
          <w:color w:val="auto"/>
        </w:rPr>
      </w:pPr>
    </w:p>
    <w:p>
      <w:pPr>
        <w:ind w:right="100" w:firstLine="8"/>
        <w:spacing w:after="0" w:line="261" w:lineRule="auto"/>
        <w:tabs>
          <w:tab w:leader="none" w:pos="31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such Patents shall no longer serve as the basis of any royalty obligation to the Electing Party under this Agreement.</w:t>
      </w:r>
    </w:p>
    <w:p>
      <w:pPr>
        <w:spacing w:after="0" w:line="18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7.4.6 </w:t>
      </w:r>
      <w:r>
        <w:rPr>
          <w:rFonts w:ascii="Arial" w:cs="Arial" w:eastAsia="Arial" w:hAnsi="Arial"/>
          <w:sz w:val="18"/>
          <w:szCs w:val="18"/>
          <w:u w:val="single" w:color="auto"/>
          <w:color w:val="auto"/>
        </w:rPr>
        <w:t>Costs</w:t>
      </w:r>
      <w:r>
        <w:rPr>
          <w:rFonts w:ascii="Arial" w:cs="Arial" w:eastAsia="Arial" w:hAnsi="Arial"/>
          <w:sz w:val="18"/>
          <w:szCs w:val="18"/>
          <w:color w:val="auto"/>
        </w:rPr>
        <w:t>. Unless otherwise mutually agreed by the Parties, both during and after the Term of this Agreement, all costs of prosecuting and maintaining Genentech IP Rights shall be Genentech’s sole responsibility. Genentech shall bear [*****] of the costs of prosecuting and maintaining all ACI IP Rights and Program IP Rights and ACI shall bear [*****] of such costs.</w:t>
      </w:r>
    </w:p>
    <w:p>
      <w:pPr>
        <w:spacing w:after="0" w:line="181"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 xml:space="preserve">7.4.7 </w:t>
      </w:r>
      <w:r>
        <w:rPr>
          <w:rFonts w:ascii="Arial" w:cs="Arial" w:eastAsia="Arial" w:hAnsi="Arial"/>
          <w:sz w:val="17"/>
          <w:szCs w:val="17"/>
          <w:u w:val="single" w:color="auto"/>
          <w:color w:val="auto"/>
        </w:rPr>
        <w:t>Good Faith</w:t>
      </w:r>
      <w:r>
        <w:rPr>
          <w:rFonts w:ascii="Arial" w:cs="Arial" w:eastAsia="Arial" w:hAnsi="Arial"/>
          <w:sz w:val="17"/>
          <w:szCs w:val="17"/>
          <w:color w:val="auto"/>
        </w:rPr>
        <w:t xml:space="preserve">. Without in any way limiting the foregoing, including </w:t>
      </w:r>
      <w:r>
        <w:rPr>
          <w:rFonts w:ascii="Arial" w:cs="Arial" w:eastAsia="Arial" w:hAnsi="Arial"/>
          <w:sz w:val="17"/>
          <w:szCs w:val="17"/>
          <w:u w:val="single" w:color="auto"/>
          <w:color w:val="auto"/>
        </w:rPr>
        <w:t>Section 7.4.3(a)</w:t>
      </w:r>
      <w:r>
        <w:rPr>
          <w:rFonts w:ascii="Arial" w:cs="Arial" w:eastAsia="Arial" w:hAnsi="Arial"/>
          <w:sz w:val="17"/>
          <w:szCs w:val="17"/>
          <w:color w:val="auto"/>
        </w:rPr>
        <w:t>, the Parties shall use reasonable efforts and act in good faith to assist and advise the other and the Outside Patent Counsel in connection with the Prosecution and Maintenance of Patents within the ACI IP Rights and Program IP Rights, and to mutually seek opportunities to prepare and file patent applications for such Patents, [*****].</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Patent Interferences</w:t>
      </w:r>
      <w:r>
        <w:rPr>
          <w:rFonts w:ascii="Arial" w:cs="Arial" w:eastAsia="Arial" w:hAnsi="Arial"/>
          <w:sz w:val="16"/>
          <w:szCs w:val="16"/>
          <w:color w:val="auto"/>
        </w:rPr>
        <w:t>. If an interference is declared by the U.S. Patent and Trademark Office (a) between (i) a claim in one or more Patents within the ACI IP Rights or Program IP Rights and (ii) a claim in one or more Patents within the Genentech IP Rights, where at least one of such claims would, but for the licenses in this Agreement, be infringed by the making, using, offering for sale, selling or importing of a Tau-Active Antibody or Licensed Product; then the Parties shall in good faith establish within [*****] days of the declaration of such interference, or such other time as agreed upon, a mutually agreeable process to resolve such interference in a reasonable manner (including control and cost sharing), in conformance with all applicable legal standards.</w:t>
      </w:r>
    </w:p>
    <w:p>
      <w:pPr>
        <w:spacing w:after="0" w:line="15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Inventorship</w:t>
      </w:r>
      <w:r>
        <w:rPr>
          <w:rFonts w:ascii="Arial" w:cs="Arial" w:eastAsia="Arial" w:hAnsi="Arial"/>
          <w:sz w:val="18"/>
          <w:szCs w:val="18"/>
          <w:color w:val="auto"/>
        </w:rPr>
        <w:t>. Any determination of inventorship with respect to any Patent within the ACI IP Rights, Program IP Rights, or Genentech IP Rights shall be made in accordance with the applicable United States patent laws.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Consequences of [*****]</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7.7.1 </w:t>
      </w:r>
      <w:r>
        <w:rPr>
          <w:rFonts w:ascii="Arial" w:cs="Arial" w:eastAsia="Arial" w:hAnsi="Arial"/>
          <w:sz w:val="17"/>
          <w:szCs w:val="17"/>
          <w:u w:val="single" w:color="auto"/>
          <w:color w:val="auto"/>
        </w:rPr>
        <w:t>Termination on [*****]</w:t>
      </w:r>
      <w:r>
        <w:rPr>
          <w:rFonts w:ascii="Arial" w:cs="Arial" w:eastAsia="Arial" w:hAnsi="Arial"/>
          <w:sz w:val="17"/>
          <w:szCs w:val="17"/>
          <w:color w:val="auto"/>
        </w:rPr>
        <w:t>. ACI shall have the right to terminate this Agreement, to the extent permitted by applicable law and regulation, by written notice effective upon receipt by Genentech if Genentech or its Affiliates directly, or indirectly through material assistance knowingly granted to a Third Party, makes, files or maintains any claim, demand, lawsuit or cause of action to [*****] of, or [*****], in each case with respect to any [*****] (each such action a “</w:t>
      </w:r>
      <w:r>
        <w:rPr>
          <w:rFonts w:ascii="Arial" w:cs="Arial" w:eastAsia="Arial" w:hAnsi="Arial"/>
          <w:sz w:val="17"/>
          <w:szCs w:val="17"/>
          <w:u w:val="single" w:color="auto"/>
          <w:color w:val="auto"/>
        </w:rPr>
        <w:t>[*****]</w:t>
      </w:r>
      <w:r>
        <w:rPr>
          <w:rFonts w:ascii="Arial" w:cs="Arial" w:eastAsia="Arial" w:hAnsi="Arial"/>
          <w:sz w:val="17"/>
          <w:szCs w:val="17"/>
          <w:color w:val="auto"/>
        </w:rPr>
        <w:t>”). Prior to exercising such right, ACI shall first provide Genentech with written notice regarding the occurrence of any [*****] (“</w:t>
      </w:r>
      <w:r>
        <w:rPr>
          <w:rFonts w:ascii="Arial" w:cs="Arial" w:eastAsia="Arial" w:hAnsi="Arial"/>
          <w:sz w:val="17"/>
          <w:szCs w:val="17"/>
          <w:u w:val="single" w:color="auto"/>
          <w:color w:val="auto"/>
        </w:rPr>
        <w:t>Notice of [*****]</w:t>
      </w:r>
      <w:r>
        <w:rPr>
          <w:rFonts w:ascii="Arial" w:cs="Arial" w:eastAsia="Arial" w:hAnsi="Arial"/>
          <w:sz w:val="17"/>
          <w:szCs w:val="17"/>
          <w:color w:val="auto"/>
        </w:rPr>
        <w:t>”). Provided that (i) the [*****] is reversible, and (ii) Genentech is able to obtain a full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270" w:right="2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complete withdrawal of the [*****] within [*****] days following Genentech’s receipt of the Notice of [*****], and (iii) no substantial [*****] to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has been caused by the [*****] prior to such withdrawal, then ACT may not terminate this Agreement pursuant to this </w:t>
      </w:r>
      <w:r>
        <w:rPr>
          <w:rFonts w:ascii="Arial" w:cs="Arial" w:eastAsia="Arial" w:hAnsi="Arial"/>
          <w:sz w:val="17"/>
          <w:szCs w:val="17"/>
          <w:u w:val="single" w:color="auto"/>
          <w:color w:val="auto"/>
        </w:rPr>
        <w:t>Section 7.7.1</w:t>
      </w:r>
      <w:r>
        <w:rPr>
          <w:rFonts w:ascii="Arial" w:cs="Arial" w:eastAsia="Arial" w:hAnsi="Arial"/>
          <w:sz w:val="17"/>
          <w:szCs w:val="17"/>
          <w:color w:val="auto"/>
        </w:rPr>
        <w:t>.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avoidance of doubt, [*****] does not include, and termination by ACI under this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is not permitted for, (i) any action undertaken by Genentech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Affiliates in any [*****] if such [*****] was provoked, requested or otherwise commenced by a Third Party without material assistance knowingly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granted by Genentech or its Affiliates; (ii) any [*****] by Genentech or its Affiliates [*****] or other action made, filed or maintained by ACI, ACI’s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Affiliate(s) and/or ACT Licensee(s), including where such [*****] of or by any Genentech activity with respect to [*****], including without limitation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by Genentech or its Affiliates that the making, using, selling, offering for sale and importation of any [*****] and/or Licensed Product(s) do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ACI IP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ENFORCEMENT OF IP RIGHTS; DEFENSE OF THIRD PARTY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INFRINGEMENT CLAIMS</w:t>
      </w:r>
    </w:p>
    <w:p>
      <w:pPr>
        <w:spacing w:after="0" w:line="21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notify, in writing, the other Party upon learning of any actual or suspected infringement of the ACI IP Rights or Program IP Rights by a Third Party, or of any claim of invalidity, unenforceability, or non-infringement of the ACI IP Rights or Program IP Rights, and shall, along with such notice, supply the other Party with all evidence in its possession pertaining thereto. In addition, ACI shall promptly notify Genentech, in writing, upon learning of any actual or suspected infringement of the Genentech IP Rights by a Third Party, or of any claim of invalidity, unenforceability, or non-infringement of the Genentech IP Rights, and shall, along with such notice, supply Genentech with all evidence in its possession pertaining thereto.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Infringement Action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As between the Parties, Genentech shall have at its own cost the sole right, but not the obligation, to seek to abate any actual or suspected infringement of the Genentech IP Rights by a Third Party, or to file suit against any such Third Party. ACI shall cooperate with Genentech (as may be reasonably requested by Genentech), including, if necessary, by being joined as a party.</w:t>
      </w:r>
    </w:p>
    <w:p>
      <w:pPr>
        <w:spacing w:after="0" w:line="18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ACI IP Rights and Program IP Rights</w:t>
      </w:r>
      <w:r>
        <w:rPr>
          <w:rFonts w:ascii="Arial" w:cs="Arial" w:eastAsia="Arial" w:hAnsi="Arial"/>
          <w:sz w:val="16"/>
          <w:szCs w:val="16"/>
          <w:color w:val="auto"/>
        </w:rPr>
        <w:t>. Genentech shall have at its own cost the first right, but not the obligation, to seek to abate any actual or suspected infringement of the ACI IP Rights, ACI Program IP Rights and ACI’s interest in the Joint Program IP Rights by a Third Party, or to file suit against any such Third Party. If Genentech does not commence an infringement action against the alleged or threatened infringement or otherwise seek to abate the infringement (which may include without limitation entering into a sublicense agreement with the infringer) by the earlier of (a) [*****] months after ACI provides to Genentech written notice of such infringement or (b) [*****] Business Days before the time limit, if any, set forth in appropriate laws and regulations for filing of such actions, then ACI may commence litigation with respect to the alleged or threatened infringement at its own expense; provided, that ACI shall not initiate such litigation if enforcement of such ACI IP Rights, ACI Program IP Rights or ACI’s interest in the Joint Program IP Rights would have a material adverse effect on the development, commercialization, or commercial value of Licensed Products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270" w:right="2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Settlement</w:t>
      </w:r>
      <w:r>
        <w:rPr>
          <w:rFonts w:ascii="Arial" w:cs="Arial" w:eastAsia="Arial" w:hAnsi="Arial"/>
          <w:sz w:val="18"/>
          <w:szCs w:val="18"/>
          <w:color w:val="auto"/>
        </w:rPr>
        <w:t>. [*****].</w:t>
      </w:r>
    </w:p>
    <w:p>
      <w:pPr>
        <w:spacing w:after="0" w:line="117" w:lineRule="exact"/>
        <w:rPr>
          <w:sz w:val="20"/>
          <w:szCs w:val="20"/>
          <w:color w:val="auto"/>
        </w:rPr>
      </w:pPr>
    </w:p>
    <w:p>
      <w:pPr>
        <w:jc w:val="both"/>
        <w:ind w:right="80" w:firstLine="456"/>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all monies recovered upon the final judgment or settlement of any action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used: (i) first, to reimburse [*****],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for its out-of-pocket expenses relating to the action; (ii) second, any remaining balance that represents compensation for lost sales, a reasonable royalty or lost profits, shall be retained by or paid to [*****] subject to the payment of royalties on such amounts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and (iii) third, any remaining amount that represents additional damages (for example, enhanced or punitive damages) shall be retained by [*****].</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8.5 Third Party Suits. In the event that a Third Party shall make any claim or bring any suit or other proceeding against [*****], or any of its Affiliates, [*****] or customers, for infringement or misappropriation of any intellectual property rights with respect to the research, development, making, using selling, offering for sale, import or export of any Tau-Active Antibody or Licensed Product, [*****] shall have the right to defend and control the defense of such claim, suit or other proceeding as well as to initiate and control any counterclaim or other similar action at its own cost and expense. [*****] shall fully cooperate with [*****] in defense of such claim, suit or other proceeding, including by being joined as a party. Unless otherwise mutually agreed by the Parties, and subject to the respective indemnity obligations of the Parties set forth in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Sections 8.3 and 8.4</w:t>
      </w:r>
      <w:r>
        <w:rPr>
          <w:rFonts w:ascii="Arial" w:cs="Arial" w:eastAsia="Arial" w:hAnsi="Arial"/>
          <w:sz w:val="16"/>
          <w:szCs w:val="16"/>
          <w:color w:val="auto"/>
        </w:rPr>
        <w:t xml:space="preserve"> shall apply to any proceeding covered by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except that the negotiation of any license from the Third Party shall be subject to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16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8.6 Genentech shall have the sole right, but not the obligation, to obtain and control, at its own expense and discretion, any data/marketing exclusivity rights with respect to regulatory filings (including clinical, safety and efficacy data) with respect to Licensed Products including defense and enforcement of rights against Third Parties seeking marketing authorization approval from a regulatory agency (including the FDA, EMA or equivalent) based on such filings. Such rights shall specifically include the right to take action in connection with Third Party applications for marketing authorization for biosimilar products or generic products that reference any Licensed Product pursuant to Title VII of the United States Patient Protection and Affordable Care Act, Biologics Price Competition and Innovation Act, the Hatch-Waxman Act, EU Directive 2004/27/EC and any successor legislation or regulations relating thereto, and all similar foreign legislation with regard to the foregoing.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on the Effective Date and, unless sooner terminated by mutual agreement or pursuant to any other provision of this Agreement, shall terminate on the date on which all obligations under this Agreement between the Parties with respect to the payment of milestones or royalties with respect to Licensed Products have passed or expired.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70" w:right="2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Material Breach</w:t>
      </w:r>
      <w:r>
        <w:rPr>
          <w:rFonts w:ascii="Arial" w:cs="Arial" w:eastAsia="Arial" w:hAnsi="Arial"/>
          <w:sz w:val="18"/>
          <w:szCs w:val="18"/>
          <w:color w:val="auto"/>
        </w:rPr>
        <w:t>. Either Party may terminate this Agreement for any material breach by the other Party, provided that the terminating Party gives the breaching Party written notice of such breach and the breach remains uncured after the expiration of [*****] days (or [*****] days if such breach relates solely to the payment of amounts due hereunder) after such written notice was given.</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Bankruptcy</w:t>
      </w:r>
      <w:r>
        <w:rPr>
          <w:rFonts w:ascii="Arial" w:cs="Arial" w:eastAsia="Arial" w:hAnsi="Arial"/>
          <w:sz w:val="18"/>
          <w:szCs w:val="18"/>
          <w:color w:val="auto"/>
        </w:rPr>
        <w:t>. Genentech shall have the right to terminate this Agreement upon written notice to ACI, in the event that ACI seeks protection of any bankruptcy or insolvency law, a proceeding in bankruptcy or insolvency is filed by or against ACI and is not dismissed within [*****] days, or there is an adjudication by a court of competent jurisdiction that ACI is bankrupt or insolvent. ACI shall have the right to terminate this Agreement upon written notice to Genentech, in the event that Genentech seeks protection of any bankruptcy or insolvency law, a proceeding in bankruptcy or insolvency is filed by or against Genentech and is not dismissed within [*****] days, or there is an adjudication by a court of competent jurisdiction that Genentech is bankrupt or insolvent.</w:t>
      </w:r>
    </w:p>
    <w:p>
      <w:pPr>
        <w:spacing w:after="0" w:line="19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Genentech may terminate this Agreement at any time after the [*****] anniversary of the Effective Date with or without cause, upon three (3) months advanced written notice to ACI.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Genentech may terminate this Agreement in accordance with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 or Expiration</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9.3.1 Upon termination of this Agreement by ACI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Genentech of its diligence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its payment obligations under </w:t>
      </w:r>
      <w:r>
        <w:rPr>
          <w:rFonts w:ascii="Arial" w:cs="Arial" w:eastAsia="Arial" w:hAnsi="Arial"/>
          <w:sz w:val="16"/>
          <w:szCs w:val="16"/>
          <w:u w:val="single" w:color="auto"/>
          <w:color w:val="auto"/>
        </w:rPr>
        <w:t>Sections 5.1-5.5</w:t>
      </w:r>
      <w:r>
        <w:rPr>
          <w:rFonts w:ascii="Arial" w:cs="Arial" w:eastAsia="Arial" w:hAnsi="Arial"/>
          <w:sz w:val="16"/>
          <w:szCs w:val="16"/>
          <w:color w:val="auto"/>
        </w:rPr>
        <w:t xml:space="preserve">, or for a [*****] under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or by Genentech pursuant to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(i) all rights and licenses granted to Genentech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upon request by ACI within the first [*****] months following the effective date of termination and subject to the Termination Royalties described in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below, Genentech shall provide a Product Reversion Package to ACI to support the continued development and commercialization of Termination Products and shall grant and hereby grants (effective only upon ACI’s request received within the [*****] months following the effective date of termination in accordance with this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to ACI the license grant set forth in clause, (vi) of the Product Reversion Package definition; (iii) upon request by ACI, Genentech shall continue to manufacture and supply to ACI for a period of [*****] years such Termination Products that are, as of the date of such termination, in clinical development or sold commercially, such supply to be reimbursed by [*****] at a cost equal to [*****] fully burdened manufacturing cost plus [*****]. Any sublicense granted to a Genentech Licensee [*****] shall survive termination of this Agreement under this </w:t>
      </w:r>
      <w:r>
        <w:rPr>
          <w:rFonts w:ascii="Arial" w:cs="Arial" w:eastAsia="Arial" w:hAnsi="Arial"/>
          <w:sz w:val="16"/>
          <w:szCs w:val="16"/>
          <w:u w:val="single" w:color="auto"/>
          <w:color w:val="auto"/>
        </w:rPr>
        <w:t>Section 9.3.1</w:t>
      </w:r>
      <w:r>
        <w:rPr>
          <w:rFonts w:ascii="Arial" w:cs="Arial" w:eastAsia="Arial" w:hAnsi="Arial"/>
          <w:sz w:val="16"/>
          <w:szCs w:val="16"/>
          <w:color w:val="auto"/>
        </w:rPr>
        <w:t>, provided that such Genentech Licensee (i) is not, on the effective date of such termination, in [*****]; (ii) agrees, in a subsequent writing, to perform and deliver directly to [*****]; and (iii) agrees, in a subsequent writing, that, [*****].</w:t>
      </w:r>
    </w:p>
    <w:p>
      <w:pPr>
        <w:spacing w:after="0" w:line="17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9.3.2 Upon termination by Genentech pursuant to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for material breach by ACI,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or Section 9.2.4, Genentech may elect, in its sole discretion, to terminate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69" w:right="2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in its entirety or to partially terminate this Agreement in accordance with the terms of </w:t>
      </w:r>
      <w:r>
        <w:rPr>
          <w:rFonts w:ascii="Arial" w:cs="Arial" w:eastAsia="Arial" w:hAnsi="Arial"/>
          <w:sz w:val="18"/>
          <w:szCs w:val="18"/>
          <w:u w:val="single" w:color="auto"/>
          <w:color w:val="auto"/>
        </w:rPr>
        <w:t>Section 9.3.2 (a)</w:t>
      </w:r>
      <w:r>
        <w:rPr>
          <w:rFonts w:ascii="Arial" w:cs="Arial" w:eastAsia="Arial" w:hAnsi="Arial"/>
          <w:sz w:val="18"/>
          <w:szCs w:val="18"/>
          <w:color w:val="auto"/>
        </w:rPr>
        <w:t>.</w:t>
      </w:r>
    </w:p>
    <w:p>
      <w:pPr>
        <w:spacing w:after="0" w:line="225" w:lineRule="exact"/>
        <w:rPr>
          <w:sz w:val="20"/>
          <w:szCs w:val="20"/>
          <w:color w:val="auto"/>
        </w:rPr>
      </w:pPr>
    </w:p>
    <w:p>
      <w:pPr>
        <w:ind w:right="100" w:firstLine="1492"/>
        <w:spacing w:after="0" w:line="276" w:lineRule="auto"/>
        <w:tabs>
          <w:tab w:leader="none" w:pos="1728"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Partial Termination</w:t>
      </w:r>
      <w:r>
        <w:rPr>
          <w:rFonts w:ascii="Arial" w:cs="Arial" w:eastAsia="Arial" w:hAnsi="Arial"/>
          <w:sz w:val="17"/>
          <w:szCs w:val="17"/>
          <w:color w:val="auto"/>
        </w:rPr>
        <w:t xml:space="preserve">. Upon Genentech’s election to partially terminate this Agreement, (i) all rights and licenses granted to ACI under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immediately terminate, (ii) the rights and obligations of the Parties under the following sections of this Agreement shall survive such termination: </w:t>
      </w:r>
      <w:r>
        <w:rPr>
          <w:rFonts w:ascii="Arial" w:cs="Arial" w:eastAsia="Arial" w:hAnsi="Arial"/>
          <w:sz w:val="17"/>
          <w:szCs w:val="17"/>
          <w:u w:val="single" w:color="auto"/>
          <w:color w:val="auto"/>
        </w:rPr>
        <w:t>Articles 3</w:t>
      </w:r>
      <w:r>
        <w:rPr>
          <w:rFonts w:ascii="Arial" w:cs="Arial" w:eastAsia="Arial" w:hAnsi="Arial"/>
          <w:sz w:val="17"/>
          <w:szCs w:val="17"/>
          <w:color w:val="auto"/>
        </w:rPr>
        <w:t xml:space="preserve"> (except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4 (except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5 , 6 (except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t>
      </w:r>
      <w:r>
        <w:rPr>
          <w:rFonts w:ascii="Arial" w:cs="Arial" w:eastAsia="Arial" w:hAnsi="Arial"/>
          <w:sz w:val="17"/>
          <w:szCs w:val="17"/>
          <w:u w:val="single" w:color="auto"/>
          <w:color w:val="auto"/>
        </w:rPr>
        <w:t>7, 8, 9, 10, 11, 12, 13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but in all cases the surviving provisions shall be interpreted to exclude the subject matter of non-surviving terms, and (iii) all Genentech Confidential Information, data and materials provided to ACI under this Agreement shall be returned to Genentech or destroyed, at Genentech’s option.</w:t>
      </w:r>
    </w:p>
    <w:p>
      <w:pPr>
        <w:spacing w:after="0" w:line="172" w:lineRule="exact"/>
        <w:rPr>
          <w:rFonts w:ascii="Arial" w:cs="Arial" w:eastAsia="Arial" w:hAnsi="Arial"/>
          <w:sz w:val="17"/>
          <w:szCs w:val="17"/>
          <w:color w:val="auto"/>
        </w:rPr>
      </w:pPr>
    </w:p>
    <w:p>
      <w:pPr>
        <w:ind w:right="20" w:firstLine="1492"/>
        <w:spacing w:after="0" w:line="253" w:lineRule="auto"/>
        <w:tabs>
          <w:tab w:leader="none" w:pos="1738"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Partial Termination Upon Specific Breach Events</w:t>
      </w:r>
      <w:r>
        <w:rPr>
          <w:rFonts w:ascii="Arial" w:cs="Arial" w:eastAsia="Arial" w:hAnsi="Arial"/>
          <w:sz w:val="18"/>
          <w:szCs w:val="18"/>
          <w:color w:val="auto"/>
        </w:rPr>
        <w:t xml:space="preserve">. In the case that the ACI breach that gave rise to a partial termination of this Agreement in accordance with </w:t>
      </w:r>
      <w:r>
        <w:rPr>
          <w:rFonts w:ascii="Arial" w:cs="Arial" w:eastAsia="Arial" w:hAnsi="Arial"/>
          <w:sz w:val="18"/>
          <w:szCs w:val="18"/>
          <w:u w:val="single" w:color="auto"/>
          <w:color w:val="auto"/>
        </w:rPr>
        <w:t>Section 9.3.2(a)</w:t>
      </w:r>
      <w:r>
        <w:rPr>
          <w:rFonts w:ascii="Arial" w:cs="Arial" w:eastAsia="Arial" w:hAnsi="Arial"/>
          <w:sz w:val="18"/>
          <w:szCs w:val="18"/>
          <w:color w:val="auto"/>
        </w:rPr>
        <w:t xml:space="preserve"> was a breach of any of the following provisions: </w:t>
      </w:r>
      <w:r>
        <w:rPr>
          <w:rFonts w:ascii="Arial" w:cs="Arial" w:eastAsia="Arial" w:hAnsi="Arial"/>
          <w:sz w:val="18"/>
          <w:szCs w:val="18"/>
          <w:u w:val="single" w:color="auto"/>
          <w:color w:val="auto"/>
        </w:rPr>
        <w:t>Sections 2.3.2</w:t>
      </w:r>
      <w:r>
        <w:rPr>
          <w:rFonts w:ascii="Arial" w:cs="Arial" w:eastAsia="Arial" w:hAnsi="Arial"/>
          <w:sz w:val="18"/>
          <w:szCs w:val="18"/>
          <w:color w:val="auto"/>
        </w:rPr>
        <w:t xml:space="preserve"> (except to the extent that the breach of the provision by ACI is based on the unavailability of biological material due to a scientific or technical obstacle, i.e., destruction of a cell line, not caused by the gross negligence or willful misconduct of ACI) and provided the breach is the consequence of gross negligence or willful misconduct of ACI,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4.3.1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 Section 10.1.1(e)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then, (i) the surviving provision set forth in </w:t>
      </w:r>
      <w:r>
        <w:rPr>
          <w:rFonts w:ascii="Arial" w:cs="Arial" w:eastAsia="Arial" w:hAnsi="Arial"/>
          <w:sz w:val="18"/>
          <w:szCs w:val="18"/>
          <w:u w:val="single" w:color="auto"/>
          <w:color w:val="auto"/>
        </w:rPr>
        <w:t>Section 9.3.2(a)</w:t>
      </w:r>
      <w:r>
        <w:rPr>
          <w:rFonts w:ascii="Arial" w:cs="Arial" w:eastAsia="Arial" w:hAnsi="Arial"/>
          <w:sz w:val="18"/>
          <w:szCs w:val="18"/>
          <w:color w:val="auto"/>
        </w:rPr>
        <w:t xml:space="preserve"> shall be modified to provide that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not survive such partial termination; (ii) upon the First Commercial Sale of a Licensed Product by Genentech, the payments made by Genentech under </w:t>
      </w:r>
      <w:r>
        <w:rPr>
          <w:rFonts w:ascii="Arial" w:cs="Arial" w:eastAsia="Arial" w:hAnsi="Arial"/>
          <w:sz w:val="18"/>
          <w:szCs w:val="18"/>
          <w:u w:val="single" w:color="auto"/>
          <w:color w:val="auto"/>
        </w:rPr>
        <w:t>Sections 5.2 and 5.3</w:t>
      </w:r>
      <w:r>
        <w:rPr>
          <w:rFonts w:ascii="Arial" w:cs="Arial" w:eastAsia="Arial" w:hAnsi="Arial"/>
          <w:sz w:val="18"/>
          <w:szCs w:val="18"/>
          <w:color w:val="auto"/>
        </w:rPr>
        <w:t xml:space="preserve"> shall be creditable against royalty payments due to ACI under </w:t>
      </w:r>
      <w:r>
        <w:rPr>
          <w:rFonts w:ascii="Arial" w:cs="Arial" w:eastAsia="Arial" w:hAnsi="Arial"/>
          <w:sz w:val="18"/>
          <w:szCs w:val="18"/>
          <w:u w:val="single" w:color="auto"/>
          <w:color w:val="auto"/>
        </w:rPr>
        <w:t>Sections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subject to clause (c)(i)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and (iii) Genentech shall have no obligation to pay royalties on Net Sales of Licensed Product under </w:t>
      </w:r>
      <w:r>
        <w:rPr>
          <w:rFonts w:ascii="Arial" w:cs="Arial" w:eastAsia="Arial" w:hAnsi="Arial"/>
          <w:sz w:val="18"/>
          <w:szCs w:val="18"/>
          <w:u w:val="single" w:color="auto"/>
          <w:color w:val="auto"/>
        </w:rPr>
        <w:t>Sections 5.4 or 5.5</w:t>
      </w:r>
      <w:r>
        <w:rPr>
          <w:rFonts w:ascii="Arial" w:cs="Arial" w:eastAsia="Arial" w:hAnsi="Arial"/>
          <w:sz w:val="18"/>
          <w:szCs w:val="18"/>
          <w:color w:val="auto"/>
        </w:rPr>
        <w:t xml:space="preserve">, subject to clause (c)(ii)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220" w:firstLine="1492"/>
        <w:spacing w:after="0" w:line="277" w:lineRule="auto"/>
        <w:tabs>
          <w:tab w:leader="none" w:pos="172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Upon the First Commercial Sale of a Licensed Product by Genentech, ACI may initiate an arbitration procedure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for the limited determinations described in the following clauses (i) and (ii), in both cases where ACI has the burden of proof.</w:t>
      </w:r>
    </w:p>
    <w:p>
      <w:pPr>
        <w:spacing w:after="0" w:line="170" w:lineRule="exact"/>
        <w:rPr>
          <w:rFonts w:ascii="Arial" w:cs="Arial" w:eastAsia="Arial" w:hAnsi="Arial"/>
          <w:sz w:val="18"/>
          <w:szCs w:val="18"/>
          <w:color w:val="auto"/>
        </w:rPr>
      </w:pPr>
    </w:p>
    <w:p>
      <w:pPr>
        <w:ind w:right="80" w:firstLine="1948"/>
        <w:spacing w:after="0" w:line="312" w:lineRule="auto"/>
        <w:tabs>
          <w:tab w:leader="none" w:pos="2155"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Milestone Offsets</w:t>
      </w:r>
      <w:r>
        <w:rPr>
          <w:rFonts w:ascii="Arial" w:cs="Arial" w:eastAsia="Arial" w:hAnsi="Arial"/>
          <w:sz w:val="16"/>
          <w:szCs w:val="16"/>
          <w:color w:val="auto"/>
        </w:rPr>
        <w:t xml:space="preserve">. If ACI establishes that the total damage amount suffered by Genentech resulting from ACI’s material breach that was the basis of Genentech’s partial termination under </w:t>
      </w:r>
      <w:r>
        <w:rPr>
          <w:rFonts w:ascii="Arial" w:cs="Arial" w:eastAsia="Arial" w:hAnsi="Arial"/>
          <w:sz w:val="16"/>
          <w:szCs w:val="16"/>
          <w:u w:val="single" w:color="auto"/>
          <w:color w:val="auto"/>
        </w:rPr>
        <w:t>Section 9.3.2(b)</w:t>
      </w:r>
      <w:r>
        <w:rPr>
          <w:rFonts w:ascii="Arial" w:cs="Arial" w:eastAsia="Arial" w:hAnsi="Arial"/>
          <w:sz w:val="16"/>
          <w:szCs w:val="16"/>
          <w:color w:val="auto"/>
        </w:rPr>
        <w:t xml:space="preserve"> were less than the total of the milestone payments made to ACI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5.2 and 5.3</w:t>
      </w:r>
      <w:r>
        <w:rPr>
          <w:rFonts w:ascii="Arial" w:cs="Arial" w:eastAsia="Arial" w:hAnsi="Arial"/>
          <w:sz w:val="16"/>
          <w:szCs w:val="16"/>
          <w:color w:val="auto"/>
        </w:rPr>
        <w:t xml:space="preserve">, then Genentech shall only be entitled to credit such total damage amount against royalty payments due to ACI under </w:t>
      </w:r>
      <w:r>
        <w:rPr>
          <w:rFonts w:ascii="Arial" w:cs="Arial" w:eastAsia="Arial" w:hAnsi="Arial"/>
          <w:sz w:val="16"/>
          <w:szCs w:val="16"/>
          <w:u w:val="single" w:color="auto"/>
          <w:color w:val="auto"/>
        </w:rPr>
        <w:t>Sections 5.4 and 5.5</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40" w:firstLine="1948"/>
        <w:spacing w:after="0" w:line="259" w:lineRule="auto"/>
        <w:tabs>
          <w:tab w:leader="none" w:pos="2205"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If ACI establishes that the material breach that was the basis of Genentech’s partial termination under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did not have a material adverse effect on the value on the scope, validity or enforceability of the ACI IP Rights or the market exclusivity granted by such rights, in each case in the Genentech Field, then notwithstanding clause (iii) of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Genentech’s obligation to pay royalties to ACI in accordance with </w:t>
      </w:r>
      <w:r>
        <w:rPr>
          <w:rFonts w:ascii="Arial" w:cs="Arial" w:eastAsia="Arial" w:hAnsi="Arial"/>
          <w:sz w:val="18"/>
          <w:szCs w:val="18"/>
          <w:u w:val="single" w:color="auto"/>
          <w:color w:val="auto"/>
        </w:rPr>
        <w:t>Sections 5.4 or 5.5</w:t>
      </w:r>
      <w:r>
        <w:rPr>
          <w:rFonts w:ascii="Arial" w:cs="Arial" w:eastAsia="Arial" w:hAnsi="Arial"/>
          <w:sz w:val="18"/>
          <w:szCs w:val="18"/>
          <w:color w:val="auto"/>
        </w:rPr>
        <w:t xml:space="preserve"> shall continue.</w:t>
      </w:r>
    </w:p>
    <w:p>
      <w:pPr>
        <w:spacing w:after="0" w:line="18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9.3.3 Termination or expiration of this Agreement, through any means and for any reason, shall not relieve the Parties of any obligation accruing prior thereto, including the payment of all sums due and payable, and shall be without prejudice to the rights and remedies of either Party with respect to any antecedent breach of any of the provisions of this Agreement.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Financials</w:t>
      </w:r>
      <w:r>
        <w:rPr>
          <w:rFonts w:ascii="Arial" w:cs="Arial" w:eastAsia="Arial" w:hAnsi="Arial"/>
          <w:sz w:val="18"/>
          <w:szCs w:val="18"/>
          <w:color w:val="auto"/>
        </w:rPr>
        <w:t xml:space="preserve">. Subsequent to termination as described in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and in consideration of the data and information provided to ACI by Genentech thereunder, the financial provisions of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apply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269" w:right="2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9.4.1 In each calendar quarter in which ACI records Net Sales of a Termination Product, ACI shall pay to Genentech, on a Termination Product-by-Termination Product and country-by-country basis, an amount equal to the amounts set forth in </w:t>
      </w:r>
      <w:r>
        <w:rPr>
          <w:rFonts w:ascii="Arial" w:cs="Arial" w:eastAsia="Arial" w:hAnsi="Arial"/>
          <w:sz w:val="17"/>
          <w:szCs w:val="17"/>
          <w:u w:val="single" w:color="auto"/>
          <w:color w:val="auto"/>
        </w:rPr>
        <w:t>Sections 9.4.2-9.4.6</w:t>
      </w:r>
      <w:r>
        <w:rPr>
          <w:rFonts w:ascii="Arial" w:cs="Arial" w:eastAsia="Arial" w:hAnsi="Arial"/>
          <w:sz w:val="17"/>
          <w:szCs w:val="17"/>
          <w:color w:val="auto"/>
        </w:rPr>
        <w:t xml:space="preserve"> as follows: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9.4.2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9.4.3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9.4.4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9.4.5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9.4.6 [*****] of annual Net Sales of Termination Products that are [*****] and</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9.4.7 For Net Sales of Termination Products not Covered by a Valid Patent Claim within the Genentech IP Rights in the country of sale, a royalty equal to [*****] of the applicable royalty that would otherwise be payable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provided, however, that royalty payment obligations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terminate upon the date that is [*****] years from the date of First Commercial Sale of the applicable Termination Product in a country. For the sake of clarity, royalties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be mutually exclusive of royalties to be paid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on Net Sales of Termination Products Covered by a Valid Patent Claim of the Genentech IP Rights.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In addition to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otherwise explicitly set forth in this Agreement, </w:t>
      </w:r>
      <w:r>
        <w:rPr>
          <w:rFonts w:ascii="Arial" w:cs="Arial" w:eastAsia="Arial" w:hAnsi="Arial"/>
          <w:sz w:val="16"/>
          <w:szCs w:val="16"/>
          <w:u w:val="single" w:color="auto"/>
          <w:color w:val="auto"/>
        </w:rPr>
        <w:t>Articles 1, 11, 12 and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7.2,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7.3, 9.3, 9.4, 9.5 and 10.3</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shall survive expiration or termination of this Agreement for any reason.</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ARTICLE 10: REPRESENTATIONS AND WARRANTIES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ACI Representations</w:t>
      </w:r>
      <w:r>
        <w:rPr>
          <w:rFonts w:ascii="Arial" w:cs="Arial" w:eastAsia="Arial" w:hAnsi="Arial"/>
          <w:sz w:val="18"/>
          <w:szCs w:val="18"/>
          <w:color w:val="auto"/>
        </w:rPr>
        <w:t>. ACI hereby represents and warrants to Genentech that: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As of the Effective Date, ACI represents that:</w:t>
      </w:r>
    </w:p>
    <w:p>
      <w:pPr>
        <w:spacing w:after="0" w:line="225" w:lineRule="exact"/>
        <w:rPr>
          <w:sz w:val="20"/>
          <w:szCs w:val="20"/>
          <w:color w:val="auto"/>
        </w:rPr>
      </w:pPr>
    </w:p>
    <w:p>
      <w:pPr>
        <w:ind w:right="20" w:firstLine="1492"/>
        <w:spacing w:after="0" w:line="277" w:lineRule="auto"/>
        <w:tabs>
          <w:tab w:leader="none" w:pos="172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ACI has the full right, power and authority, and has obtained all approvals, permits or consents necessary, to enter into this Agreement and to perform all of its obligations and to grant the licenses provided hereunder.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claims of infringement, misappropriation or other conflict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70" w:right="2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intellectual property rights or other rights owned or controlled by any Third Party have been made or, to ACI’s knowledge, threatened with respect to the ACI IP Rights existing as of the Effective Date.</w:t>
      </w:r>
    </w:p>
    <w:p>
      <w:pPr>
        <w:spacing w:after="0" w:line="170" w:lineRule="exact"/>
        <w:rPr>
          <w:sz w:val="20"/>
          <w:szCs w:val="20"/>
          <w:color w:val="auto"/>
        </w:rPr>
      </w:pPr>
    </w:p>
    <w:p>
      <w:pPr>
        <w:ind w:firstLine="1492"/>
        <w:spacing w:after="0" w:line="276" w:lineRule="auto"/>
        <w:tabs>
          <w:tab w:leader="none" w:pos="172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None of the ACI IP Rights existing as of the Effective Date is subject to any outstanding injunction, judgment, order, ruling, or charge, and no claim or action is pending or, to ACI’s knowledge, threatened which challenges the legality, validity, enforceability, use, or ownership of any such ACI IP Rights, and ACI is not aware of any facts or circumstances that indicate a likelihood of the foregoing. As of the Effective Date, no loss or expiration of any of the ACI IP Rights is threatened, pending, or reasonably foreseeable, except for patents expiring at the end of their statutory terms (and not as a result of any act or omission by ACI, including a failure to pay any required maintenance fees).</w:t>
      </w:r>
    </w:p>
    <w:p>
      <w:pPr>
        <w:spacing w:after="0" w:line="172" w:lineRule="exact"/>
        <w:rPr>
          <w:rFonts w:ascii="Arial" w:cs="Arial" w:eastAsia="Arial" w:hAnsi="Arial"/>
          <w:sz w:val="17"/>
          <w:szCs w:val="17"/>
          <w:color w:val="auto"/>
        </w:rPr>
      </w:pPr>
    </w:p>
    <w:p>
      <w:pPr>
        <w:ind w:firstLine="1492"/>
        <w:spacing w:after="0" w:line="277" w:lineRule="auto"/>
        <w:tabs>
          <w:tab w:leader="none" w:pos="173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ACI is not aware (without having made any specific inquiry) of any infringement or misappropriation of the ACI IP Rights existing as of the Effective Date by any Third Party.</w:t>
      </w:r>
    </w:p>
    <w:p>
      <w:pPr>
        <w:spacing w:after="0" w:line="170" w:lineRule="exact"/>
        <w:rPr>
          <w:rFonts w:ascii="Arial" w:cs="Arial" w:eastAsia="Arial" w:hAnsi="Arial"/>
          <w:sz w:val="18"/>
          <w:szCs w:val="18"/>
          <w:color w:val="auto"/>
        </w:rPr>
      </w:pPr>
    </w:p>
    <w:p>
      <w:pPr>
        <w:ind w:right="340" w:firstLine="1492"/>
        <w:spacing w:after="0" w:line="259" w:lineRule="auto"/>
        <w:tabs>
          <w:tab w:leader="none" w:pos="172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ACI has, up through and including the Effective Date, made available to or provided Genentech with copies of all material information and, as requested in writing by Genentech, with copies of all books, records and data, in each case with respect to the ACI IP Rights and ACI Antibodies, provided that this clause (e) is exclusive of information that was excluded from disclosure under Paragraph 3 of the Mutual Confidentiality Agreement between the Parties dated March 18, 2010, as amended.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10.1.2 ACI hereby represents and warrants to Genentech that as of the Effective Date and through out the Term: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ACI is the sole and exclusive owner of or Controls the ACI IP Rights existing as of the Effective Date free and clear of any liens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encumbrances.</w:t>
      </w:r>
    </w:p>
    <w:p>
      <w:pPr>
        <w:spacing w:after="0" w:line="211" w:lineRule="exact"/>
        <w:rPr>
          <w:sz w:val="20"/>
          <w:szCs w:val="20"/>
          <w:color w:val="auto"/>
        </w:rPr>
      </w:pPr>
    </w:p>
    <w:p>
      <w:pPr>
        <w:ind w:right="40" w:firstLine="1492"/>
        <w:spacing w:after="0" w:line="264" w:lineRule="auto"/>
        <w:tabs>
          <w:tab w:leader="none" w:pos="173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ACI has not, prior to the Effective Date, entered into and shall not, following the Effective Date, enter into any agreement and has not granted any now existing, or agreed to grant any future, license, right or privilege which would adversely affect the rights and licenses granted by ACI to Genentech pursuant to this Agreement.</w:t>
      </w:r>
    </w:p>
    <w:p>
      <w:pPr>
        <w:spacing w:after="0" w:line="181" w:lineRule="exact"/>
        <w:rPr>
          <w:rFonts w:ascii="Arial" w:cs="Arial" w:eastAsia="Arial" w:hAnsi="Arial"/>
          <w:sz w:val="18"/>
          <w:szCs w:val="18"/>
          <w:color w:val="auto"/>
        </w:rPr>
      </w:pPr>
    </w:p>
    <w:p>
      <w:pPr>
        <w:ind w:right="40" w:firstLine="1492"/>
        <w:spacing w:after="0" w:line="312" w:lineRule="auto"/>
        <w:tabs>
          <w:tab w:leader="none" w:pos="172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intellectual property rights licensed by ACI to Genentech pursuant to this Agreement constitute all Patents, Know-How and other intellectual property rights that are owned or Controlled by ACI or its Affiliates and that (i) relate to Licensed Products and Tau-Active Antibodies or (ii) are conceived, reduced to practice or otherwise created by ACI during the conduct of or in connection with activities under the Research Program.</w:t>
      </w:r>
    </w:p>
    <w:p>
      <w:pPr>
        <w:spacing w:after="0" w:line="146" w:lineRule="exact"/>
        <w:rPr>
          <w:rFonts w:ascii="Arial" w:cs="Arial" w:eastAsia="Arial" w:hAnsi="Arial"/>
          <w:sz w:val="16"/>
          <w:szCs w:val="16"/>
          <w:color w:val="auto"/>
        </w:rPr>
      </w:pPr>
    </w:p>
    <w:p>
      <w:pPr>
        <w:ind w:right="40" w:firstLine="1492"/>
        <w:spacing w:after="0" w:line="257" w:lineRule="auto"/>
        <w:tabs>
          <w:tab w:leader="none" w:pos="173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ACI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Genentech Representations</w:t>
      </w:r>
      <w:r>
        <w:rPr>
          <w:rFonts w:ascii="Arial" w:cs="Arial" w:eastAsia="Arial" w:hAnsi="Arial"/>
          <w:sz w:val="18"/>
          <w:szCs w:val="18"/>
          <w:color w:val="auto"/>
        </w:rPr>
        <w:t>. Genentech hereby represents and warrants the following to 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92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269" w:right="2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10.2.1 Genentech has the full right, power and authority, and have obtained all approvals, permits or consents necessary, to enter into this Agreement and to perform all of its obligations hereunder.</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10.2.2 Genentech has not, prior to the Effective Date, entered into and shall not, following the Effective Date, enter into any agreement that conflicts in any way with this Agreement or Genentech’s obligations hereunder.</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10.2.3 Genentech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THE WARRANTIES SET FORTH IN </w:t>
      </w:r>
      <w:r>
        <w:rPr>
          <w:rFonts w:ascii="Arial" w:cs="Arial" w:eastAsia="Arial" w:hAnsi="Arial"/>
          <w:sz w:val="17"/>
          <w:szCs w:val="17"/>
          <w:u w:val="single" w:color="auto"/>
          <w:color w:val="auto"/>
        </w:rPr>
        <w:t>SECTIONS 10.1 AND 10.2</w:t>
      </w:r>
      <w:r>
        <w:rPr>
          <w:rFonts w:ascii="Arial" w:cs="Arial" w:eastAsia="Arial" w:hAnsi="Arial"/>
          <w:sz w:val="17"/>
          <w:szCs w:val="17"/>
          <w:color w:val="auto"/>
        </w:rPr>
        <w:t xml:space="preserve"> ARE IN LIEU OF ALL OTHER WARRANTIES, EXPRESS OR IMPLIED, INCLUDING BUT NOT LIMITED TO, THE IMPLIED WARRANTIES OF MERCHANTABILITY OR FITNESS FOR A PARTICULAR PURPOSE, VALIDITY, NON-INFRINGEMENT AND ALL SUCH OTHER WARRANTIES ARE HEREBY EXPRESSLY DISCLAIMED.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INDEMNIFICATION</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by ACI</w:t>
      </w:r>
      <w:r>
        <w:rPr>
          <w:rFonts w:ascii="Arial" w:cs="Arial" w:eastAsia="Arial" w:hAnsi="Arial"/>
          <w:sz w:val="16"/>
          <w:szCs w:val="16"/>
          <w:color w:val="auto"/>
        </w:rPr>
        <w:t>. ACI shall defend, indemnify and hold harmless Genentech, its Affiliates and Genentech Licensees and their respective officers, directors, employees and agents from and against any and all Third Party liabilities, claims, suits, and expenses, including reasonable attorneys’ fees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the extent arising out of or attributable to (i) the inaccuracy or breach of any representation or warranty made by ACI under this Agreement, or (ii) the negligence or willful misconduct of ACI, its Affiliates or ACI Licensees, or their respective officers, directors or employees.</w:t>
      </w:r>
    </w:p>
    <w:p>
      <w:pPr>
        <w:spacing w:after="0" w:line="154"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by Genentech.</w:t>
      </w:r>
      <w:r>
        <w:rPr>
          <w:rFonts w:ascii="Arial" w:cs="Arial" w:eastAsia="Arial" w:hAnsi="Arial"/>
          <w:sz w:val="18"/>
          <w:szCs w:val="18"/>
          <w:color w:val="auto"/>
        </w:rPr>
        <w:t xml:space="preserve"> Genentech shall defend, indemnify and hold harmless ACI, its Affiliates and their respective officers, directors, employees and agents from and against any and all Losses, to the extent arising out of or attributable to (i) the inaccuracy or breach of any representation or warranty made by Genentech under this Agreement, or (ii) the development, marketing, approval, manufacture, packaging, labeling, handling, storage, transportation, use, distribution, promotion, marketing or sale of Licensed Products by Genentech; in each case except to the extent that such Losses are subject to indemnification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are subject to the condition that the Party seeking the indemnity shall forthwith notify the indemnifying Party on being notified or otherwise made aware of a liability, claim, suit, action or expense and that the indemnifying Party defend and control any proceedings with the other Party being permitted to participate at its own expense (unless there shall be a conflict of interest which would prevent representation by joint counsel, in which event the indemnifying Party shall pay for the other Party’s counsel); provided, that, the indemnifying Party may not settle the liability, claim, suit, action or expense, or otherwise consent to any judgment, without the written consent of the other Party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70"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11.4.1 </w:t>
      </w:r>
      <w:r>
        <w:rPr>
          <w:rFonts w:ascii="Arial" w:cs="Arial" w:eastAsia="Arial" w:hAnsi="Arial"/>
          <w:sz w:val="18"/>
          <w:szCs w:val="18"/>
          <w:u w:val="single" w:color="auto"/>
          <w:color w:val="auto"/>
        </w:rPr>
        <w:t>Coverage</w:t>
      </w:r>
      <w:r>
        <w:rPr>
          <w:rFonts w:ascii="Arial" w:cs="Arial" w:eastAsia="Arial" w:hAnsi="Arial"/>
          <w:sz w:val="18"/>
          <w:szCs w:val="18"/>
          <w:color w:val="auto"/>
        </w:rPr>
        <w:t xml:space="preserve">. Each Party shall maintain, at its own cost, the insurance coverages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provided, however, Genentech has the right, in its sole discretion, to self-insure in part or in whole for any such coverage.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11.4.2 </w:t>
      </w:r>
      <w:r>
        <w:rPr>
          <w:rFonts w:ascii="Arial" w:cs="Arial" w:eastAsia="Arial" w:hAnsi="Arial"/>
          <w:sz w:val="18"/>
          <w:szCs w:val="18"/>
          <w:u w:val="single" w:color="auto"/>
          <w:color w:val="auto"/>
        </w:rPr>
        <w:t>ACI</w:t>
      </w:r>
      <w:r>
        <w:rPr>
          <w:rFonts w:ascii="Arial" w:cs="Arial" w:eastAsia="Arial" w:hAnsi="Arial"/>
          <w:sz w:val="18"/>
          <w:szCs w:val="18"/>
          <w:color w:val="auto"/>
        </w:rPr>
        <w:t>. ACI shall have and maintain such type and amounts of Third Party Liability, Commercial General Liability (including contractual liability) and Products Liability insurance as is both (i) required under the laws of Switzerland and (ii) otherwise normal and customary in the biotechnology industry generally for parties similarly situated.</w:t>
      </w:r>
    </w:p>
    <w:p>
      <w:pPr>
        <w:spacing w:after="0" w:line="18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 xml:space="preserve">11.4.3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maintain on an ongoing basis coverage for Products Liability and Completed Operations including coverage for Clinical Trials, in the minimum amount of [*****] per occurrence, combined single limit for bodily injury and property damage liability.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11.4.4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Except to the extent that Genentech self-insures as authorized under </w:t>
      </w:r>
      <w:r>
        <w:rPr>
          <w:rFonts w:ascii="Arial" w:cs="Arial" w:eastAsia="Arial" w:hAnsi="Arial"/>
          <w:sz w:val="16"/>
          <w:szCs w:val="16"/>
          <w:u w:val="single" w:color="auto"/>
          <w:color w:val="auto"/>
        </w:rPr>
        <w:t>Section 11.4.1</w:t>
      </w:r>
      <w:r>
        <w:rPr>
          <w:rFonts w:ascii="Arial" w:cs="Arial" w:eastAsia="Arial" w:hAnsi="Arial"/>
          <w:sz w:val="16"/>
          <w:szCs w:val="16"/>
          <w:color w:val="auto"/>
        </w:rPr>
        <w:t>, the following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right="120" w:firstLine="1492"/>
        <w:spacing w:after="0" w:line="277" w:lineRule="auto"/>
        <w:tabs>
          <w:tab w:leader="none" w:pos="172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insurance coverages shall be primary insurance with respect to each Party’s own participation under this Agreement, and shall be maintained with an insurance company or companies having an A.M. Best’s rating (or its equivalent) of A-XII or better.</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Such Party shall maintain the insurance coverage for at least [*****] years following such Party’s completing the performance of its obligations under this Agreement.</w:t>
      </w:r>
    </w:p>
    <w:p>
      <w:pPr>
        <w:spacing w:after="0" w:line="170" w:lineRule="exact"/>
        <w:rPr>
          <w:rFonts w:ascii="Arial" w:cs="Arial" w:eastAsia="Arial" w:hAnsi="Arial"/>
          <w:sz w:val="18"/>
          <w:szCs w:val="18"/>
          <w:color w:val="auto"/>
        </w:rPr>
      </w:pPr>
    </w:p>
    <w:p>
      <w:pPr>
        <w:jc w:val="both"/>
        <w:ind w:right="440" w:firstLine="1492"/>
        <w:spacing w:after="0" w:line="279" w:lineRule="auto"/>
        <w:tabs>
          <w:tab w:leader="none" w:pos="172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Upon request by the other Party, each Party shall provide to the other Party its respective certificates of insurance evidencing the insurance coverages set forth in </w:t>
      </w:r>
      <w:r>
        <w:rPr>
          <w:rFonts w:ascii="Arial" w:cs="Arial" w:eastAsia="Arial" w:hAnsi="Arial"/>
          <w:sz w:val="17"/>
          <w:szCs w:val="17"/>
          <w:u w:val="single" w:color="auto"/>
          <w:color w:val="auto"/>
        </w:rPr>
        <w:t>Section 11.4.1</w:t>
      </w:r>
      <w:r>
        <w:rPr>
          <w:rFonts w:ascii="Arial" w:cs="Arial" w:eastAsia="Arial" w:hAnsi="Arial"/>
          <w:sz w:val="17"/>
          <w:szCs w:val="17"/>
          <w:color w:val="auto"/>
        </w:rPr>
        <w:t>. Each Party shall provide to the other Party at least [*****] days prior written notice of any cancellation, nonrenewal or material change in any of the insurance coverages. Each Party shall, upon receipt of written request from the other Party, provide renewal certificates to the other Party for as long as such Party is required to maintain insurance coverages hereunder.</w:t>
      </w:r>
    </w:p>
    <w:p>
      <w:pPr>
        <w:spacing w:after="0" w:line="171"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LIMITATION ON DAMAGES</w:t>
      </w:r>
      <w:r>
        <w:rPr>
          <w:rFonts w:ascii="Arial" w:cs="Arial" w:eastAsia="Arial" w:hAnsi="Arial"/>
          <w:sz w:val="17"/>
          <w:szCs w:val="17"/>
          <w:color w:val="auto"/>
        </w:rPr>
        <w:t>. NOTWITHSTANDING ANYTHING CONTAINED IN THIS AGREEMENT TO THE CONTRARY, IN NO EVENT SHALL EITHER PARTY BE LIABLE TO THE OTHER HEREUNDER FOR ANY SPECIAL, CONSEQUENTIAL OR INCIDENTAL DAMAGES (INCLUDING LOSS OF PROFITS) WHETHER BASED UPON BREACH OF WARRANTY, BREACH OF CONTRACT, NEGLIGENCE, STRICT TORT OR ANY OTHER LEGAL THEORY. THE FOREGOING LIMITATIONS WILL NOT APPLY TO AN AWARD OF ENHANCED DAMAGES AVAILABLE UNDER THE PATENT LAWS FOR WILLFUL PATENT INFRINGEMENT AND WILL NOT LIMIT EITHER PARTY’S LIABILITY TO THE OTHER PARTY UNDER ARTICLES 11 (INDEMNIFICATION) AND 12 (CONFIDENTIALITY)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CONFIDENTIALITY</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 years thereafter without regard to the means of termination: (i) ACI shall not use, for any purpose other than the purpose of this Agreement, or reveal or disclose to any Third Party Genentech Confidential Information or Program Confidential Information; and (ii) Genentech shall not use, for any purpose other than the purpose of this Agreement, or reveal or disclose to any Third Party ACI Confidential Information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269" w:right="2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Program Confidential Information. The Parties shall take reasonable measures to assure that no unauthorized use or disclosure is made by others to whom access to such information is granted.</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a Party may use and disclose Confidential Information (including any Genentech Confidential Information, ACI Confidential Information or Program Confidential Information) as follows:</w:t>
      </w:r>
    </w:p>
    <w:p>
      <w:pPr>
        <w:spacing w:after="0" w:line="76" w:lineRule="exact"/>
        <w:rPr>
          <w:sz w:val="20"/>
          <w:szCs w:val="20"/>
          <w:color w:val="auto"/>
        </w:rPr>
      </w:pPr>
    </w:p>
    <w:p>
      <w:pPr>
        <w:ind w:left="1480" w:right="180" w:hanging="567"/>
        <w:spacing w:after="0" w:line="286" w:lineRule="auto"/>
        <w:tabs>
          <w:tab w:leader="none" w:pos="14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if required by applicable law, rule, regulation, government requirement and/or court order; provided, that, the disclosing Party promptly notifies the other Party of its notice of any such requirement and provides the other Party a reasonable opportunity to seek a protective order or other appropriate remedy and/or to waive compliance with the provisions of this Agreement;</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the extent such use and disclosure occurs in the filing or publication of any patent application or patent on inventions;</w:t>
      </w:r>
    </w:p>
    <w:p>
      <w:pPr>
        <w:spacing w:after="0" w:line="130" w:lineRule="exact"/>
        <w:rPr>
          <w:rFonts w:ascii="Arial" w:cs="Arial" w:eastAsia="Arial" w:hAnsi="Arial"/>
          <w:sz w:val="18"/>
          <w:szCs w:val="18"/>
          <w:color w:val="auto"/>
        </w:rPr>
      </w:pPr>
    </w:p>
    <w:p>
      <w:pPr>
        <w:ind w:left="1480" w:right="100" w:hanging="567"/>
        <w:spacing w:after="0" w:line="264" w:lineRule="auto"/>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as necessary or desirable for securing any regulatory approvals, including pricing approvals, for any Licensed Products; provided, that, the disclosing Party shall take all reasonable steps to limit disclosure of the Confidential Information outside such regulatory agency and to otherwise maintain the confidentiality of the Confidential Information;</w:t>
      </w:r>
    </w:p>
    <w:p>
      <w:pPr>
        <w:spacing w:after="0" w:line="86"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take any lawful action that it deems necessary to protect its interest under, or to enforce compliance with the terms and conditions of, this Agreement; and</w:t>
      </w:r>
    </w:p>
    <w:p>
      <w:pPr>
        <w:spacing w:after="0" w:line="75"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the extent necessary, to its Affiliates, directors, officers, employees, consultants, Genentech Licensees or ACI Licensees (as applicable), vendors and clinicians under written agreements of confidentiality at least as restrictive as those set forth in this Agreement, who have a need to know such information in connection with such Party performing its obligations or exercising its rights under this Agreement.</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Certain Obligations</w:t>
      </w:r>
      <w:r>
        <w:rPr>
          <w:rFonts w:ascii="Arial" w:cs="Arial" w:eastAsia="Arial" w:hAnsi="Arial"/>
          <w:sz w:val="18"/>
          <w:szCs w:val="18"/>
          <w:color w:val="auto"/>
        </w:rPr>
        <w:t xml:space="preserve">. During the term of this Agreement and for a period of [*****] years thereafter and subject to the exceptions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Genentech, with respect to ACI Confidential Information, and ACI, with respect to Genentech Confidential Information and Program Confidential Information, agree:</w:t>
      </w:r>
    </w:p>
    <w:p>
      <w:pPr>
        <w:spacing w:after="0" w:line="87" w:lineRule="exact"/>
        <w:rPr>
          <w:sz w:val="20"/>
          <w:szCs w:val="20"/>
          <w:color w:val="auto"/>
        </w:rPr>
      </w:pPr>
    </w:p>
    <w:p>
      <w:pPr>
        <w:ind w:left="1480" w:hanging="567"/>
        <w:spacing w:after="0"/>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use such Confidential Information only for the purposes contemplated under this Agreement,</w:t>
      </w:r>
    </w:p>
    <w:p>
      <w:pPr>
        <w:spacing w:after="0" w:line="130"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treat such Confidential Information as it would its own proprietary information which in no event shall be less than a reasonable standard of care,</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take reasonable precautions to prevent the disclosure of such Confidential Information to a Third Party without written consent of the other Party, and</w:t>
      </w:r>
    </w:p>
    <w:p>
      <w:pPr>
        <w:spacing w:after="0" w:line="75" w:lineRule="exact"/>
        <w:rPr>
          <w:rFonts w:ascii="Arial" w:cs="Arial" w:eastAsia="Arial" w:hAnsi="Arial"/>
          <w:sz w:val="18"/>
          <w:szCs w:val="18"/>
          <w:color w:val="auto"/>
        </w:rPr>
      </w:pPr>
    </w:p>
    <w:p>
      <w:pPr>
        <w:jc w:val="both"/>
        <w:ind w:left="1480" w:right="340" w:hanging="567"/>
        <w:spacing w:after="0" w:line="264" w:lineRule="auto"/>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only disclose such Confidential Information to those employees, agents and Third Party contractors who have a need to know such Confidential Information for the purposes set forth herein and who are subject to obligations of confidentiality no less restrictive than those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269" w:right="2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Disclosures and Public Announcements</w:t>
      </w:r>
      <w:r>
        <w:rPr>
          <w:rFonts w:ascii="Arial" w:cs="Arial" w:eastAsia="Arial" w:hAnsi="Arial"/>
          <w:sz w:val="18"/>
          <w:szCs w:val="18"/>
          <w:color w:val="auto"/>
        </w:rPr>
        <w:t>. Neither Party shall issue any press release or other publicity materials, or make any public presentation with respect to the existence of, or any of the terms or conditions of, this Agreement or the programs or efforts being conducted by the other Party hereunder, in each case without the prior written consent of the other Party. This restriction shall not apply to:</w:t>
      </w:r>
    </w:p>
    <w:p>
      <w:pPr>
        <w:spacing w:after="0" w:line="87" w:lineRule="exact"/>
        <w:rPr>
          <w:sz w:val="20"/>
          <w:szCs w:val="20"/>
          <w:color w:val="auto"/>
        </w:rPr>
      </w:pPr>
    </w:p>
    <w:p>
      <w:pPr>
        <w:ind w:left="1480" w:right="800" w:hanging="567"/>
        <w:spacing w:after="0" w:line="277" w:lineRule="auto"/>
        <w:tabs>
          <w:tab w:leader="none" w:pos="1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disclosures to a Party’s attorneys, advisors or investors on a need to know basis under circumstances that reasonably ensure the confidentiality thereof, and</w:t>
      </w:r>
    </w:p>
    <w:p>
      <w:pPr>
        <w:spacing w:after="0" w:line="75" w:lineRule="exact"/>
        <w:rPr>
          <w:rFonts w:ascii="Arial" w:cs="Arial" w:eastAsia="Arial" w:hAnsi="Arial"/>
          <w:sz w:val="18"/>
          <w:szCs w:val="18"/>
          <w:color w:val="auto"/>
        </w:rPr>
      </w:pPr>
    </w:p>
    <w:p>
      <w:pPr>
        <w:ind w:left="1480" w:right="280" w:hanging="567"/>
        <w:spacing w:after="0" w:line="279" w:lineRule="auto"/>
        <w:tabs>
          <w:tab w:leader="none" w:pos="14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future disclosures required by law or regulation, including as may be required in connection with any filings made with, or by the disclosure policies of a major stock exchange; provided that the disclosing Party (i) use all reasonable efforts to inform the other Party prior to making any such disclosures and cooperate with the other Party in seeking a protective order or other appropriate remedy (including redaction) and (ii) whenever possible, request confidential treatment of such information.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Scientific Publications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12.5.1 If ACI, including its employees, agents, collaborators or consultants, wishes to make a scientific or technical publication, presentation and/or other related oral disclosure related to ACI IP Rights and Program IP Rights, ACI shall deliver to Genentech a copy of the proposed written publication or an outline of the proposed presentation or oral disclosure at least [*****] days prior to submission for publication, presentation and/or other oral disclosure. Genentech may then (a) request (within [******] days of the delivery of the publication or outline) modifications to the publication or outline for patent reasons or business reasons, and ACI shall make such modifications, (b) delete (within [*****] days of the delivery of the publication or outline) any trade secrets or Confidential Information of Genentech included in that publication or outline, and/or (c) request (within [*****] days of the delivery of the publication or outline) a reasonable delay of no more than [*****] days from the date such delay is requested by Genentech in publication, presentation and/or other oral disclosure to protect know-how and patentable subject matter. In the event that the ACI does not receive any response from Genentech with respect to the ACI’s proposed written publication or outline of the proposed presentation or oral disclosure within [*****] days of the delivery of the publication or outline, subject to the terms of this Agreement, ACI shall be free to publish, present or otherwise orally disclose the information contained in such publication or outline.</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12.5.2 If Genentech, including its employees, agents or consultants, wishes to make a scientific or technical publication, presentation and/or other related oral disclosure related to ACI IP Rights, Genentech shall deliver to ACI a copy of the proposed written publication or an outline of the proposed presentation or oral disclosure at least [*****] days prior to submission for publication, presentation and/or other oral disclosure. ACI may then (a) request (within [*****] days of the delivery of the publication or outline) modifications to the publication or outline for patent reasons, and Genentech shall make such modifications, (b) delete (within [*****] days of the delivery of the publication or outline) any trade secrets or Confidential Information of ACI included in that publication or outline, and/or (c) request (within [*****] days of the delivery of the publication or outline) a reasonable delay of no more than [*****] days from the date such delay is requested by ACI in publication, presentation and/or other oral disclosure to protect know-how and patentable subject matter. In the event that Genentech does not receive any response from ACI with respect to Genentech’s proposed written publication or outline of the proposed presentation or oral disclosure within [*****] days of the delivery of the publication or outline, subject to the terms of this Agreement, Genentech shall be free to publish, present or otherwise orally disclose the information contained in such publication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270" w:right="2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outline.</w:t>
      </w:r>
    </w:p>
    <w:p>
      <w:pPr>
        <w:spacing w:after="0" w:line="22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Upon termination, but not expiration, of this Agreement and upon the request of the disclosing Party, the receiving Party shall promptly return to the disclosing Party or destroy all copies of Confidential Information received from such Party, and shall return or destroy, and document the destruction of, all summaries, abstracts, extracts, or other documents which contain any Confidential Information of the other Party in any form, except that each Party shall be permitted to retain a copy (or copies, as necessary) of such Confidential Information (a) for archival purposes, (b) as required by any law or regulation, (c) in the case of ACI, for purposes of exploiting its rights in any Product Reversion Package provided by Genentech pursuant to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or (d) in the case of Genentech, for purposes of exploiting its surviving rights pursuant to </w:t>
      </w:r>
      <w:r>
        <w:rPr>
          <w:rFonts w:ascii="Arial" w:cs="Arial" w:eastAsia="Arial" w:hAnsi="Arial"/>
          <w:sz w:val="16"/>
          <w:szCs w:val="16"/>
          <w:u w:val="single" w:color="auto"/>
          <w:color w:val="auto"/>
        </w:rPr>
        <w:t>Section 9.3.2</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ARBITRATION</w:t>
      </w:r>
    </w:p>
    <w:p>
      <w:pPr>
        <w:spacing w:after="0" w:line="2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Disputes</w:t>
      </w:r>
      <w:r>
        <w:rPr>
          <w:rFonts w:ascii="Arial" w:cs="Arial" w:eastAsia="Arial" w:hAnsi="Arial"/>
          <w:sz w:val="18"/>
          <w:szCs w:val="18"/>
          <w:color w:val="auto"/>
        </w:rPr>
        <w:t>. This Agreement is made on the basis of mutual confidence, and it is understood that the differences, if any, during the life of this Agreement should freely be discussed between the two Parties. The Parties shall initially attempt in good faith to resolve any significant controversy, claim, or dispute arising out of or relating to this Agreement, or its interpretation, performance, nonperformance or any breach of any respective obligations hereunder (hereinafter collectively referred to as a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through negotiations between senior executives of ACI and Genentech (or their respective designee). If the Dispute is not resolved within [*****] days (or such other period of time mutually agreed upon by the Parties) of commencing such face-to-face negotiations, or if the Party against which a claim has been asserted refuses to attend such negotiations or does not otherwise participate in such negotiations within [*****] days (or such other period of time mutually agreed upon by the Parties) from the date of notice of a Dispute, either Party may, by written notice to the other, invoke the provisions of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13.1 and 13.3</w:t>
      </w:r>
      <w:r>
        <w:rPr>
          <w:rFonts w:ascii="Arial" w:cs="Arial" w:eastAsia="Arial" w:hAnsi="Arial"/>
          <w:sz w:val="16"/>
          <w:szCs w:val="16"/>
          <w:color w:val="auto"/>
        </w:rPr>
        <w:t>, the Parties agree to resolve any Dispute exclusively through binding arbitration conducted under the auspices of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pursuant to the Rules of Arbitration of the International Chamber of Commerce then in effect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The arbitration shall be conducted in the English language before [*****] arbitrators appointed in accordance with the ICC Rules; provided that at least one such arbitrator shall have had, by the time of the actual arbitration, at least [*****] years of experience as an attorney and experience in the pharmaceuticals industry so as to better understand the legal, business and scientific issues addressed in the arbitration. Unless otherwise mutually agreed by the Parties, any arbitration hereunder it shall be brought at the location of the Party which first received the notice required under </w:t>
      </w:r>
      <w:r>
        <w:rPr>
          <w:rFonts w:ascii="Arial" w:cs="Arial" w:eastAsia="Arial" w:hAnsi="Arial"/>
          <w:sz w:val="16"/>
          <w:szCs w:val="16"/>
          <w:u w:val="single" w:color="auto"/>
          <w:color w:val="auto"/>
        </w:rPr>
        <w:t>Section 13.1</w:t>
      </w:r>
      <w:r>
        <w:rPr>
          <w:rFonts w:ascii="Arial" w:cs="Arial" w:eastAsia="Arial" w:hAnsi="Arial"/>
          <w:sz w:val="16"/>
          <w:szCs w:val="16"/>
          <w:color w:val="auto"/>
        </w:rPr>
        <w:t>. Unless agreed otherwise by the Parties, the Parties shall have [*****] days from the appointment of the last to be appointed of the [*****] arbitrators to present and/or submit their positions to the arbitrators, and the Parties shall have a hearing before the arbitrators within [*****] Business Days of such submission. The arbitrators shall hear evidence by each Party and resolve each of the issues identified by the Parties. The arbitrators shall be instructed and required to render a written, binding, non-appealable resolution and award on each issue which clearly states the basis upon which such resolution and award is made. The written resolution and award shall be delivered to the Parties as expeditiously as possible, but in no event more than [*****] days after conclusion of the hearing, unless otherwise agreed to by the Parties. The Parties shall use all reasonable efforts to keep arbitration costs to a minimum. Each Party must bear its own attorneys’ fees and associated costs and expenses, as well as an equal share of the fees and costs incurred by ICC and the arbitrators. The Parties shall use all reasonable efforts to make witnesses available for the proceedings.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Subject Matter Exclusions</w:t>
      </w:r>
      <w:r>
        <w:rPr>
          <w:rFonts w:ascii="Arial" w:cs="Arial" w:eastAsia="Arial" w:hAnsi="Arial"/>
          <w:sz w:val="17"/>
          <w:szCs w:val="17"/>
          <w:color w:val="auto"/>
        </w:rPr>
        <w:t xml:space="preserve">. Notwithstanding the foregoing,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shall not apply to any Dispute relating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269" w:right="2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 Notwithstanding anything to the contrary in the foregoing provision of this </w:t>
      </w:r>
      <w:r>
        <w:rPr>
          <w:rFonts w:ascii="Arial" w:cs="Arial" w:eastAsia="Arial" w:hAnsi="Arial"/>
          <w:sz w:val="18"/>
          <w:szCs w:val="18"/>
          <w:u w:val="single" w:color="auto"/>
          <w:color w:val="auto"/>
        </w:rPr>
        <w:t>Section 13.3</w:t>
      </w:r>
      <w:r>
        <w:rPr>
          <w:rFonts w:ascii="Arial" w:cs="Arial" w:eastAsia="Arial" w:hAnsi="Arial"/>
          <w:sz w:val="18"/>
          <w:szCs w:val="18"/>
          <w:color w:val="auto"/>
        </w:rPr>
        <w:t>, any Dispute relating to Genentech and/or its Affiliate(s)’s assertion of non-infringement of or by any of its activities with respect to ACI IP Rights, including without limitation any assertion by Genentech or its Affiliates that the making, using, selling, offering for sale and importation of any Tau-Active Antibody(ies) and/or Licensed Product(s) do not infringe ACI IP Rights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shall be subject to the provisions of </w:t>
      </w:r>
      <w:r>
        <w:rPr>
          <w:rFonts w:ascii="Arial" w:cs="Arial" w:eastAsia="Arial" w:hAnsi="Arial"/>
          <w:sz w:val="18"/>
          <w:szCs w:val="18"/>
          <w:u w:val="single" w:color="auto"/>
          <w:color w:val="auto"/>
        </w:rPr>
        <w:t>Sections 13.1 and 13.2</w:t>
      </w:r>
      <w:r>
        <w:rPr>
          <w:rFonts w:ascii="Arial" w:cs="Arial" w:eastAsia="Arial" w:hAnsi="Arial"/>
          <w:sz w:val="18"/>
          <w:szCs w:val="18"/>
          <w:color w:val="auto"/>
        </w:rPr>
        <w:t xml:space="preserve">, provided that at least [*****] of the [*****] arbitrators provided in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shall have had, by the time of the actual arbitration, at least [*****] years of experience as a practicing patent attorney registered to practice before the United States Patent and Trademark Office so as to better understand the patent-related issues addressed in the Patent Infringement Dispute.</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Equitable Relief</w:t>
      </w:r>
      <w:r>
        <w:rPr>
          <w:rFonts w:ascii="Arial" w:cs="Arial" w:eastAsia="Arial" w:hAnsi="Arial"/>
          <w:sz w:val="17"/>
          <w:szCs w:val="17"/>
          <w:color w:val="auto"/>
        </w:rPr>
        <w:t>. Nothing in this Agreement shall be deemed as preventing the Parties from seeking injunctive relief (or other provisional remedy) from any court having jurisdiction over the Parties and the subject matter of the dispute as necessary to protect either Party’s interests.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MISCELLANEOUS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Assignment and Delegation</w:t>
      </w:r>
      <w:r>
        <w:rPr>
          <w:rFonts w:ascii="Arial" w:cs="Arial" w:eastAsia="Arial" w:hAnsi="Arial"/>
          <w:sz w:val="17"/>
          <w:szCs w:val="17"/>
          <w:color w:val="auto"/>
        </w:rPr>
        <w:t xml:space="preserve">. Neither this Agreement nor any right or obligation hereunder shall be assignable in whole or in part, whether by operation of law, or otherwise by ACI without the prior written consent of Genentech. Notwithstanding the foregoing, ACI may assign or transfer its rights and obligations under this Agreement to a Person that succeeds to all or substantially all of ACI’s business or assets related to this Agreement whether by sale, merger, operation of law or otherwise. If during the term of the Research Program, ACI makes a permitted assignment to a successor in accordance with the foregoing sentence, Genentech may terminate the Research Program upon notice without terminating this Agreement. This Agreement shall be binding upon and inure to the benefit of and be enforceable by the Parties hereto and their respective successors and permitted assignees. Any transfer or assignment of this Agreement in violation of this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shall be null and void.</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Relationship of GNE and Roche</w:t>
      </w:r>
      <w:r>
        <w:rPr>
          <w:rFonts w:ascii="Arial" w:cs="Arial" w:eastAsia="Arial" w:hAnsi="Arial"/>
          <w:sz w:val="18"/>
          <w:szCs w:val="18"/>
          <w:color w:val="auto"/>
        </w:rPr>
        <w:t>. GNE and Roche are jointly referred to in this Agreement as Genentech. Except where either GNE or Roche are expressly referred to herein, (a) each of GNE and Roche shall be entitled to exercise any rights or perform any obligation attributed in this Agreement to Genentech, and each of GNE and Roche shall be jointly liable for any obligation attributed in this Agreement to Genentech. Any communication or act by GNE shall be deemed to have been consented by Roche and any act or communication by Roche shall be deemed to have consented by GNE. Except where either GNE or Roche are expressly referred to herein, ACI shall be entitled to meet its obligation to Genentech by delivering a notice or perform its obligations to either GNE or Roche.</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No later than [*****] days following the public announcement of a proposed Change of Control event, ACI shall provide Genentech with written notice of any such Change of Control. Within [*****] days of receipt of such written notice, Genentech shall have the right to terminate this Agreement in accordance with </w:t>
      </w:r>
      <w:r>
        <w:rPr>
          <w:rFonts w:ascii="Arial" w:cs="Arial" w:eastAsia="Arial" w:hAnsi="Arial"/>
          <w:sz w:val="17"/>
          <w:szCs w:val="17"/>
          <w:u w:val="single" w:color="auto"/>
          <w:color w:val="auto"/>
        </w:rPr>
        <w:t>Section 9.3.2</w:t>
      </w:r>
      <w:r>
        <w:rPr>
          <w:rFonts w:ascii="Arial" w:cs="Arial" w:eastAsia="Arial" w:hAnsi="Arial"/>
          <w:sz w:val="17"/>
          <w:szCs w:val="17"/>
          <w:color w:val="auto"/>
        </w:rPr>
        <w:t xml:space="preserve">. For the purposes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w:t>
      </w: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of ACI means that during the Term of this Agreement (i) ACI shall have become an Affiliate of a Person that is a Competitor; and/or (ii) any sale, lease, exchange or other transfer (in one transaction or a series of related transactions) of all or substantially all of the assets of ACI shall have occurred to a Competitor; and/or (iii) the stockholders of ACI shall have approved of a plan or proposal for the liquidation or dissolution of the company; and/or (iv) any Competitor (whether individually or as part of a group) shall have become the owner, directly or indirectly, beneficially or of record, of shares representing more than [*****] of the aggregate ordinary voting power represented by the issued and outstanding voting stock of ACI. For the purposes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w:t>
      </w:r>
      <w:r>
        <w:rPr>
          <w:rFonts w:ascii="Arial" w:cs="Arial" w:eastAsia="Arial" w:hAnsi="Arial"/>
          <w:sz w:val="17"/>
          <w:szCs w:val="17"/>
          <w:u w:val="single" w:color="auto"/>
          <w:color w:val="auto"/>
        </w:rPr>
        <w:t>Competitor</w:t>
      </w:r>
      <w:r>
        <w:rPr>
          <w:rFonts w:ascii="Arial" w:cs="Arial" w:eastAsia="Arial" w:hAnsi="Arial"/>
          <w:sz w:val="17"/>
          <w:szCs w:val="17"/>
          <w:color w:val="auto"/>
        </w:rPr>
        <w:t>” means any Person that conducts any research and/or development, activities, or that manufactures, promotes,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270" w:right="2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markets, distributes and/or sells any products for [*****], in the biotechnology or pharmaceutical industry.</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relating to the subject matter hereof, and all prior understandings, representations and warranties between the Parties are superseded by this Agreement, including the Confidential Disclosure Agreement between the Parties dated March 18, 2010, as amended.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Amendments</w:t>
      </w:r>
      <w:r>
        <w:rPr>
          <w:rFonts w:ascii="Arial" w:cs="Arial" w:eastAsia="Arial" w:hAnsi="Arial"/>
          <w:sz w:val="18"/>
          <w:szCs w:val="18"/>
          <w:color w:val="auto"/>
        </w:rPr>
        <w:t>. Changes and additional provisions to this Agreement shall be binding on the Parties only if mutually agreed upon, laid down in writing and signed effectively by the Parties.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and interpreted in accordance with the laws of New York and all rights and remedies shall be governed by such laws without regard to principles of conflicts of law.</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Force Majeure</w:t>
      </w:r>
      <w:r>
        <w:rPr>
          <w:rFonts w:ascii="Arial" w:cs="Arial" w:eastAsia="Arial" w:hAnsi="Arial"/>
          <w:sz w:val="17"/>
          <w:szCs w:val="17"/>
          <w:color w:val="auto"/>
        </w:rPr>
        <w:t>. If the performance of this Agreement or any obligations hereunder is prevented, restricted or interfered with by reason of earthquake, fire, flood or other casualty or due to strikes, riot, storms, explosions, acts of God, war, or a similar occurrence or condition beyond the reasonable control of the Parties, the Party so affected shall, upon giving prompt notice to the other Parties, be excused from such performance during such prevention, restriction or interference, and any failure or delay resulting therefrom shall not be considered a breach of this Agreement.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do not intend to violate any public policy or statutory common law. However, if any sentence, paragraph, clause or combination of this Agreement is in violation of any law or is found to be otherwise unenforceable, such sentence, paragraph, clause or combination of the same shall be deleted and the remainder of this Agreement shall remain binding; provided that such deletion does not alter the basic purpose and structure of this Agreement.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relating to this Agreement shall be in writing in the English language and shall be delivered in person or by registered mail, international courier or facsimile transmission (with a confirmation copy forwarded by courier or registered mail). Notices sent by mail shall be sent by first class mail or the equivalent, registered or certified, postage prepaid, and shall be deemed to have been given on the date actually received. Notices sent by international courier shall be sent using a service which provides traceability of packages. Notices shall be sent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270"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CONFIDENTIAL</w:t>
            </w:r>
          </w:p>
        </w:tc>
        <w:tc>
          <w:tcPr>
            <w:tcW w:w="1680" w:type="dxa"/>
            <w:vAlign w:val="bottom"/>
          </w:tcPr>
          <w:p>
            <w:pPr>
              <w:spacing w:after="0"/>
              <w:rPr>
                <w:sz w:val="20"/>
                <w:szCs w:val="20"/>
                <w:color w:val="auto"/>
              </w:rPr>
            </w:pPr>
          </w:p>
        </w:tc>
        <w:tc>
          <w:tcPr>
            <w:tcW w:w="2820" w:type="dxa"/>
            <w:vAlign w:val="bottom"/>
          </w:tcPr>
          <w:p>
            <w:pPr>
              <w:ind w:left="380"/>
              <w:spacing w:after="0"/>
              <w:rPr>
                <w:sz w:val="20"/>
                <w:szCs w:val="20"/>
                <w:color w:val="auto"/>
              </w:rPr>
            </w:pPr>
            <w:r>
              <w:rPr>
                <w:rFonts w:ascii="Arial" w:cs="Arial" w:eastAsia="Arial" w:hAnsi="Arial"/>
                <w:sz w:val="18"/>
                <w:szCs w:val="18"/>
                <w:color w:val="auto"/>
                <w:w w:val="97"/>
              </w:rPr>
              <w:t>FINAL EXECUTION VERSION</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Notices to Genentech:</w:t>
            </w:r>
          </w:p>
        </w:tc>
        <w:tc>
          <w:tcPr>
            <w:tcW w:w="4500" w:type="dxa"/>
            <w:vAlign w:val="bottom"/>
            <w:gridSpan w:val="2"/>
          </w:tcPr>
          <w:p>
            <w:pPr>
              <w:spacing w:after="0"/>
              <w:rPr>
                <w:sz w:val="20"/>
                <w:szCs w:val="20"/>
                <w:color w:val="auto"/>
              </w:rPr>
            </w:pPr>
            <w:r>
              <w:rPr>
                <w:rFonts w:ascii="Arial" w:cs="Arial" w:eastAsia="Arial" w:hAnsi="Arial"/>
                <w:sz w:val="18"/>
                <w:szCs w:val="18"/>
                <w:color w:val="auto"/>
              </w:rPr>
              <w:t>with a required copy to:</w:t>
            </w:r>
          </w:p>
        </w:tc>
      </w:tr>
      <w:tr>
        <w:trPr>
          <w:trHeight w:val="438"/>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Genentech Inc.</w:t>
            </w:r>
          </w:p>
        </w:tc>
        <w:tc>
          <w:tcPr>
            <w:tcW w:w="3240" w:type="dxa"/>
            <w:vAlign w:val="bottom"/>
          </w:tcPr>
          <w:p>
            <w:pPr>
              <w:spacing w:after="0"/>
              <w:rPr>
                <w:sz w:val="24"/>
                <w:szCs w:val="24"/>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Genentech Inc.</w:t>
            </w:r>
          </w:p>
        </w:tc>
        <w:tc>
          <w:tcPr>
            <w:tcW w:w="2820" w:type="dxa"/>
            <w:vAlign w:val="bottom"/>
          </w:tcPr>
          <w:p>
            <w:pPr>
              <w:spacing w:after="0"/>
              <w:rPr>
                <w:sz w:val="24"/>
                <w:szCs w:val="24"/>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1 DNA Way</w:t>
            </w:r>
          </w:p>
        </w:tc>
        <w:tc>
          <w:tcPr>
            <w:tcW w:w="4500" w:type="dxa"/>
            <w:vAlign w:val="bottom"/>
            <w:gridSpan w:val="2"/>
          </w:tcPr>
          <w:p>
            <w:pPr>
              <w:spacing w:after="0"/>
              <w:rPr>
                <w:sz w:val="20"/>
                <w:szCs w:val="20"/>
                <w:color w:val="auto"/>
              </w:rPr>
            </w:pPr>
            <w:r>
              <w:rPr>
                <w:rFonts w:ascii="Arial" w:cs="Arial" w:eastAsia="Arial" w:hAnsi="Arial"/>
                <w:sz w:val="18"/>
                <w:szCs w:val="18"/>
                <w:color w:val="auto"/>
              </w:rPr>
              <w:t>1 DNA Way</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South San Francisco, CA 94080, USA</w:t>
            </w:r>
          </w:p>
        </w:tc>
        <w:tc>
          <w:tcPr>
            <w:tcW w:w="4500" w:type="dxa"/>
            <w:vAlign w:val="bottom"/>
            <w:gridSpan w:val="2"/>
          </w:tcPr>
          <w:p>
            <w:pPr>
              <w:spacing w:after="0"/>
              <w:rPr>
                <w:sz w:val="20"/>
                <w:szCs w:val="20"/>
                <w:color w:val="auto"/>
              </w:rPr>
            </w:pPr>
            <w:r>
              <w:rPr>
                <w:rFonts w:ascii="Arial" w:cs="Arial" w:eastAsia="Arial" w:hAnsi="Arial"/>
                <w:sz w:val="18"/>
                <w:szCs w:val="18"/>
                <w:color w:val="auto"/>
              </w:rPr>
              <w:t>South San Francisco, CA 94080, USA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Attention: Corporate Secretary</w:t>
            </w:r>
          </w:p>
        </w:tc>
        <w:tc>
          <w:tcPr>
            <w:tcW w:w="4500" w:type="dxa"/>
            <w:vAlign w:val="bottom"/>
            <w:gridSpan w:val="2"/>
          </w:tcPr>
          <w:p>
            <w:pPr>
              <w:spacing w:after="0"/>
              <w:rPr>
                <w:sz w:val="20"/>
                <w:szCs w:val="20"/>
                <w:color w:val="auto"/>
              </w:rPr>
            </w:pPr>
            <w:r>
              <w:rPr>
                <w:rFonts w:ascii="Arial" w:cs="Arial" w:eastAsia="Arial" w:hAnsi="Arial"/>
                <w:sz w:val="18"/>
                <w:szCs w:val="18"/>
                <w:color w:val="auto"/>
              </w:rPr>
              <w:t>Attention: Vice President, Genentech Partnering</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r>
        <w:trPr>
          <w:trHeight w:val="446"/>
        </w:trPr>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and</w:t>
            </w:r>
          </w:p>
        </w:tc>
      </w:tr>
      <w:tr>
        <w:trPr>
          <w:trHeight w:val="418"/>
        </w:trPr>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 Hoffmann-La Roche Ltd</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Grenzacherstrasse 124</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4070 Basel</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Attn: Corporate Legal Department</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1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r>
        <w:trPr>
          <w:trHeight w:val="405"/>
        </w:trPr>
        <w:tc>
          <w:tcPr>
            <w:tcW w:w="4800" w:type="dxa"/>
            <w:vAlign w:val="bottom"/>
            <w:gridSpan w:val="2"/>
          </w:tcPr>
          <w:p>
            <w:pPr>
              <w:spacing w:after="0"/>
              <w:rPr>
                <w:sz w:val="20"/>
                <w:szCs w:val="20"/>
                <w:color w:val="auto"/>
              </w:rPr>
            </w:pPr>
            <w:r>
              <w:rPr>
                <w:rFonts w:ascii="Arial" w:cs="Arial" w:eastAsia="Arial" w:hAnsi="Arial"/>
                <w:sz w:val="18"/>
                <w:szCs w:val="18"/>
                <w:color w:val="auto"/>
              </w:rPr>
              <w:t>Notices to ACI:</w:t>
            </w:r>
          </w:p>
        </w:tc>
        <w:tc>
          <w:tcPr>
            <w:tcW w:w="4500" w:type="dxa"/>
            <w:vAlign w:val="bottom"/>
            <w:gridSpan w:val="2"/>
          </w:tcPr>
          <w:p>
            <w:pPr>
              <w:spacing w:after="0"/>
              <w:rPr>
                <w:sz w:val="20"/>
                <w:szCs w:val="20"/>
                <w:color w:val="auto"/>
              </w:rPr>
            </w:pPr>
            <w:r>
              <w:rPr>
                <w:rFonts w:ascii="Arial" w:cs="Arial" w:eastAsia="Arial" w:hAnsi="Arial"/>
                <w:sz w:val="18"/>
                <w:szCs w:val="18"/>
                <w:color w:val="auto"/>
              </w:rPr>
              <w:t>with a required copy to:</w:t>
            </w:r>
          </w:p>
        </w:tc>
      </w:tr>
      <w:tr>
        <w:trPr>
          <w:trHeight w:val="20"/>
        </w:trPr>
        <w:tc>
          <w:tcPr>
            <w:tcW w:w="480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38"/>
        </w:trPr>
        <w:tc>
          <w:tcPr>
            <w:tcW w:w="4800" w:type="dxa"/>
            <w:vAlign w:val="bottom"/>
            <w:gridSpan w:val="2"/>
          </w:tcPr>
          <w:p>
            <w:pPr>
              <w:spacing w:after="0"/>
              <w:rPr>
                <w:sz w:val="20"/>
                <w:szCs w:val="20"/>
                <w:color w:val="auto"/>
              </w:rPr>
            </w:pPr>
            <w:r>
              <w:rPr>
                <w:rFonts w:ascii="Arial" w:cs="Arial" w:eastAsia="Arial" w:hAnsi="Arial"/>
                <w:sz w:val="18"/>
                <w:szCs w:val="18"/>
                <w:color w:val="auto"/>
              </w:rPr>
              <w:t>AC Immune</w:t>
            </w:r>
          </w:p>
        </w:tc>
        <w:tc>
          <w:tcPr>
            <w:tcW w:w="4500" w:type="dxa"/>
            <w:vAlign w:val="bottom"/>
            <w:gridSpan w:val="2"/>
          </w:tcPr>
          <w:p>
            <w:pPr>
              <w:spacing w:after="0"/>
              <w:rPr>
                <w:sz w:val="20"/>
                <w:szCs w:val="20"/>
                <w:color w:val="auto"/>
              </w:rPr>
            </w:pPr>
            <w:r>
              <w:rPr>
                <w:rFonts w:ascii="Arial" w:cs="Arial" w:eastAsia="Arial" w:hAnsi="Arial"/>
                <w:sz w:val="18"/>
                <w:szCs w:val="18"/>
                <w:color w:val="auto"/>
              </w:rPr>
              <w:t>VISCHER Ltd. Attorneys at law</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Pare scientifique EPFL, PSE-B,</w:t>
            </w:r>
          </w:p>
        </w:tc>
        <w:tc>
          <w:tcPr>
            <w:tcW w:w="4500" w:type="dxa"/>
            <w:vAlign w:val="bottom"/>
            <w:gridSpan w:val="2"/>
          </w:tcPr>
          <w:p>
            <w:pPr>
              <w:spacing w:after="0"/>
              <w:rPr>
                <w:sz w:val="20"/>
                <w:szCs w:val="20"/>
                <w:color w:val="auto"/>
              </w:rPr>
            </w:pPr>
            <w:r>
              <w:rPr>
                <w:rFonts w:ascii="Arial" w:cs="Arial" w:eastAsia="Arial" w:hAnsi="Arial"/>
                <w:sz w:val="18"/>
                <w:szCs w:val="18"/>
                <w:color w:val="auto"/>
              </w:rPr>
              <w:t>Aeschenvorstadt 4</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CH-1015 Lausanne, Switzerland</w:t>
            </w:r>
          </w:p>
        </w:tc>
        <w:tc>
          <w:tcPr>
            <w:tcW w:w="4500" w:type="dxa"/>
            <w:vAlign w:val="bottom"/>
            <w:gridSpan w:val="2"/>
          </w:tcPr>
          <w:p>
            <w:pPr>
              <w:spacing w:after="0"/>
              <w:rPr>
                <w:sz w:val="20"/>
                <w:szCs w:val="20"/>
                <w:color w:val="auto"/>
              </w:rPr>
            </w:pPr>
            <w:r>
              <w:rPr>
                <w:rFonts w:ascii="Arial" w:cs="Arial" w:eastAsia="Arial" w:hAnsi="Arial"/>
                <w:sz w:val="18"/>
                <w:szCs w:val="18"/>
                <w:color w:val="auto"/>
              </w:rPr>
              <w:t>CH-4051 Basel, Switzerland</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Attention: CEO</w:t>
            </w:r>
          </w:p>
        </w:tc>
        <w:tc>
          <w:tcPr>
            <w:tcW w:w="4500" w:type="dxa"/>
            <w:vAlign w:val="bottom"/>
            <w:gridSpan w:val="2"/>
          </w:tcPr>
          <w:p>
            <w:pPr>
              <w:spacing w:after="0"/>
              <w:rPr>
                <w:sz w:val="20"/>
                <w:szCs w:val="20"/>
                <w:color w:val="auto"/>
              </w:rPr>
            </w:pPr>
            <w:r>
              <w:rPr>
                <w:rFonts w:ascii="Arial" w:cs="Arial" w:eastAsia="Arial" w:hAnsi="Arial"/>
                <w:sz w:val="18"/>
                <w:szCs w:val="18"/>
                <w:color w:val="auto"/>
              </w:rPr>
              <w:t>Attention: Dr. Matthias Staehelin</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Either Party may change its address for notices or facsimile number at any time by sending written notice by courier or registered mail to the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Nothing herein shall create any association, partnership, joint venture, fiduciary duty or the relation of principal and agent between the Parties hereto, it being understood that each Party is acting as an independent contractor, and neither Party shall have the authority to bind the other or the other’s representatives in any way.</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Waiver</w:t>
      </w:r>
      <w:r>
        <w:rPr>
          <w:rFonts w:ascii="Arial" w:cs="Arial" w:eastAsia="Arial" w:hAnsi="Arial"/>
          <w:sz w:val="18"/>
          <w:szCs w:val="18"/>
          <w:color w:val="auto"/>
        </w:rPr>
        <w:t>. No delay on the part of either Party hereto in exercising any power or right hereunder shall operate as a waiver thereof, nor shall any single or partial exercise of any power or right hereunder preclude other or further exercise thereof or the exercise of any other power or right. No waiver of this Agreement or any provision hereof shall be enforceable against any Party hereto unless in writing, signed by the Party against whom such waiver is claimed, and shall be limited solely to the one event.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has been prepared jointly and no rule of strict construction shall be applied against either Party. In this Agreement, the singular shall include the plural and vice versa and the word “including” shall be deemed to be followed by the phrase “without limitation.” The section headings contained in this Agreement are inserted for convenience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270" w:right="2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together shall constitute one and the same Agreement. For purposes of executing this agreement, a facsimile copy of this Agreement, including the signature pages, will be deemed an original.</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License Survival During Bankruptcy</w:t>
      </w:r>
      <w:r>
        <w:rPr>
          <w:rFonts w:ascii="Arial" w:cs="Arial" w:eastAsia="Arial" w:hAnsi="Arial"/>
          <w:sz w:val="16"/>
          <w:szCs w:val="16"/>
          <w:color w:val="auto"/>
        </w:rPr>
        <w:t>. All rights and licenses granted under or pursuant to this Agreement are, and shall otherwise be deemed to be, for purposes of Paragraph 365(n) of the U.S. Bankruptcy Code, licenses of rights to “intellectual property” as defined under Paragraph 101(35A) of the U.S. Bankruptcy Code. The Parties agree that Genentech, as a licensee of such rights under this Agreement, shall retain and may fully exercise all of its rights and elections under the U.S. Bankruptcy Code. The Parties further agree that, in the event of the commencement of a bankruptcy proceeding by or against ACI, including under the U.S. Bankruptcy Code, Genentech shall be entitled to a complete duplicate of (or complete access to, as appropriate) any such intellectual property and all embodiments of such intellectual property, and the same, if not already in Genentech’s possession, shall be promptly delivered to Genentech upon any such commencement of a bankruptcy proceeding upon written request therefor by Genentech.</w:t>
      </w:r>
    </w:p>
    <w:p>
      <w:pPr>
        <w:spacing w:after="0" w:line="167"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270" w:right="2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by their duly authorized representative.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500" w:type="dxa"/>
            <w:vAlign w:val="bottom"/>
            <w:gridSpan w:val="2"/>
          </w:tcPr>
          <w:p>
            <w:pPr>
              <w:ind w:left="362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Krognes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320" w:type="dxa"/>
            <w:vAlign w:val="bottom"/>
          </w:tcPr>
          <w:p>
            <w:pPr>
              <w:spacing w:after="0"/>
              <w:rPr>
                <w:sz w:val="20"/>
                <w:szCs w:val="20"/>
                <w:color w:val="auto"/>
              </w:rPr>
            </w:pPr>
            <w:r>
              <w:rPr>
                <w:rFonts w:ascii="Arial" w:cs="Arial" w:eastAsia="Arial" w:hAnsi="Arial"/>
                <w:sz w:val="18"/>
                <w:szCs w:val="18"/>
                <w:color w:val="auto"/>
              </w:rPr>
              <w:t>Andrea Pfeifer</w:t>
            </w: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Steve Krognes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CEO</w:t>
            </w: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CFO</w:t>
            </w:r>
          </w:p>
        </w:tc>
      </w:tr>
      <w:tr>
        <w:trPr>
          <w:trHeight w:val="43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500" w:type="dxa"/>
            <w:vAlign w:val="bottom"/>
            <w:gridSpan w:val="2"/>
          </w:tcPr>
          <w:p>
            <w:pPr>
              <w:ind w:left="3620"/>
              <w:spacing w:after="0"/>
              <w:rPr>
                <w:sz w:val="20"/>
                <w:szCs w:val="20"/>
                <w:color w:val="auto"/>
              </w:rPr>
            </w:pPr>
            <w:r>
              <w:rPr>
                <w:rFonts w:ascii="Arial" w:cs="Arial" w:eastAsia="Arial" w:hAnsi="Arial"/>
                <w:sz w:val="18"/>
                <w:szCs w:val="18"/>
                <w:b w:val="1"/>
                <w:bCs w:val="1"/>
                <w:color w:val="auto"/>
              </w:rPr>
              <w:t>F. Hoffmann-La Roche Ltd</w:t>
            </w:r>
          </w:p>
        </w:tc>
      </w:tr>
      <w:tr>
        <w:trPr>
          <w:trHeight w:val="432"/>
        </w:trPr>
        <w:tc>
          <w:tcPr>
            <w:tcW w:w="600" w:type="dxa"/>
            <w:vAlign w:val="bottom"/>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Muhs</w:t>
            </w: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Sophie Kornowski-Bonne</w:t>
            </w:r>
          </w:p>
        </w:tc>
      </w:tr>
      <w:tr>
        <w:trPr>
          <w:trHeight w:val="209"/>
        </w:trPr>
        <w:tc>
          <w:tcPr>
            <w:tcW w:w="6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 Muhs</w:t>
            </w: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Sophie Kornowski-Bonne</w:t>
            </w: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CSO</w:t>
            </w: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Global Head Roche Partnering</w:t>
            </w:r>
          </w:p>
        </w:tc>
      </w:tr>
      <w:tr>
        <w:trPr>
          <w:trHeight w:val="43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Arnold</w:t>
            </w:r>
          </w:p>
        </w:tc>
      </w:tr>
      <w:tr>
        <w:trPr>
          <w:trHeight w:val="209"/>
        </w:trPr>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Stefan Arnold</w:t>
            </w: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Head Legal Pharma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1420"/>
          </w:cols>
          <w:pgMar w:left="240" w:top="269" w:right="2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Patents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Applicant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Application No</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Patent</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Application date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lapsed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189"/>
        </w:trPr>
        <w:tc>
          <w:tcPr>
            <w:tcW w:w="6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6"/>
                <w:szCs w:val="16"/>
                <w:color w:val="auto"/>
              </w:rPr>
            </w:pPr>
          </w:p>
        </w:tc>
        <w:tc>
          <w:tcPr>
            <w:tcW w:w="17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bl>
    <w:p>
      <w:pPr>
        <w:ind w:left="10120"/>
        <w:spacing w:after="0"/>
        <w:rPr>
          <w:sz w:val="20"/>
          <w:szCs w:val="20"/>
          <w:color w:val="auto"/>
        </w:rPr>
      </w:pPr>
      <w:r>
        <w:rPr>
          <w:rFonts w:ascii="Arial" w:cs="Arial" w:eastAsia="Arial" w:hAnsi="Arial"/>
          <w:sz w:val="18"/>
          <w:szCs w:val="18"/>
          <w:color w:val="auto"/>
        </w:rPr>
        <w:t>Tau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1420"/>
          </w:cols>
          <w:pgMar w:left="240" w:top="269" w:right="239" w:bottom="1440" w:gutter="0" w:footer="0" w:header="0"/>
        </w:sectPr>
      </w:pPr>
    </w:p>
    <w:bookmarkStart w:id="324" w:name="page325"/>
    <w:bookmarkEnd w:id="32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Research Plan</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 Immune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pTau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Tau [*****] Tau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0219"/>
          </w:cols>
          <w:pgMar w:left="240" w:top="270" w:right="1440" w:bottom="1440" w:gutter="0" w:footer="0" w:header="0"/>
        </w:sectPr>
      </w:pPr>
    </w:p>
    <w:bookmarkStart w:id="325" w:name="page326"/>
    <w:bookmarkEnd w:id="32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pTau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ptau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tau [*****]</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pTau)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0219"/>
          </w:cols>
          <w:pgMar w:left="240" w:top="270" w:right="1440"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Antigens for Discovery Antibodies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5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Vaccine</w:t>
            </w:r>
          </w:p>
        </w:tc>
        <w:tc>
          <w:tcPr>
            <w:tcW w:w="3940" w:type="dxa"/>
            <w:vAlign w:val="bottom"/>
            <w:gridSpan w:val="2"/>
          </w:tcPr>
          <w:p>
            <w:pPr>
              <w:jc w:val="center"/>
              <w:ind w:left="514"/>
              <w:spacing w:after="0"/>
              <w:rPr>
                <w:sz w:val="20"/>
                <w:szCs w:val="20"/>
                <w:color w:val="auto"/>
              </w:rPr>
            </w:pPr>
            <w:r>
              <w:rPr>
                <w:rFonts w:ascii="Arial" w:cs="Arial" w:eastAsia="Arial" w:hAnsi="Arial"/>
                <w:sz w:val="14"/>
                <w:szCs w:val="14"/>
                <w:color w:val="auto"/>
                <w:w w:val="94"/>
              </w:rPr>
              <w:t>Antigens*: Sequence*’*, length (n), sequence ID number</w:t>
            </w:r>
          </w:p>
        </w:tc>
        <w:tc>
          <w:tcPr>
            <w:tcW w:w="1360" w:type="dxa"/>
            <w:vAlign w:val="bottom"/>
          </w:tcPr>
          <w:p>
            <w:pPr>
              <w:spacing w:after="0"/>
              <w:rPr>
                <w:sz w:val="14"/>
                <w:szCs w:val="14"/>
                <w:color w:val="auto"/>
              </w:rPr>
            </w:pPr>
          </w:p>
        </w:tc>
      </w:tr>
      <w:tr>
        <w:trPr>
          <w:trHeight w:val="195"/>
        </w:trPr>
        <w:tc>
          <w:tcPr>
            <w:tcW w:w="13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340" w:type="dxa"/>
            <w:vAlign w:val="bottom"/>
          </w:tcPr>
          <w:p>
            <w:pPr>
              <w:spacing w:after="0" w:line="195" w:lineRule="exact"/>
              <w:rPr>
                <w:sz w:val="20"/>
                <w:szCs w:val="20"/>
                <w:color w:val="auto"/>
              </w:rPr>
            </w:pPr>
            <w:r>
              <w:rPr>
                <w:rFonts w:ascii="Arial" w:cs="Arial" w:eastAsia="Arial" w:hAnsi="Arial"/>
                <w:sz w:val="18"/>
                <w:szCs w:val="18"/>
                <w:color w:val="auto"/>
              </w:rPr>
              <w:t>Tau</w:t>
            </w:r>
          </w:p>
        </w:tc>
        <w:tc>
          <w:tcPr>
            <w:tcW w:w="580" w:type="dxa"/>
            <w:vAlign w:val="bottom"/>
          </w:tcPr>
          <w:p>
            <w:pPr>
              <w:spacing w:after="0"/>
              <w:rPr>
                <w:sz w:val="16"/>
                <w:szCs w:val="16"/>
                <w:color w:val="auto"/>
              </w:rPr>
            </w:pP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r>
      <w:tr>
        <w:trPr>
          <w:trHeight w:val="459"/>
        </w:trPr>
        <w:tc>
          <w:tcPr>
            <w:tcW w:w="138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 (Tau441). [*****]</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00" w:type="dxa"/>
            <w:vAlign w:val="bottom"/>
            <w:tcBorders>
              <w:bottom w:val="single" w:sz="8" w:color="auto"/>
            </w:tcBorders>
            <w:gridSpan w:val="3"/>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50"/>
        </w:trPr>
        <w:tc>
          <w:tcPr>
            <w:tcW w:w="4400" w:type="dxa"/>
            <w:vAlign w:val="bottom"/>
            <w:gridSpan w:val="3"/>
          </w:tcPr>
          <w:p>
            <w:pPr>
              <w:spacing w:after="0"/>
              <w:rPr>
                <w:sz w:val="20"/>
                <w:szCs w:val="20"/>
                <w:color w:val="auto"/>
              </w:rPr>
            </w:pPr>
            <w:r>
              <w:rPr>
                <w:rFonts w:ascii="Arial" w:cs="Arial" w:eastAsia="Arial" w:hAnsi="Arial"/>
                <w:sz w:val="18"/>
                <w:szCs w:val="18"/>
                <w:color w:val="auto"/>
              </w:rPr>
              <w:t>Research Collaboration and License Agreement (Tau)</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ectPr>
          <w:pgSz w:w="11900" w:h="16838" w:orient="portrait"/>
          <w:cols w:equalWidth="0" w:num="1">
            <w:col w:w="11420"/>
          </w:cols>
          <w:pgMar w:left="240" w:top="270"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7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JANSSEN PHARMACEUTICALS,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AC IMMUNE SA</w:t>
      </w:r>
    </w:p>
    <w:p>
      <w:pPr>
        <w:sectPr>
          <w:pgSz w:w="11900" w:h="16838" w:orient="portrait"/>
          <w:cols w:equalWidth="0" w:num="1">
            <w:col w:w="10220"/>
          </w:cols>
          <w:pgMar w:left="1440" w:top="121" w:right="239" w:bottom="1440" w:gutter="0" w:footer="0" w:header="0"/>
        </w:sectPr>
      </w:pPr>
    </w:p>
    <w:bookmarkStart w:id="328" w:name="page329"/>
    <w:bookmarkEnd w:id="3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This license, development and commercialization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dated December 24, 2014 and is between Janssen Pharmaceuticals, Inc., a Pennsylvania company (“Janssen”) and AC Immune SA, a Swiss company (“</w:t>
      </w:r>
      <w:r>
        <w:rPr>
          <w:rFonts w:ascii="Arial" w:cs="Arial" w:eastAsia="Arial" w:hAnsi="Arial"/>
          <w:sz w:val="18"/>
          <w:szCs w:val="18"/>
          <w:b w:val="1"/>
          <w:bCs w:val="1"/>
          <w:color w:val="auto"/>
        </w:rPr>
        <w:t>ACI</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ACI conducts research and develops therapeutics for the treatment of proteinopathy diseases including Alzheimer’s disease and other neurological disorders.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ACI has identified Tau specific peptides (“Tau peptides”)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Janssen develops and commercializes therapeutics in areas that include neurological disorders and wants to further develop and commercialize ACI’s Tau peptide-based vaccines which have desirable efficacy and safety.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parties want to conduct joint research to identify and develop Tau peptides for use as vaccines and have Janssen commercialize such Tau peptide-based vaccines which have desirable efficacy and safety.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parties therefore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DEFINITIONS</w:t>
      </w:r>
    </w:p>
    <w:p>
      <w:pPr>
        <w:spacing w:after="0" w:line="131" w:lineRule="exact"/>
        <w:rPr>
          <w:sz w:val="20"/>
          <w:szCs w:val="20"/>
          <w:color w:val="auto"/>
        </w:rPr>
      </w:pPr>
    </w:p>
    <w:p>
      <w:pPr>
        <w:ind w:left="580" w:right="2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ACI Know-How</w:t>
      </w:r>
      <w:r>
        <w:rPr>
          <w:rFonts w:ascii="Arial" w:cs="Arial" w:eastAsia="Arial" w:hAnsi="Arial"/>
          <w:sz w:val="18"/>
          <w:szCs w:val="18"/>
          <w:color w:val="auto"/>
        </w:rPr>
        <w:t xml:space="preserve">” means all information, materials, Inventions and trade secrets, not generally known to the public, that do not fall within the ACI Patent Rights, and that are Controlled by ACI or any of its Affiliates (a) (i) as of the Effective Date, or (ii) are discovered, created or developed, in the course of ACI’s performance of activities under this Agreement, and (b) are related to the Research, Development, use, Manufacture or Commercialization of any Product;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“ACI Know-How” [*****].</w:t>
      </w:r>
    </w:p>
    <w:p>
      <w:pPr>
        <w:spacing w:after="0" w:line="85" w:lineRule="exact"/>
        <w:rPr>
          <w:sz w:val="20"/>
          <w:szCs w:val="20"/>
          <w:color w:val="auto"/>
        </w:rPr>
      </w:pPr>
    </w:p>
    <w:p>
      <w:pPr>
        <w:ind w:left="580" w:right="3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ACI Patent Rights</w:t>
      </w:r>
      <w:r>
        <w:rPr>
          <w:rFonts w:ascii="Arial" w:cs="Arial" w:eastAsia="Arial" w:hAnsi="Arial"/>
          <w:sz w:val="18"/>
          <w:szCs w:val="18"/>
          <w:color w:val="auto"/>
        </w:rPr>
        <w:t xml:space="preserve">” means all Patent Rights Controlled by ACI or any of its Affiliates that would be infringed by the making, using, selling, offering for sale, or import of a Product, but for the licenses granted in this Agreement. ACI Patent Rights as of the Effective Date are set forth on </w:t>
      </w:r>
      <w:r>
        <w:rPr>
          <w:rFonts w:ascii="Arial" w:cs="Arial" w:eastAsia="Arial" w:hAnsi="Arial"/>
          <w:sz w:val="18"/>
          <w:szCs w:val="18"/>
          <w:u w:val="single" w:color="auto"/>
          <w:color w:val="auto"/>
        </w:rPr>
        <w:t>Schedule 10.1.5</w:t>
      </w:r>
      <w:r>
        <w:rPr>
          <w:rFonts w:ascii="Arial" w:cs="Arial" w:eastAsia="Arial" w:hAnsi="Arial"/>
          <w:sz w:val="18"/>
          <w:szCs w:val="18"/>
          <w:color w:val="auto"/>
        </w:rPr>
        <w:t>.</w:t>
      </w:r>
    </w:p>
    <w:p>
      <w:pPr>
        <w:spacing w:after="0" w:line="82" w:lineRule="exact"/>
        <w:rPr>
          <w:sz w:val="20"/>
          <w:szCs w:val="20"/>
          <w:color w:val="auto"/>
        </w:rPr>
      </w:pPr>
    </w:p>
    <w:p>
      <w:pPr>
        <w:ind w:left="580" w:right="6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 Indication</w:t>
      </w:r>
      <w:r>
        <w:rPr>
          <w:rFonts w:ascii="Arial" w:cs="Arial" w:eastAsia="Arial" w:hAnsi="Arial"/>
          <w:sz w:val="18"/>
          <w:szCs w:val="18"/>
          <w:color w:val="auto"/>
        </w:rPr>
        <w:t>” means any Alzheimer’s disease (AD) Indication listed under the header “INDICATIONS AND USAGE” of a Product’s approved label upon Regulatory Approval for the Product by a Regulatory Authority, including any patient group, population or subpopulation, including but not limited to an indication for preclinical or asymptomatic at risk, prodromal or mild cognitive impairment due to AD, mild, moderate or severe AD, familial AD, AD with mixed pathology or mixed AD with cardiovascular dementia.</w:t>
      </w:r>
    </w:p>
    <w:p>
      <w:pPr>
        <w:spacing w:after="0" w:line="86" w:lineRule="exact"/>
        <w:rPr>
          <w:sz w:val="20"/>
          <w:szCs w:val="20"/>
          <w:color w:val="auto"/>
        </w:rPr>
      </w:pPr>
    </w:p>
    <w:p>
      <w:pPr>
        <w:ind w:left="580" w:hanging="566"/>
        <w:spacing w:after="0" w:line="274" w:lineRule="auto"/>
        <w:tabs>
          <w:tab w:leader="none" w:pos="5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that directly or indirectly controls, is controlled by or is under direct or indirect common control with, such person. For purposes of this section 1.4, the term “control” means the possession, direct or indirect, of the power to direct or cause the direction of the management and policies of a person, whether through the ownership of voting securities, by contract or otherwise. Control of any person by another person will be presumed if fifty percent (50%) or more of the securities or other ownership interests representing the equity, the voting stock or general partnership interest of the first person are owned, controlled or held, directly or indirectly, by the other person, or by an Affiliate of the other person. A person, for the purpose of this definition, means any individual,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329" w:name="page330"/>
    <w:bookmarkEnd w:id="3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corporation, partnership, association, joint-stock company, trust, unincorporated organization or government or political subdivision thereof.</w:t>
      </w:r>
    </w:p>
    <w:p>
      <w:pPr>
        <w:spacing w:after="0" w:line="138" w:lineRule="exact"/>
        <w:rPr>
          <w:sz w:val="20"/>
          <w:szCs w:val="20"/>
          <w:color w:val="auto"/>
        </w:rPr>
      </w:pPr>
    </w:p>
    <w:p>
      <w:pPr>
        <w:ind w:left="580" w:right="40" w:hanging="566"/>
        <w:spacing w:after="0" w:line="255" w:lineRule="auto"/>
        <w:tabs>
          <w:tab w:leader="none" w:pos="5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Biosimilar Product</w:t>
      </w:r>
      <w:r>
        <w:rPr>
          <w:rFonts w:ascii="Arial" w:cs="Arial" w:eastAsia="Arial" w:hAnsi="Arial"/>
          <w:sz w:val="18"/>
          <w:szCs w:val="18"/>
          <w:color w:val="auto"/>
        </w:rPr>
        <w:t>” means: (a) in respect of a Product sold in the United States, a biological product approved under the Public Health Service Act 351(k) that is highly similar to such Product, notwithstanding minor differences in clinically inactive components, and for which there are no clinically meaningful differences between the biosimilar and the Product in terms of the safety, purity and potency; (b) in respect of a Product sold in the EU, a biological product approved under Article 10(4) of Directive 2001/83/EC and Section 4, Part II, Annex I to such Directive based on the demonstration of the similar nature of such biological medicinal product and Product; and (c) in respect of a Product sold outside the United States and the EU, a biological product approved under a similar regulatory pathway as in the United States and in the European Union, if such pathway exists.</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BLA</w:t>
      </w:r>
      <w:r>
        <w:rPr>
          <w:rFonts w:ascii="Arial" w:cs="Arial" w:eastAsia="Arial" w:hAnsi="Arial"/>
          <w:sz w:val="16"/>
          <w:szCs w:val="16"/>
          <w:color w:val="auto"/>
        </w:rPr>
        <w:t>” means a biologics license application, or similar application, submitted to a Regulatory Authority.</w:t>
      </w:r>
    </w:p>
    <w:p>
      <w:pPr>
        <w:spacing w:after="0" w:line="131" w:lineRule="exact"/>
        <w:rPr>
          <w:sz w:val="20"/>
          <w:szCs w:val="20"/>
          <w:color w:val="auto"/>
        </w:rPr>
      </w:pPr>
    </w:p>
    <w:p>
      <w:pPr>
        <w:ind w:left="580" w:hanging="566"/>
        <w:spacing w:after="0" w:line="314" w:lineRule="auto"/>
        <w:tabs>
          <w:tab w:leader="none" w:pos="5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xml:space="preserve">” means a calendar quarter during any Calendar Year based on the J&amp;J Universal Calendar (pursuant to </w:t>
      </w:r>
      <w:r>
        <w:rPr>
          <w:rFonts w:ascii="Arial" w:cs="Arial" w:eastAsia="Arial" w:hAnsi="Arial"/>
          <w:sz w:val="16"/>
          <w:szCs w:val="16"/>
          <w:u w:val="single" w:color="auto"/>
          <w:color w:val="auto"/>
        </w:rPr>
        <w:t>Schedule 1.7</w:t>
      </w:r>
      <w:r>
        <w:rPr>
          <w:rFonts w:ascii="Arial" w:cs="Arial" w:eastAsia="Arial" w:hAnsi="Arial"/>
          <w:sz w:val="16"/>
          <w:szCs w:val="16"/>
          <w:color w:val="auto"/>
        </w:rPr>
        <w:t>) for that year consistent with the J&amp;J Universal Calendar used for Janssen’s internal business purposes; provided, however that the last Calendar Quarter under this Agreement will extend from the first day of such Calendar Quarter until the effective date of the termination or expiration of this Agreement.</w:t>
      </w:r>
    </w:p>
    <w:p>
      <w:pPr>
        <w:spacing w:after="0" w:line="48" w:lineRule="exact"/>
        <w:rPr>
          <w:sz w:val="20"/>
          <w:szCs w:val="20"/>
          <w:color w:val="auto"/>
        </w:rPr>
      </w:pPr>
    </w:p>
    <w:p>
      <w:pPr>
        <w:ind w:left="580" w:right="2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Calendar Year</w:t>
      </w:r>
      <w:r>
        <w:rPr>
          <w:rFonts w:ascii="Arial" w:cs="Arial" w:eastAsia="Arial" w:hAnsi="Arial"/>
          <w:sz w:val="17"/>
          <w:szCs w:val="17"/>
          <w:color w:val="auto"/>
        </w:rPr>
        <w:t>” means a calendar year during the term of this Agreement based on the J&amp;J Universal Calendar for that year consistent with the J&amp;J Universal Calendar used for Janssen’s internal business purposes; provided, however that the last Calendar Year under this Agreement will extend from the first day of such Calendar Year until the effective date of the termination or expiration of this Agreement.</w:t>
      </w:r>
    </w:p>
    <w:p>
      <w:pPr>
        <w:spacing w:after="0" w:line="64" w:lineRule="exact"/>
        <w:rPr>
          <w:sz w:val="20"/>
          <w:szCs w:val="20"/>
          <w:color w:val="auto"/>
        </w:rPr>
      </w:pPr>
    </w:p>
    <w:p>
      <w:pPr>
        <w:ind w:left="580" w:right="120" w:hanging="566"/>
        <w:spacing w:after="0" w:line="256" w:lineRule="auto"/>
        <w:tabs>
          <w:tab w:leader="none" w:pos="5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cGCP</w:t>
      </w:r>
      <w:r>
        <w:rPr>
          <w:rFonts w:ascii="Arial" w:cs="Arial" w:eastAsia="Arial" w:hAnsi="Arial"/>
          <w:sz w:val="18"/>
          <w:szCs w:val="18"/>
          <w:color w:val="auto"/>
        </w:rPr>
        <w:t>” means the current Good Clinical Practice standards for the design, conduct, performance, monitoring, auditing, recording, analysis, and reporting of clinical trials, including: (a) the requirements in Parts 11, 50, 54, 56, 312, and 314 of Title 21 of the Code of Federal Regulations and all related guidance published by the FDA, that provide assurance that the data and reported results are credible and accurate, and that the rights, integrity, and confidentiality of trial subjects are protected, (b) as required by Law in countries other than the United States where Clinical Trials are conducted, and (c) as required by Law in countries other than the United States where data from Clinical Trials conducted in other countries may be used for Regulatory Approval.</w:t>
      </w:r>
    </w:p>
    <w:p>
      <w:pPr>
        <w:spacing w:after="0" w:line="93"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cGLP</w:t>
      </w:r>
      <w:r>
        <w:rPr>
          <w:rFonts w:ascii="Arial" w:cs="Arial" w:eastAsia="Arial" w:hAnsi="Arial"/>
          <w:sz w:val="18"/>
          <w:szCs w:val="18"/>
          <w:color w:val="auto"/>
        </w:rPr>
        <w:t>” means the current Good Laboratory Practices (a) the requirements in Part 58 of Title 21 of the Code of Federal Regulations and all related guidance published by the FDA, (b) as required by Law in countries other than the United States where non-clinical laboratory studies are conducted, and (c) as required by Law in countries other than the United States where data from non-clinical laboratory studies conducted in other countries may be used to obtain Regulatory Approval.</w:t>
      </w:r>
    </w:p>
    <w:p>
      <w:pPr>
        <w:spacing w:after="0" w:line="86" w:lineRule="exact"/>
        <w:rPr>
          <w:sz w:val="20"/>
          <w:szCs w:val="20"/>
          <w:color w:val="auto"/>
        </w:rPr>
      </w:pPr>
    </w:p>
    <w:p>
      <w:pPr>
        <w:ind w:left="580" w:right="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means the current practices for the Manufacture of Peptide or Product required: (a) if the Peptide or Product is to be supplied to a region covered by The International Conference on Harmonization of Technical Requirements for Registration of Pharmaceuticals for Human Use (“</w:t>
      </w:r>
      <w:r>
        <w:rPr>
          <w:rFonts w:ascii="Arial" w:cs="Arial" w:eastAsia="Arial" w:hAnsi="Arial"/>
          <w:sz w:val="18"/>
          <w:szCs w:val="18"/>
          <w:u w:val="single" w:color="auto"/>
          <w:color w:val="auto"/>
        </w:rPr>
        <w:t>ICH</w:t>
      </w:r>
      <w:r>
        <w:rPr>
          <w:rFonts w:ascii="Arial" w:cs="Arial" w:eastAsia="Arial" w:hAnsi="Arial"/>
          <w:sz w:val="18"/>
          <w:szCs w:val="18"/>
          <w:color w:val="auto"/>
        </w:rPr>
        <w:t>”), by the relevant ICH Quality Guidelines relating to good manufacturing practice; (b) if the manufacturing site is within the European Union or if the Peptide or Product is to be supplied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color w:val="auto"/>
        </w:rPr>
        <w:t>to a country within the European Union, by the principles and guidelines of good manufacturing practice in respect of medicinal products as laid down by Directive 2003/94/EC and the associated guidance set out in EudraLex -Volume 4 of the Rules Governing Medicinal Products in the European Union entitled “EU Guidelines to Good Manufacturing Practice Medicinal Products for Human and Veterinary Use”; (c) if the manufacturing site is in the United States of America or if the Peptide or Product is to be supplied to a country regulated by the FDA, by Parts 11, 210 and 211 of Title 21 of the Code of Federal Regulations and all related guidance published by the FDA; and (d) if the Peptide or Product is to be supplied to any other country not falling within (a), (b), or (c) above, by Laws promulgated by any Governmental Authority having jurisdiction over the Manufacture of Peptide or Product or any component of any of the foregoing and any guidance documents promulgated by any Governmental Authority having jurisdiction over the Manufacture of Peptide or Product (including advisory opinions, compliance policy guides and guidelines) which guidance documents are being implemented within the pharmaceutical manufacturing industry.</w:t>
      </w:r>
    </w:p>
    <w:p>
      <w:pPr>
        <w:spacing w:after="0" w:line="83"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 transaction or series of related transactions that result in (a) the holders of outstanding voting securities of a Party immediately prior to such transaction ceasing to represent at least fifty percent (50%) of the combined outstanding voting power of the surviving entity immediately after such transaction; (b) any Third Party (other than a trustee or other fiduciary holding securities under an employee benefit plan) becoming the beneficial owner of fifty percent (50%) or more of the combined voting power of the outstanding securities of a Party; or (c) a sale or other disposition to a Third Party of all or substantially all of a Party’s assets or business.</w:t>
      </w:r>
    </w:p>
    <w:p>
      <w:pPr>
        <w:spacing w:after="0" w:line="74" w:lineRule="exact"/>
        <w:rPr>
          <w:sz w:val="20"/>
          <w:szCs w:val="20"/>
          <w:color w:val="auto"/>
        </w:rPr>
      </w:pPr>
    </w:p>
    <w:p>
      <w:pPr>
        <w:ind w:left="580" w:right="1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research study of a therapeutic product with human subjects designed to provide specific data to determine either or both the safety and efficacy of such product.</w:t>
      </w:r>
    </w:p>
    <w:p>
      <w:pPr>
        <w:spacing w:after="0" w:line="67" w:lineRule="exact"/>
        <w:rPr>
          <w:sz w:val="20"/>
          <w:szCs w:val="20"/>
          <w:color w:val="auto"/>
        </w:rPr>
      </w:pPr>
    </w:p>
    <w:p>
      <w:pPr>
        <w:ind w:left="580" w:right="2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CMC Work Plan</w:t>
      </w:r>
      <w:r>
        <w:rPr>
          <w:rFonts w:ascii="Arial" w:cs="Arial" w:eastAsia="Arial" w:hAnsi="Arial"/>
          <w:sz w:val="16"/>
          <w:szCs w:val="16"/>
          <w:color w:val="auto"/>
        </w:rPr>
        <w:t>” means the chemistry, manufacturing and controls (CMC) activities to be conducted by ACI for the Product, as may be updated or amended from time to time in accordance with the terms of this Agreement. The initial CMC Work Plan is attached as Schedule 1.14.</w:t>
      </w:r>
    </w:p>
    <w:p>
      <w:pPr>
        <w:spacing w:after="0" w:line="22"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color w:val="auto"/>
        </w:rPr>
        <w:t>Commercialization</w:t>
      </w:r>
      <w:r>
        <w:rPr>
          <w:rFonts w:ascii="Arial" w:cs="Arial" w:eastAsia="Arial" w:hAnsi="Arial"/>
          <w:sz w:val="18"/>
          <w:szCs w:val="18"/>
          <w:color w:val="auto"/>
        </w:rPr>
        <w:t>” means any action directed to marketing, promoting, distributing, importing or selling a pharmaceutical product, obtaining pricing or reimbursement approvals for that product and Clinical Trials of a Product conducted after Regulatory Approval for that Product, including label expansion, pricing/reimbursement, epidemiological, modeling and pharmacoeconomic, voluntary post-marketing surveillance and health economics studies.</w:t>
      </w:r>
    </w:p>
    <w:p>
      <w:pPr>
        <w:spacing w:after="0" w:line="85" w:lineRule="exact"/>
        <w:rPr>
          <w:sz w:val="20"/>
          <w:szCs w:val="20"/>
          <w:color w:val="auto"/>
        </w:rPr>
      </w:pPr>
    </w:p>
    <w:p>
      <w:pPr>
        <w:ind w:left="580" w:right="1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or data, including all scientific, pre-clinical, clinical, regulatory, manufacturing, marketing, financial and commercial information or data, whether communicated in writing, electronically or orally or by any other method, that is identified as confidential or, if disclosed orally, shall be confirmed in writing as being confidential within [*****] of its oral disclosure, which is provided by one Party to the other Party in connection with this Agreement.</w:t>
      </w:r>
    </w:p>
    <w:p>
      <w:pPr>
        <w:spacing w:after="0" w:line="86" w:lineRule="exact"/>
        <w:rPr>
          <w:sz w:val="20"/>
          <w:szCs w:val="20"/>
          <w:color w:val="auto"/>
        </w:rPr>
      </w:pPr>
    </w:p>
    <w:p>
      <w:pPr>
        <w:jc w:val="right"/>
        <w:ind w:right="120"/>
        <w:spacing w:after="0" w:line="276"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intellectual property, the ownership or other legal authority or right of a Party to grant a license or</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 of intellectual property to the other Party (a) without violating the terms of any agreement or other arrangement with any Third Party, and</w:t>
      </w:r>
    </w:p>
    <w:p>
      <w:pPr>
        <w:spacing w:after="0" w:line="1" w:lineRule="exact"/>
        <w:rPr>
          <w:sz w:val="20"/>
          <w:szCs w:val="20"/>
          <w:color w:val="auto"/>
        </w:rPr>
      </w:pPr>
    </w:p>
    <w:p>
      <w:pPr>
        <w:jc w:val="both"/>
        <w:ind w:left="580" w:right="40" w:hanging="5"/>
        <w:spacing w:after="0" w:line="255" w:lineRule="auto"/>
        <w:tabs>
          <w:tab w:leader="none" w:pos="83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without being required to make any additional payment or royalties to a Third Party in connection with such license or sublicense unless the other Party agrees to pay the additional payments or royalties to the Third Party. In the case of a Change of Control of ACI or an ACI Business Acquisition, or restructuring of ACI business, then with respect to any rights granted by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31" w:name="page332"/>
    <w:bookmarkEnd w:id="3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80"/>
        <w:spacing w:after="0" w:line="264" w:lineRule="auto"/>
        <w:rPr>
          <w:sz w:val="20"/>
          <w:szCs w:val="20"/>
          <w:color w:val="auto"/>
        </w:rPr>
      </w:pPr>
      <w:r>
        <w:rPr>
          <w:rFonts w:ascii="Arial" w:cs="Arial" w:eastAsia="Arial" w:hAnsi="Arial"/>
          <w:sz w:val="18"/>
          <w:szCs w:val="18"/>
          <w:color w:val="auto"/>
        </w:rPr>
        <w:t>ACI under this Agreement, “Controlled” shall not include, and the applicable license grant shall not include within its scope, the intellectual property of the surviving entity, or acquirer or Affiliate of the surviving entity or acquirer, that was not ACI’s intellectual property prior to the Change of Control or ACI Business Acquisition.</w:t>
      </w:r>
    </w:p>
    <w:p>
      <w:pPr>
        <w:spacing w:after="0" w:line="83"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Currency Hedge Rate</w:t>
      </w:r>
      <w:r>
        <w:rPr>
          <w:rFonts w:ascii="Arial" w:cs="Arial" w:eastAsia="Arial" w:hAnsi="Arial"/>
          <w:sz w:val="18"/>
          <w:szCs w:val="18"/>
          <w:color w:val="auto"/>
        </w:rPr>
        <w:t>” means the weighted average hedge rate of the outstanding external foreign currency forward hedge contract(s) of Johnson &amp; Johnson’s Global Treasury Services Center (“</w:t>
      </w:r>
      <w:r>
        <w:rPr>
          <w:rFonts w:ascii="Arial" w:cs="Arial" w:eastAsia="Arial" w:hAnsi="Arial"/>
          <w:sz w:val="18"/>
          <w:szCs w:val="18"/>
          <w:b w:val="1"/>
          <w:bCs w:val="1"/>
          <w:color w:val="auto"/>
        </w:rPr>
        <w:t>GTSC</w:t>
      </w:r>
      <w:r>
        <w:rPr>
          <w:rFonts w:ascii="Arial" w:cs="Arial" w:eastAsia="Arial" w:hAnsi="Arial"/>
          <w:sz w:val="18"/>
          <w:szCs w:val="18"/>
          <w:color w:val="auto"/>
        </w:rPr>
        <w:t>”) and its Affiliates with Third Party banks. The hedge contract(s) is entered into to protect the transactional foreign exchange risk exposures of Janssen by reducing the impact of foreign currency volatility through a systematic build-up of yearly currency hedge rates.</w:t>
      </w:r>
    </w:p>
    <w:p>
      <w:pPr>
        <w:spacing w:after="0" w:line="86" w:lineRule="exact"/>
        <w:rPr>
          <w:sz w:val="20"/>
          <w:szCs w:val="20"/>
          <w:color w:val="auto"/>
        </w:rPr>
      </w:pPr>
    </w:p>
    <w:p>
      <w:pPr>
        <w:ind w:left="580" w:right="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or “</w:t>
      </w:r>
      <w:r>
        <w:rPr>
          <w:rFonts w:ascii="Arial" w:cs="Arial" w:eastAsia="Arial" w:hAnsi="Arial"/>
          <w:sz w:val="18"/>
          <w:szCs w:val="18"/>
          <w:b w:val="1"/>
          <w:bCs w:val="1"/>
          <w:color w:val="auto"/>
        </w:rPr>
        <w:t>Develop</w:t>
      </w:r>
      <w:r>
        <w:rPr>
          <w:rFonts w:ascii="Arial" w:cs="Arial" w:eastAsia="Arial" w:hAnsi="Arial"/>
          <w:sz w:val="18"/>
          <w:szCs w:val="18"/>
          <w:color w:val="auto"/>
        </w:rPr>
        <w:t>” means any non-clinical and clinical drug development activities from the initiation of cGLP studies that are undertaken or planned in order to obtain or maintain Regulatory Approval.</w:t>
      </w:r>
    </w:p>
    <w:p>
      <w:pPr>
        <w:spacing w:after="0" w:line="67" w:lineRule="exact"/>
        <w:rPr>
          <w:sz w:val="20"/>
          <w:szCs w:val="20"/>
          <w:color w:val="auto"/>
        </w:rPr>
      </w:pPr>
    </w:p>
    <w:p>
      <w:pPr>
        <w:ind w:left="580" w:right="100" w:hanging="566"/>
        <w:spacing w:after="0" w:line="313" w:lineRule="auto"/>
        <w:tabs>
          <w:tab w:leader="none" w:pos="56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Development Plan</w:t>
      </w:r>
      <w:r>
        <w:rPr>
          <w:rFonts w:ascii="Arial" w:cs="Arial" w:eastAsia="Arial" w:hAnsi="Arial"/>
          <w:sz w:val="17"/>
          <w:szCs w:val="17"/>
          <w:color w:val="auto"/>
        </w:rPr>
        <w:t xml:space="preserve">” means the plan for the Development of Product as may be updated or amended from time to time in accordance with the terms of this Agreement. The initial Development Plan, which includes the Development activities and timeline, is attached as </w:t>
      </w:r>
      <w:r>
        <w:rPr>
          <w:rFonts w:ascii="Arial" w:cs="Arial" w:eastAsia="Arial" w:hAnsi="Arial"/>
          <w:sz w:val="17"/>
          <w:szCs w:val="17"/>
          <w:u w:val="single" w:color="auto"/>
          <w:color w:val="auto"/>
        </w:rPr>
        <w:t>Schedule 1.20</w:t>
      </w:r>
      <w:r>
        <w:rPr>
          <w:rFonts w:ascii="Arial" w:cs="Arial" w:eastAsia="Arial" w:hAnsi="Arial"/>
          <w:sz w:val="17"/>
          <w:szCs w:val="17"/>
          <w:color w:val="auto"/>
        </w:rPr>
        <w:t>.</w:t>
      </w:r>
    </w:p>
    <w:p>
      <w:pPr>
        <w:spacing w:after="0" w:line="44" w:lineRule="exact"/>
        <w:rPr>
          <w:sz w:val="20"/>
          <w:szCs w:val="20"/>
          <w:color w:val="auto"/>
        </w:rPr>
      </w:pPr>
    </w:p>
    <w:p>
      <w:pPr>
        <w:ind w:left="580" w:right="80" w:hanging="566"/>
        <w:spacing w:after="0" w:line="281" w:lineRule="auto"/>
        <w:tabs>
          <w:tab w:leader="none" w:pos="5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Diligent Efforts</w:t>
      </w:r>
      <w:r>
        <w:rPr>
          <w:rFonts w:ascii="Arial" w:cs="Arial" w:eastAsia="Arial" w:hAnsi="Arial"/>
          <w:sz w:val="17"/>
          <w:szCs w:val="17"/>
          <w:color w:val="auto"/>
        </w:rPr>
        <w:t>” means those efforts and resources reasonably and normally used in the development and commercialization by major pharmaceutical companies for a product that is of similar market potential, at a similar stage in its development or product life, and that has a similar potential market opportunity as the applicable Product, taking into account issues of safety, efficacy, target product profile and proprietary position of the Product, and other relevant regulatory, scientific, technical, business, marketing, and commercial factors.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of the signature of the last Party to sign this Agreement.</w:t>
      </w:r>
    </w:p>
    <w:p>
      <w:pPr>
        <w:spacing w:after="0" w:line="131" w:lineRule="exact"/>
        <w:rPr>
          <w:sz w:val="20"/>
          <w:szCs w:val="20"/>
          <w:color w:val="auto"/>
        </w:rPr>
      </w:pPr>
    </w:p>
    <w:p>
      <w:pPr>
        <w:ind w:left="580" w:right="1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that is responsible for reviewing applications seeking approval for the sale of pharmaceuticals in the EU.</w:t>
      </w:r>
    </w:p>
    <w:p>
      <w:pPr>
        <w:spacing w:after="0" w:line="67" w:lineRule="exact"/>
        <w:rPr>
          <w:sz w:val="20"/>
          <w:szCs w:val="20"/>
          <w:color w:val="auto"/>
        </w:rPr>
      </w:pPr>
    </w:p>
    <w:p>
      <w:pPr>
        <w:ind w:left="580" w:right="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European Commission</w:t>
      </w:r>
      <w:r>
        <w:rPr>
          <w:rFonts w:ascii="Arial" w:cs="Arial" w:eastAsia="Arial" w:hAnsi="Arial"/>
          <w:sz w:val="18"/>
          <w:szCs w:val="18"/>
          <w:color w:val="auto"/>
        </w:rPr>
        <w:t>” means the European Commission or any successor agency that is responsible for granting marketing approvals authorizing the sale of pharmaceuticals in the EU.</w:t>
      </w:r>
    </w:p>
    <w:p>
      <w:pPr>
        <w:spacing w:after="0" w:line="67" w:lineRule="exact"/>
        <w:rPr>
          <w:sz w:val="20"/>
          <w:szCs w:val="20"/>
          <w:color w:val="auto"/>
        </w:rPr>
      </w:pPr>
    </w:p>
    <w:p>
      <w:pPr>
        <w:ind w:left="580" w:right="1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countries of the European Union, as the European Union is constituted as of the Effective Date and as it may be modified from time to time.</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Claim</w:t>
      </w:r>
      <w:r>
        <w:rPr>
          <w:rFonts w:ascii="Arial" w:cs="Arial" w:eastAsia="Arial" w:hAnsi="Arial"/>
          <w:sz w:val="16"/>
          <w:szCs w:val="16"/>
          <w:color w:val="auto"/>
        </w:rPr>
        <w:t>” has the meaning set forth in section 13.7.5.</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 Officer</w:t>
      </w:r>
      <w:r>
        <w:rPr>
          <w:rFonts w:ascii="Arial" w:cs="Arial" w:eastAsia="Arial" w:hAnsi="Arial"/>
          <w:sz w:val="16"/>
          <w:szCs w:val="16"/>
          <w:color w:val="auto"/>
        </w:rPr>
        <w:t>” has the meaning set forth in section 13.7 .1.</w:t>
      </w:r>
    </w:p>
    <w:p>
      <w:pPr>
        <w:spacing w:after="0" w:line="131" w:lineRule="exact"/>
        <w:rPr>
          <w:sz w:val="20"/>
          <w:szCs w:val="20"/>
          <w:color w:val="auto"/>
        </w:rPr>
      </w:pPr>
    </w:p>
    <w:p>
      <w:pPr>
        <w:ind w:left="580" w:right="10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government agency that is responsible for approving the sale of pharmaceuticals in the United States.</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the [*****].</w:t>
      </w:r>
    </w:p>
    <w:p>
      <w:pPr>
        <w:spacing w:after="0" w:line="131" w:lineRule="exact"/>
        <w:rPr>
          <w:sz w:val="20"/>
          <w:szCs w:val="20"/>
          <w:color w:val="auto"/>
        </w:rPr>
      </w:pPr>
    </w:p>
    <w:p>
      <w:pPr>
        <w:ind w:left="580" w:right="1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Product, the first arm’s length sale of the Product to a Third Party in a country of the Territory by a Party, its Affiliate(s) or sublicensee(s) for use or consumption in such country following Regulatory Approval.</w:t>
      </w:r>
    </w:p>
    <w:p>
      <w:pPr>
        <w:spacing w:after="0" w:line="67" w:lineRule="exact"/>
        <w:rPr>
          <w:sz w:val="20"/>
          <w:szCs w:val="20"/>
          <w:color w:val="auto"/>
        </w:rPr>
      </w:pPr>
    </w:p>
    <w:p>
      <w:pPr>
        <w:ind w:left="580" w:right="2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tribunal, arbitrator, agency, legislative body, commission, official or other instrumentality of (a) any government of any country, (b) a federal,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32" w:name="page333"/>
    <w:bookmarkEnd w:id="3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state, province, county, city or other political subdivision thereof or (c) any supranational body, including the EMA.</w:t>
      </w:r>
    </w:p>
    <w:p>
      <w:pPr>
        <w:spacing w:after="0" w:line="127" w:lineRule="exact"/>
        <w:rPr>
          <w:sz w:val="20"/>
          <w:szCs w:val="20"/>
          <w:color w:val="auto"/>
        </w:rPr>
      </w:pPr>
    </w:p>
    <w:p>
      <w:pPr>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(a) the Hart-Scott-Rodino Antitrust Improvements Act of 1976, as amended, and the rules and regulations promulgated thereunder, and (b) any applicable foreign equivalent thereof.</w:t>
      </w:r>
    </w:p>
    <w:p>
      <w:pPr>
        <w:spacing w:after="0" w:line="67" w:lineRule="exact"/>
        <w:rPr>
          <w:sz w:val="20"/>
          <w:szCs w:val="20"/>
          <w:color w:val="auto"/>
        </w:rPr>
      </w:pPr>
    </w:p>
    <w:p>
      <w:pPr>
        <w:ind w:left="580" w:right="5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Clearance Date</w:t>
      </w:r>
      <w:r>
        <w:rPr>
          <w:rFonts w:ascii="Arial" w:cs="Arial" w:eastAsia="Arial" w:hAnsi="Arial"/>
          <w:sz w:val="18"/>
          <w:szCs w:val="18"/>
          <w:color w:val="auto"/>
        </w:rPr>
        <w:t>” means the expiration or termination of all applicable waiting periods and requests for information (and any extensions thereof) under the HSR Act.</w:t>
      </w:r>
    </w:p>
    <w:p>
      <w:pPr>
        <w:spacing w:after="0" w:line="67"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(a) filings by Janssen and ACI with the United States Federal Trade Commission and the Antitrust Division of the United States Department of Justice of a Notification and Report Form for Certain Mergers and Acquisitions (as that term is defined in the HSR Act) with respect to the matters set forth in this Agreement, together with all required documentary attachments thereto, or (b) equivalent filings with relevant foreign authorities.</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has the meaning set forth in section 13.1.3.</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Indemnitor</w:t>
      </w:r>
      <w:r>
        <w:rPr>
          <w:rFonts w:ascii="Arial" w:cs="Arial" w:eastAsia="Arial" w:hAnsi="Arial"/>
          <w:sz w:val="16"/>
          <w:szCs w:val="16"/>
          <w:color w:val="auto"/>
        </w:rPr>
        <w:t>” has the meaning set forth in section 13.1.3.</w:t>
      </w:r>
    </w:p>
    <w:p>
      <w:pPr>
        <w:spacing w:after="0" w:line="131" w:lineRule="exact"/>
        <w:rPr>
          <w:sz w:val="20"/>
          <w:szCs w:val="20"/>
          <w:color w:val="auto"/>
        </w:rPr>
      </w:pPr>
    </w:p>
    <w:p>
      <w:pPr>
        <w:ind w:left="580" w:right="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disorder or condition which is recognized by the applicable Regulatory Authority in a given country or jurisdiction as a disease, disorder or condition. For the avoidance of doubt, all variants of a single disease, disorder or condition (whether classified by severity or otherwise) will be treated as the same Indication.</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 Clinical Trial, the administration of the first dose to a subject or patient in that Clinical Trial.</w:t>
      </w:r>
    </w:p>
    <w:p>
      <w:pPr>
        <w:spacing w:after="0" w:line="131" w:lineRule="exact"/>
        <w:rPr>
          <w:sz w:val="20"/>
          <w:szCs w:val="20"/>
          <w:color w:val="auto"/>
        </w:rPr>
      </w:pPr>
    </w:p>
    <w:p>
      <w:pPr>
        <w:ind w:left="580" w:right="3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process, method, use, protocol, formula, data, composition of matter, article of manufacture, discovery or finding, in each case whether or not patentable.</w:t>
      </w:r>
    </w:p>
    <w:p>
      <w:pPr>
        <w:spacing w:after="0" w:line="67" w:lineRule="exact"/>
        <w:rPr>
          <w:sz w:val="20"/>
          <w:szCs w:val="20"/>
          <w:color w:val="auto"/>
        </w:rPr>
      </w:pPr>
    </w:p>
    <w:p>
      <w:pPr>
        <w:ind w:left="580" w:right="6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Janssen Know-How</w:t>
      </w:r>
      <w:r>
        <w:rPr>
          <w:rFonts w:ascii="Arial" w:cs="Arial" w:eastAsia="Arial" w:hAnsi="Arial"/>
          <w:sz w:val="17"/>
          <w:szCs w:val="17"/>
          <w:color w:val="auto"/>
        </w:rPr>
        <w:t xml:space="preserve">” means all information, materials, Inventions and trade secrets, not generally known to the public, that do not fall within the Janssen Patent Rights, and that are Controlled by Janssen or any of its Affiliates (a) (i) as of the Effective Date, or (ii) are discovered, created or developed by Janssen or any of its Affiliates (including any sublicensee pursuant to section 7.2) in the course of Janssen’s or such Affiliate’s performance of activities under this Agreement, and (b) are necessary for the Research, Development, use, Manufacture or Commercialization of any Peptide or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 “Janssen Know-How” will not apply to [*****].</w:t>
      </w:r>
    </w:p>
    <w:p>
      <w:pPr>
        <w:spacing w:after="0" w:line="74" w:lineRule="exact"/>
        <w:rPr>
          <w:sz w:val="20"/>
          <w:szCs w:val="20"/>
          <w:color w:val="auto"/>
        </w:rPr>
      </w:pPr>
    </w:p>
    <w:p>
      <w:pPr>
        <w:ind w:left="580" w:right="3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Janssen Patent Rights</w:t>
      </w:r>
      <w:r>
        <w:rPr>
          <w:rFonts w:ascii="Arial" w:cs="Arial" w:eastAsia="Arial" w:hAnsi="Arial"/>
          <w:sz w:val="18"/>
          <w:szCs w:val="18"/>
          <w:color w:val="auto"/>
        </w:rPr>
        <w:t>” means all Patent Rights Controlled by Janssen or any of its Related Parties that (a) are necessary or useful for the Development, Manufacture and/or Commercialization of a Product or (b) claim or disclose Inventions Controlled by Janssen or any of its Related Parties that are conceived of or reduced to practice in the course of the Development, Manufacture or Commercialization of Products under this Agreement.</w:t>
      </w:r>
    </w:p>
    <w:p>
      <w:pPr>
        <w:spacing w:after="0" w:line="86" w:lineRule="exact"/>
        <w:rPr>
          <w:sz w:val="20"/>
          <w:szCs w:val="20"/>
          <w:color w:val="auto"/>
        </w:rPr>
      </w:pPr>
    </w:p>
    <w:p>
      <w:pPr>
        <w:ind w:left="580" w:right="6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means all information, materials, Inventions and trade secrets, not generally known to the public, that do not fall within the Joint Patent Rights, discovered, developed, or conceived of jointly by employees of Janssen and ACI or their Affiliates, or by others acting on behalf of Janssen and ACI, in the course of activities undertaken under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69" w:right="259" w:bottom="1440" w:gutter="0" w:footer="0" w:header="0"/>
        </w:sectPr>
      </w:pPr>
    </w:p>
    <w:bookmarkStart w:id="333" w:name="page334"/>
    <w:bookmarkEnd w:id="33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440" w:right="118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580" w:right="3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Patent Rights</w:t>
      </w:r>
      <w:r>
        <w:rPr>
          <w:rFonts w:ascii="Arial" w:cs="Arial" w:eastAsia="Arial" w:hAnsi="Arial"/>
          <w:sz w:val="18"/>
          <w:szCs w:val="18"/>
          <w:color w:val="auto"/>
        </w:rPr>
        <w:t>” means Patent Rights that, recite a claim directed to an invention that was Joint Know-How at the time of the filing of the original patent application.</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all laws, statutes, rules, codes, regulations, orders, judgments, and ordinances of any Governmental Authority.</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MAA</w:t>
      </w:r>
      <w:r>
        <w:rPr>
          <w:rFonts w:ascii="Arial" w:cs="Arial" w:eastAsia="Arial" w:hAnsi="Arial"/>
          <w:sz w:val="16"/>
          <w:szCs w:val="16"/>
          <w:color w:val="auto"/>
        </w:rPr>
        <w:t>” means a marketing authorization application, or similar application, submitted to the EMA in the European Union.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w:t>
      </w:r>
      <w:r>
        <w:rPr>
          <w:rFonts w:ascii="Arial" w:cs="Arial" w:eastAsia="Arial" w:hAnsi="Arial"/>
          <w:sz w:val="17"/>
          <w:szCs w:val="17"/>
          <w:color w:val="auto"/>
        </w:rPr>
        <w:t>” means any of the United States, a Major Market Country of the EU and [*****].</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 Country of the EU</w:t>
      </w:r>
      <w:r>
        <w:rPr>
          <w:rFonts w:ascii="Arial" w:cs="Arial" w:eastAsia="Arial" w:hAnsi="Arial"/>
          <w:sz w:val="17"/>
          <w:szCs w:val="17"/>
          <w:color w:val="auto"/>
        </w:rPr>
        <w:t>” means any one of the following countries: [*****].</w:t>
      </w:r>
    </w:p>
    <w:p>
      <w:pPr>
        <w:spacing w:after="0" w:line="131" w:lineRule="exact"/>
        <w:rPr>
          <w:sz w:val="20"/>
          <w:szCs w:val="20"/>
          <w:color w:val="auto"/>
        </w:rPr>
      </w:pPr>
    </w:p>
    <w:p>
      <w:pPr>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Manufacturing</w:t>
      </w:r>
      <w:r>
        <w:rPr>
          <w:rFonts w:ascii="Arial" w:cs="Arial" w:eastAsia="Arial" w:hAnsi="Arial"/>
          <w:sz w:val="18"/>
          <w:szCs w:val="18"/>
          <w:color w:val="auto"/>
        </w:rPr>
        <w:t>” or “</w:t>
      </w:r>
      <w:r>
        <w:rPr>
          <w:rFonts w:ascii="Arial" w:cs="Arial" w:eastAsia="Arial" w:hAnsi="Arial"/>
          <w:sz w:val="18"/>
          <w:szCs w:val="18"/>
          <w:b w:val="1"/>
          <w:bCs w:val="1"/>
          <w:color w:val="auto"/>
        </w:rPr>
        <w:t>Manufacture</w:t>
      </w:r>
      <w:r>
        <w:rPr>
          <w:rFonts w:ascii="Arial" w:cs="Arial" w:eastAsia="Arial" w:hAnsi="Arial"/>
          <w:sz w:val="18"/>
          <w:szCs w:val="18"/>
          <w:color w:val="auto"/>
        </w:rPr>
        <w:t>” means the activities relating to producing a Product, including purchasing raw materials and intermediates, producing peptides or other active ingredients, formulating and filling, and all related quality control and quality assurance activities and all storage, shipping, handling, packaging and manufacturing technical transfer activities.</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Event</w:t>
      </w:r>
      <w:r>
        <w:rPr>
          <w:rFonts w:ascii="Arial" w:cs="Arial" w:eastAsia="Arial" w:hAnsi="Arial"/>
          <w:sz w:val="16"/>
          <w:szCs w:val="16"/>
          <w:color w:val="auto"/>
        </w:rPr>
        <w:t>” has the meaning set forth in section 9 .2.1.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Payment</w:t>
      </w:r>
      <w:r>
        <w:rPr>
          <w:rFonts w:ascii="Arial" w:cs="Arial" w:eastAsia="Arial" w:hAnsi="Arial"/>
          <w:sz w:val="16"/>
          <w:szCs w:val="16"/>
          <w:color w:val="auto"/>
        </w:rPr>
        <w:t>” has the meaning set forth in section 9.2.1.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or similar application, submitted to the FDA in the United States.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69" w:right="419" w:bottom="1440" w:gutter="0" w:footer="0" w:header="0"/>
        </w:sectPr>
      </w:pPr>
    </w:p>
    <w:bookmarkStart w:id="334" w:name="page335"/>
    <w:bookmarkEnd w:id="33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Janssen or ACI, and “</w:t>
      </w:r>
      <w:r>
        <w:rPr>
          <w:rFonts w:ascii="Arial" w:cs="Arial" w:eastAsia="Arial" w:hAnsi="Arial"/>
          <w:sz w:val="16"/>
          <w:szCs w:val="16"/>
          <w:b w:val="1"/>
          <w:bCs w:val="1"/>
          <w:color w:val="auto"/>
        </w:rPr>
        <w:t>Parties</w:t>
      </w:r>
      <w:r>
        <w:rPr>
          <w:rFonts w:ascii="Arial" w:cs="Arial" w:eastAsia="Arial" w:hAnsi="Arial"/>
          <w:sz w:val="16"/>
          <w:szCs w:val="16"/>
          <w:color w:val="auto"/>
        </w:rPr>
        <w:t>” means Janssen and ACI.</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580" w:right="2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Proceeding</w:t>
      </w:r>
      <w:r>
        <w:rPr>
          <w:rFonts w:ascii="Arial" w:cs="Arial" w:eastAsia="Arial" w:hAnsi="Arial"/>
          <w:sz w:val="18"/>
          <w:szCs w:val="18"/>
          <w:color w:val="auto"/>
        </w:rPr>
        <w:t>” means any opposition, re-issue, and re-examination, and any contested case, including inter-partes review, post-grant review, interference, derivation or similar proceedings.</w:t>
      </w:r>
    </w:p>
    <w:p>
      <w:pPr>
        <w:spacing w:after="0" w:line="67" w:lineRule="exact"/>
        <w:rPr>
          <w:sz w:val="20"/>
          <w:szCs w:val="20"/>
          <w:color w:val="auto"/>
        </w:rPr>
      </w:pPr>
    </w:p>
    <w:p>
      <w:pPr>
        <w:ind w:left="580" w:right="2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national, regional and international patents and patent applications, including divisions, continuations, continuations-in-part, additions, re-issues, renewals, extensions, substitutions, re-examinations or restorations, registrations and revalidations, and supplementary protection certificates and equivalents to any of the foregoing.</w:t>
      </w:r>
    </w:p>
    <w:p>
      <w:pPr>
        <w:spacing w:after="0" w:line="82"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Peptide</w:t>
      </w:r>
      <w:r>
        <w:rPr>
          <w:rFonts w:ascii="Arial" w:cs="Arial" w:eastAsia="Arial" w:hAnsi="Arial"/>
          <w:sz w:val="18"/>
          <w:szCs w:val="18"/>
          <w:color w:val="auto"/>
        </w:rPr>
        <w:t>” means any amino acid sequence or peptide or protein that is derived from Tau, including variants, modifications, fragments or derivatives of Tau and that is (i) disclosed or claimed in the ACI Patent Rights, or (ii) identified by either ACI or Janssen (or jointly by ACI and Janssen) prior to the end of the Research Term. For clarity, a Peptide shall not include a monoclonal antibody protein or nonantigenic fragment, nonantigenic derivative or nonantigenic modification thereof.</w:t>
      </w:r>
    </w:p>
    <w:p>
      <w:pPr>
        <w:spacing w:after="0" w:line="86" w:lineRule="exact"/>
        <w:rPr>
          <w:sz w:val="20"/>
          <w:szCs w:val="20"/>
          <w:color w:val="auto"/>
        </w:rPr>
      </w:pPr>
    </w:p>
    <w:p>
      <w:pPr>
        <w:jc w:val="both"/>
        <w:ind w:left="580" w:right="8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2 Clinical Trial</w:t>
      </w:r>
      <w:r>
        <w:rPr>
          <w:rFonts w:ascii="Arial" w:cs="Arial" w:eastAsia="Arial" w:hAnsi="Arial"/>
          <w:sz w:val="17"/>
          <w:szCs w:val="17"/>
          <w:color w:val="auto"/>
        </w:rPr>
        <w:t>” means a Clinical Trial generally consistent with 21 CFR §312.21(b) that is required for receipt of Regulatory Approval of a Product and which is conducted to evaluate the effectiveness and the appropriate dose range of a Product for a particular indication or indications in patients with the disease or condition under study and to determine the common short-term side effects and risks.</w:t>
      </w:r>
    </w:p>
    <w:p>
      <w:pPr>
        <w:spacing w:after="0" w:line="64" w:lineRule="exact"/>
        <w:rPr>
          <w:sz w:val="20"/>
          <w:szCs w:val="20"/>
          <w:color w:val="auto"/>
        </w:rPr>
      </w:pPr>
    </w:p>
    <w:p>
      <w:pPr>
        <w:jc w:val="center"/>
        <w:ind w:right="100"/>
        <w:spacing w:after="0"/>
        <w:tabs>
          <w:tab w:leader="none" w:pos="24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3 Clinical Trial</w:t>
      </w:r>
      <w:r>
        <w:rPr>
          <w:rFonts w:ascii="Arial" w:cs="Arial" w:eastAsia="Arial" w:hAnsi="Arial"/>
          <w:sz w:val="16"/>
          <w:szCs w:val="16"/>
          <w:color w:val="auto"/>
        </w:rPr>
        <w:t>” means a Clinical Trial generally consistent with 21 CFR §312.21(c) that is required for receipt of Regulatory Approval of a</w:t>
      </w:r>
    </w:p>
    <w:p>
      <w:pPr>
        <w:spacing w:after="0" w:line="27" w:lineRule="exact"/>
        <w:rPr>
          <w:sz w:val="20"/>
          <w:szCs w:val="20"/>
          <w:color w:val="auto"/>
        </w:rPr>
      </w:pPr>
    </w:p>
    <w:p>
      <w:pPr>
        <w:ind w:left="580" w:right="660"/>
        <w:spacing w:after="0" w:line="323" w:lineRule="auto"/>
        <w:rPr>
          <w:sz w:val="20"/>
          <w:szCs w:val="20"/>
          <w:color w:val="auto"/>
        </w:rPr>
      </w:pPr>
      <w:r>
        <w:rPr>
          <w:rFonts w:ascii="Arial" w:cs="Arial" w:eastAsia="Arial" w:hAnsi="Arial"/>
          <w:sz w:val="16"/>
          <w:szCs w:val="16"/>
          <w:color w:val="auto"/>
        </w:rPr>
        <w:t>Product and which is conducted after preliminary evidence suggesting effectiveness of the drug has been obtained, and are intended to gather additional information to evaluate the overall benefit-risk relationship of the drug and provide an adequate basis for physician labeling.</w:t>
      </w:r>
    </w:p>
    <w:p>
      <w:pPr>
        <w:spacing w:after="0" w:line="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means any [*****].</w:t>
      </w:r>
    </w:p>
    <w:p>
      <w:pPr>
        <w:spacing w:after="0" w:line="131" w:lineRule="exact"/>
        <w:rPr>
          <w:sz w:val="20"/>
          <w:szCs w:val="20"/>
          <w:color w:val="auto"/>
        </w:rPr>
      </w:pPr>
    </w:p>
    <w:p>
      <w:pPr>
        <w:ind w:left="580" w:right="2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approval and authorization, by governmental entities, required for marketing and commercial sale of a Product in a country or region, such as an NDA or BLA in the United States, an MAA or BLA in the European Union and [*****].</w:t>
      </w:r>
    </w:p>
    <w:p>
      <w:pPr>
        <w:spacing w:after="0" w:line="67" w:lineRule="exact"/>
        <w:rPr>
          <w:sz w:val="20"/>
          <w:szCs w:val="20"/>
          <w:color w:val="auto"/>
        </w:rPr>
      </w:pPr>
    </w:p>
    <w:p>
      <w:pPr>
        <w:ind w:left="580" w:right="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 regulatory authority involved in granting Regulatory Approval in the Territory, including the FDA, EMA/European Commission [*****].</w:t>
      </w:r>
    </w:p>
    <w:p>
      <w:pPr>
        <w:spacing w:after="0" w:line="67" w:lineRule="exact"/>
        <w:rPr>
          <w:sz w:val="20"/>
          <w:szCs w:val="20"/>
          <w:color w:val="auto"/>
        </w:rPr>
      </w:pPr>
    </w:p>
    <w:p>
      <w:pPr>
        <w:ind w:left="580" w:right="44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Filing(s)</w:t>
      </w:r>
      <w:r>
        <w:rPr>
          <w:rFonts w:ascii="Arial" w:cs="Arial" w:eastAsia="Arial" w:hAnsi="Arial"/>
          <w:sz w:val="16"/>
          <w:szCs w:val="16"/>
          <w:color w:val="auto"/>
        </w:rPr>
        <w:t>” means acceptance by Regulatory Authorities of a marketing approval application and/or any other comparable filings or dossier as may be required by Regulatory Authorities to obtain Regulatory Approvals for marketing or use of a Product in the Field.</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Party</w:t>
      </w:r>
      <w:r>
        <w:rPr>
          <w:rFonts w:ascii="Arial" w:cs="Arial" w:eastAsia="Arial" w:hAnsi="Arial"/>
          <w:sz w:val="16"/>
          <w:szCs w:val="16"/>
          <w:color w:val="auto"/>
        </w:rPr>
        <w:t>” means each of Janssen’s Affiliates and permitted sublicensees.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Research</w:t>
      </w:r>
      <w:r>
        <w:rPr>
          <w:rFonts w:ascii="Arial" w:cs="Arial" w:eastAsia="Arial" w:hAnsi="Arial"/>
          <w:sz w:val="17"/>
          <w:szCs w:val="17"/>
          <w:color w:val="auto"/>
        </w:rPr>
        <w:t>” means [*****].</w:t>
      </w:r>
    </w:p>
    <w:p>
      <w:pPr>
        <w:spacing w:after="0" w:line="131" w:lineRule="exact"/>
        <w:rPr>
          <w:sz w:val="20"/>
          <w:szCs w:val="20"/>
          <w:color w:val="auto"/>
        </w:rPr>
      </w:pPr>
    </w:p>
    <w:p>
      <w:pPr>
        <w:ind w:left="580" w:right="54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xml:space="preserve">” means the Research activities to be conducted by the Parties for the Product during the Research Term, as may be updated or amended from time to time in accordance with the terms of this Agreement. The initial Research Plan is attached as </w:t>
      </w:r>
      <w:r>
        <w:rPr>
          <w:rFonts w:ascii="Arial" w:cs="Arial" w:eastAsia="Arial" w:hAnsi="Arial"/>
          <w:sz w:val="16"/>
          <w:szCs w:val="16"/>
          <w:u w:val="single" w:color="auto"/>
          <w:color w:val="auto"/>
        </w:rPr>
        <w:t>Schedule 1.66</w:t>
      </w:r>
      <w:r>
        <w:rPr>
          <w:rFonts w:ascii="Arial" w:cs="Arial" w:eastAsia="Arial" w:hAnsi="Arial"/>
          <w:sz w:val="16"/>
          <w:szCs w:val="16"/>
          <w:color w:val="auto"/>
        </w:rPr>
        <w: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Term</w:t>
      </w:r>
      <w:r>
        <w:rPr>
          <w:rFonts w:ascii="Arial" w:cs="Arial" w:eastAsia="Arial" w:hAnsi="Arial"/>
          <w:sz w:val="16"/>
          <w:szCs w:val="16"/>
          <w:color w:val="auto"/>
        </w:rPr>
        <w:t>” means the three year period immediately following the Effective Date.</w:t>
      </w:r>
    </w:p>
    <w:p>
      <w:pPr>
        <w:spacing w:after="0" w:line="131"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Second Indication</w:t>
      </w:r>
      <w:r>
        <w:rPr>
          <w:rFonts w:ascii="Arial" w:cs="Arial" w:eastAsia="Arial" w:hAnsi="Arial"/>
          <w:sz w:val="18"/>
          <w:szCs w:val="18"/>
          <w:color w:val="auto"/>
        </w:rPr>
        <w:t>” means an Indication listed under the header “INDICATIONS AND USAGE” of a Product’s approved label upon Regulatory Approval for the Product by a Regulatory Authority other than the AD Indication. For purposes of the milestones that occur prior to receipt of Regulatory Approval, “Second Indication” means an Indication that is not the AD Indication and is intended to be included in the regulatory filing for such Product.</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Swiss Francs</w:t>
      </w:r>
      <w:r>
        <w:rPr>
          <w:rFonts w:ascii="Arial" w:cs="Arial" w:eastAsia="Arial" w:hAnsi="Arial"/>
          <w:sz w:val="16"/>
          <w:szCs w:val="16"/>
          <w:color w:val="auto"/>
        </w:rPr>
        <w:t>” or “</w:t>
      </w:r>
      <w:r>
        <w:rPr>
          <w:rFonts w:ascii="Arial" w:cs="Arial" w:eastAsia="Arial" w:hAnsi="Arial"/>
          <w:sz w:val="16"/>
          <w:szCs w:val="16"/>
          <w:b w:val="1"/>
          <w:bCs w:val="1"/>
          <w:color w:val="auto"/>
        </w:rPr>
        <w:t>CHF</w:t>
      </w:r>
      <w:r>
        <w:rPr>
          <w:rFonts w:ascii="Arial" w:cs="Arial" w:eastAsia="Arial" w:hAnsi="Arial"/>
          <w:sz w:val="16"/>
          <w:szCs w:val="16"/>
          <w:color w:val="auto"/>
        </w:rPr>
        <w:t>” means Swiss francs.</w:t>
      </w:r>
    </w:p>
    <w:p>
      <w:pPr>
        <w:spacing w:after="0" w:line="131" w:lineRule="exact"/>
        <w:rPr>
          <w:sz w:val="20"/>
          <w:szCs w:val="20"/>
          <w:color w:val="auto"/>
        </w:rPr>
      </w:pPr>
    </w:p>
    <w:p>
      <w:pPr>
        <w:ind w:left="580" w:right="3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Tau</w:t>
      </w:r>
      <w:r>
        <w:rPr>
          <w:rFonts w:ascii="Arial" w:cs="Arial" w:eastAsia="Arial" w:hAnsi="Arial"/>
          <w:sz w:val="18"/>
          <w:szCs w:val="18"/>
          <w:color w:val="auto"/>
        </w:rPr>
        <w:t>” means the microtubule-associated protein known as tau and all isoforms thereof, with Uniprot # P10636 for human microtubule-associated protein tan and human MAPT gene.</w:t>
      </w:r>
    </w:p>
    <w:p>
      <w:pPr>
        <w:spacing w:after="0" w:line="67" w:lineRule="exact"/>
        <w:rPr>
          <w:sz w:val="20"/>
          <w:szCs w:val="20"/>
          <w:color w:val="auto"/>
        </w:rPr>
      </w:pPr>
    </w:p>
    <w:p>
      <w:pPr>
        <w:ind w:left="580" w:right="2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present or future taxes, levies, imposts, duties, charges and assessments of any nature (including any interest thereon), but excluding any penalties imposed by any tax authority.</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12.1.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all of the countries in the world, and their territories and possessions.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 entity other than Janssen and its Related Parties, and ACI and its Affiliates.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has the meaning set forth in section 13.1.1.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USD</w:t>
      </w:r>
      <w:r>
        <w:rPr>
          <w:rFonts w:ascii="Arial" w:cs="Arial" w:eastAsia="Arial" w:hAnsi="Arial"/>
          <w:sz w:val="16"/>
          <w:szCs w:val="16"/>
          <w:color w:val="auto"/>
        </w:rPr>
        <w:t>” or “</w:t>
      </w:r>
      <w:r>
        <w:rPr>
          <w:rFonts w:ascii="Arial" w:cs="Arial" w:eastAsia="Arial" w:hAnsi="Arial"/>
          <w:sz w:val="16"/>
          <w:szCs w:val="16"/>
          <w:b w:val="1"/>
          <w:bCs w:val="1"/>
          <w:color w:val="auto"/>
        </w:rPr>
        <w:t>U.S. Dollars</w:t>
      </w:r>
      <w:r>
        <w:rPr>
          <w:rFonts w:ascii="Arial" w:cs="Arial" w:eastAsia="Arial" w:hAnsi="Arial"/>
          <w:sz w:val="16"/>
          <w:szCs w:val="16"/>
          <w:color w:val="auto"/>
        </w:rPr>
        <w:t>” means United States dollars.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Vaccine</w:t>
      </w:r>
      <w:r>
        <w:rPr>
          <w:rFonts w:ascii="Arial" w:cs="Arial" w:eastAsia="Arial" w:hAnsi="Arial"/>
          <w:sz w:val="17"/>
          <w:szCs w:val="17"/>
          <w:color w:val="auto"/>
        </w:rPr>
        <w:t>” means [*****] Tau.</w:t>
      </w:r>
    </w:p>
    <w:p>
      <w:pPr>
        <w:spacing w:after="0" w:line="131" w:lineRule="exact"/>
        <w:rPr>
          <w:sz w:val="20"/>
          <w:szCs w:val="20"/>
          <w:color w:val="auto"/>
        </w:rPr>
      </w:pPr>
    </w:p>
    <w:p>
      <w:pPr>
        <w:ind w:left="580" w:hanging="566"/>
        <w:spacing w:after="0" w:line="292" w:lineRule="auto"/>
        <w:tabs>
          <w:tab w:leader="none" w:pos="56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any claim of an issued unexpired patent that (i) has not been finally cancelled, withdrawn, abandoned or rejected by any administrative agency or other body of competent jurisdiction; (ii) has not been permanently revoked, or held invalid by a decision of a court or other body of competent jurisdiction that is unappealable or unappealed within the time allowed for appeal; (iii) has not been rendered unenforceable through terminal disclaimer or otherwise and (iv) is not lost through an interference proceeding that is unappealable or unappealed within the time allowed for appeal or (b) a claim of a pending patent application where such claim has been pending for a period of [*****] years or less. If a claim of a published patent application that ceased to be a Valid Claim under this subsection (b) of this section later issues or grants as a patent within the scope of subsection (a), then such claim is considered to be a Valid Claim from the date of such issue or grant.</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Safety Issue</w:t>
      </w:r>
      <w:r>
        <w:rPr>
          <w:rFonts w:ascii="Arial" w:cs="Arial" w:eastAsia="Arial" w:hAnsi="Arial"/>
          <w:sz w:val="16"/>
          <w:szCs w:val="16"/>
          <w:color w:val="auto"/>
        </w:rPr>
        <w:t>” has the meaning set forth in section 12.2.2.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1.80</w:t>
      </w:r>
      <w:r>
        <w:rPr>
          <w:sz w:val="20"/>
          <w:szCs w:val="20"/>
          <w:color w:val="auto"/>
        </w:rPr>
        <w:tab/>
      </w:r>
      <w:r>
        <w:rPr>
          <w:rFonts w:ascii="Arial" w:cs="Arial" w:eastAsia="Arial" w:hAnsi="Arial"/>
          <w:sz w:val="16"/>
          <w:szCs w:val="16"/>
          <w:b w:val="1"/>
          <w:bCs w:val="1"/>
          <w:color w:val="auto"/>
        </w:rPr>
        <w:t>Additional Definitions</w:t>
      </w:r>
      <w:r>
        <w:rPr>
          <w:rFonts w:ascii="Arial" w:cs="Arial" w:eastAsia="Arial" w:hAnsi="Arial"/>
          <w:sz w:val="16"/>
          <w:szCs w:val="16"/>
          <w:color w:val="auto"/>
        </w:rPr>
        <w:t>. Each of the following definitions is set forth in the Section of this Agreement indicated below:</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86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1780" w:type="dxa"/>
            <w:vAlign w:val="bottom"/>
            <w:gridSpan w:val="3"/>
          </w:tcPr>
          <w:p>
            <w:pPr>
              <w:ind w:left="1320"/>
              <w:spacing w:after="0"/>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gridSpan w:val="2"/>
          </w:tcPr>
          <w:p>
            <w:pPr>
              <w:spacing w:after="0"/>
              <w:rPr>
                <w:sz w:val="20"/>
                <w:szCs w:val="20"/>
                <w:color w:val="auto"/>
              </w:rPr>
            </w:pPr>
            <w:r>
              <w:rPr>
                <w:rFonts w:ascii="Arial" w:cs="Arial" w:eastAsia="Arial" w:hAnsi="Arial"/>
                <w:sz w:val="18"/>
                <w:szCs w:val="18"/>
                <w:color w:val="auto"/>
              </w:rPr>
              <w:t>ACI Business Acquisition</w:t>
            </w:r>
          </w:p>
        </w:tc>
        <w:tc>
          <w:tcPr>
            <w:tcW w:w="1340" w:type="dxa"/>
            <w:vAlign w:val="bottom"/>
            <w:vMerge w:val="continue"/>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jc w:val="right"/>
              <w:ind w:right="199"/>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37" w:name="page338"/>
    <w:bookmarkEnd w:id="3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94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1800" w:type="dxa"/>
            <w:vAlign w:val="bottom"/>
            <w:gridSpan w:val="3"/>
          </w:tcPr>
          <w:p>
            <w:pPr>
              <w:ind w:left="124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360" w:type="dxa"/>
            <w:vAlign w:val="bottom"/>
            <w:vMerge w:val="restart"/>
          </w:tcPr>
          <w:p>
            <w:pPr>
              <w:ind w:left="80"/>
              <w:spacing w:after="0"/>
              <w:rPr>
                <w:sz w:val="20"/>
                <w:szCs w:val="20"/>
                <w:color w:val="auto"/>
              </w:rPr>
            </w:pPr>
            <w:r>
              <w:rPr>
                <w:rFonts w:ascii="Arial" w:cs="Arial" w:eastAsia="Arial" w:hAnsi="Arial"/>
                <w:sz w:val="18"/>
                <w:szCs w:val="18"/>
                <w:color w:val="auto"/>
              </w:rPr>
              <w:t>Product</w:t>
            </w:r>
          </w:p>
        </w:tc>
        <w:tc>
          <w:tcPr>
            <w:tcW w:w="1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w w:val="84"/>
              </w:rPr>
              <w:t>Back-up</w:t>
            </w:r>
          </w:p>
        </w:tc>
        <w:tc>
          <w:tcPr>
            <w:tcW w:w="236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3"/>
              </w:rPr>
              <w:t>9.2.1(a)</w:t>
            </w:r>
          </w:p>
        </w:tc>
        <w:tc>
          <w:tcPr>
            <w:tcW w:w="0" w:type="dxa"/>
            <w:vAlign w:val="bottom"/>
          </w:tcPr>
          <w:p>
            <w:pPr>
              <w:spacing w:after="0"/>
              <w:rPr>
                <w:sz w:val="1"/>
                <w:szCs w:val="1"/>
                <w:color w:val="auto"/>
              </w:rPr>
            </w:pPr>
          </w:p>
        </w:tc>
      </w:tr>
      <w:tr>
        <w:trPr>
          <w:trHeight w:val="310"/>
        </w:trPr>
        <w:tc>
          <w:tcPr>
            <w:tcW w:w="2940" w:type="dxa"/>
            <w:vAlign w:val="bottom"/>
            <w:gridSpan w:val="2"/>
          </w:tcPr>
          <w:p>
            <w:pPr>
              <w:spacing w:after="0"/>
              <w:rPr>
                <w:sz w:val="20"/>
                <w:szCs w:val="20"/>
                <w:color w:val="auto"/>
              </w:rPr>
            </w:pPr>
            <w:r>
              <w:rPr>
                <w:rFonts w:ascii="Arial" w:cs="Arial" w:eastAsia="Arial" w:hAnsi="Arial"/>
                <w:sz w:val="18"/>
                <w:szCs w:val="18"/>
                <w:color w:val="auto"/>
              </w:rPr>
              <w:t>CMC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Completion</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w w:val="86"/>
              </w:rPr>
              <w:t>9.2.1(a)</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FTE</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ISC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JRC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Lead Product</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w w:val="86"/>
              </w:rPr>
              <w:t>9.2.1(a)</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Outside Patent Counsel</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DILIGENCE</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2.1 Diligent Efforts</w:t>
      </w:r>
      <w:r>
        <w:rPr>
          <w:rFonts w:ascii="Arial" w:cs="Arial" w:eastAsia="Arial" w:hAnsi="Arial"/>
          <w:sz w:val="18"/>
          <w:szCs w:val="18"/>
          <w:color w:val="auto"/>
        </w:rPr>
        <w:t>. Janssen shall use Diligent Efforts to Develop, Manufacture and Commercialize a first Product for the AD Indication in each country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 Market.</w:t>
      </w:r>
    </w:p>
    <w:p>
      <w:pPr>
        <w:spacing w:after="0" w:line="16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2.2 ACI</w:t>
      </w:r>
      <w:r>
        <w:rPr>
          <w:rFonts w:ascii="Arial" w:cs="Arial" w:eastAsia="Arial" w:hAnsi="Arial"/>
          <w:sz w:val="16"/>
          <w:szCs w:val="16"/>
          <w:color w:val="auto"/>
        </w:rPr>
        <w:t>. ACI and its Affiliates will not Develop or Commercialize a Product except according to the terms of this Agreement. In the case of a 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of ACI, or if ACI or an Affiliate of ACI acquires any Third Party, business or assets, or any interest therein (a “</w:t>
      </w:r>
      <w:r>
        <w:rPr>
          <w:rFonts w:ascii="Arial" w:cs="Arial" w:eastAsia="Arial" w:hAnsi="Arial"/>
          <w:sz w:val="16"/>
          <w:szCs w:val="16"/>
          <w:b w:val="1"/>
          <w:bCs w:val="1"/>
          <w:color w:val="auto"/>
        </w:rPr>
        <w:t>ACI Business Acquisition</w:t>
      </w:r>
      <w:r>
        <w:rPr>
          <w:rFonts w:ascii="Arial" w:cs="Arial" w:eastAsia="Arial" w:hAnsi="Arial"/>
          <w:sz w:val="16"/>
          <w:szCs w:val="16"/>
          <w:color w:val="auto"/>
        </w:rPr>
        <w:t>”), then the aforementioned restrictions shall not apply to any Development or Commercialization program of the surviving entity or Affiliate that was not ACI (prior to the Change of Control or ACI Business Acquisition) had ongoing as of immediately prior to the date of such Change of Control or ACI Business Acquisition.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JOINT RESEARCH COMMITTEE ACTIVITIES</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3.1 Formation and Purpose</w:t>
      </w:r>
      <w:r>
        <w:rPr>
          <w:rFonts w:ascii="Arial" w:cs="Arial" w:eastAsia="Arial" w:hAnsi="Arial"/>
          <w:sz w:val="16"/>
          <w:szCs w:val="16"/>
          <w:color w:val="auto"/>
        </w:rPr>
        <w:t>. Within [*****] days after the Effective Date, the Parties will form a joint research committee (“</w:t>
      </w:r>
      <w:r>
        <w:rPr>
          <w:rFonts w:ascii="Arial" w:cs="Arial" w:eastAsia="Arial" w:hAnsi="Arial"/>
          <w:sz w:val="16"/>
          <w:szCs w:val="16"/>
          <w:b w:val="1"/>
          <w:bCs w:val="1"/>
          <w:color w:val="auto"/>
        </w:rPr>
        <w:t>JRC</w:t>
      </w:r>
      <w:r>
        <w:rPr>
          <w:rFonts w:ascii="Arial" w:cs="Arial" w:eastAsia="Arial" w:hAnsi="Arial"/>
          <w:sz w:val="16"/>
          <w:szCs w:val="16"/>
          <w:color w:val="auto"/>
        </w:rPr>
        <w:t>”) to oversee the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under this Agreement during the Research Term. The purposes of the JRC will be to provide oversight of the Research Plan, to resolve matters relating to Research in which the Parties are unable to reach consensus, and to approve plans, budgets and resource allocation for the Research.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Specific Responsibilities of the JRC</w:t>
      </w:r>
      <w:r>
        <w:rPr>
          <w:rFonts w:ascii="Arial" w:cs="Arial" w:eastAsia="Arial" w:hAnsi="Arial"/>
          <w:sz w:val="18"/>
          <w:szCs w:val="18"/>
          <w:color w:val="auto"/>
        </w:rPr>
        <w:t>. As part of its overall responsibilities described in section 3.1, the JRC will:</w:t>
      </w:r>
    </w:p>
    <w:p>
      <w:pPr>
        <w:spacing w:after="0" w:line="135" w:lineRule="exact"/>
        <w:rPr>
          <w:sz w:val="20"/>
          <w:szCs w:val="20"/>
          <w:color w:val="auto"/>
        </w:rPr>
      </w:pPr>
    </w:p>
    <w:p>
      <w:pPr>
        <w:ind w:left="1940" w:hanging="568"/>
        <w:spacing w:after="0"/>
        <w:tabs>
          <w:tab w:leader="none" w:pos="19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the progress of the Research activities, and if necessary, propose and approve changes to the Research Plan;</w:t>
      </w:r>
    </w:p>
    <w:p>
      <w:pPr>
        <w:spacing w:after="0" w:line="130" w:lineRule="exact"/>
        <w:rPr>
          <w:rFonts w:ascii="Arial" w:cs="Arial" w:eastAsia="Arial" w:hAnsi="Arial"/>
          <w:sz w:val="18"/>
          <w:szCs w:val="18"/>
          <w:color w:val="auto"/>
        </w:rPr>
      </w:pPr>
    </w:p>
    <w:p>
      <w:pPr>
        <w:ind w:left="1940" w:hanging="568"/>
        <w:spacing w:after="0"/>
        <w:tabs>
          <w:tab w:leader="none" w:pos="19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and approve any changes to the allocation of responsibility for Research costs;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69" w:right="279" w:bottom="1440" w:gutter="0" w:footer="0" w:header="0"/>
        </w:sectPr>
      </w:pPr>
    </w:p>
    <w:bookmarkStart w:id="338" w:name="page339"/>
    <w:bookmarkEnd w:id="3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right="300" w:hanging="568"/>
        <w:spacing w:after="0" w:line="277" w:lineRule="auto"/>
        <w:tabs>
          <w:tab w:leader="none" w:pos="19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review and approve the strategy for the filing, prosecution, and maintenance of the ACI Patent Rights, Janssen Patent Rights or Joint Patent Rights; and</w:t>
      </w:r>
    </w:p>
    <w:p>
      <w:pPr>
        <w:spacing w:after="0" w:line="75" w:lineRule="exact"/>
        <w:rPr>
          <w:rFonts w:ascii="Arial" w:cs="Arial" w:eastAsia="Arial" w:hAnsi="Arial"/>
          <w:sz w:val="18"/>
          <w:szCs w:val="18"/>
          <w:color w:val="auto"/>
        </w:rPr>
      </w:pPr>
    </w:p>
    <w:p>
      <w:pPr>
        <w:ind w:left="1940" w:hanging="568"/>
        <w:spacing w:after="0"/>
        <w:tabs>
          <w:tab w:leader="none" w:pos="19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perform such other functions as appropriate to further the purposes of this Agreement as determined by the Parties.</w:t>
      </w:r>
    </w:p>
    <w:p>
      <w:pPr>
        <w:spacing w:after="0" w:line="2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3.3 JRC Meetings</w:t>
      </w:r>
      <w:r>
        <w:rPr>
          <w:rFonts w:ascii="Arial" w:cs="Arial" w:eastAsia="Arial" w:hAnsi="Arial"/>
          <w:sz w:val="16"/>
          <w:szCs w:val="16"/>
          <w:color w:val="auto"/>
        </w:rPr>
        <w:t>. The JRC will meet at least quarterly during the Research Term. The first meeting of the JRC will be held as soon as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practicable, but in no event later than [*****] after the Effective Date. Meetings will be held at a place or places as are mutually agreed or by teleconference or videoconference, provided that at least [*****] of the meetings are in person annually. The JRC meetings will be co-chaired, one designated by each Party. The co-chairpersons of the JRC will be responsible for calling meetings, preparing and circulating an agenda in advance of each meeting of the JRC, and preparing and issuing minutes of each meeting within [*****] thereafter;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 JRC co-chairperson will call a meeting promptly upon the request of the other co-chairperson to convene a JRC meeting. The minutes will not be finalized until both chairpersons review and approve them. The co-chairs will rotate the responsibility for recording, preparing and issuing draft minutes of each JRC meeting. [*****].</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3.4 Membership</w:t>
      </w:r>
      <w:r>
        <w:rPr>
          <w:rFonts w:ascii="Arial" w:cs="Arial" w:eastAsia="Arial" w:hAnsi="Arial"/>
          <w:sz w:val="17"/>
          <w:szCs w:val="17"/>
          <w:color w:val="auto"/>
        </w:rPr>
        <w:t>. The JRC will have [*****] co-chairpersons, one designated by each Party and an equal number of additional members from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such total number including co-chairpersons not to exceed [*****] from each Party, with any additional members invited to participate on an as-needed basis. The co-chairpersons of the JRC will mutually determine the number of such additional members of the JRC, which such number may be changed from time to time by the co-chairpersons. Each Party may replace its JRC representatives at any time upon written notice to the other Party. Each Party may change its respective designated co-chairperson(s) from time to time upon written notice to the other Party,</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3.5 Sub-committees</w:t>
      </w:r>
      <w:r>
        <w:rPr>
          <w:rFonts w:ascii="Arial" w:cs="Arial" w:eastAsia="Arial" w:hAnsi="Arial"/>
          <w:sz w:val="18"/>
          <w:szCs w:val="18"/>
          <w:color w:val="auto"/>
        </w:rPr>
        <w:t>. The JRC will establish joint sub-committees as needed, and will delegate duties to such joint sub-committees to oversee and direct</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projects or activities at an appropriate time of which specific responsibilities and operating procedures will be separately agreed by the Parties at the JRC. One such sub-committee may be a joint intellectual property committee for preparation of the strategy on the filing, prosecution, and maintenance of the ACI Patents, Janssen Patents or Joint Patents.</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3.6 JRC Decision-Making</w:t>
      </w:r>
      <w:r>
        <w:rPr>
          <w:rFonts w:ascii="Arial" w:cs="Arial" w:eastAsia="Arial" w:hAnsi="Arial"/>
          <w:sz w:val="18"/>
          <w:szCs w:val="18"/>
          <w:color w:val="auto"/>
        </w:rPr>
        <w:t>. The JRC will take action by unanimous vote with each Party having a single vote, irrespective of the number of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actually in attendance at a meeting, or by a written resolution signed by all of the designated representatives of each of the Parties. If the JRC is unable to reach unanimous consent on a particular matter within [*****] (unless otherwise agreed) of its initial consideration of such matter, then the matter will be referred to the Executive Officers (or their respective designees;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such designee is not a member of the JRC and occupies a position senior to the positions occupied by the applicable Party’s members of the JRC) of the other Party for resolution. If the Executive Officers are unable to resolve a dispute pursuant to section 3.6 after good faith negotiations (not to extend beyond [*****] unless otherwise agreed), such issue will be decided consistent with [*****].</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RESEARCH</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4.1 Research Efforts</w:t>
      </w:r>
      <w:r>
        <w:rPr>
          <w:rFonts w:ascii="Arial" w:cs="Arial" w:eastAsia="Arial" w:hAnsi="Arial"/>
          <w:sz w:val="18"/>
          <w:szCs w:val="18"/>
          <w:color w:val="auto"/>
        </w:rPr>
        <w:t>. Each Party will use Diligent Efforts a) to execute and perform its obligations under the Research Plan during the Research Term, b)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and utilize for the conduct of Research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69" w:right="25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scientific staff, laboratories, offices and other facilities consistent with its commitment of FTEs herein, and c) to cooperate with each other in the conduct of the Research. “</w:t>
      </w:r>
      <w:r>
        <w:rPr>
          <w:rFonts w:ascii="Arial" w:cs="Arial" w:eastAsia="Arial" w:hAnsi="Arial"/>
          <w:sz w:val="16"/>
          <w:szCs w:val="16"/>
          <w:b w:val="1"/>
          <w:bCs w:val="1"/>
          <w:color w:val="auto"/>
        </w:rPr>
        <w:t>FTE</w:t>
      </w:r>
      <w:r>
        <w:rPr>
          <w:rFonts w:ascii="Arial" w:cs="Arial" w:eastAsia="Arial" w:hAnsi="Arial"/>
          <w:sz w:val="16"/>
          <w:szCs w:val="16"/>
          <w:color w:val="auto"/>
        </w:rPr>
        <w:t xml:space="preserve">” means the equivalent of the work of one employee with appropriate professional scientific and/or technical or managerial experience, working on a dedicated full time basis for [*****] (consisting of at least a total of [*****] hours per year of dedicated effort, excluding vacations and holidays) of work on or directly related to the activities under this Agreement. ACI shall take adequate measures to ensure that its employees conducting Research or Development activities under this Agreement will not be working on any other Tau [*****] Tau-active antibody [*****]; provided that the foregoing will not apply [*****]. A list of ACI employees who will be conducting Research or Development activities under this Agreement is attached as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The JRC will update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as needed if additional ACI employees conduct Research or Development activities during the Term.</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4.2 Research Costs</w:t>
      </w:r>
      <w:r>
        <w:rPr>
          <w:rFonts w:ascii="Arial" w:cs="Arial" w:eastAsia="Arial" w:hAnsi="Arial"/>
          <w:sz w:val="18"/>
          <w:szCs w:val="18"/>
          <w:color w:val="auto"/>
        </w:rPr>
        <w:t>. During the second year of the Research Term, and upon completion of the “analysis of sera (J&amp;J and ACI) on functionality” as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on part 1 of the Research Plan in Schedule 1.66, ACI will provide Janssen with a written invoice for [*****]. During the Research Term, ACI will provide Janssen with a report at the end of each Calendar Quarter providing an accounting of the Research activities conducted by ACI during the previous Calendar Quarter and the costs for conducting those Research activities. If ACI fails to perform a Research activity assigned to it under the then current Research Plan, then [*****]</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INFORMATION SHARING COMMITTEE</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5.1 Formation and Purpose</w:t>
      </w:r>
      <w:r>
        <w:rPr>
          <w:rFonts w:ascii="Arial" w:cs="Arial" w:eastAsia="Arial" w:hAnsi="Arial"/>
          <w:sz w:val="18"/>
          <w:szCs w:val="18"/>
          <w:color w:val="auto"/>
        </w:rPr>
        <w:t>: Within [*****] after the Effective Date, the Parties will establish an Information Sharing Committee (the “ISC”) to monitor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Product. The ISC will review and discuss the Development activities to be undertaken with respect to the Product being Developed by Janssen and will provide a forum for ACI to provide input into such Development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Specific Responsibilities of the ISC: </w:t>
      </w:r>
      <w:r>
        <w:rPr>
          <w:rFonts w:ascii="Arial" w:cs="Arial" w:eastAsia="Arial" w:hAnsi="Arial"/>
          <w:sz w:val="18"/>
          <w:szCs w:val="18"/>
          <w:color w:val="auto"/>
        </w:rPr>
        <w:t>As part of its overall responsibilities described in section 5.1, the ISC will:</w:t>
      </w:r>
    </w:p>
    <w:p>
      <w:pPr>
        <w:spacing w:after="0" w:line="135" w:lineRule="exact"/>
        <w:rPr>
          <w:sz w:val="20"/>
          <w:szCs w:val="20"/>
          <w:color w:val="auto"/>
        </w:rPr>
      </w:pPr>
    </w:p>
    <w:p>
      <w:pPr>
        <w:ind w:left="1940" w:hanging="568"/>
        <w:spacing w:after="0"/>
        <w:tabs>
          <w:tab w:leader="none" w:pos="19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the progress of the Development Plan;</w:t>
      </w:r>
    </w:p>
    <w:p>
      <w:pPr>
        <w:spacing w:after="0" w:line="130" w:lineRule="exact"/>
        <w:rPr>
          <w:rFonts w:ascii="Arial" w:cs="Arial" w:eastAsia="Arial" w:hAnsi="Arial"/>
          <w:sz w:val="18"/>
          <w:szCs w:val="18"/>
          <w:color w:val="auto"/>
        </w:rPr>
      </w:pPr>
    </w:p>
    <w:p>
      <w:pPr>
        <w:ind w:left="1940" w:hanging="568"/>
        <w:spacing w:after="0"/>
        <w:tabs>
          <w:tab w:leader="none" w:pos="19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any changes to the Development Plan.</w:t>
      </w:r>
    </w:p>
    <w:p>
      <w:pPr>
        <w:spacing w:after="0" w:line="130" w:lineRule="exact"/>
        <w:rPr>
          <w:rFonts w:ascii="Arial" w:cs="Arial" w:eastAsia="Arial" w:hAnsi="Arial"/>
          <w:sz w:val="18"/>
          <w:szCs w:val="18"/>
          <w:color w:val="auto"/>
        </w:rPr>
      </w:pPr>
    </w:p>
    <w:p>
      <w:pPr>
        <w:ind w:left="5620" w:right="4840" w:hanging="4248"/>
        <w:spacing w:after="0" w:line="490" w:lineRule="auto"/>
        <w:tabs>
          <w:tab w:leader="none" w:pos="193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actively seek ACI input and consider all input in good faith; and 12</w:t>
      </w:r>
    </w:p>
    <w:p>
      <w:pPr>
        <w:sectPr>
          <w:pgSz w:w="11900" w:h="16838" w:orient="portrait"/>
          <w:cols w:equalWidth="0" w:num="1">
            <w:col w:w="11400"/>
          </w:cols>
          <w:pgMar w:left="240" w:top="270" w:right="259" w:bottom="1440" w:gutter="0" w:footer="0" w:header="0"/>
        </w:sectPr>
      </w:pPr>
    </w:p>
    <w:bookmarkStart w:id="340" w:name="page341"/>
    <w:bookmarkEnd w:id="3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hanging="568"/>
        <w:spacing w:after="0"/>
        <w:tabs>
          <w:tab w:leader="none" w:pos="19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perform such other functions as appropriate to further the purposes of this Agreement as determined by the Parties.</w:t>
      </w:r>
    </w:p>
    <w:p>
      <w:pPr>
        <w:spacing w:after="0" w:line="2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5.3 ISC Meetings: </w:t>
      </w:r>
      <w:r>
        <w:rPr>
          <w:rFonts w:ascii="Arial" w:cs="Arial" w:eastAsia="Arial" w:hAnsi="Arial"/>
          <w:sz w:val="17"/>
          <w:szCs w:val="17"/>
          <w:color w:val="auto"/>
        </w:rPr>
        <w:t>The ISC will meet [*****]. The first meeting of the ISC will be held as soon as reasonably practicable, but in no event later than [*****]</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after the Effective Date. Meetings will be held at such place or places as are mutually agreed or by teleconference or videoconference, provided that at least [*****] of the meetings are in person annually. The ISC meetings will be chaired by Janssen. The chairperson of the ISC will be responsible for calling meetings, preparing and circulating an agenda in advance of each meeting of the ISC, and preparing and issuing minutes of each meeting within [*****] thereafter;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 ISC chairperson will call a meeting promptly upon the request by ACI to convene an ISC meeting. The minutes will not be finalized until both Parties review and approve them. [*****] incurred by its ISC members or by any additional non-member participants of a Party in connection with their attendance at ISC meetings and other activities related to any ISC.</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5.4 ISC Decision-Making: </w:t>
      </w:r>
      <w:r>
        <w:rPr>
          <w:rFonts w:ascii="Arial" w:cs="Arial" w:eastAsia="Arial" w:hAnsi="Arial"/>
          <w:sz w:val="18"/>
          <w:szCs w:val="18"/>
          <w:color w:val="auto"/>
        </w:rPr>
        <w:t>If a disagreement relating to a particular matter of Development arises at the ISC, the Parties will discuss the matter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order to resolve the issue. If the members of the ISC are unable to resolve the matter within [*****] (unless otherwise agreed) of its initial consideration of the matter, then it will be referred to the Executive Officers (or their respective designees;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such designee is not a member of the ISC and occupies a position senior to the positions occupied by the applicable Party’s members of the ISC) for resolution. If the Executive Officers are unable to resolve a dispute pursuant to section 5.4 after good faith negotiations (not to extend beyond [*****] unless otherwise agreed), the issue will be decided consistent with [*****].</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DEVELOPMENT; COMMERCIALIZATION</w:t>
      </w:r>
    </w:p>
    <w:p>
      <w:pPr>
        <w:spacing w:after="0" w:line="117"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6.1 Phase 1b Clinical Trial</w:t>
      </w:r>
      <w:r>
        <w:rPr>
          <w:rFonts w:ascii="Arial" w:cs="Arial" w:eastAsia="Arial" w:hAnsi="Arial"/>
          <w:sz w:val="18"/>
          <w:szCs w:val="18"/>
          <w:color w:val="auto"/>
        </w:rPr>
        <w:t>. ACI will conduct Development activities for Product on Janssen’s behalf until completion of the phase 1b Clinical Trial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Development Plan, which will include an extension of the ongoing phase 1b Clinical Trial in accordance with the Development Plan. [*****].</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6.2 Development Responsibility and Costs</w:t>
      </w:r>
      <w:r>
        <w:rPr>
          <w:rFonts w:ascii="Arial" w:cs="Arial" w:eastAsia="Arial" w:hAnsi="Arial"/>
          <w:sz w:val="18"/>
          <w:szCs w:val="18"/>
          <w:color w:val="auto"/>
        </w:rPr>
        <w:t>. Except as provided in Section 6.1, [*****]. Within [*****] days after the earlier of (a) completion of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Phase 2 Clinical Trial for a Product for PSP/FTD as described in the Development Plan, or (b) [*****] years after the Effective Date, Janssen will make a decision on whether to commit to using Diligent Efforts to Develop, Manufacture and Commercialize a Product for a Second Indication and shall notify ACI in writing of its decision. If Janssen notifies ACI that it commits to use Diligent Efforts to Develop, Manufacture and Commercialize a Product for a Second Indication, then Section 2.1 of this Agreement shall be amended to include the obligation to use Diligent Efforts to Develop, Manufacture and Commercialize a Product for a Second Indication. [*****]</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341" w:name="page342"/>
    <w:bookmarkEnd w:id="3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If ACI thereafter solely Develops a Product for a Second Indication (and not in collaboration with a Third Party), and provided that such Product shall not contain [*****] as the Product Janssen is Developing for the AD Indication, then ACI will give written notice to Janssen upon completion of a phase 2b Clinical Trial for such Second Indication of the Product and grant Janssen the exclusive right to negotiate an agreement to Develop and Commercialize the Product for the Second Indication. If the Parties are unable to reach such an agreement within [*****] days from Janssen’s receipt of ACI’s notice, ACI shall be free to enter into an agreement with any Third Party.</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6.3 Regulatory Approvals</w:t>
      </w:r>
      <w:r>
        <w:rPr>
          <w:rFonts w:ascii="Arial" w:cs="Arial" w:eastAsia="Arial" w:hAnsi="Arial"/>
          <w:sz w:val="18"/>
          <w:szCs w:val="18"/>
          <w:color w:val="auto"/>
        </w:rPr>
        <w:t>. Janssen is solely responsible for preparing and submitting registration dossiers for Regulatory Approval of Products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All Regulatory Approvals shall be held by and in the name of Janssen, and Janssen will own all submissions in connection with them. Janssen has sole discretion for the regulatory strategy and regulatory decision-making for all Products.</w:t>
      </w:r>
    </w:p>
    <w:p>
      <w:pPr>
        <w:spacing w:after="0" w:line="176"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6.4 CMC Work</w:t>
      </w:r>
      <w:r>
        <w:rPr>
          <w:rFonts w:ascii="Arial" w:cs="Arial" w:eastAsia="Arial" w:hAnsi="Arial"/>
          <w:sz w:val="16"/>
          <w:szCs w:val="16"/>
          <w:color w:val="auto"/>
        </w:rPr>
        <w:t>. ACI shall conduct CMC activities for the Product in accordance with the CMC Work Plan. ACI may not enter into any contract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with any Third Party for performance of any activities under the CMC Work Plan without the prior written consent of Janssen. [*****].</w:t>
      </w:r>
    </w:p>
    <w:p>
      <w:pPr>
        <w:spacing w:after="0" w:line="11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6.5 Commercialization</w:t>
      </w:r>
      <w:r>
        <w:rPr>
          <w:rFonts w:ascii="Arial" w:cs="Arial" w:eastAsia="Arial" w:hAnsi="Arial"/>
          <w:sz w:val="18"/>
          <w:szCs w:val="18"/>
          <w:color w:val="auto"/>
        </w:rPr>
        <w:t>. Janssen has the exclusive right to Manufacture and Commercialize Products in the Territory [*****]. All decisions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Commercialization of Products will be made solely by Janssen.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Trademarks</w:t>
      </w:r>
      <w:r>
        <w:rPr>
          <w:rFonts w:ascii="Arial" w:cs="Arial" w:eastAsia="Arial" w:hAnsi="Arial"/>
          <w:sz w:val="18"/>
          <w:szCs w:val="18"/>
          <w:color w:val="auto"/>
        </w:rPr>
        <w:t>. Janssen will develop, select, maintain, and own trademark(s) for the Product(s) in the Territory.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6.7 Compliance</w:t>
      </w:r>
      <w:r>
        <w:rPr>
          <w:rFonts w:ascii="Arial" w:cs="Arial" w:eastAsia="Arial" w:hAnsi="Arial"/>
          <w:sz w:val="17"/>
          <w:szCs w:val="17"/>
          <w:color w:val="auto"/>
        </w:rPr>
        <w:t>. ACI will, and will cause its Affiliates and Third Party subcontractors to, comply with all applicable Laws in performing ACI’s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CMC activities, including those pertaining to the use of laboratory animals, cGLP, cGMP or cGCP as appropriate, under the Reearch Plan, Development Plan and CMC Work Plan. ACI will, and will cause its Affiliates and Third Party subcontractors to, maintain complete and accurate records of all work conducted in the performance of the Research Plan, Development Plan and CMC Work Plan, and all results, data, inventions and developments made in the performance of the Research Plan, Development Plan and CMC Work Plan. The records will be in sufficient detail, in good scientific and, as appropriate, cGLP, cGCP, and cGMP manner suitable for patent preparation and filing and regulatory purposes. ACI will maintain such records and related information for a period of [*****] years from their creation.</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6.8 Audit</w:t>
      </w:r>
      <w:r>
        <w:rPr>
          <w:rFonts w:ascii="Arial" w:cs="Arial" w:eastAsia="Arial" w:hAnsi="Arial"/>
          <w:sz w:val="16"/>
          <w:szCs w:val="16"/>
          <w:color w:val="auto"/>
        </w:rPr>
        <w:t>. With respect to any facility or site at which ACI conducts Research, Development or CMC activities pursuant to the Research Plan,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CMC Work Plan, respectively, including, where commercially reasonable and within the control of ACI, subcontractor facilities or sites, Janssen will have the right exercisable no more than once per Calendar Year, or more often if there are material compliance issues, at its expense, upon reasonable written notice and during normal business hours, to inspect such site and facility and any records relating thereto, in each case, only to the extent reasonably necessary to verify ACI’s, or its subcontractors compliance with the terms of this Agreement relating to cGMP, cGLP and cGCP. Such inspection shall be subject to the confidentiality provisions of this Agreement. ACI agrees, to use reasonable efforts to include in any contract or other written arrangement with a subcontractor relating to such facilities and sites a clause permitting Janssen to exercise its rights under this Section. In the event that during an inspection visit by Janssen of the facilities of ACI or any subcontractor’s facilities appointed by ACI, the facilities are found to be non-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342" w:name="page343"/>
    <w:bookmarkEnd w:id="3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compliant with one or more cGMP, cGLP or cGCP standards, ACI shall submit a proposed recovery/corrective action plan within [*****] days after Janssen’s notification to ACI of noncompliance.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LICENSE</w:t>
      </w:r>
    </w:p>
    <w:p>
      <w:pPr>
        <w:spacing w:after="0" w:line="117"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7.1 License Grant</w:t>
      </w:r>
      <w:r>
        <w:rPr>
          <w:rFonts w:ascii="Arial" w:cs="Arial" w:eastAsia="Arial" w:hAnsi="Arial"/>
          <w:sz w:val="17"/>
          <w:szCs w:val="17"/>
          <w:color w:val="auto"/>
        </w:rPr>
        <w:t>. ACI hereby grants to Janssen an exclusive license in the Field in the Territory under ACI Know-How and ACI Patent Rights and ACI’s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under Joint Know-How and Joint Patent Rights to make, have made, use, sell, offer for sale, have sold, and import Products.</w:t>
      </w:r>
    </w:p>
    <w:p>
      <w:pPr>
        <w:spacing w:after="0" w:line="13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7.2 Right to Sublicense</w:t>
      </w:r>
      <w:r>
        <w:rPr>
          <w:rFonts w:ascii="Arial" w:cs="Arial" w:eastAsia="Arial" w:hAnsi="Arial"/>
          <w:sz w:val="16"/>
          <w:szCs w:val="16"/>
          <w:color w:val="auto"/>
        </w:rPr>
        <w:t>. The rights granted to Janssen in section 7.1 include the right to grant sublicenses;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such sublicense obliges the</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 to comply with all the terms of this Agreement (except those provisions which, by their clear meaning, are not applicable to a sublicense) and that Janssen remains liable to ACI for all material acts and omissions of any such sublicensee. In addition, Janssen will provide written notice to ACI of any such sublicense, along with a summary of the principal non-financial terms of that sublicense including its scope, the sublicensee’s duties and representations.</w:t>
      </w:r>
    </w:p>
    <w:p>
      <w:pPr>
        <w:spacing w:after="0" w:line="15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7.3 License Grant to ACI</w:t>
      </w:r>
      <w:r>
        <w:rPr>
          <w:rFonts w:ascii="Arial" w:cs="Arial" w:eastAsia="Arial" w:hAnsi="Arial"/>
          <w:sz w:val="18"/>
          <w:szCs w:val="18"/>
          <w:color w:val="auto"/>
        </w:rPr>
        <w:t>. Janssen grants to ACI a worldwide non-exclusive license under Janssen Patent Rights and Janssen Know-How, including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to Janssen by ACI under section 7.1, for ACI to conduct: (i) Research activities in accordance with the Research Plan, and (ii) Development and CMC activities in accordance with sections 6.1 and 6.4.</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7.4 No Implied Licenses</w:t>
      </w:r>
      <w:r>
        <w:rPr>
          <w:rFonts w:ascii="Arial" w:cs="Arial" w:eastAsia="Arial" w:hAnsi="Arial"/>
          <w:sz w:val="18"/>
          <w:szCs w:val="18"/>
          <w:color w:val="auto"/>
        </w:rPr>
        <w:t>. Only those licenses expressly granted in this Agreement have effect. No license or other intellectual property interest is granted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or any method that is not express.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CONFIDENTIALITY AND PUBLICATION</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8.1 Nondisclosure Obligation</w:t>
      </w:r>
      <w:r>
        <w:rPr>
          <w:rFonts w:ascii="Arial" w:cs="Arial" w:eastAsia="Arial" w:hAnsi="Arial"/>
          <w:sz w:val="18"/>
          <w:szCs w:val="18"/>
          <w:color w:val="auto"/>
        </w:rPr>
        <w:t>. All Confidential Information disclosed by one Party to the other Party will be maintained in confidence by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receiving Party will not disclose it to a Third Party except to the extent that such Confidential Information is:</w:t>
      </w:r>
    </w:p>
    <w:p>
      <w:pPr>
        <w:spacing w:after="0" w:line="71" w:lineRule="exact"/>
        <w:rPr>
          <w:sz w:val="20"/>
          <w:szCs w:val="20"/>
          <w:color w:val="auto"/>
        </w:rPr>
      </w:pPr>
    </w:p>
    <w:p>
      <w:pPr>
        <w:ind w:left="1940" w:hanging="568"/>
        <w:spacing w:after="0"/>
        <w:tabs>
          <w:tab w:leader="none" w:pos="19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information which, at the time of disclosure is published, known publicly or is otherwise in the public domain; or</w:t>
      </w:r>
    </w:p>
    <w:p>
      <w:pPr>
        <w:spacing w:after="0" w:line="130" w:lineRule="exact"/>
        <w:rPr>
          <w:rFonts w:ascii="Arial" w:cs="Arial" w:eastAsia="Arial" w:hAnsi="Arial"/>
          <w:sz w:val="18"/>
          <w:szCs w:val="18"/>
          <w:color w:val="auto"/>
        </w:rPr>
      </w:pPr>
    </w:p>
    <w:p>
      <w:pPr>
        <w:ind w:left="1940" w:right="420" w:hanging="568"/>
        <w:spacing w:after="0" w:line="277" w:lineRule="auto"/>
        <w:tabs>
          <w:tab w:leader="none" w:pos="19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information which, after disclosure, is published or becomes known publicly or otherwise becomes part of the public domain, through no fault of the receiving Party; or</w:t>
      </w:r>
    </w:p>
    <w:p>
      <w:pPr>
        <w:spacing w:after="0" w:line="75" w:lineRule="exact"/>
        <w:rPr>
          <w:rFonts w:ascii="Arial" w:cs="Arial" w:eastAsia="Arial" w:hAnsi="Arial"/>
          <w:sz w:val="18"/>
          <w:szCs w:val="18"/>
          <w:color w:val="auto"/>
        </w:rPr>
      </w:pPr>
    </w:p>
    <w:p>
      <w:pPr>
        <w:ind w:left="1940" w:hanging="568"/>
        <w:spacing w:after="0"/>
        <w:tabs>
          <w:tab w:leader="none" w:pos="19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information which, prior to the time of disclosure, is known to the receiving Party, as evidenced by its written records; or</w:t>
      </w:r>
    </w:p>
    <w:p>
      <w:pPr>
        <w:spacing w:after="0" w:line="142" w:lineRule="exact"/>
        <w:rPr>
          <w:rFonts w:ascii="Arial" w:cs="Arial" w:eastAsia="Arial" w:hAnsi="Arial"/>
          <w:sz w:val="17"/>
          <w:szCs w:val="17"/>
          <w:color w:val="auto"/>
        </w:rPr>
      </w:pPr>
    </w:p>
    <w:p>
      <w:pPr>
        <w:ind w:left="1940" w:right="160" w:hanging="568"/>
        <w:spacing w:after="0" w:line="342" w:lineRule="auto"/>
        <w:tabs>
          <w:tab w:leader="none" w:pos="19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information which has been or is disclosed to the receiving Party in good faith by a Third Party who was not, or is not, under any obligation of confidence or secrecy to the disclosing Party at the time the Third Party discloses it to the receiving Party; or</w:t>
      </w:r>
    </w:p>
    <w:p>
      <w:pPr>
        <w:spacing w:after="0" w:line="29" w:lineRule="exact"/>
        <w:rPr>
          <w:rFonts w:ascii="Arial" w:cs="Arial" w:eastAsia="Arial" w:hAnsi="Arial"/>
          <w:sz w:val="16"/>
          <w:szCs w:val="16"/>
          <w:color w:val="auto"/>
        </w:rPr>
      </w:pPr>
    </w:p>
    <w:p>
      <w:pPr>
        <w:ind w:left="1940" w:right="120" w:hanging="568"/>
        <w:spacing w:after="0" w:line="264" w:lineRule="auto"/>
        <w:tabs>
          <w:tab w:leader="none" w:pos="19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disclosed to governmental or other regulatory agencies to comply with applicable law or regulations,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receiving Party or its Affiliate provides to the disclosing Party prompt prior written notice of its obligation to make such disclosure and takes reasonable and lawful actions to avoid or minimize the degree of such disclosure; or</w:t>
      </w:r>
    </w:p>
    <w:p>
      <w:pPr>
        <w:spacing w:after="0" w:line="86" w:lineRule="exact"/>
        <w:rPr>
          <w:rFonts w:ascii="Arial" w:cs="Arial" w:eastAsia="Arial" w:hAnsi="Arial"/>
          <w:sz w:val="18"/>
          <w:szCs w:val="18"/>
          <w:color w:val="auto"/>
        </w:rPr>
      </w:pPr>
    </w:p>
    <w:p>
      <w:pPr>
        <w:ind w:left="1940" w:hanging="568"/>
        <w:spacing w:after="0" w:line="277" w:lineRule="auto"/>
        <w:tabs>
          <w:tab w:leader="none" w:pos="19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extent it is deemed necessary by Janssen or its Affiliate, in its reasonable judgment, to be disclosed to any Third Party for the research and Development, Manufacturing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69" w:right="259" w:bottom="1440" w:gutter="0" w:footer="0" w:header="0"/>
        </w:sectPr>
      </w:pPr>
    </w:p>
    <w:bookmarkStart w:id="343" w:name="page344"/>
    <w:bookmarkEnd w:id="3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both"/>
        <w:ind w:left="1940" w:right="120"/>
        <w:spacing w:after="0" w:line="264" w:lineRule="auto"/>
        <w:rPr>
          <w:sz w:val="20"/>
          <w:szCs w:val="20"/>
          <w:color w:val="auto"/>
        </w:rPr>
      </w:pPr>
      <w:r>
        <w:rPr>
          <w:rFonts w:ascii="Arial" w:cs="Arial" w:eastAsia="Arial" w:hAnsi="Arial"/>
          <w:sz w:val="18"/>
          <w:szCs w:val="18"/>
          <w:color w:val="auto"/>
        </w:rPr>
        <w:t xml:space="preserve">and/or Commercialization of a Product (or for such entities to determine their interest in performing such activities) in accordance with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Third Party agrees to be bound by confidentiality and non-use obligations that are no less stringent than those contained in this Agreement.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combination of features or disclosures will not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Party is required by judicial or administrative process to disclose Confidential Information that is subject to the non-disclosure provisions of this section 8.1, such Party shall promptly inform the other Party of the disclosure that is being sought in order to provide the other Party an opportunity to challenge or limit the disclosure obligations. Confidential Information that is disclosed by judicial or administrative process remains otherwise subject to the confidentiality and non-use provisions of this section 8.1, and the receiving Party shall co-operate with any reasonable attempts of the disclosing Party to limit the disclosure required by law, including by obtaining an order of confidentiality, to ensure the continued confidential treatment of such Confidential Information.</w:t>
      </w:r>
    </w:p>
    <w:p>
      <w:pPr>
        <w:spacing w:after="0" w:line="3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Publication</w:t>
      </w:r>
      <w:r>
        <w:rPr>
          <w:rFonts w:ascii="Arial" w:cs="Arial" w:eastAsia="Arial" w:hAnsi="Arial"/>
          <w:sz w:val="16"/>
          <w:szCs w:val="16"/>
          <w:color w:val="auto"/>
        </w:rPr>
        <w:t>.</w:t>
      </w:r>
    </w:p>
    <w:p>
      <w:pPr>
        <w:spacing w:after="0" w:line="117"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b w:val="1"/>
          <w:bCs w:val="1"/>
          <w:color w:val="auto"/>
        </w:rPr>
        <w:t xml:space="preserve">8.2.1 </w:t>
      </w:r>
      <w:r>
        <w:rPr>
          <w:rFonts w:ascii="Arial" w:cs="Arial" w:eastAsia="Arial" w:hAnsi="Arial"/>
          <w:sz w:val="17"/>
          <w:szCs w:val="17"/>
          <w:color w:val="auto"/>
        </w:rPr>
        <w:t>A Party, its employees or consultants wishing to publish or publicly present any information about a Product or the results of any activities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a Product shall deliver to the other Party a copy of the proposed written publication or an outline of an oral disclosure at least [*****] days prior to submission for publication or presentation. The reviewing Party shall notify the other Party within [*****] days of receipt of the proposed publication whether the draft publication contains (i) information that is Confidential to the reviewing Party, or (ii) information that if published would have an adverse effect on a patent application covering the subject matter of this Agreement. The reviewing Party will propose modifications to the publication or presentation for patent reasons, confidentiality reasons or request a reasonable delay in publication or presentation in order to protect patentable information. If the reviewing Party requests a delay to protect patentable information, the other Party shall delay submission or presentation for a period not to exceed [*****] days to enable relevant patent applications to be filed. Upon expiration of such [*****] days, such Party shall be free to proceed with the publication or presentation. If the reviewing Party reasonably requests modifications to the publication or presentation to prevent disclosure of Confidential Information of such Party, the other Party will edit such publication to prevent the disclosure of such information prior to submission of the publication or presentation.</w:t>
      </w:r>
    </w:p>
    <w:p>
      <w:pPr>
        <w:spacing w:after="0" w:line="66" w:lineRule="exact"/>
        <w:rPr>
          <w:sz w:val="20"/>
          <w:szCs w:val="20"/>
          <w:color w:val="auto"/>
        </w:rPr>
      </w:pPr>
    </w:p>
    <w:p>
      <w:pPr>
        <w:ind w:left="580" w:right="160"/>
        <w:spacing w:after="0" w:line="282"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Once a publication or presentation has been approved, the Parties may use the information contained in the publication or presentation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further approval.</w:t>
      </w:r>
    </w:p>
    <w:p>
      <w:pPr>
        <w:spacing w:after="0" w:line="54" w:lineRule="exact"/>
        <w:rPr>
          <w:sz w:val="20"/>
          <w:szCs w:val="20"/>
          <w:color w:val="auto"/>
        </w:rPr>
      </w:pPr>
    </w:p>
    <w:p>
      <w:pPr>
        <w:ind w:left="580" w:right="20"/>
        <w:spacing w:after="0" w:line="282"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color w:val="auto"/>
        </w:rPr>
        <w:t>The Parties will ascribe authorship of any proposed publication using accepted standards used in peer-reviewed, academic journals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publication.</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8.3 Publicity/Use of Names</w:t>
      </w:r>
      <w:r>
        <w:rPr>
          <w:rFonts w:ascii="Arial" w:cs="Arial" w:eastAsia="Arial" w:hAnsi="Arial"/>
          <w:sz w:val="17"/>
          <w:szCs w:val="17"/>
          <w:color w:val="auto"/>
        </w:rPr>
        <w:t>. The form of the initial press release that may be issued by ACI, is attached as Exhibit A. Each Party is free to use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disclosed in the press release in any other format without further approval by the other Party, except no statements by any Party’s official or representatives (if included in the initial press release) shall be used out of context or for promotional purposes. Otherwise, neither Party shall disclose the existence of this Agreement or its terms nor shall they use the name, trademark, trade name or logo of the other Party or its employees in any publicity, news release or promotional materials relating to this Agreement or its subject matter, without the prior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9" w:right="239" w:bottom="1440" w:gutter="0" w:footer="0" w:header="0"/>
        </w:sectPr>
      </w:pPr>
    </w:p>
    <w:bookmarkStart w:id="344" w:name="page345"/>
    <w:bookmarkEnd w:id="3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express written permission of the other Party, except as may be required by applicable laws, regulations, or judicial order. The Party desiring to make the public announcement shall provide the other Party with a written copy of the proposed announcement in sufficient time prior to public release to allow the other Party to comment upon the announcement, prior to public release. Notwithstanding the foregoing, ACI shall have the right to disclose the existence of this Agreement and its terms, under confidentiality obligations no less restrictive than those contained herein, to its actual or prospective investors or acquirers, or as reasonably necessary to its prospective licensees or collaborators provided that ACI redacts sensitive information before providing to licensees or collaborators including, but not limited to, all financial and payment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PAYMENTS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Upfront Fee and Development Cost Sharing.</w:t>
      </w:r>
    </w:p>
    <w:p>
      <w:pPr>
        <w:spacing w:after="0" w:line="117" w:lineRule="exact"/>
        <w:rPr>
          <w:sz w:val="20"/>
          <w:szCs w:val="20"/>
          <w:color w:val="auto"/>
        </w:rPr>
      </w:pPr>
    </w:p>
    <w:p>
      <w:pPr>
        <w:ind w:left="580" w:right="280"/>
        <w:spacing w:after="0" w:line="266" w:lineRule="auto"/>
        <w:rPr>
          <w:sz w:val="20"/>
          <w:szCs w:val="20"/>
          <w:color w:val="auto"/>
        </w:rPr>
      </w:pPr>
      <w:r>
        <w:rPr>
          <w:rFonts w:ascii="Arial" w:cs="Arial" w:eastAsia="Arial" w:hAnsi="Arial"/>
          <w:sz w:val="18"/>
          <w:szCs w:val="18"/>
          <w:b w:val="1"/>
          <w:bCs w:val="1"/>
          <w:color w:val="auto"/>
        </w:rPr>
        <w:t>9.1.1 Upfront Fee</w:t>
      </w:r>
      <w:r>
        <w:rPr>
          <w:rFonts w:ascii="Arial" w:cs="Arial" w:eastAsia="Arial" w:hAnsi="Arial"/>
          <w:sz w:val="18"/>
          <w:szCs w:val="18"/>
          <w:color w:val="auto"/>
        </w:rPr>
        <w:t>. Janssen shall pay to ACI the amount of twenty-five million eight hundred fifty-six thousand three hundred CHF (CHF</w:t>
      </w:r>
      <w:r>
        <w:rPr>
          <w:rFonts w:ascii="Arial" w:cs="Arial" w:eastAsia="Arial" w:hAnsi="Arial"/>
          <w:sz w:val="18"/>
          <w:szCs w:val="18"/>
          <w:b w:val="1"/>
          <w:bCs w:val="1"/>
          <w:color w:val="auto"/>
        </w:rPr>
        <w:t xml:space="preserve"> </w:t>
      </w:r>
      <w:r>
        <w:rPr>
          <w:rFonts w:ascii="Arial" w:cs="Arial" w:eastAsia="Arial" w:hAnsi="Arial"/>
          <w:sz w:val="18"/>
          <w:szCs w:val="18"/>
          <w:color w:val="auto"/>
        </w:rPr>
        <w:t>25,856,300) as a one-time, non-refundable and non-creditable upfront fee, due on the Effective Date but payable within 45 days after the Effective Date.</w:t>
      </w:r>
    </w:p>
    <w:p>
      <w:pPr>
        <w:spacing w:after="0" w:line="68"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b w:val="1"/>
          <w:bCs w:val="1"/>
          <w:color w:val="auto"/>
        </w:rPr>
        <w:t>9.1.2 Development Cost Sharing</w:t>
      </w:r>
      <w:r>
        <w:rPr>
          <w:rFonts w:ascii="Arial" w:cs="Arial" w:eastAsia="Arial" w:hAnsi="Arial"/>
          <w:sz w:val="18"/>
          <w:szCs w:val="18"/>
          <w:color w:val="auto"/>
        </w:rPr>
        <w:t>. [*****]. Up until completion of the phase 1b Clinical Trial, each Party will provide the other Party with a report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each Calendar Quarter providing an accounting of its CMC and Development activities during the previous Calendar Quarter and the costs associated with such activities. In the event that at the end of any Calendar Year one Party has paid more than its share of the CMC and Development costs, such Party shall send a written notice and invoice to the other Party describing the overpayment against such Party’s share and requesting reimbursement for the overpayment amount. The Party receiving such invoice shall reimburse the other Party within [*****] of its receipt of the invoice.</w:t>
      </w:r>
    </w:p>
    <w:p>
      <w:pPr>
        <w:spacing w:after="0" w:line="3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Milestone Payments</w:t>
      </w:r>
      <w:r>
        <w:rPr>
          <w:rFonts w:ascii="Arial" w:cs="Arial" w:eastAsia="Arial" w:hAnsi="Arial"/>
          <w:sz w:val="15"/>
          <w:szCs w:val="15"/>
          <w:color w:val="auto"/>
        </w:rPr>
        <w:t>.</w:t>
      </w:r>
    </w:p>
    <w:p>
      <w:pPr>
        <w:spacing w:after="0" w:line="117" w:lineRule="exact"/>
        <w:rPr>
          <w:sz w:val="20"/>
          <w:szCs w:val="20"/>
          <w:color w:val="auto"/>
        </w:rPr>
      </w:pPr>
    </w:p>
    <w:p>
      <w:pPr>
        <w:ind w:left="580" w:right="160"/>
        <w:spacing w:after="0" w:line="282"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color w:val="auto"/>
        </w:rPr>
        <w:t>Janssen shall pay to ACI one time only each of the amounts set forth in this section 9.2.1 (each, a “</w:t>
      </w:r>
      <w:r>
        <w:rPr>
          <w:rFonts w:ascii="Arial" w:cs="Arial" w:eastAsia="Arial" w:hAnsi="Arial"/>
          <w:sz w:val="18"/>
          <w:szCs w:val="18"/>
          <w:u w:val="single" w:color="auto"/>
          <w:color w:val="auto"/>
        </w:rPr>
        <w:t>Milestone Payment</w:t>
      </w:r>
      <w:r>
        <w:rPr>
          <w:rFonts w:ascii="Arial" w:cs="Arial" w:eastAsia="Arial" w:hAnsi="Arial"/>
          <w:sz w:val="18"/>
          <w:szCs w:val="18"/>
          <w:color w:val="auto"/>
        </w:rPr>
        <w:t>”) if such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event (each, a “</w:t>
      </w:r>
      <w:r>
        <w:rPr>
          <w:rFonts w:ascii="Arial" w:cs="Arial" w:eastAsia="Arial" w:hAnsi="Arial"/>
          <w:sz w:val="18"/>
          <w:szCs w:val="18"/>
          <w:u w:val="single" w:color="auto"/>
          <w:color w:val="auto"/>
        </w:rPr>
        <w:t>Milestone Event</w:t>
      </w:r>
      <w:r>
        <w:rPr>
          <w:rFonts w:ascii="Arial" w:cs="Arial" w:eastAsia="Arial" w:hAnsi="Arial"/>
          <w:sz w:val="18"/>
          <w:szCs w:val="18"/>
          <w:color w:val="auto"/>
        </w:rPr>
        <w:t>”) is achieved with a Product.</w:t>
      </w:r>
    </w:p>
    <w:p>
      <w:pPr>
        <w:spacing w:after="0" w:line="310" w:lineRule="exact"/>
        <w:rPr>
          <w:sz w:val="20"/>
          <w:szCs w:val="20"/>
          <w:color w:val="auto"/>
        </w:rPr>
      </w:pPr>
    </w:p>
    <w:p>
      <w:pPr>
        <w:ind w:left="1940" w:hanging="568"/>
        <w:spacing w:after="0"/>
        <w:tabs>
          <w:tab w:leader="none" w:pos="194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Milestone Events for AD Indication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640" w:type="dxa"/>
            <w:vAlign w:val="bottom"/>
            <w:vMerge w:val="restart"/>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6"/>
                <w:szCs w:val="16"/>
                <w:color w:val="auto"/>
              </w:rPr>
            </w:pPr>
          </w:p>
        </w:tc>
        <w:tc>
          <w:tcPr>
            <w:tcW w:w="6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Milestone Event</w:t>
            </w:r>
          </w:p>
        </w:tc>
        <w:tc>
          <w:tcPr>
            <w:tcW w:w="1820" w:type="dxa"/>
            <w:vAlign w:val="bottom"/>
          </w:tcPr>
          <w:p>
            <w:pPr>
              <w:ind w:left="100"/>
              <w:spacing w:after="0"/>
              <w:rPr>
                <w:sz w:val="20"/>
                <w:szCs w:val="20"/>
                <w:color w:val="auto"/>
              </w:rPr>
            </w:pPr>
            <w:r>
              <w:rPr>
                <w:rFonts w:ascii="Arial" w:cs="Arial" w:eastAsia="Arial" w:hAnsi="Arial"/>
                <w:sz w:val="14"/>
                <w:szCs w:val="14"/>
                <w:b w:val="1"/>
                <w:bCs w:val="1"/>
                <w:color w:val="auto"/>
              </w:rPr>
              <w:t>Milestone Amount ( CHF)</w:t>
            </w:r>
          </w:p>
        </w:tc>
        <w:tc>
          <w:tcPr>
            <w:tcW w:w="0" w:type="dxa"/>
            <w:vAlign w:val="bottom"/>
          </w:tcPr>
          <w:p>
            <w:pPr>
              <w:spacing w:after="0"/>
              <w:rPr>
                <w:sz w:val="1"/>
                <w:szCs w:val="1"/>
                <w:color w:val="auto"/>
              </w:rPr>
            </w:pPr>
          </w:p>
        </w:tc>
      </w:tr>
      <w:tr>
        <w:trPr>
          <w:trHeight w:val="195"/>
        </w:trPr>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Occurrence of the Last Patient, Last Visit of the 1200ugm dose in the Phase 1 b</w:t>
            </w:r>
          </w:p>
        </w:tc>
        <w:tc>
          <w:tcPr>
            <w:tcW w:w="8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4.9MM</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20" w:type="dxa"/>
            <w:vAlign w:val="bottom"/>
            <w:gridSpan w:val="3"/>
          </w:tcPr>
          <w:p>
            <w:pPr>
              <w:ind w:left="60"/>
              <w:spacing w:after="0"/>
              <w:rPr>
                <w:sz w:val="20"/>
                <w:szCs w:val="20"/>
                <w:color w:val="auto"/>
              </w:rPr>
            </w:pPr>
            <w:r>
              <w:rPr>
                <w:rFonts w:ascii="Arial" w:cs="Arial" w:eastAsia="Arial" w:hAnsi="Arial"/>
                <w:sz w:val="18"/>
                <w:szCs w:val="18"/>
                <w:color w:val="auto"/>
                <w:w w:val="98"/>
              </w:rPr>
              <w:t>extension study or to the equivalent time point that occurs in the first quarter of</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20" w:type="dxa"/>
            <w:vAlign w:val="bottom"/>
            <w:gridSpan w:val="3"/>
          </w:tcPr>
          <w:p>
            <w:pPr>
              <w:ind w:left="60"/>
              <w:spacing w:after="0"/>
              <w:rPr>
                <w:sz w:val="20"/>
                <w:szCs w:val="20"/>
                <w:color w:val="auto"/>
              </w:rPr>
            </w:pPr>
            <w:r>
              <w:rPr>
                <w:rFonts w:ascii="Arial" w:cs="Arial" w:eastAsia="Arial" w:hAnsi="Arial"/>
                <w:sz w:val="18"/>
                <w:szCs w:val="18"/>
                <w:color w:val="auto"/>
              </w:rPr>
              <w:t>2016 should any change be agreed to the study protocol (as described in the</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20" w:type="dxa"/>
            <w:vAlign w:val="bottom"/>
            <w:gridSpan w:val="3"/>
          </w:tcPr>
          <w:p>
            <w:pPr>
              <w:ind w:left="60"/>
              <w:spacing w:after="0"/>
              <w:rPr>
                <w:sz w:val="20"/>
                <w:szCs w:val="20"/>
                <w:color w:val="auto"/>
              </w:rPr>
            </w:pPr>
            <w:r>
              <w:rPr>
                <w:rFonts w:ascii="Arial" w:cs="Arial" w:eastAsia="Arial" w:hAnsi="Arial"/>
                <w:sz w:val="18"/>
                <w:szCs w:val="18"/>
                <w:color w:val="auto"/>
              </w:rPr>
              <w:t>Development Plan to occur at or around March 2016)</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6140" w:type="dxa"/>
            <w:vAlign w:val="bottom"/>
            <w:gridSpan w:val="2"/>
          </w:tcPr>
          <w:p>
            <w:pPr>
              <w:jc w:val="right"/>
              <w:ind w:right="26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2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6140" w:type="dxa"/>
            <w:vAlign w:val="bottom"/>
            <w:gridSpan w:val="2"/>
          </w:tcPr>
          <w:p>
            <w:pPr>
              <w:jc w:val="right"/>
              <w:ind w:right="2279"/>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345" w:name="page346"/>
    <w:bookmarkEnd w:id="34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32"/>
        </w:trPr>
        <w:tc>
          <w:tcPr>
            <w:tcW w:w="13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r>
        <w:trPr>
          <w:trHeight w:val="210"/>
        </w:trPr>
        <w:tc>
          <w:tcPr>
            <w:tcW w:w="138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581"/>
        </w:trPr>
        <w:tc>
          <w:tcPr>
            <w:tcW w:w="1760" w:type="dxa"/>
            <w:vAlign w:val="bottom"/>
            <w:gridSpan w:val="2"/>
          </w:tcPr>
          <w:p>
            <w:pPr>
              <w:ind w:left="1380"/>
              <w:spacing w:after="0"/>
              <w:rPr>
                <w:sz w:val="20"/>
                <w:szCs w:val="20"/>
                <w:color w:val="auto"/>
              </w:rPr>
            </w:pPr>
            <w:r>
              <w:rPr>
                <w:rFonts w:ascii="Arial" w:cs="Arial" w:eastAsia="Arial" w:hAnsi="Arial"/>
                <w:sz w:val="18"/>
                <w:szCs w:val="18"/>
                <w:b w:val="1"/>
                <w:bCs w:val="1"/>
                <w:color w:val="auto"/>
              </w:rPr>
              <w:t>(b)</w:t>
            </w:r>
          </w:p>
        </w:tc>
        <w:tc>
          <w:tcPr>
            <w:tcW w:w="5780" w:type="dxa"/>
            <w:vAlign w:val="bottom"/>
            <w:gridSpan w:val="3"/>
          </w:tcPr>
          <w:p>
            <w:pPr>
              <w:ind w:left="180"/>
              <w:spacing w:after="0"/>
              <w:rPr>
                <w:sz w:val="20"/>
                <w:szCs w:val="20"/>
                <w:color w:val="auto"/>
              </w:rPr>
            </w:pPr>
            <w:r>
              <w:rPr>
                <w:rFonts w:ascii="Arial" w:cs="Arial" w:eastAsia="Arial" w:hAnsi="Arial"/>
                <w:sz w:val="18"/>
                <w:szCs w:val="18"/>
                <w:b w:val="1"/>
                <w:bCs w:val="1"/>
                <w:color w:val="auto"/>
              </w:rPr>
              <w:t>Development Milestone Events for Second Indication</w:t>
            </w:r>
          </w:p>
        </w:tc>
        <w:tc>
          <w:tcPr>
            <w:tcW w:w="2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Milestone Event</w:t>
            </w:r>
          </w:p>
        </w:tc>
        <w:tc>
          <w:tcPr>
            <w:tcW w:w="260" w:type="dxa"/>
            <w:vAlign w:val="bottom"/>
          </w:tcPr>
          <w:p>
            <w:pPr>
              <w:spacing w:after="0"/>
              <w:rPr>
                <w:sz w:val="24"/>
                <w:szCs w:val="2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270" w:right="1440" w:bottom="1440" w:gutter="0" w:footer="0" w:header="0"/>
        </w:sectPr>
      </w:pPr>
    </w:p>
    <w:bookmarkStart w:id="346" w:name="page347"/>
    <w:bookmarkEnd w:id="3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spacing w:after="0"/>
        <w:tabs>
          <w:tab w:leader="none" w:pos="5680" w:val="left"/>
          <w:tab w:leader="none" w:pos="8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1940" w:hanging="568"/>
        <w:spacing w:after="0"/>
        <w:tabs>
          <w:tab w:leader="none" w:pos="194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Milestone Events for AD Indication and Second Indication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r>
        <w:trPr>
          <w:trHeight w:val="210"/>
        </w:trPr>
        <w:tc>
          <w:tcPr>
            <w:tcW w:w="3320" w:type="dxa"/>
            <w:vAlign w:val="bottom"/>
            <w:tcBorders>
              <w:top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6"/>
          <w:szCs w:val="16"/>
          <w:b w:val="1"/>
          <w:bCs w:val="1"/>
          <w:color w:val="auto"/>
        </w:rPr>
        <w:t>Maximum Milestone Payments.</w:t>
      </w:r>
    </w:p>
    <w:p>
      <w:pPr>
        <w:spacing w:after="0" w:line="121"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Milestone Payments are payable only once upon the initial achievement of the associated Milestone Event. Once a Milestone Event has been triggered and paid for a Product, no additional payment will be due for that particular Milestone Event regardless of the number of follow-on or back-up Products which may subsequently reach that same Milestone Event. Janssen shall promptly (but in no event more than [*****] days) provide ACI with written notice upon the achievement of each Milestone Event. The notice will indicate that the Milestone Event was achieved and request that ACI send a written invoice for the Milestone Amount to Janssen at a specific address, if the address is different than that indicated in section 13.5. Janssen shall pay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347" w:name="page348"/>
    <w:bookmarkEnd w:id="3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140"/>
        <w:spacing w:after="0" w:line="255" w:lineRule="auto"/>
        <w:rPr>
          <w:sz w:val="20"/>
          <w:szCs w:val="20"/>
          <w:color w:val="auto"/>
        </w:rPr>
      </w:pPr>
      <w:r>
        <w:rPr>
          <w:rFonts w:ascii="Arial" w:cs="Arial" w:eastAsia="Arial" w:hAnsi="Arial"/>
          <w:sz w:val="18"/>
          <w:szCs w:val="18"/>
          <w:color w:val="auto"/>
        </w:rPr>
        <w:t xml:space="preserve">each Milestone Amount to ACI within [*****] of Janssen’s receipt of ACI’s invoice for such Milestone Event. </w:t>
      </w:r>
      <w:r>
        <w:rPr>
          <w:rFonts w:ascii="Arial" w:cs="Arial" w:eastAsia="Arial" w:hAnsi="Arial"/>
          <w:sz w:val="18"/>
          <w:szCs w:val="18"/>
          <w:u w:val="single" w:color="auto"/>
          <w:color w:val="auto"/>
        </w:rPr>
        <w:t>Schedule 9.2.2</w:t>
      </w:r>
      <w:r>
        <w:rPr>
          <w:rFonts w:ascii="Arial" w:cs="Arial" w:eastAsia="Arial" w:hAnsi="Arial"/>
          <w:sz w:val="18"/>
          <w:szCs w:val="18"/>
          <w:color w:val="auto"/>
        </w:rPr>
        <w:t xml:space="preserve"> sets forth the relevant information of the Parties for payment of the Milestones. With regard to the Commercial Milestone Events in section 9.2.1(c), [*****]. If ACI believes any Milestone Payment is due in spite of not having received notice from Janssen, it shall so notify Janssen and provide to Janssen the data and information supporting its belief. Janssen shall have [*****] after receipt of the data and information from ACI to address ACI’s notification. If upon receipt of Janssen’s answer to ACI’s notification, ACI still believes such Milestone Payment is due, the matter will be referred to arbitration in accordance with Section 13.7.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9.3 Royalties. </w:t>
      </w:r>
      <w:r>
        <w:rPr>
          <w:rFonts w:ascii="Arial" w:cs="Arial" w:eastAsia="Arial" w:hAnsi="Arial"/>
          <w:sz w:val="18"/>
          <w:szCs w:val="18"/>
          <w:color w:val="auto"/>
        </w:rPr>
        <w:t>Janssen shall pay to ACI royalties on the Net Sales of Products as set out in this section 9.3.</w:t>
      </w:r>
    </w:p>
    <w:p>
      <w:pPr>
        <w:spacing w:after="0" w:line="374"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6"/>
          <w:szCs w:val="16"/>
          <w:b w:val="1"/>
          <w:bCs w:val="1"/>
          <w:color w:val="auto"/>
        </w:rPr>
        <w:t>Royalty Rates.</w:t>
      </w:r>
    </w:p>
    <w:p>
      <w:pPr>
        <w:spacing w:after="0" w:line="131" w:lineRule="exact"/>
        <w:rPr>
          <w:sz w:val="20"/>
          <w:szCs w:val="20"/>
          <w:color w:val="auto"/>
        </w:rPr>
      </w:pPr>
    </w:p>
    <w:p>
      <w:pPr>
        <w:ind w:left="1940" w:hanging="568"/>
        <w:spacing w:after="0" w:line="291" w:lineRule="auto"/>
        <w:tabs>
          <w:tab w:leader="none" w:pos="1940"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Royalties Payable</w:t>
      </w:r>
      <w:r>
        <w:rPr>
          <w:rFonts w:ascii="Arial" w:cs="Arial" w:eastAsia="Arial" w:hAnsi="Arial"/>
          <w:sz w:val="16"/>
          <w:szCs w:val="16"/>
          <w:color w:val="auto"/>
        </w:rPr>
        <w:t>. Janssen shall pay ACI royalties on aggregate Net Sales of all Products in each Calendar Year in the Territory at</w:t>
      </w:r>
      <w:r>
        <w:rPr>
          <w:rFonts w:ascii="Arial" w:cs="Arial" w:eastAsia="Arial" w:hAnsi="Arial"/>
          <w:sz w:val="16"/>
          <w:szCs w:val="16"/>
          <w:b w:val="1"/>
          <w:bCs w:val="1"/>
          <w:color w:val="auto"/>
        </w:rPr>
        <w:t xml:space="preserve"> </w:t>
      </w:r>
      <w:r>
        <w:rPr>
          <w:rFonts w:ascii="Arial" w:cs="Arial" w:eastAsia="Arial" w:hAnsi="Arial"/>
          <w:sz w:val="16"/>
          <w:szCs w:val="16"/>
          <w:color w:val="auto"/>
        </w:rPr>
        <w:t>the royalty rates set out below. The period in which royalties are payable for a Product commences with the First Commercial Sale of the Product in a country and ends, with respect to that Product in that country upon the later to occur of (i) ten years from First Commercial Sale of the Product in that country or (ii) expiration of the last-to-expire Valid Claim of the ACI Patent Rights, Janssen Patent Rights as set out in clause b of the definition (and not those set out in clause a) or Joint Patent Rights in that country that but for the licenses granted herein, would be infringed by the making, using, selling, offering for sale, keeping or importing of such Product or (iii) expiration of regulatory or data exclusivity granted by a Regulatory Authority that prevents a Third Party from obtaining an approval to sell a Biosimilar Product having a Peptide for a use similar to a Product in that country.</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Rate</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Back-</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Lead</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up</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3"/>
              </w:rPr>
              <w:t>Calendar Year Net Sales</w:t>
            </w: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78"/>
        </w:trPr>
        <w:tc>
          <w:tcPr>
            <w:tcW w:w="1520" w:type="dxa"/>
            <w:vAlign w:val="bottom"/>
            <w:tcBorders>
              <w:bottom w:val="single" w:sz="8" w:color="auto"/>
            </w:tcBorders>
            <w:vMerge w:val="continue"/>
          </w:tcPr>
          <w:p>
            <w:pPr>
              <w:spacing w:after="0"/>
              <w:rPr>
                <w:sz w:val="15"/>
                <w:szCs w:val="15"/>
                <w:color w:val="auto"/>
              </w:rPr>
            </w:pPr>
          </w:p>
        </w:tc>
        <w:tc>
          <w:tcPr>
            <w:tcW w:w="5960" w:type="dxa"/>
            <w:vAlign w:val="bottom"/>
            <w:gridSpan w:val="2"/>
          </w:tcPr>
          <w:p>
            <w:pPr>
              <w:jc w:val="right"/>
              <w:ind w:right="85"/>
              <w:spacing w:after="0" w:line="158"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05"/>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520" w:type="dxa"/>
            <w:vAlign w:val="bottom"/>
          </w:tcPr>
          <w:p>
            <w:pPr>
              <w:spacing w:after="0"/>
              <w:rPr>
                <w:sz w:val="24"/>
                <w:szCs w:val="24"/>
                <w:color w:val="auto"/>
              </w:rPr>
            </w:pPr>
          </w:p>
        </w:tc>
        <w:tc>
          <w:tcPr>
            <w:tcW w:w="5380" w:type="dxa"/>
            <w:vAlign w:val="bottom"/>
          </w:tcPr>
          <w:p>
            <w:pPr>
              <w:jc w:val="right"/>
              <w:ind w:right="2399"/>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348" w:name="page349"/>
    <w:bookmarkEnd w:id="348"/>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4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800"/>
        <w:spacing w:after="0"/>
        <w:tabs>
          <w:tab w:leader="none" w:pos="7680" w:val="left"/>
          <w:tab w:leader="none" w:pos="8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1360" w:hanging="568"/>
        <w:spacing w:after="0"/>
        <w:tabs>
          <w:tab w:leader="none" w:pos="13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Generic Competition</w:t>
      </w:r>
      <w:r>
        <w:rPr>
          <w:rFonts w:ascii="Arial" w:cs="Arial" w:eastAsia="Arial" w:hAnsi="Arial"/>
          <w:sz w:val="18"/>
          <w:szCs w:val="18"/>
          <w:color w:val="auto"/>
        </w:rPr>
        <w:t>. The royalty rate applied in section 9.3.1(a)</w:t>
      </w:r>
      <w:r>
        <w:rPr>
          <w:rFonts w:ascii="Arial" w:cs="Arial" w:eastAsia="Arial" w:hAnsi="Arial"/>
          <w:sz w:val="18"/>
          <w:szCs w:val="18"/>
          <w:b w:val="1"/>
          <w:bCs w:val="1"/>
          <w:color w:val="auto"/>
        </w:rPr>
        <w:t xml:space="preserve"> [*****].</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Royalty Reduction. </w:t>
      </w:r>
      <w:r>
        <w:rPr>
          <w:rFonts w:ascii="Arial" w:cs="Arial" w:eastAsia="Arial" w:hAnsi="Arial"/>
          <w:sz w:val="18"/>
          <w:szCs w:val="18"/>
          <w:color w:val="auto"/>
        </w:rPr>
        <w:t>The royalties applicable in any country will be [*****]</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Off-Set for Third-Party Patents.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Maximum Deduction</w:t>
      </w:r>
      <w:r>
        <w:rPr>
          <w:rFonts w:ascii="Arial" w:cs="Arial" w:eastAsia="Arial" w:hAnsi="Arial"/>
          <w:sz w:val="16"/>
          <w:szCs w:val="16"/>
          <w:color w:val="auto"/>
        </w:rPr>
        <w:t>. Notwithstanding the foregoing, regardless of the deductions made to the royalties under Sections 9.3.1(b),</w:t>
      </w:r>
    </w:p>
    <w:p>
      <w:pPr>
        <w:spacing w:after="0" w:line="50" w:lineRule="exact"/>
        <w:rPr>
          <w:rFonts w:ascii="Arial" w:cs="Arial" w:eastAsia="Arial" w:hAnsi="Arial"/>
          <w:sz w:val="16"/>
          <w:szCs w:val="16"/>
          <w:b w:val="1"/>
          <w:bCs w:val="1"/>
          <w:color w:val="auto"/>
        </w:rPr>
      </w:pPr>
    </w:p>
    <w:p>
      <w:pPr>
        <w:ind w:left="1360"/>
        <w:spacing w:after="0"/>
        <w:rPr>
          <w:rFonts w:ascii="Arial" w:cs="Arial" w:eastAsia="Arial" w:hAnsi="Arial"/>
          <w:sz w:val="16"/>
          <w:szCs w:val="16"/>
          <w:b w:val="1"/>
          <w:bCs w:val="1"/>
          <w:color w:val="auto"/>
        </w:rPr>
      </w:pPr>
      <w:r>
        <w:rPr>
          <w:rFonts w:ascii="Arial" w:cs="Arial" w:eastAsia="Arial" w:hAnsi="Arial"/>
          <w:sz w:val="18"/>
          <w:szCs w:val="18"/>
          <w:color w:val="auto"/>
        </w:rPr>
        <w:t>(c) and (d), [*****].</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9.3.2 Other Royalty Provisions</w:t>
      </w:r>
      <w:r>
        <w:rPr>
          <w:rFonts w:ascii="Arial" w:cs="Arial" w:eastAsia="Arial" w:hAnsi="Arial"/>
          <w:sz w:val="18"/>
          <w:szCs w:val="18"/>
          <w:color w:val="auto"/>
        </w:rPr>
        <w:t>. All royalties are subject to the following conditions: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0"/>
          </w:cols>
          <w:pgMar w:left="820" w:top="270" w:right="35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Compulsory Licenses.</w:t>
      </w:r>
    </w:p>
    <w:p>
      <w:pPr>
        <w:spacing w:after="0" w:line="131" w:lineRule="exact"/>
        <w:rPr>
          <w:sz w:val="20"/>
          <w:szCs w:val="20"/>
          <w:color w:val="auto"/>
        </w:rPr>
      </w:pPr>
    </w:p>
    <w:p>
      <w:pPr>
        <w:ind w:left="1380" w:right="1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9.4.1</w:t>
      </w:r>
      <w:r>
        <w:rPr>
          <w:sz w:val="20"/>
          <w:szCs w:val="20"/>
          <w:color w:val="auto"/>
        </w:rPr>
        <w:tab/>
      </w:r>
      <w:r>
        <w:rPr>
          <w:rFonts w:ascii="Arial" w:cs="Arial" w:eastAsia="Arial" w:hAnsi="Arial"/>
          <w:sz w:val="18"/>
          <w:szCs w:val="18"/>
          <w:color w:val="auto"/>
        </w:rPr>
        <w:t>Terms of a compulsory license granted by a governmental agency that are more favorable than terms granted to Janssen in this Agreement [*****].</w:t>
      </w:r>
    </w:p>
    <w:p>
      <w:pPr>
        <w:spacing w:after="0" w:line="76" w:lineRule="exact"/>
        <w:rPr>
          <w:sz w:val="20"/>
          <w:szCs w:val="20"/>
          <w:color w:val="auto"/>
        </w:rPr>
      </w:pPr>
    </w:p>
    <w:p>
      <w:pPr>
        <w:ind w:left="1380" w:right="2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9.4.2</w:t>
      </w:r>
      <w:r>
        <w:rPr>
          <w:sz w:val="20"/>
          <w:szCs w:val="20"/>
          <w:color w:val="auto"/>
        </w:rPr>
        <w:tab/>
      </w:r>
      <w:r>
        <w:rPr>
          <w:rFonts w:ascii="Arial" w:cs="Arial" w:eastAsia="Arial" w:hAnsi="Arial"/>
          <w:sz w:val="18"/>
          <w:szCs w:val="18"/>
          <w:color w:val="auto"/>
        </w:rPr>
        <w:t>[*****] if a government grants or compels Janssen to grant a compulsory license to a Third Party insofar as Janssen is compensated on a royalty basis [*****].</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9.5 Reports and Payments</w:t>
      </w:r>
      <w:r>
        <w:rPr>
          <w:rFonts w:ascii="Arial" w:cs="Arial" w:eastAsia="Arial" w:hAnsi="Arial"/>
          <w:sz w:val="17"/>
          <w:szCs w:val="17"/>
          <w:color w:val="auto"/>
        </w:rPr>
        <w:t>. During the term of this Agreement following the First Commercial Sale of a Product in any country, Janssen shall furnish to ACI</w:t>
      </w:r>
      <w:r>
        <w:rPr>
          <w:rFonts w:ascii="Arial" w:cs="Arial" w:eastAsia="Arial" w:hAnsi="Arial"/>
          <w:sz w:val="17"/>
          <w:szCs w:val="17"/>
          <w:b w:val="1"/>
          <w:bCs w:val="1"/>
          <w:color w:val="auto"/>
        </w:rPr>
        <w:t xml:space="preserve"> </w:t>
      </w:r>
      <w:r>
        <w:rPr>
          <w:rFonts w:ascii="Arial" w:cs="Arial" w:eastAsia="Arial" w:hAnsi="Arial"/>
          <w:sz w:val="17"/>
          <w:szCs w:val="17"/>
          <w:color w:val="auto"/>
        </w:rPr>
        <w:t>a quarterly written report, as of the end of each Calendar Quarter, showing [*****]. Janssen will provide such reports to ACI no later than [*****] day following the last day of each Calendar Quarter. Royalties shown to have accrued by each royalty report are due and payable to ACI on [*****] day following the end of such Calendar Quarter. Janssen will keep and will cause Related Parties to keep complete and accurate records in sufficient detail to enable the royalties payable to be determined and the information provided to be verified by ACI’s accounting firm pursuant to section 9.6.</w:t>
      </w:r>
    </w:p>
    <w:p>
      <w:pPr>
        <w:spacing w:after="0" w:line="1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payments to be made by Janssen to ACI under this Agreement will be made in Swiss Francs (CHF) and paid by bank wire transfer in immediately available funds to a bank account in the United States or elsewhere as may be designated in writing by ACI.</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Net Sales of Product invoiced by Janssen or Janssen’s Affiliates in a currency other than USD, the amounts and the amounts payable will be expressed in their USD equivalent calculated using the following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upcoming J&amp;J Calendar Year, Janssen will provide: I) a Currency Hedge Rate(s) to be used for the local currency of each country of the Territory, and</w:t>
      </w:r>
    </w:p>
    <w:p>
      <w:pPr>
        <w:spacing w:after="0" w:line="46" w:lineRule="exact"/>
        <w:rPr>
          <w:sz w:val="20"/>
          <w:szCs w:val="20"/>
          <w:color w:val="auto"/>
        </w:rPr>
      </w:pPr>
    </w:p>
    <w:p>
      <w:pPr>
        <w:ind w:right="60" w:firstLine="8"/>
        <w:spacing w:after="0" w:line="255" w:lineRule="auto"/>
        <w:tabs>
          <w:tab w:leader="none" w:pos="19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details of the Currency Hedge Rate(s) in writing to ACI not later than [*****] business days after the Currency Hedge Rate(s) are available from the GTSC or its Affiliates, which is customarily at the end of October. The Currency Hedge Rate(s) will remain constant throughout the upcoming J &amp;J Calendar Year.</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Janssen will use the Currency Hedge Rate(s) during the J&amp;J Calendar Year to convert Net Sales to USD for the purpose of calculating royalties. After the First Commercial Sale of a Product in the Territory, Janssen will promptly inform ACI of any material change in the Currency Hedge Rate methodology and calculation.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9.6 Audits</w:t>
      </w:r>
      <w:r>
        <w:rPr>
          <w:rFonts w:ascii="Arial" w:cs="Arial" w:eastAsia="Arial" w:hAnsi="Arial"/>
          <w:sz w:val="17"/>
          <w:szCs w:val="17"/>
          <w:color w:val="auto"/>
        </w:rPr>
        <w:t>. Janssen shall and shall cause Related Parties to maintain complete and accurate financial records of the Net Sales of Products and calculation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royalties in sufficient detail to permit ACI to confirm the accuracy of such financial records limited to the royalty calculations and calculation of Net Sales. Upon the written request of ACI but not more often than once every Calendar Year, at ACI’s expense, Janssen will permit an independent certified accountant selected by ACI and reasonably acceptable to Janssen to have access during normal business hours to those financial records of Janssen and its Related Parties as may be reasonably necessary for the sole purpose of verifying the accuracy of the quarterly royalty calculations provided to ACI. Such examination shall be limited to a period of time no more than [*****] immediately preceding the request for examination. An audit of the records relating to a particular Calendar Year may be conducted only once.</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report of the independent public accountant shall be shared with Janssen prior to distribution to ACI so that Janssen can provide the independent public accountant with justifying remarks for inclusion in the report prior to sharing the conclusions of the independent public audit with ACI. The final audit report will be shared with Janssen and ACI at the same time and specify whether the amounts paid to ACI were correct or, if incorrect, the amount of any underpayment or overpayment. The audit report will only contain the information relevant to support the statement as to whether the royalties were calculated and paid accurately and will not include any confidential (or additional information that is ordinarily not included in the royalty reports) disclosed to the auditor during the course of the audit.</w:t>
      </w:r>
    </w:p>
    <w:p>
      <w:pPr>
        <w:spacing w:after="0" w:line="19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If Janssen’s royalties are found to be in error such that royalties were underpaid, Janssen shall remit to ACI within [*****] after Janssen’s receipt of such report, [*****]. If the report shows any overpayment, Janssen shall receive a credit equal to the overpayment against the royalty otherwise payable to the ACI. If Janssen disagrees with the findings of the audit report, the Parties will first seek to resolve the matter, and in the event they fail to reach agreement, the dispute resolution provisions outlined in Section 13.7 shall be followed to resolve the dispute.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ACI shall treat all financial information subject to review or under any sublicense agreement in accordance with the confidentiality and non-use provisions of this Agreement, and will cause its accounting firm to enter into a reasonably acceptable confidentiality agreement with Janssen and/or its Related Parties obligating it to retain all such information in confidence.</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Income Tax Withholding</w:t>
      </w:r>
      <w:r>
        <w:rPr>
          <w:rFonts w:ascii="Arial" w:cs="Arial" w:eastAsia="Arial" w:hAnsi="Arial"/>
          <w:sz w:val="16"/>
          <w:szCs w:val="16"/>
          <w:color w:val="auto"/>
        </w:rPr>
        <w:t>.</w:t>
      </w:r>
    </w:p>
    <w:p>
      <w:pPr>
        <w:spacing w:after="0" w:line="131"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9.7.1</w:t>
      </w:r>
      <w:r>
        <w:rPr>
          <w:sz w:val="20"/>
          <w:szCs w:val="20"/>
          <w:color w:val="auto"/>
        </w:rPr>
        <w:tab/>
      </w:r>
      <w:r>
        <w:rPr>
          <w:rFonts w:ascii="Arial" w:cs="Arial" w:eastAsia="Arial" w:hAnsi="Arial"/>
          <w:sz w:val="18"/>
          <w:szCs w:val="18"/>
          <w:color w:val="auto"/>
        </w:rPr>
        <w:t>Janssen will make all payments to ACI under this Agreement without deduction or withholding for Taxes except to the extent that any such deduction or withholding is required by law in effect at the time of payment.</w:t>
      </w:r>
    </w:p>
    <w:p>
      <w:pPr>
        <w:spacing w:after="0" w:line="76" w:lineRule="exact"/>
        <w:rPr>
          <w:sz w:val="20"/>
          <w:szCs w:val="20"/>
          <w:color w:val="auto"/>
        </w:rPr>
      </w:pPr>
    </w:p>
    <w:p>
      <w:pPr>
        <w:ind w:left="1380" w:right="4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9.7.2</w:t>
      </w:r>
      <w:r>
        <w:rPr>
          <w:sz w:val="20"/>
          <w:szCs w:val="20"/>
          <w:color w:val="auto"/>
        </w:rPr>
        <w:tab/>
      </w:r>
      <w:r>
        <w:rPr>
          <w:rFonts w:ascii="Arial" w:cs="Arial" w:eastAsia="Arial" w:hAnsi="Arial"/>
          <w:sz w:val="18"/>
          <w:szCs w:val="18"/>
          <w:color w:val="auto"/>
        </w:rPr>
        <w:t>Any Tax required to be withheld on amounts payable under this Agreement will be paid by Janssen on behalf of ACI to the appropriate governmental authority, and Janssen will furnish ACI with proof of payment of such Tax. Any such Tax required to be withheld will be an expense of and borne by ACI. If any such Tax is assessed against and paid by Janssen, then ACI will indemnify and hold harmless Janssen from and against such Tax.</w:t>
      </w:r>
    </w:p>
    <w:p>
      <w:pPr>
        <w:spacing w:after="0" w:line="92" w:lineRule="exact"/>
        <w:rPr>
          <w:sz w:val="20"/>
          <w:szCs w:val="20"/>
          <w:color w:val="auto"/>
        </w:rPr>
      </w:pPr>
    </w:p>
    <w:p>
      <w:pPr>
        <w:ind w:left="1380" w:right="12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9.7.3</w:t>
      </w:r>
      <w:r>
        <w:rPr>
          <w:sz w:val="20"/>
          <w:szCs w:val="20"/>
          <w:color w:val="auto"/>
        </w:rPr>
        <w:tab/>
      </w:r>
      <w:r>
        <w:rPr>
          <w:rFonts w:ascii="Arial" w:cs="Arial" w:eastAsia="Arial" w:hAnsi="Arial"/>
          <w:sz w:val="18"/>
          <w:szCs w:val="18"/>
          <w:color w:val="auto"/>
        </w:rPr>
        <w:t>Janssen and ACI will cooperate with respect to all documentation required by any taxing authority or reasonably requested by Janssen to secure a reduction in the rate of applicable withholding Taxes. On the date of execution of this Agreement, ACI will deliver to Janssen an accurate and complete Internal Revenue Service Form W-8BEN-E certifying that ACI is entitled to the applicable benefits under the Income Tax Treaty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351" w:name="page352"/>
    <w:bookmarkEnd w:id="3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40"/>
        <w:spacing w:after="0" w:line="293" w:lineRule="auto"/>
        <w:rPr>
          <w:sz w:val="20"/>
          <w:szCs w:val="20"/>
          <w:color w:val="auto"/>
        </w:rPr>
      </w:pPr>
      <w:r>
        <w:rPr>
          <w:rFonts w:ascii="Arial" w:cs="Arial" w:eastAsia="Arial" w:hAnsi="Arial"/>
          <w:sz w:val="16"/>
          <w:szCs w:val="16"/>
          <w:color w:val="auto"/>
        </w:rPr>
        <w:t>between Switzerland and the United States. At ACI’s request, Janssen shall provide to ACI all relevant documents and correspondence regarding the tax withholding, and shall also provide to ACI any other cooperation or assistance on a reasonable basis as may be necessary to enable ACI to claim exemption from such withholding taxes and to receive a full refund of such withholding tax or claim a foreign tax credit. Janssen shall give proper evidence from time to time as to the payment of such Tax. The Parties shall cooperate with each other in seeking deductions under any double taxation or other similar treaty or agreement from time to time in force. Such cooperation may include Janssen making payments from a single source in the U.S., where possible.</w:t>
      </w:r>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9.8 Currency Restrictions</w:t>
      </w:r>
      <w:r>
        <w:rPr>
          <w:rFonts w:ascii="Arial" w:cs="Arial" w:eastAsia="Arial" w:hAnsi="Arial"/>
          <w:sz w:val="18"/>
          <w:szCs w:val="18"/>
          <w:color w:val="auto"/>
        </w:rPr>
        <w:t>. If restrictions on the transfer of currency exist in any country such as to prevent Janssen from making the payments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required under section 9.5, Janssen shall take all reasonable steps to obtain a waiver of such restrictions or otherwise enable Janssen to make such payments, failing which Janssen may make the royalty payments due upon sales in such country in local currency and deposit such payments in a local bank or other depository designated by ACI.</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9.9 Expiration of Royalty Obligations</w:t>
      </w:r>
      <w:r>
        <w:rPr>
          <w:rFonts w:ascii="Arial" w:cs="Arial" w:eastAsia="Arial" w:hAnsi="Arial"/>
          <w:sz w:val="18"/>
          <w:szCs w:val="18"/>
          <w:color w:val="auto"/>
        </w:rPr>
        <w:t>. Janssen retains a nonexclusive license under the ACI Know-How in the Territory and Field to make, use, sell, import</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such acts performed for Janssen’s benefit following expiration of all royalty obligations in respect of any Product.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9.10 Interest</w:t>
      </w:r>
      <w:r>
        <w:rPr>
          <w:rFonts w:ascii="Arial" w:cs="Arial" w:eastAsia="Arial" w:hAnsi="Arial"/>
          <w:sz w:val="18"/>
          <w:szCs w:val="18"/>
          <w:color w:val="auto"/>
        </w:rPr>
        <w:t>. In case of any delay in payment by Janssen to ACI not resulting from Force Majeure (as described in section 13.2), interest at the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 assessed from the [*****] day after the due date of the payment shall be due from Janssen.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REPRESENTATIONS AND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Representations and Warranties of ACI</w:t>
      </w:r>
      <w:r>
        <w:rPr>
          <w:rFonts w:ascii="Arial" w:cs="Arial" w:eastAsia="Arial" w:hAnsi="Arial"/>
          <w:sz w:val="18"/>
          <w:szCs w:val="18"/>
          <w:color w:val="auto"/>
        </w:rPr>
        <w:t>. ACI represents and warrants to Janssen that as of the Effective Date:</w:t>
      </w:r>
    </w:p>
    <w:p>
      <w:pPr>
        <w:spacing w:after="0" w:line="131" w:lineRule="exact"/>
        <w:rPr>
          <w:sz w:val="20"/>
          <w:szCs w:val="20"/>
          <w:color w:val="auto"/>
        </w:rPr>
      </w:pPr>
    </w:p>
    <w:p>
      <w:pPr>
        <w:ind w:left="1380" w:right="6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Authorization</w:t>
      </w:r>
      <w:r>
        <w:rPr>
          <w:rFonts w:ascii="Arial" w:cs="Arial" w:eastAsia="Arial" w:hAnsi="Arial"/>
          <w:sz w:val="17"/>
          <w:szCs w:val="17"/>
          <w:color w:val="auto"/>
        </w:rPr>
        <w:t>. This Agreement has been duly executed and delivered by ACI and constitutes the valid and binding obligation of ACI,</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enforceable against ACI in accordance with its terms. The execution, delivery and performance of this Agreement have been duly authorized by all necessary action on the part of ACI, its officers and directors and does not conflict with any agreement, instrument or understanding, oral or written, to which ACI is a party or by which ACI may be bound, nor violate any applicable law or regulation of any court, governmental body or administrative or other agency having jurisdiction over it.</w:t>
      </w:r>
    </w:p>
    <w:p>
      <w:pPr>
        <w:spacing w:after="0" w:line="74"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Intellectual Property</w:t>
      </w:r>
      <w:r>
        <w:rPr>
          <w:rFonts w:ascii="Arial" w:cs="Arial" w:eastAsia="Arial" w:hAnsi="Arial"/>
          <w:sz w:val="16"/>
          <w:szCs w:val="16"/>
          <w:color w:val="auto"/>
        </w:rPr>
        <w:t>. ACI has the rights necessary to grant the licenses in this Agreement.</w:t>
      </w:r>
    </w:p>
    <w:p>
      <w:pPr>
        <w:spacing w:after="0" w:line="131" w:lineRule="exact"/>
        <w:rPr>
          <w:sz w:val="20"/>
          <w:szCs w:val="20"/>
          <w:color w:val="auto"/>
        </w:rPr>
      </w:pPr>
    </w:p>
    <w:p>
      <w:pPr>
        <w:jc w:val="both"/>
        <w:ind w:left="1380" w:right="120" w:hanging="796"/>
        <w:spacing w:after="0" w:line="282" w:lineRule="auto"/>
        <w:tabs>
          <w:tab w:leader="none" w:pos="136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8"/>
          <w:szCs w:val="18"/>
          <w:b w:val="1"/>
          <w:bCs w:val="1"/>
          <w:color w:val="auto"/>
        </w:rPr>
        <w:t>No Third Party Patents</w:t>
      </w:r>
      <w:r>
        <w:rPr>
          <w:rFonts w:ascii="Arial" w:cs="Arial" w:eastAsia="Arial" w:hAnsi="Arial"/>
          <w:sz w:val="18"/>
          <w:szCs w:val="18"/>
          <w:color w:val="auto"/>
        </w:rPr>
        <w:t>. To ACI’s knowledge, the making, using, importing, offering for sale, keeping or selling of Products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not infringe or conflict with any Patent Rights of a Third Party.</w:t>
      </w:r>
    </w:p>
    <w:p>
      <w:pPr>
        <w:spacing w:after="0" w:line="67" w:lineRule="exact"/>
        <w:rPr>
          <w:sz w:val="20"/>
          <w:szCs w:val="20"/>
          <w:color w:val="auto"/>
        </w:rPr>
      </w:pPr>
    </w:p>
    <w:p>
      <w:pPr>
        <w:jc w:val="both"/>
        <w:ind w:left="1380" w:right="120" w:hanging="796"/>
        <w:spacing w:after="0" w:line="266" w:lineRule="auto"/>
        <w:tabs>
          <w:tab w:leader="none" w:pos="136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8"/>
          <w:szCs w:val="18"/>
          <w:b w:val="1"/>
          <w:bCs w:val="1"/>
          <w:color w:val="auto"/>
        </w:rPr>
        <w:t>No Patent Proceeding</w:t>
      </w:r>
      <w:r>
        <w:rPr>
          <w:rFonts w:ascii="Arial" w:cs="Arial" w:eastAsia="Arial" w:hAnsi="Arial"/>
          <w:sz w:val="18"/>
          <w:szCs w:val="18"/>
          <w:color w:val="auto"/>
        </w:rPr>
        <w:t>. To ACI’s knowledge, the ACI Patent Rights are not the subject of any Patent Proceeding known to ACI, and ACI</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aware of any pending or threatened action, suit, proceeding or claim by a Third Party challenging ACI’s ownership rights in, or the validity or scope of, such ACI Patent Rights.</w:t>
      </w:r>
    </w:p>
    <w:p>
      <w:pPr>
        <w:spacing w:after="0" w:line="82" w:lineRule="exact"/>
        <w:rPr>
          <w:sz w:val="20"/>
          <w:szCs w:val="20"/>
          <w:color w:val="auto"/>
        </w:rPr>
      </w:pPr>
    </w:p>
    <w:p>
      <w:pPr>
        <w:jc w:val="both"/>
        <w:ind w:left="1380" w:right="1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8"/>
          <w:szCs w:val="18"/>
          <w:u w:val="single" w:color="auto"/>
          <w:color w:val="auto"/>
        </w:rPr>
        <w:t xml:space="preserve">Schedule 10.1.5 </w:t>
      </w:r>
      <w:r>
        <w:rPr>
          <w:rFonts w:ascii="Arial" w:cs="Arial" w:eastAsia="Arial" w:hAnsi="Arial"/>
          <w:sz w:val="18"/>
          <w:szCs w:val="18"/>
          <w:color w:val="auto"/>
        </w:rPr>
        <w:t>contains a complete list of all Patent Rights Controlled by ACI, as of the Effective Date, that claim Products or processes</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making or using, or compositions containing, the same.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352" w:name="page353"/>
    <w:bookmarkEnd w:id="35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24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8"/>
          <w:szCs w:val="18"/>
          <w:u w:val="single" w:color="auto"/>
          <w:color w:val="auto"/>
        </w:rPr>
        <w:t xml:space="preserve">Schedule 10.1.6 </w:t>
      </w:r>
      <w:r>
        <w:rPr>
          <w:rFonts w:ascii="Arial" w:cs="Arial" w:eastAsia="Arial" w:hAnsi="Arial"/>
          <w:sz w:val="18"/>
          <w:szCs w:val="18"/>
          <w:color w:val="auto"/>
        </w:rPr>
        <w:t>contains a complete list of all relevant agreements that ACI has entered into relating to the manufacture, use, Research,</w:t>
      </w:r>
      <w:r>
        <w:rPr>
          <w:rFonts w:ascii="Arial" w:cs="Arial" w:eastAsia="Arial" w:hAnsi="Arial"/>
          <w:sz w:val="18"/>
          <w:szCs w:val="18"/>
          <w:u w:val="single" w:color="auto"/>
          <w:color w:val="auto"/>
        </w:rPr>
        <w:t xml:space="preserve"> </w:t>
      </w:r>
      <w:r>
        <w:rPr>
          <w:rFonts w:ascii="Arial" w:cs="Arial" w:eastAsia="Arial" w:hAnsi="Arial"/>
          <w:sz w:val="18"/>
          <w:szCs w:val="18"/>
          <w:color w:val="auto"/>
        </w:rPr>
        <w:t>Development or Commercialization of Products, and ACI represents that all of the agreements on Schedule 10.1.6 have been made available to Janssen for review.</w:t>
      </w:r>
    </w:p>
    <w:p>
      <w:pPr>
        <w:spacing w:after="0" w:line="87" w:lineRule="exact"/>
        <w:rPr>
          <w:sz w:val="20"/>
          <w:szCs w:val="20"/>
          <w:color w:val="auto"/>
        </w:rPr>
      </w:pPr>
    </w:p>
    <w:p>
      <w:pPr>
        <w:ind w:left="1380" w:right="1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8"/>
          <w:szCs w:val="18"/>
          <w:color w:val="auto"/>
        </w:rPr>
        <w:t>ACI represents that the Peptides identified as of the Effective Date, including but not limited to [*****] Tau-active antibodies licensed by ACI to any Third Party.</w:t>
      </w:r>
    </w:p>
    <w:p>
      <w:pPr>
        <w:spacing w:after="0" w:line="76"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8"/>
          <w:szCs w:val="18"/>
          <w:color w:val="auto"/>
        </w:rPr>
        <w:t>ACI represents that no Third Party retains under any ACI Patent Rights or ACI Know-How any right of first negotiation, or any other right or option, to any vaccine product incorporating Tau or any variant, derivative, modification, or fragment of Tau.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Representations and Warranties of Janssen</w:t>
      </w:r>
      <w:r>
        <w:rPr>
          <w:rFonts w:ascii="Arial" w:cs="Arial" w:eastAsia="Arial" w:hAnsi="Arial"/>
          <w:sz w:val="18"/>
          <w:szCs w:val="18"/>
          <w:color w:val="auto"/>
        </w:rPr>
        <w:t>. Janssen represents and warrants to ACI that as of the Effective Date:</w:t>
      </w:r>
    </w:p>
    <w:p>
      <w:pPr>
        <w:spacing w:after="0" w:line="131" w:lineRule="exact"/>
        <w:rPr>
          <w:sz w:val="20"/>
          <w:szCs w:val="20"/>
          <w:color w:val="auto"/>
        </w:rPr>
      </w:pPr>
    </w:p>
    <w:p>
      <w:pPr>
        <w:ind w:left="1380" w:right="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b w:val="1"/>
          <w:bCs w:val="1"/>
          <w:color w:val="auto"/>
        </w:rPr>
        <w:t>Authorization</w:t>
      </w:r>
      <w:r>
        <w:rPr>
          <w:rFonts w:ascii="Arial" w:cs="Arial" w:eastAsia="Arial" w:hAnsi="Arial"/>
          <w:sz w:val="17"/>
          <w:szCs w:val="17"/>
          <w:color w:val="auto"/>
        </w:rPr>
        <w:t>. This Agreement has been duly executed and delivered by Janssen and constitutes the valid and binding obligation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Janssen, enforceable against Janssen in accordance with its terms. The execution, delivery and performance of this Agreement have been duly authorized by all necessary action on the part of Janssen, its officers and directors and does not conflict with any agreement, instrument or understanding, oral or written, to which Janssen is a party or by which Janssen may be bound, nor violate any applicable law or regulation of any court, governmental body or administrative or other agency having jurisdiction over it.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PATENT PROVISIONS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Filing, Prosecution and Maintenance of ACI Patent Rights and Joint Patent Rights.</w:t>
      </w:r>
    </w:p>
    <w:p>
      <w:pPr>
        <w:spacing w:after="0" w:line="131" w:lineRule="exact"/>
        <w:rPr>
          <w:sz w:val="20"/>
          <w:szCs w:val="20"/>
          <w:color w:val="auto"/>
        </w:rPr>
      </w:pPr>
    </w:p>
    <w:p>
      <w:pPr>
        <w:ind w:left="1380" w:hanging="796"/>
        <w:spacing w:after="0" w:line="281" w:lineRule="auto"/>
        <w:tabs>
          <w:tab w:leader="none" w:pos="13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7"/>
          <w:szCs w:val="17"/>
          <w:color w:val="auto"/>
        </w:rPr>
        <w:t>Janssen and ACI shall jointly select skilled outside patent attorneys (“</w:t>
      </w:r>
      <w:r>
        <w:rPr>
          <w:rFonts w:ascii="Arial" w:cs="Arial" w:eastAsia="Arial" w:hAnsi="Arial"/>
          <w:sz w:val="17"/>
          <w:szCs w:val="17"/>
          <w:b w:val="1"/>
          <w:bCs w:val="1"/>
          <w:color w:val="auto"/>
        </w:rPr>
        <w:t>Outside Patent Counsel</w:t>
      </w:r>
      <w:r>
        <w:rPr>
          <w:rFonts w:ascii="Arial" w:cs="Arial" w:eastAsia="Arial" w:hAnsi="Arial"/>
          <w:sz w:val="17"/>
          <w:szCs w:val="17"/>
          <w:color w:val="auto"/>
        </w:rPr>
        <w:t>”) to diligently file, prosecute and maintain the ACI Patent Rights and Joint Patent Rights in the Territory, and to conduct any interference, opposition, reexamination, re-issue or other similar proceeding. Such actions shall be taken in all such countries as is customary for ACI to file, prosecute and maintain patent rights covering pharmaceutical products and taking into account Janssen’s recommendations.</w:t>
      </w:r>
    </w:p>
    <w:p>
      <w:pPr>
        <w:spacing w:after="0" w:line="70" w:lineRule="exact"/>
        <w:rPr>
          <w:sz w:val="20"/>
          <w:szCs w:val="20"/>
          <w:color w:val="auto"/>
        </w:rPr>
      </w:pPr>
    </w:p>
    <w:p>
      <w:pPr>
        <w:ind w:left="1380" w:right="3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color w:val="auto"/>
        </w:rPr>
        <w:t>[*****] in the preparation, prosecution and maintenance of ACI Patent Rights and Joint Patent Rights in the Territory for such matters occurring after the Effective Date.</w:t>
      </w:r>
    </w:p>
    <w:p>
      <w:pPr>
        <w:spacing w:after="0" w:line="76" w:lineRule="exact"/>
        <w:rPr>
          <w:sz w:val="20"/>
          <w:szCs w:val="20"/>
          <w:color w:val="auto"/>
        </w:rPr>
      </w:pPr>
    </w:p>
    <w:p>
      <w:pPr>
        <w:ind w:left="1380" w:right="20" w:hanging="796"/>
        <w:spacing w:after="0" w:line="290" w:lineRule="auto"/>
        <w:tabs>
          <w:tab w:leader="none" w:pos="13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color w:val="auto"/>
        </w:rPr>
        <w:t>Each Party (either itself or through the Outside Patent Counsel) shall keep the other Party advised on at least a quarterly basis of the status of all actual and prospective ACI Patent Rights, Joint Patent Rights or Janssen Patent Rights, as applicable, in the Territory and upon the request of the other Party, provide advance copies of any material papers related to the filing, prosecution and maintenance of such patent filings. ACI shall provide primary direction to Outside Patent Counsel for patent matters relating to the ACI Patent Rights and shall solicit Janssen’s advice and review of the nature and text of such patent applications and important prosecution matters related to thereto in reasonably sufficient time prior to filing thereof, and ACI shall consider Janssen’s comments related thereto. ACI shall give reasonable advance notice to Janssen of the grant, lapse, revocation, surrender, invalidation or abandonment of any ACI Patent Rights in the Territory. Janssen shall provide primary direction to Outside Patent Counsel for patent matters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69" w:right="279" w:bottom="1440" w:gutter="0" w:footer="0" w:header="0"/>
        </w:sectPr>
      </w:pPr>
    </w:p>
    <w:bookmarkStart w:id="353" w:name="page354"/>
    <w:bookmarkEnd w:id="3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20"/>
        <w:spacing w:after="0" w:line="259" w:lineRule="auto"/>
        <w:rPr>
          <w:sz w:val="20"/>
          <w:szCs w:val="20"/>
          <w:color w:val="auto"/>
        </w:rPr>
      </w:pPr>
      <w:r>
        <w:rPr>
          <w:rFonts w:ascii="Arial" w:cs="Arial" w:eastAsia="Arial" w:hAnsi="Arial"/>
          <w:sz w:val="18"/>
          <w:szCs w:val="18"/>
          <w:color w:val="auto"/>
        </w:rPr>
        <w:t>relating to the Joint Patent Rights and shall solicit ACI’s advice and review of the nature and text of such patent applications and important prosecution matters related to thereto in reasonably sufficient time prior to filing thereof, and Janssen shall consider ACI’s comments related thereto. Jansen shall give reasonable advance notice to ACI of the grant, lapse, revocation, surrender, invalidation or abandonment of any Joint Patent Rights in the Territory.</w:t>
      </w:r>
    </w:p>
    <w:p>
      <w:pPr>
        <w:spacing w:after="0" w:line="88" w:lineRule="exact"/>
        <w:rPr>
          <w:sz w:val="20"/>
          <w:szCs w:val="20"/>
          <w:color w:val="auto"/>
        </w:rPr>
      </w:pPr>
    </w:p>
    <w:p>
      <w:pPr>
        <w:ind w:left="1380" w:right="60" w:hanging="796"/>
        <w:spacing w:after="0" w:line="308" w:lineRule="auto"/>
        <w:tabs>
          <w:tab w:leader="none" w:pos="13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7"/>
          <w:szCs w:val="17"/>
          <w:color w:val="auto"/>
        </w:rPr>
        <w:t>ACI and Janssen shall collaborate on a strategy to file divisional patent applications worldwide to specifically claim the Products and their components. With regard to such divisional applications, ACI shall consider Janssen’s comments related thereto, and [*****].</w:t>
      </w:r>
    </w:p>
    <w:p>
      <w:pPr>
        <w:spacing w:after="0" w:line="2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Option to Prosecute and Maintain Patents.</w:t>
      </w:r>
    </w:p>
    <w:p>
      <w:pPr>
        <w:spacing w:after="0" w:line="131" w:lineRule="exact"/>
        <w:rPr>
          <w:sz w:val="20"/>
          <w:szCs w:val="20"/>
          <w:color w:val="auto"/>
        </w:rPr>
      </w:pPr>
    </w:p>
    <w:p>
      <w:pPr>
        <w:ind w:left="1380" w:right="140" w:hanging="796"/>
        <w:spacing w:after="0" w:line="295" w:lineRule="auto"/>
        <w:tabs>
          <w:tab w:leader="none" w:pos="13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ACI Patents</w:t>
      </w:r>
      <w:r>
        <w:rPr>
          <w:rFonts w:ascii="Arial" w:cs="Arial" w:eastAsia="Arial" w:hAnsi="Arial"/>
          <w:sz w:val="16"/>
          <w:szCs w:val="16"/>
          <w:color w:val="auto"/>
        </w:rPr>
        <w:t>. ACI may cease prosecution and/or maintenance of ACI Patent Rights on a country-by-country basis in the Territory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Janssen written notice. If ACI elects to cease prosecution or maintenance of ACI Patent Rights in a country, Janssen, at its sole discretion and cost, may continue prosecution or maintenance of such ACI Patent Rights in such country in ACI’s name. If Janssen elects to continue prosecution or maintenance or elects to file additional applications following ACI’s election to cease prosecution or maintenance pursuant to this section 11.2.1, ACI shall execute such documents and perform such acts at ACI’s expense as may be reasonably necessary to allow Janssen to initiate or continue such filing, prosecution or maintenance at Janssen’s sole expense.</w:t>
      </w:r>
    </w:p>
    <w:p>
      <w:pPr>
        <w:spacing w:after="0" w:line="61" w:lineRule="exact"/>
        <w:rPr>
          <w:sz w:val="20"/>
          <w:szCs w:val="20"/>
          <w:color w:val="auto"/>
        </w:rPr>
      </w:pPr>
    </w:p>
    <w:p>
      <w:pPr>
        <w:ind w:left="1380" w:right="360" w:hanging="796"/>
        <w:spacing w:after="0" w:line="298" w:lineRule="auto"/>
        <w:tabs>
          <w:tab w:leader="none" w:pos="13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b w:val="1"/>
          <w:bCs w:val="1"/>
          <w:color w:val="auto"/>
        </w:rPr>
        <w:t>Joint Patents</w:t>
      </w:r>
      <w:r>
        <w:rPr>
          <w:rFonts w:ascii="Arial" w:cs="Arial" w:eastAsia="Arial" w:hAnsi="Arial"/>
          <w:sz w:val="16"/>
          <w:szCs w:val="16"/>
          <w:color w:val="auto"/>
        </w:rPr>
        <w:t>. Janssen may cease prosecution or maintenance of Joint Patent Rights on a country-by-country basis in the Territory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ACI written notice. If Janssen elects to cease prosecution or maintenance of Joint Patent Rights in a country, ACI, at its sole discretion and cost, may continue prosecution or maintenance of such Joint Patent Rights in such country. If ACI elects to continue prosecution or maintenance or elects to file additional applications following Jansen’s election to cease prosecution or maintenance pursuant to this section 11.2.2, ACI shall continue such filing, prosecution or maintenance at ACI’s sole expense.</w:t>
      </w:r>
    </w:p>
    <w:p>
      <w:pPr>
        <w:spacing w:after="0" w:line="3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Interference, Opposition, Re-examination and Re-issue.</w:t>
      </w:r>
    </w:p>
    <w:p>
      <w:pPr>
        <w:spacing w:after="0" w:line="131" w:lineRule="exact"/>
        <w:rPr>
          <w:sz w:val="20"/>
          <w:szCs w:val="20"/>
          <w:color w:val="auto"/>
        </w:rPr>
      </w:pPr>
    </w:p>
    <w:p>
      <w:pPr>
        <w:ind w:left="1380" w:hanging="796"/>
        <w:spacing w:after="0" w:line="293" w:lineRule="auto"/>
        <w:tabs>
          <w:tab w:leader="none" w:pos="136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6"/>
          <w:szCs w:val="16"/>
          <w:color w:val="auto"/>
        </w:rPr>
        <w:t>ACI shall promptly, but in any case within [*****] of learning of any request for, or filing or declaration of, any Patent Proceeding relating to ACI Patent Rights for which ACI is responsible, and Janssen shall similarly promptly inform ACI of any request for, or filing or declaration of, any Patent Proceeding relating to Joint Patent Rights for which Janssen is responsible. Janssen and ACI shall thereafter consult and cooperate fully to determine a course of action with respect to any such Patent Proceeding. Each Party has the right to review any submission to be made in connection with the Patent Proceeding of the other Party and has the right to approve any such submission related to ACI Patent Rights and Joint Patent Rights, provided such approval shall not be unreasonably withheld.</w:t>
      </w:r>
    </w:p>
    <w:p>
      <w:pPr>
        <w:spacing w:after="0" w:line="70" w:lineRule="exact"/>
        <w:rPr>
          <w:sz w:val="20"/>
          <w:szCs w:val="20"/>
          <w:color w:val="auto"/>
        </w:rPr>
      </w:pPr>
    </w:p>
    <w:p>
      <w:pPr>
        <w:ind w:left="138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8"/>
          <w:szCs w:val="18"/>
          <w:color w:val="auto"/>
        </w:rPr>
        <w:t>ACI shall provide Janssen with written notice as soon as practicable prior to initiating any Patent Proceeding relating to ACI Patent Rights, and Janssen shall provide ACI with written notice as soon as practicable prior to initiating any Patent Proceeding relating to Joint Patent Rights.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354" w:name="page355"/>
    <w:bookmarkEnd w:id="3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140" w:hanging="796"/>
        <w:spacing w:after="0" w:line="279" w:lineRule="auto"/>
        <w:tabs>
          <w:tab w:leader="none" w:pos="136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7"/>
          <w:szCs w:val="17"/>
          <w:color w:val="auto"/>
        </w:rPr>
        <w:t>In connection with any Patent Proceeding relating to ACI Patent Rights or Joint Patent Rights, Janssen and ACI shall cooperate fully and shall provide each other with any information or assistance that either may reasonably request. Each Party shall keep the other Party informed of developments in any such action or proceeding, including, to the extent permissible by law, consultation regarding any settlement, the status of any settlement negotiations and the terms of any related offer.</w:t>
      </w:r>
    </w:p>
    <w:p>
      <w:pPr>
        <w:spacing w:after="0" w:line="77"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5"/>
          <w:szCs w:val="15"/>
          <w:color w:val="auto"/>
        </w:rPr>
        <w:t>The expense of any Patent Proceeding shall, unless agreed otherwise, be treated as prosecution and maintenance costs pursuant to section</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11.1.2.</w:t>
      </w:r>
    </w:p>
    <w:p>
      <w:pPr>
        <w:spacing w:after="0" w:line="3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Enforcement and Defense.</w:t>
      </w:r>
    </w:p>
    <w:p>
      <w:pPr>
        <w:spacing w:after="0" w:line="131" w:lineRule="exact"/>
        <w:rPr>
          <w:sz w:val="20"/>
          <w:szCs w:val="20"/>
          <w:color w:val="auto"/>
        </w:rPr>
      </w:pPr>
    </w:p>
    <w:p>
      <w:pPr>
        <w:ind w:left="1380" w:right="40" w:hanging="796"/>
        <w:spacing w:after="0" w:line="287" w:lineRule="auto"/>
        <w:tabs>
          <w:tab w:leader="none" w:pos="136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color w:val="auto"/>
        </w:rPr>
        <w:t>Each Party shall promptly give the other Party notice of (i) any infringement of ACI Patent Rights, Janssen Patent Rights or Joint Patent Rights with respect to a Product, or (ii) any misappropriation or misuse of ACI Know-How or Janssen Know-How with respect to a Product, that may come to a Party’s attention. Janssen and ACI shall thereafter cooperate to determine a course of action to terminate any such infringement of ACI Patent Rights, Janssen Patent Rights or Joint Patent Rights or any misappropriation or misuse of ACI Know-How or Janssen Know-How. Janssen has the right but not the obligation to initiate and prosecute any such legal action at its own expense and in the name of ACI and Janssen (or just ACI or just Janssen if the laws of the jurisdiction so dictate), or to control the defense of any declaratory judgment action relating to such ACI Patent Rights, Janssen Patent Rights, Joint Patent Rights, ACI Know-How or Janssen Know-How. [*****]. Janssen shall promptly inform ACI if it elects not to exercise that right with respect to ACI Patent Rights, Janssen Patent Rights or Joint Patent Rights and ACI Know-How and Janssen Know-How and ACI shall thereafter have the right at its sole cost to either initiate and prosecute such action or to control the defense of such declaratory judgment action in the name of Janssen and, if necessary, ACI. Each Party shall have the right to be represented by counsel of its own choice.</w:t>
      </w:r>
    </w:p>
    <w:p>
      <w:pPr>
        <w:spacing w:after="0" w:line="78" w:lineRule="exact"/>
        <w:rPr>
          <w:sz w:val="20"/>
          <w:szCs w:val="20"/>
          <w:color w:val="auto"/>
        </w:rPr>
      </w:pPr>
    </w:p>
    <w:p>
      <w:pPr>
        <w:ind w:left="1380" w:hanging="796"/>
        <w:spacing w:after="0" w:line="272" w:lineRule="auto"/>
        <w:tabs>
          <w:tab w:leader="none" w:pos="136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7"/>
          <w:szCs w:val="17"/>
          <w:color w:val="auto"/>
        </w:rPr>
        <w:t>For any action to terminate any infringement of ACI Patent Rights, Janssen Patent Rights or Joint Patent Rights or any misappropriation or misuse of ACI Know-How or Janssen Know-How, if Janssen is unable to initiate or prosecute such action solely in its own name, ACI shall join such action voluntarily and shall execute and cause its Affiliates to execute all documents necessary for Janssen to initiate litigation to prosecute and maintain such action. [*****]. In connection with any action, Janssen and ACI shall cooperate fully and shall provide each other with any information or assistance that either may reasonably request. Each Party shall keep the other informed of developments in any action or proceeding, including, to the extent permissible by law, the consultation and approval of any settlement negotiations and the terms of any offer related thereto.</w:t>
      </w:r>
    </w:p>
    <w:p>
      <w:pPr>
        <w:spacing w:after="0" w:line="83" w:lineRule="exact"/>
        <w:rPr>
          <w:sz w:val="20"/>
          <w:szCs w:val="20"/>
          <w:color w:val="auto"/>
        </w:rPr>
      </w:pPr>
    </w:p>
    <w:p>
      <w:pPr>
        <w:ind w:left="1380" w:right="4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8"/>
          <w:szCs w:val="18"/>
          <w:color w:val="auto"/>
        </w:rPr>
        <w:t>Any recovery obtained by either or both Janssen and ACI in connection with or as a result of any action contemplated by this section, whether by settlement or otherwise, shall be shared in order as follows:</w:t>
      </w:r>
    </w:p>
    <w:p>
      <w:pPr>
        <w:spacing w:after="0" w:line="80" w:lineRule="exact"/>
        <w:rPr>
          <w:sz w:val="20"/>
          <w:szCs w:val="20"/>
          <w:color w:val="auto"/>
        </w:rPr>
      </w:pPr>
    </w:p>
    <w:p>
      <w:pPr>
        <w:ind w:left="1940" w:hanging="568"/>
        <w:spacing w:after="0"/>
        <w:tabs>
          <w:tab w:leader="none" w:pos="1940"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the Party that initiated and prosecuted the action [*****];</w:t>
      </w:r>
    </w:p>
    <w:p>
      <w:pPr>
        <w:spacing w:after="0" w:line="130" w:lineRule="exact"/>
        <w:rPr>
          <w:rFonts w:ascii="Arial" w:cs="Arial" w:eastAsia="Arial" w:hAnsi="Arial"/>
          <w:sz w:val="18"/>
          <w:szCs w:val="18"/>
          <w:b w:val="1"/>
          <w:bCs w:val="1"/>
          <w:color w:val="auto"/>
        </w:rPr>
      </w:pPr>
    </w:p>
    <w:p>
      <w:pPr>
        <w:ind w:left="5620" w:right="5020" w:hanging="4248"/>
        <w:spacing w:after="0" w:line="449" w:lineRule="auto"/>
        <w:tabs>
          <w:tab w:leader="none" w:pos="1935"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the other Party shall then, to the extent possible, [*****]; and 27</w:t>
      </w:r>
    </w:p>
    <w:p>
      <w:pPr>
        <w:sectPr>
          <w:pgSz w:w="11900" w:h="16838" w:orient="portrait"/>
          <w:cols w:equalWidth="0" w:num="1">
            <w:col w:w="11380"/>
          </w:cols>
          <w:pgMar w:left="240" w:top="270" w:right="279" w:bottom="1440" w:gutter="0" w:footer="0" w:header="0"/>
        </w:sectPr>
      </w:pPr>
    </w:p>
    <w:bookmarkStart w:id="355" w:name="page356"/>
    <w:bookmarkEnd w:id="355"/>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60" w:right="4520" w:hanging="568"/>
        <w:spacing w:after="0" w:line="439" w:lineRule="auto"/>
        <w:tabs>
          <w:tab w:leader="none" w:pos="1351"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The amount of any recovery remaining shall be allocated as follows: [*****] [*****]</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6"/>
          <w:szCs w:val="16"/>
          <w:color w:val="auto"/>
        </w:rPr>
        <w:t>ACI shall inform Janssen of any certification regarding any ACI Patent Rights it has received pursuant to either 21 U.S.C. §§355(b)(2)(A)</w:t>
      </w:r>
    </w:p>
    <w:p>
      <w:pPr>
        <w:spacing w:after="0" w:line="27" w:lineRule="exact"/>
        <w:rPr>
          <w:sz w:val="20"/>
          <w:szCs w:val="20"/>
          <w:color w:val="auto"/>
        </w:rPr>
      </w:pPr>
    </w:p>
    <w:p>
      <w:pPr>
        <w:ind w:left="800" w:right="120" w:hanging="8"/>
        <w:spacing w:after="0" w:line="254" w:lineRule="auto"/>
        <w:tabs>
          <w:tab w:leader="none" w:pos="110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or (j)(2)(A)(vii)(IV) or its successor provisions or any similar provisions in a country in the Territory other than the United States and shall provide Janssen with a copy of the certification within [*****] days of receipt. ACI’s and Janssen’s rights with respect to the initiation and prosecution of any legal action as a result of certification or any recovery obtained as a result of such legal action shall be according to sections 11.4.1 through 11.4.3.</w:t>
      </w:r>
    </w:p>
    <w:p>
      <w:pPr>
        <w:spacing w:after="0" w:line="91"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b w:val="1"/>
          <w:bCs w:val="1"/>
          <w:color w:val="auto"/>
        </w:rPr>
        <w:t>11.4.5</w:t>
      </w:r>
      <w:r>
        <w:rPr>
          <w:sz w:val="20"/>
          <w:szCs w:val="20"/>
          <w:color w:val="auto"/>
        </w:rPr>
        <w:tab/>
      </w:r>
      <w:r>
        <w:rPr>
          <w:rFonts w:ascii="Arial" w:cs="Arial" w:eastAsia="Arial" w:hAnsi="Arial"/>
          <w:sz w:val="18"/>
          <w:szCs w:val="18"/>
          <w:b w:val="1"/>
          <w:bCs w:val="1"/>
          <w:color w:val="auto"/>
        </w:rPr>
        <w:t>Patent Term Restoration</w:t>
      </w:r>
      <w:r>
        <w:rPr>
          <w:rFonts w:ascii="Arial" w:cs="Arial" w:eastAsia="Arial" w:hAnsi="Arial"/>
          <w:sz w:val="18"/>
          <w:szCs w:val="18"/>
          <w:color w:val="auto"/>
        </w:rPr>
        <w:t>. The Parties shall cooperate with each other and use Diligent Efforts to obtain patent term restoration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protection certificates or their equivalents in any country in the Territory where applicable to ACI Patent Rights, Joint Patent Rights and Janssen Patent Rights.</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6"/>
          <w:szCs w:val="16"/>
          <w:b w:val="1"/>
          <w:bCs w:val="1"/>
          <w:color w:val="auto"/>
        </w:rPr>
        <w:t>Third Party Claims.</w:t>
      </w:r>
    </w:p>
    <w:p>
      <w:pPr>
        <w:spacing w:after="0" w:line="135" w:lineRule="exact"/>
        <w:rPr>
          <w:sz w:val="20"/>
          <w:szCs w:val="20"/>
          <w:color w:val="auto"/>
        </w:rPr>
      </w:pPr>
    </w:p>
    <w:p>
      <w:pPr>
        <w:ind w:left="1360" w:right="80" w:hanging="568"/>
        <w:spacing w:after="0" w:line="272" w:lineRule="auto"/>
        <w:tabs>
          <w:tab w:leader="none" w:pos="1360"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Without prejudice to section 13.1.2, if any action, suit or proceeding is brought against Janssen or ACI or any Affiliate or sublicensee of either Party alleging the infringement of the intellectual property rights of a Third Party by reason of the discovery, development, manufacture, use, sale, importation or offer for sale of a Product in the Territory, each of the Parties shall have the right but not the obligation to defend itself in such action, suit or proceeding at its sole expense. The Parties shall cooperate with each other in any defense of any such suit, action or proceeding. The Parties shall give each other prompt written notice of the commencement of any such suit, action or proceeding, or receipt of any claim of infringement, and shall furnish each other a copy of each communication relating to the alleged infringement.</w:t>
      </w:r>
    </w:p>
    <w:p>
      <w:pPr>
        <w:spacing w:after="0" w:line="69"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 xml:space="preserve">Neither Party shall compromise, litigate, settle or otherwise dispose of any such suit, action or proceeding without the other Party’s advice and prior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not having the right to defend the suit shall not unreasonably withhold its consent to any settlement which does not have a material adverse effect on its rights, obligations or benefits, either under this Agreement or otherwise. [*****].</w:t>
      </w:r>
    </w:p>
    <w:p>
      <w:pPr>
        <w:spacing w:after="0" w:line="92" w:lineRule="exact"/>
        <w:rPr>
          <w:rFonts w:ascii="Arial" w:cs="Arial" w:eastAsia="Arial" w:hAnsi="Arial"/>
          <w:sz w:val="17"/>
          <w:szCs w:val="17"/>
          <w:b w:val="1"/>
          <w:bCs w:val="1"/>
          <w:color w:val="auto"/>
        </w:rPr>
      </w:pPr>
    </w:p>
    <w:p>
      <w:pPr>
        <w:ind w:left="1360" w:right="140" w:hanging="568"/>
        <w:spacing w:after="0" w:line="342" w:lineRule="auto"/>
        <w:tabs>
          <w:tab w:leader="none" w:pos="1360" w:val="left"/>
        </w:tabs>
        <w:numPr>
          <w:ilvl w:val="0"/>
          <w:numId w:val="247"/>
        </w:numPr>
        <w:rPr>
          <w:rFonts w:ascii="Arial" w:cs="Arial" w:eastAsia="Arial" w:hAnsi="Arial"/>
          <w:sz w:val="16"/>
          <w:szCs w:val="16"/>
          <w:b w:val="1"/>
          <w:bCs w:val="1"/>
          <w:color w:val="auto"/>
        </w:rPr>
      </w:pPr>
      <w:r>
        <w:rPr>
          <w:rFonts w:ascii="Arial" w:cs="Arial" w:eastAsia="Arial" w:hAnsi="Arial"/>
          <w:sz w:val="16"/>
          <w:szCs w:val="16"/>
          <w:color w:val="auto"/>
        </w:rPr>
        <w:t>The Party first having actual notice of any claim, action or proceeding referenced in section 11.4.6(a) above shall promptly notify the other Party in writing, setting forth in reasonable detail, to its knowledge, the facts related to any such claim, action or</w:t>
      </w:r>
    </w:p>
    <w:p>
      <w:pPr>
        <w:spacing w:after="0" w:line="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20"/>
          </w:cols>
          <w:pgMar w:left="820" w:top="269" w:right="259" w:bottom="1440" w:gutter="0" w:footer="0" w:header="0"/>
        </w:sectPr>
      </w:pPr>
    </w:p>
    <w:bookmarkStart w:id="356" w:name="page357"/>
    <w:bookmarkEnd w:id="3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proceeding. The Parties shall promptly discuss proposed responses to any such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TERM AND TERMINATION</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12.1 Term and Expiration</w:t>
      </w:r>
      <w:r>
        <w:rPr>
          <w:rFonts w:ascii="Arial" w:cs="Arial" w:eastAsia="Arial" w:hAnsi="Arial"/>
          <w:sz w:val="18"/>
          <w:szCs w:val="18"/>
          <w:color w:val="auto"/>
        </w:rPr>
        <w:t>. This Agreement is effective as of the Effective Date and unless terminated earlier pursuant to sections 12.2, 12.3 or 12.6,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effect until expiration of all royalty obligations under Article 9 (the “Term”).</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Termination by Janssen Without Cause.</w:t>
      </w:r>
    </w:p>
    <w:p>
      <w:pPr>
        <w:spacing w:after="0" w:line="131" w:lineRule="exact"/>
        <w:rPr>
          <w:sz w:val="20"/>
          <w:szCs w:val="20"/>
          <w:color w:val="auto"/>
        </w:rPr>
      </w:pPr>
    </w:p>
    <w:p>
      <w:pPr>
        <w:jc w:val="both"/>
        <w:ind w:left="1380" w:right="22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8"/>
          <w:szCs w:val="18"/>
          <w:color w:val="auto"/>
        </w:rPr>
        <w:t>Janssen has the right to terminate this Agreement in its entirety at any time after Completion of the phase 1b Clinical Trial and in its sole discretion on a Product-by-Product and country-by-country basis upon [*****] days advance written notice to ACI, except that Janssen will wind down any on-going Clinical Trial consistent with applicable law;</w:t>
      </w:r>
    </w:p>
    <w:p>
      <w:pPr>
        <w:spacing w:after="0" w:line="87" w:lineRule="exact"/>
        <w:rPr>
          <w:sz w:val="20"/>
          <w:szCs w:val="20"/>
          <w:color w:val="auto"/>
        </w:rPr>
      </w:pPr>
    </w:p>
    <w:p>
      <w:pPr>
        <w:ind w:left="1380" w:right="220" w:hanging="796"/>
        <w:spacing w:after="0" w:line="279" w:lineRule="auto"/>
        <w:tabs>
          <w:tab w:leader="none" w:pos="136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7"/>
          <w:szCs w:val="17"/>
          <w:color w:val="auto"/>
        </w:rPr>
        <w:t>Janssen has the right to terminate this Agreement immediately in its sole discretion upon written notice to ACI if a Valid Safety Issue exists. The notice will provide sufficient information for ACI to confirm the existence of the Valid Safety Issue. A “</w:t>
      </w:r>
      <w:r>
        <w:rPr>
          <w:rFonts w:ascii="Arial" w:cs="Arial" w:eastAsia="Arial" w:hAnsi="Arial"/>
          <w:sz w:val="17"/>
          <w:szCs w:val="17"/>
          <w:b w:val="1"/>
          <w:bCs w:val="1"/>
          <w:color w:val="auto"/>
        </w:rPr>
        <w:t>Valid Safety Issue</w:t>
      </w:r>
      <w:r>
        <w:rPr>
          <w:rFonts w:ascii="Arial" w:cs="Arial" w:eastAsia="Arial" w:hAnsi="Arial"/>
          <w:sz w:val="17"/>
          <w:szCs w:val="17"/>
          <w:color w:val="auto"/>
        </w:rPr>
        <w:t>” means the ceasing of Development activities or withdrawal from any market as a result of reasonable concerns that the Product is unsafe for administration to humans. During the period of notice until the effective date of termination,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Termination for Cause</w:t>
      </w:r>
      <w:r>
        <w:rPr>
          <w:rFonts w:ascii="Arial" w:cs="Arial" w:eastAsia="Arial" w:hAnsi="Arial"/>
          <w:sz w:val="18"/>
          <w:szCs w:val="18"/>
          <w:color w:val="auto"/>
        </w:rPr>
        <w:t>. This Agreement may be terminated at any time during the term of this Agreement:</w:t>
      </w:r>
    </w:p>
    <w:p>
      <w:pPr>
        <w:spacing w:after="0" w:line="131" w:lineRule="exact"/>
        <w:rPr>
          <w:sz w:val="20"/>
          <w:szCs w:val="20"/>
          <w:color w:val="auto"/>
        </w:rPr>
      </w:pPr>
    </w:p>
    <w:p>
      <w:pPr>
        <w:jc w:val="both"/>
        <w:ind w:left="1380" w:right="120" w:hanging="796"/>
        <w:spacing w:after="0" w:line="289" w:lineRule="auto"/>
        <w:tabs>
          <w:tab w:leader="none" w:pos="1360"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6"/>
          <w:szCs w:val="16"/>
          <w:color w:val="auto"/>
        </w:rPr>
        <w:t xml:space="preserve">upon written notice by either Party if the other Party is in material breach of its obligations hereunder and has not cured such breach after notice from the terminating Party requesting cure of the breach as specified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of a good faith dispute with respect to the existence of a material breach, the cure period is tolled until such time as the dispute is resolved pursuant to section</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13.7;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terminating Party has given the defaulting Party the following opportunities to remedy any breach:</w:t>
      </w:r>
    </w:p>
    <w:p>
      <w:pPr>
        <w:spacing w:after="0" w:line="116" w:lineRule="exact"/>
        <w:rPr>
          <w:sz w:val="20"/>
          <w:szCs w:val="20"/>
          <w:color w:val="auto"/>
        </w:rPr>
      </w:pPr>
    </w:p>
    <w:p>
      <w:pPr>
        <w:ind w:left="1940" w:right="500" w:hanging="568"/>
        <w:spacing w:after="0" w:line="342" w:lineRule="auto"/>
        <w:tabs>
          <w:tab w:leader="none" w:pos="1940" w:val="left"/>
        </w:tabs>
        <w:numPr>
          <w:ilvl w:val="0"/>
          <w:numId w:val="248"/>
        </w:numPr>
        <w:rPr>
          <w:rFonts w:ascii="Arial" w:cs="Arial" w:eastAsia="Arial" w:hAnsi="Arial"/>
          <w:sz w:val="16"/>
          <w:szCs w:val="16"/>
          <w:b w:val="1"/>
          <w:bCs w:val="1"/>
          <w:color w:val="auto"/>
        </w:rPr>
      </w:pPr>
      <w:r>
        <w:rPr>
          <w:rFonts w:ascii="Arial" w:cs="Arial" w:eastAsia="Arial" w:hAnsi="Arial"/>
          <w:sz w:val="16"/>
          <w:szCs w:val="16"/>
          <w:color w:val="auto"/>
        </w:rPr>
        <w:t>the written notice of breach referenced will detail the specific obligation under this Agreement which is alleged to have been breached; the manner of such alleged breach; and the steps which must be taken in order to remedy such breach; and</w:t>
      </w:r>
    </w:p>
    <w:p>
      <w:pPr>
        <w:spacing w:after="0" w:line="29" w:lineRule="exact"/>
        <w:rPr>
          <w:rFonts w:ascii="Arial" w:cs="Arial" w:eastAsia="Arial" w:hAnsi="Arial"/>
          <w:sz w:val="16"/>
          <w:szCs w:val="16"/>
          <w:b w:val="1"/>
          <w:bCs w:val="1"/>
          <w:color w:val="auto"/>
        </w:rPr>
      </w:pPr>
    </w:p>
    <w:p>
      <w:pPr>
        <w:ind w:left="1940" w:hanging="568"/>
        <w:spacing w:after="0" w:line="257" w:lineRule="auto"/>
        <w:tabs>
          <w:tab w:leader="none" w:pos="194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the terminating Party has provided the defaulting Party with a reasonable amount of time (but no more than [*****]) in which (i) to complete any steps which might be taken to remedy the breach, as stated in the notification of breach, or (ii) if completion of those steps is not possible within a [*****] period, to commence those steps required as stated in the ·notification of breach, on the condition that the defaulting Party continues to perform those steps with due diligence and the breach can be cured within a mutually agreeable period of time.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12.4 Effect on License of Termination by Janssen for Breach by ACI</w:t>
      </w:r>
      <w:r>
        <w:rPr>
          <w:rFonts w:ascii="Arial" w:cs="Arial" w:eastAsia="Arial" w:hAnsi="Arial"/>
          <w:sz w:val="17"/>
          <w:szCs w:val="17"/>
          <w:color w:val="auto"/>
        </w:rPr>
        <w:t>. If Janssen terminates this agreement under section 12.3.1, then Janssen’s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Article 7 become perpetual, exclusive licenses subject to the financial provisions of Article 9 and obligations under Article 11. In addition, Janssen’s obligation to use Diligent Efforts under Section 2.1 shall remain in effect until expiration of Janssen’s obligation to pay royalties under section 9.3. Janssen will retain any rights to seek remedies for damages it may have under the laws of Switzerland.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 Effect of Termination by ACI For Breach by Janssen or by Janssen Without Cause</w:t>
      </w:r>
      <w:r>
        <w:rPr>
          <w:rFonts w:ascii="Arial" w:cs="Arial" w:eastAsia="Arial" w:hAnsi="Arial"/>
          <w:sz w:val="17"/>
          <w:szCs w:val="17"/>
          <w:color w:val="auto"/>
        </w:rPr>
        <w:t>. If ACI terminates this Agreement under section 12.3.1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Janssen terminates this Agreement under section 12.2.1:</w:t>
      </w:r>
    </w:p>
    <w:p>
      <w:pPr>
        <w:spacing w:after="0" w:line="112" w:lineRule="exact"/>
        <w:rPr>
          <w:sz w:val="20"/>
          <w:szCs w:val="20"/>
          <w:color w:val="auto"/>
        </w:rPr>
      </w:pPr>
    </w:p>
    <w:p>
      <w:pPr>
        <w:ind w:left="1380" w:right="60" w:hanging="796"/>
        <w:spacing w:after="0" w:line="292" w:lineRule="auto"/>
        <w:tabs>
          <w:tab w:leader="none" w:pos="1360" w:val="left"/>
        </w:tabs>
        <w:rPr>
          <w:sz w:val="20"/>
          <w:szCs w:val="20"/>
          <w:color w:val="auto"/>
        </w:rPr>
      </w:pPr>
      <w:r>
        <w:rPr>
          <w:rFonts w:ascii="Arial" w:cs="Arial" w:eastAsia="Arial" w:hAnsi="Arial"/>
          <w:sz w:val="18"/>
          <w:szCs w:val="18"/>
          <w:b w:val="1"/>
          <w:bCs w:val="1"/>
          <w:color w:val="auto"/>
        </w:rPr>
        <w:t>12.5.1</w:t>
      </w:r>
      <w:r>
        <w:rPr>
          <w:sz w:val="20"/>
          <w:szCs w:val="20"/>
          <w:color w:val="auto"/>
        </w:rPr>
        <w:tab/>
      </w:r>
      <w:r>
        <w:rPr>
          <w:rFonts w:ascii="Arial" w:cs="Arial" w:eastAsia="Arial" w:hAnsi="Arial"/>
          <w:sz w:val="16"/>
          <w:szCs w:val="16"/>
          <w:b w:val="1"/>
          <w:bCs w:val="1"/>
          <w:color w:val="auto"/>
        </w:rPr>
        <w:t>Termination of License to Janssen</w:t>
      </w:r>
      <w:r>
        <w:rPr>
          <w:rFonts w:ascii="Arial" w:cs="Arial" w:eastAsia="Arial" w:hAnsi="Arial"/>
          <w:sz w:val="16"/>
          <w:szCs w:val="16"/>
          <w:color w:val="auto"/>
        </w:rPr>
        <w:t>. The licenses granted to Janssen terminate as of the Agreement termination date in their entirety or on</w:t>
      </w:r>
      <w:r>
        <w:rPr>
          <w:rFonts w:ascii="Arial" w:cs="Arial" w:eastAsia="Arial" w:hAnsi="Arial"/>
          <w:sz w:val="16"/>
          <w:szCs w:val="16"/>
          <w:b w:val="1"/>
          <w:bCs w:val="1"/>
          <w:color w:val="auto"/>
        </w:rPr>
        <w:t xml:space="preserve"> </w:t>
      </w:r>
      <w:r>
        <w:rPr>
          <w:rFonts w:ascii="Arial" w:cs="Arial" w:eastAsia="Arial" w:hAnsi="Arial"/>
          <w:sz w:val="16"/>
          <w:szCs w:val="16"/>
          <w:color w:val="auto"/>
        </w:rPr>
        <w:t>a country-by-country and Product-by-Product basis. If Janssen terminates this Agreement in one or more countries, but does not terminate the Agreement in its entirety, then at ACI’s request, the Parties will consider other reasonable means to bring the Product to market in such country but in any case, without negatively affecting the economic, technical, and clinical value of the Product in the other countries in which rights have not been terminated. ACI will retain any rights to seek remedies for damages it may have under the laws of Switzerland. In the case of a termination in its entirety, Janssen shall, within [*****] after such termination, return or cause to be returned to ACI all ACI Confidential Information in tangible form except that Janssen may retain one copy in its confidential files solely for records purposes.</w:t>
      </w:r>
    </w:p>
    <w:p>
      <w:pPr>
        <w:spacing w:after="0" w:line="67" w:lineRule="exact"/>
        <w:rPr>
          <w:sz w:val="20"/>
          <w:szCs w:val="20"/>
          <w:color w:val="auto"/>
        </w:rPr>
      </w:pPr>
    </w:p>
    <w:p>
      <w:pPr>
        <w:ind w:left="1380" w:right="20" w:hanging="796"/>
        <w:spacing w:after="0" w:line="285" w:lineRule="auto"/>
        <w:tabs>
          <w:tab w:leader="none" w:pos="1360" w:val="left"/>
        </w:tabs>
        <w:rPr>
          <w:sz w:val="20"/>
          <w:szCs w:val="20"/>
          <w:color w:val="auto"/>
        </w:rPr>
      </w:pPr>
      <w:r>
        <w:rPr>
          <w:rFonts w:ascii="Arial" w:cs="Arial" w:eastAsia="Arial" w:hAnsi="Arial"/>
          <w:sz w:val="18"/>
          <w:szCs w:val="18"/>
          <w:b w:val="1"/>
          <w:bCs w:val="1"/>
          <w:color w:val="auto"/>
        </w:rPr>
        <w:t>12.5.2</w:t>
      </w:r>
      <w:r>
        <w:rPr>
          <w:sz w:val="20"/>
          <w:szCs w:val="20"/>
          <w:color w:val="auto"/>
        </w:rPr>
        <w:tab/>
      </w:r>
      <w:r>
        <w:rPr>
          <w:rFonts w:ascii="Arial" w:cs="Arial" w:eastAsia="Arial" w:hAnsi="Arial"/>
          <w:sz w:val="16"/>
          <w:szCs w:val="16"/>
          <w:b w:val="1"/>
          <w:bCs w:val="1"/>
          <w:color w:val="auto"/>
        </w:rPr>
        <w:t>Regulatory</w:t>
      </w:r>
      <w:r>
        <w:rPr>
          <w:rFonts w:ascii="Arial" w:cs="Arial" w:eastAsia="Arial" w:hAnsi="Arial"/>
          <w:sz w:val="16"/>
          <w:szCs w:val="16"/>
          <w:color w:val="auto"/>
        </w:rPr>
        <w:t>. In the case of a termination in its entirety by ACI under Section 12.3.1 or Janssen under section 12.2.1, Janssen shall and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does assign and transfer to ACI all Regulatory Filings and Regulatory Approvals for the ACI or Joint Product together with all final pre-clinical and clinical study reports and clinical study protocols, and all data, including clinical data, materials and information in Janssen’s possession and control related to ACI or Joint Product(s) in the applicable country as necessary for ACI to continue to develop and commercialize the ACI or Joint Product(s) in such country, and (b) at ACI’s request, Janssen shall and hereby does assign to ACI all clinical trial agreements regarding the ACI or Joint Product in the applicable country to the extent such agreements have not been cancelled and to the extent Janssen is able to do so. ACI shall, upon transfer, have the right to disclose such filings, approvals and data to</w:t>
      </w:r>
    </w:p>
    <w:p>
      <w:pPr>
        <w:spacing w:after="0" w:line="2" w:lineRule="exact"/>
        <w:rPr>
          <w:sz w:val="20"/>
          <w:szCs w:val="20"/>
          <w:color w:val="auto"/>
        </w:rPr>
      </w:pPr>
    </w:p>
    <w:p>
      <w:pPr>
        <w:ind w:left="1380" w:hanging="8"/>
        <w:spacing w:after="0" w:line="253" w:lineRule="auto"/>
        <w:tabs>
          <w:tab w:leader="none" w:pos="159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governmental agencies of the country to the extent required or desirable to secure government approval for the development, manufacturing or sale of ACI or Joint Product(s) in the country, (ii) Third Parties acting on behalf of ACI, its Affiliates or licensees, to the extent reasonably necessary for the development, manufacture or sale of ACI or Joint Product(s) in the country and (iii) Third Parties to the extent reasonably necessary to market ACI or Joint Product(s) in the country. All documents shall be transferred in the form and format in which such materials are maintained by Janssen.</w:t>
      </w:r>
    </w:p>
    <w:p>
      <w:pPr>
        <w:spacing w:after="0" w:line="93" w:lineRule="exact"/>
        <w:rPr>
          <w:sz w:val="20"/>
          <w:szCs w:val="20"/>
          <w:color w:val="auto"/>
        </w:rPr>
      </w:pPr>
    </w:p>
    <w:p>
      <w:pPr>
        <w:ind w:left="1380" w:right="100" w:hanging="796"/>
        <w:spacing w:after="0" w:line="256" w:lineRule="auto"/>
        <w:tabs>
          <w:tab w:leader="none" w:pos="1360" w:val="left"/>
        </w:tabs>
        <w:rPr>
          <w:sz w:val="20"/>
          <w:szCs w:val="20"/>
          <w:color w:val="auto"/>
        </w:rPr>
      </w:pPr>
      <w:r>
        <w:rPr>
          <w:rFonts w:ascii="Arial" w:cs="Arial" w:eastAsia="Arial" w:hAnsi="Arial"/>
          <w:sz w:val="18"/>
          <w:szCs w:val="18"/>
          <w:b w:val="1"/>
          <w:bCs w:val="1"/>
          <w:color w:val="auto"/>
        </w:rPr>
        <w:t>12.5.3</w:t>
      </w:r>
      <w:r>
        <w:rPr>
          <w:sz w:val="20"/>
          <w:szCs w:val="20"/>
          <w:color w:val="auto"/>
        </w:rPr>
        <w:tab/>
      </w:r>
      <w:r>
        <w:rPr>
          <w:rFonts w:ascii="Arial" w:cs="Arial" w:eastAsia="Arial" w:hAnsi="Arial"/>
          <w:sz w:val="18"/>
          <w:szCs w:val="18"/>
          <w:b w:val="1"/>
          <w:bCs w:val="1"/>
          <w:color w:val="auto"/>
        </w:rPr>
        <w:t>Non-exclusive License to ACI</w:t>
      </w:r>
      <w:r>
        <w:rPr>
          <w:rFonts w:ascii="Arial" w:cs="Arial" w:eastAsia="Arial" w:hAnsi="Arial"/>
          <w:sz w:val="18"/>
          <w:szCs w:val="18"/>
          <w:color w:val="auto"/>
        </w:rPr>
        <w:t>. In the case of a termination in its entirety by ACI under Section 12.3.1 or Janssen under this section 12.5,</w:t>
      </w:r>
      <w:r>
        <w:rPr>
          <w:rFonts w:ascii="Arial" w:cs="Arial" w:eastAsia="Arial" w:hAnsi="Arial"/>
          <w:sz w:val="18"/>
          <w:szCs w:val="18"/>
          <w:b w:val="1"/>
          <w:bCs w:val="1"/>
          <w:color w:val="auto"/>
        </w:rPr>
        <w:t xml:space="preserve"> </w:t>
      </w:r>
      <w:r>
        <w:rPr>
          <w:rFonts w:ascii="Arial" w:cs="Arial" w:eastAsia="Arial" w:hAnsi="Arial"/>
          <w:sz w:val="18"/>
          <w:szCs w:val="18"/>
          <w:color w:val="auto"/>
        </w:rPr>
        <w:t>Janssen shall grant and hereby grants to ACI a non-exclusive, worldwide, fully-paid up, royalty-free, perpetual, irrevocable license under Janssen Patent Rights and Janssen Know-How, to the extent necessary to Develop, Manufacture and Commercialize ACI or Joint Product(s) as of the effective date of termination. Janssen shall provide ACI reasonable access to information, technical assistance and analytical know-how necessary for ACI to apply the licensed technology for a period of [*****] months following the effective date of termination.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358" w:name="page359"/>
    <w:bookmarkEnd w:id="3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40" w:hanging="796"/>
        <w:spacing w:after="0" w:line="266" w:lineRule="auto"/>
        <w:tabs>
          <w:tab w:leader="none" w:pos="1360" w:val="left"/>
        </w:tabs>
        <w:rPr>
          <w:sz w:val="20"/>
          <w:szCs w:val="20"/>
          <w:color w:val="auto"/>
        </w:rPr>
      </w:pPr>
      <w:r>
        <w:rPr>
          <w:rFonts w:ascii="Arial" w:cs="Arial" w:eastAsia="Arial" w:hAnsi="Arial"/>
          <w:sz w:val="18"/>
          <w:szCs w:val="18"/>
          <w:b w:val="1"/>
          <w:bCs w:val="1"/>
          <w:color w:val="auto"/>
        </w:rPr>
        <w:t>12.5.5</w:t>
      </w:r>
      <w:r>
        <w:rPr>
          <w:sz w:val="20"/>
          <w:szCs w:val="20"/>
          <w:color w:val="auto"/>
        </w:rPr>
        <w:tab/>
      </w:r>
      <w:r>
        <w:rPr>
          <w:rFonts w:ascii="Arial" w:cs="Arial" w:eastAsia="Arial" w:hAnsi="Arial"/>
          <w:sz w:val="18"/>
          <w:szCs w:val="18"/>
          <w:b w:val="1"/>
          <w:bCs w:val="1"/>
          <w:color w:val="auto"/>
        </w:rPr>
        <w:t>Supply to ACI</w:t>
      </w:r>
      <w:r>
        <w:rPr>
          <w:rFonts w:ascii="Arial" w:cs="Arial" w:eastAsia="Arial" w:hAnsi="Arial"/>
          <w:sz w:val="18"/>
          <w:szCs w:val="18"/>
          <w:color w:val="auto"/>
        </w:rPr>
        <w:t>. ACI will be solely responsible for, and shall use commercially reasonable efforts to obtain an approved alternate source of</w:t>
      </w:r>
      <w:r>
        <w:rPr>
          <w:rFonts w:ascii="Arial" w:cs="Arial" w:eastAsia="Arial" w:hAnsi="Arial"/>
          <w:sz w:val="18"/>
          <w:szCs w:val="18"/>
          <w:b w:val="1"/>
          <w:bCs w:val="1"/>
          <w:color w:val="auto"/>
        </w:rPr>
        <w:t xml:space="preserve"> </w:t>
      </w:r>
      <w:r>
        <w:rPr>
          <w:rFonts w:ascii="Arial" w:cs="Arial" w:eastAsia="Arial" w:hAnsi="Arial"/>
          <w:sz w:val="18"/>
          <w:szCs w:val="18"/>
          <w:color w:val="auto"/>
        </w:rPr>
        <w:t>supply for clinical and commercial supplies, of ACI or Joint Products as soon as reasonably practicable as required by Regulatory Authorities.</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12.6 HSR Filing; Termination Upon HSR Denial</w:t>
      </w:r>
      <w:r>
        <w:rPr>
          <w:rFonts w:ascii="Arial" w:cs="Arial" w:eastAsia="Arial" w:hAnsi="Arial"/>
          <w:sz w:val="16"/>
          <w:szCs w:val="16"/>
          <w:color w:val="auto"/>
        </w:rPr>
        <w:t>. If Janssen and ACI determine that an HSR filing is necessary, each of ACI and Janssen shall,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days of the Effective Date (or such later time as may be agreed to in writing by the Parties), file with the United States Federal Trade Commission and the Antitrust Division of the United States Department of Justice, or with equivalent foreign authorities, any HSR Filing required of it under the HSR Act in the reasonable opinion of either Party. Each of ACI and Janssen shall use Diligent Efforts to do, or cause to be done, all things necessary, proper and advisable to, as promptly as practicable, take all actions necessary to make the filings required of ACI and Janssen or their respective Affiliates under the HSR Act. The Parties shall cooperate with one another to the extent necessary in the preparation of any such HSR Filing. [*****]. If the Parties make an HSR Filing, then this Agreement shall terminate (a) at the election of either Party, immediately upon notice to the other Party, if the U.S. Federal Trade Commission or the U.S. Department of Justice, or an equivalent authority in the European Union, seeks a preliminary injunction under the Antitrust Laws against ACI and Janssen to enjoin the transactions contemplated by this Agreement; (b) at the election of either Party, immediately upon notice to the other Party, in the event that the United States Federal Trade Commission or the United States Department of Justice, or an equivalent authority in the European Union, obtains a preliminary injunction under the Antitrust Laws against ACI and Janssen to enjoin the transactions contemplated by this Agreement; or (c) at the election of either Party, immediately upon notice to the other Party, in the event that the HSR Clearance Date has not occurred on or prior to [*****] after the effective date of the HSR Filing. In the event that ACI exercises it right of termination under this section, then [*****].</w:t>
      </w:r>
    </w:p>
    <w:p>
      <w:pPr>
        <w:spacing w:after="0" w:line="16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The provisions of Sections 10.1.1, 10.1.2, 10.2.1, 13.1, 13.6, 13.7, and Article 8 indefinitely survive any expiration or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MISCELLANEOUS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131" w:lineRule="exact"/>
        <w:rPr>
          <w:sz w:val="20"/>
          <w:szCs w:val="20"/>
          <w:color w:val="auto"/>
        </w:rPr>
      </w:pPr>
    </w:p>
    <w:p>
      <w:pPr>
        <w:ind w:left="1380" w:hanging="796"/>
        <w:spacing w:after="0" w:line="276" w:lineRule="auto"/>
        <w:tabs>
          <w:tab w:leader="none" w:pos="13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7"/>
          <w:szCs w:val="17"/>
          <w:color w:val="auto"/>
        </w:rPr>
        <w:t>ACI shall indemnify Janssen and its Affiliates, and their respective directors, officers, employees and agents, against any claims of damages (except to the extent arising from any claims of intellectual property infringement), bodily injury, death, or property damage made by a Third Party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to the extent arising from: (a) the negligence or willful misconduct of ACI under this Agreement; or (b) the material breach by ACI of any warranty, representation or obligation of ACI under this Agreement. This indemnification does not apply to the extent an act or failure to act is due to the negligence or willful misconduct of Janssen.</w:t>
      </w:r>
    </w:p>
    <w:p>
      <w:pPr>
        <w:spacing w:after="0" w:line="78" w:lineRule="exact"/>
        <w:rPr>
          <w:sz w:val="20"/>
          <w:szCs w:val="20"/>
          <w:color w:val="auto"/>
        </w:rPr>
      </w:pPr>
    </w:p>
    <w:p>
      <w:pPr>
        <w:ind w:left="1380" w:right="18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8"/>
          <w:szCs w:val="18"/>
          <w:color w:val="auto"/>
        </w:rPr>
        <w:t>Janssen shall indemnify ACI and its Affiliates, and their respective directors, officers, employees and agents, against any Third Party Claim to the extent arising from (a) the negligence or willful misconduct of Janssen or its Related Parties under this Agreement; (b) the material breach by Janssen or its Related Parties of any warranty, representation or obligation of Janssen under this Agreement; or (c) the Development, Manufacture,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359" w:name="page360"/>
    <w:bookmarkEnd w:id="3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20"/>
        <w:spacing w:after="0" w:line="277" w:lineRule="auto"/>
        <w:rPr>
          <w:sz w:val="20"/>
          <w:szCs w:val="20"/>
          <w:color w:val="auto"/>
        </w:rPr>
      </w:pPr>
      <w:r>
        <w:rPr>
          <w:rFonts w:ascii="Arial" w:cs="Arial" w:eastAsia="Arial" w:hAnsi="Arial"/>
          <w:sz w:val="18"/>
          <w:szCs w:val="18"/>
          <w:color w:val="auto"/>
        </w:rPr>
        <w:t>Commercialization or use by Janssen or its or its Related Parties under this Agreement of any Product. This indemnification does not apply to the extent an act or failure to act is due to the negligence or willful misconduct of ACI.</w:t>
      </w:r>
    </w:p>
    <w:p>
      <w:pPr>
        <w:spacing w:after="0" w:line="72" w:lineRule="exact"/>
        <w:rPr>
          <w:sz w:val="20"/>
          <w:szCs w:val="20"/>
          <w:color w:val="auto"/>
        </w:rPr>
      </w:pPr>
    </w:p>
    <w:p>
      <w:pPr>
        <w:ind w:left="1380" w:hanging="796"/>
        <w:spacing w:after="0" w:line="290" w:lineRule="auto"/>
        <w:tabs>
          <w:tab w:leader="none" w:pos="136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6"/>
          <w:szCs w:val="16"/>
          <w:color w:val="auto"/>
        </w:rPr>
        <w:t>If a Party (the “</w:t>
      </w:r>
      <w:r>
        <w:rPr>
          <w:rFonts w:ascii="Arial" w:cs="Arial" w:eastAsia="Arial" w:hAnsi="Arial"/>
          <w:sz w:val="16"/>
          <w:szCs w:val="16"/>
          <w:u w:val="single" w:color="auto"/>
          <w:color w:val="auto"/>
        </w:rPr>
        <w:t>Indemnitee</w:t>
      </w:r>
      <w:r>
        <w:rPr>
          <w:rFonts w:ascii="Arial" w:cs="Arial" w:eastAsia="Arial" w:hAnsi="Arial"/>
          <w:sz w:val="16"/>
          <w:szCs w:val="16"/>
          <w:color w:val="auto"/>
        </w:rPr>
        <w:t>”) intends to claim indemnification under this section, it shall promptly notify the other Party (the “</w:t>
      </w:r>
      <w:r>
        <w:rPr>
          <w:rFonts w:ascii="Arial" w:cs="Arial" w:eastAsia="Arial" w:hAnsi="Arial"/>
          <w:sz w:val="16"/>
          <w:szCs w:val="16"/>
          <w:u w:val="single" w:color="auto"/>
          <w:color w:val="auto"/>
        </w:rPr>
        <w:t>Indemnitor</w:t>
      </w:r>
      <w:r>
        <w:rPr>
          <w:rFonts w:ascii="Arial" w:cs="Arial" w:eastAsia="Arial" w:hAnsi="Arial"/>
          <w:sz w:val="16"/>
          <w:szCs w:val="16"/>
          <w:color w:val="auto"/>
        </w:rPr>
        <w:t xml:space="preserve">”) in writing of any Third Party Claim for which the Indemnitee intends to claim such indemnification. The failure of the Indemnitee to deliver written notice to the Indemnitor within a reasonable time after the commencement of any such action relieves the Indemnitor of any obligation to the Indemnitee under this section with respect to any such action, insofar as the failure prejudices the Indemnitor’s ability to defend a Third Party Claim. The Indemnitee shall permit the Indemnitor to control the litigation or settlement of such Third Party Claim, and cooperate fully with Indemnitor in all related matters,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agreed by Indemnitee (a) counsel appointed by Indemnitor to defend Indemnitee will not take any position which if sustained would cause Indemnitee not to be indemnified by Indemnitor and (b) no settlement will involve any terms binding on Indemnitee except payment of money to by paid by Indemnitor.</w:t>
      </w:r>
    </w:p>
    <w:p>
      <w:pPr>
        <w:spacing w:after="0" w:line="72"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6"/>
          <w:szCs w:val="16"/>
          <w:color w:val="auto"/>
        </w:rPr>
        <w:t>Neither Party is liable to the other for indirect, consequential, special or punitive damages under this Agreement.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13.2 Force Majeure</w:t>
      </w:r>
      <w:r>
        <w:rPr>
          <w:rFonts w:ascii="Arial" w:cs="Arial" w:eastAsia="Arial" w:hAnsi="Arial"/>
          <w:sz w:val="18"/>
          <w:szCs w:val="18"/>
          <w:color w:val="auto"/>
        </w:rPr>
        <w:t>. Neither Party is liable to the other Party nor will it be deemed to breached this Agreement for failure or delay in performing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under this Agreement when such failure or delay is caused by or results from causes beyond the reasonable control of the affected Party including, but not limited to, embargoes, war, acts of war (whether war be declared or not),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reasonable efforts necessary to cure the force majeure circumstances.</w:t>
      </w:r>
    </w:p>
    <w:p>
      <w:pPr>
        <w:spacing w:after="0" w:line="18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13.3 Assignment</w:t>
      </w:r>
      <w:r>
        <w:rPr>
          <w:rFonts w:ascii="Arial" w:cs="Arial" w:eastAsia="Arial" w:hAnsi="Arial"/>
          <w:sz w:val="16"/>
          <w:szCs w:val="16"/>
          <w:color w:val="auto"/>
        </w:rPr>
        <w:t>. Except as provided in this section 12.3, this Agreement may not be assigned or otherwise transferred, nor may any right or obligation be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or transferred, by either Party without the consent of the other Party. Either Party may, without the other Party’s consent, assign this Agreement and its rights and obligations, in whole or in part, to an Affiliate. Any permitted assignee assumes all obligations of its assignor under this Agreement and will be subject to all of the provisions of this Agreement. Any attempted assignment not in accordance with this section is void. In the event of a Change of Control, ACI or Janssen may, without the other’s consent, assign this Agreement and all rights and obligations to the Change of Control party.</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13.4 Severability</w:t>
      </w:r>
      <w:r>
        <w:rPr>
          <w:rFonts w:ascii="Arial" w:cs="Arial" w:eastAsia="Arial" w:hAnsi="Arial"/>
          <w:sz w:val="18"/>
          <w:szCs w:val="18"/>
          <w:color w:val="auto"/>
        </w:rPr>
        <w:t>. If any provision in this Agreement is held invalid, illegal or unenforceable, the validity, legality and enforceability of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will not be affected unless the absence of the invalidated provision(s) adversely affects the substantive rights of the Parties. The Parties will then use reasonable efforts to replace the invalid, illegal or unenforceable provision(s) with valid, legal and enforceable provision(s) which implement the purposes of this Agreement.</w:t>
      </w:r>
    </w:p>
    <w:p>
      <w:pPr>
        <w:spacing w:after="0" w:line="180"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13.5 Notices</w:t>
      </w:r>
      <w:r>
        <w:rPr>
          <w:rFonts w:ascii="Arial" w:cs="Arial" w:eastAsia="Arial" w:hAnsi="Arial"/>
          <w:sz w:val="18"/>
          <w:szCs w:val="18"/>
          <w:color w:val="auto"/>
        </w:rPr>
        <w:t>. All notices that are required or permitted will be in writing and sufficient if delivered personally, sent by facsimile (and promptly confirmed by</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registered or certified mail or overnight courier), sent by internationally-recognized courier or sent by registered or certified mail, postage prepaid, addressed as follows:</w:t>
      </w:r>
    </w:p>
    <w:p>
      <w:pPr>
        <w:spacing w:after="0" w:line="207" w:lineRule="exact"/>
        <w:rPr>
          <w:sz w:val="20"/>
          <w:szCs w:val="20"/>
          <w:color w:val="auto"/>
        </w:rPr>
      </w:pPr>
    </w:p>
    <w:p>
      <w:pPr>
        <w:ind w:left="1840"/>
        <w:spacing w:after="0"/>
        <w:tabs>
          <w:tab w:leader="none" w:pos="6000" w:val="left"/>
        </w:tabs>
        <w:rPr>
          <w:sz w:val="20"/>
          <w:szCs w:val="20"/>
          <w:color w:val="auto"/>
        </w:rPr>
      </w:pPr>
      <w:r>
        <w:rPr>
          <w:rFonts w:ascii="Arial" w:cs="Arial" w:eastAsia="Arial" w:hAnsi="Arial"/>
          <w:sz w:val="18"/>
          <w:szCs w:val="18"/>
          <w:color w:val="auto"/>
        </w:rPr>
        <w:t>If to ACI, to:</w:t>
      </w:r>
      <w:r>
        <w:rPr>
          <w:sz w:val="20"/>
          <w:szCs w:val="20"/>
          <w:color w:val="auto"/>
        </w:rPr>
        <w:tab/>
      </w:r>
      <w:r>
        <w:rPr>
          <w:rFonts w:ascii="Arial" w:cs="Arial" w:eastAsia="Arial" w:hAnsi="Arial"/>
          <w:sz w:val="17"/>
          <w:szCs w:val="17"/>
          <w:color w:val="auto"/>
        </w:rPr>
        <w:t>AC Immune, 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60" w:name="page361"/>
    <w:bookmarkEnd w:id="36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EPFL Innovation Park</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Office of Business Development</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ectPr>
          <w:pgSz w:w="11900" w:h="16838" w:orient="portrait"/>
          <w:cols w:equalWidth="0" w:num="1">
            <w:col w:w="11320"/>
          </w:cols>
          <w:pgMar w:left="240" w:top="269" w:right="339" w:bottom="1440" w:gutter="0" w:footer="0" w:header="0"/>
        </w:sect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Attn: </w:t>
      </w:r>
      <w:r>
        <w:rPr>
          <w:rFonts w:ascii="Arial" w:cs="Arial" w:eastAsia="Arial" w:hAnsi="Arial"/>
          <w:sz w:val="16"/>
          <w:szCs w:val="16"/>
          <w:color w:val="auto"/>
        </w:rPr>
        <w:t>Dr. Matthias Staehelin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 4010 Basel, Switzerland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If to Janssen,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Janssen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1125 Trenton-Harbourton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Titusville, NJ 08560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Facsimile No.:</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Johnson &amp;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Johnson &amp; Johnson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Brunswick, NJ 08933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Attn: </w:t>
      </w:r>
      <w:r>
        <w:rPr>
          <w:rFonts w:ascii="Arial" w:cs="Arial" w:eastAsia="Arial" w:hAnsi="Arial"/>
          <w:sz w:val="16"/>
          <w:szCs w:val="16"/>
          <w:color w:val="auto"/>
        </w:rPr>
        <w:t>Chief Intellectual Property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Any notice will have been given:</w:t>
      </w:r>
    </w:p>
    <w:p>
      <w:pPr>
        <w:spacing w:after="0" w:line="35" w:lineRule="exact"/>
        <w:rPr>
          <w:sz w:val="20"/>
          <w:szCs w:val="20"/>
          <w:color w:val="auto"/>
        </w:rPr>
      </w:pPr>
    </w:p>
    <w:p>
      <w:pPr>
        <w:ind w:right="280" w:firstLine="8"/>
        <w:spacing w:after="0" w:line="277" w:lineRule="auto"/>
        <w:tabs>
          <w:tab w:leader="none" w:pos="24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when delivered if personally delivered or sent by facsimile on a business day; (b) on the next business day after dispatch if sent by facsimile or by internationally-recognized overnight courier; and/or (c) on the [*****] business day following the date of mailing if sent by mail or other internationally-recognized courier. Notices are not sufficient if provided only between each Party’s representatives for the JRC Meetings.</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13.6 Applicable Law</w:t>
      </w:r>
      <w:r>
        <w:rPr>
          <w:rFonts w:ascii="Arial" w:cs="Arial" w:eastAsia="Arial" w:hAnsi="Arial"/>
          <w:sz w:val="18"/>
          <w:szCs w:val="18"/>
          <w:color w:val="auto"/>
        </w:rPr>
        <w:t>. This Agreement is governed by and construed in accordance with the laws of Switzerland without reference to any rules of conflict of</w:t>
      </w:r>
      <w:r>
        <w:rPr>
          <w:rFonts w:ascii="Arial" w:cs="Arial" w:eastAsia="Arial" w:hAnsi="Arial"/>
          <w:sz w:val="18"/>
          <w:szCs w:val="18"/>
          <w:b w:val="1"/>
          <w:bCs w:val="1"/>
          <w:color w:val="auto"/>
        </w:rPr>
        <w:t xml:space="preserve"> </w:t>
      </w:r>
      <w:r>
        <w:rPr>
          <w:rFonts w:ascii="Arial" w:cs="Arial" w:eastAsia="Arial" w:hAnsi="Arial"/>
          <w:sz w:val="18"/>
          <w:szCs w:val="18"/>
          <w:color w:val="auto"/>
        </w:rPr>
        <w:t>laws. The United Nations Convention on the Sale of Goods does not apply to this Agreement.</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Dispute Resolution.</w:t>
      </w:r>
    </w:p>
    <w:p>
      <w:pPr>
        <w:spacing w:after="0" w:line="117" w:lineRule="exact"/>
        <w:rPr>
          <w:sz w:val="20"/>
          <w:szCs w:val="20"/>
          <w:color w:val="auto"/>
        </w:rPr>
      </w:pPr>
    </w:p>
    <w:p>
      <w:pPr>
        <w:ind w:left="580" w:right="40"/>
        <w:spacing w:after="0" w:line="298" w:lineRule="auto"/>
        <w:rPr>
          <w:sz w:val="20"/>
          <w:szCs w:val="20"/>
          <w:color w:val="auto"/>
        </w:rPr>
      </w:pPr>
      <w:r>
        <w:rPr>
          <w:rFonts w:ascii="Arial" w:cs="Arial" w:eastAsia="Arial" w:hAnsi="Arial"/>
          <w:sz w:val="16"/>
          <w:szCs w:val="16"/>
          <w:b w:val="1"/>
          <w:bCs w:val="1"/>
          <w:color w:val="auto"/>
        </w:rPr>
        <w:t xml:space="preserve">13.7.1 </w:t>
      </w:r>
      <w:r>
        <w:rPr>
          <w:rFonts w:ascii="Arial" w:cs="Arial" w:eastAsia="Arial" w:hAnsi="Arial"/>
          <w:sz w:val="16"/>
          <w:szCs w:val="16"/>
          <w:color w:val="auto"/>
        </w:rPr>
        <w:t>The Parties shall negotiate in good faith and use reasonable efforts to settle any dispute, controversy or claim arising from or related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breach thereof (a “</w:t>
      </w:r>
      <w:r>
        <w:rPr>
          <w:rFonts w:ascii="Arial" w:cs="Arial" w:eastAsia="Arial" w:hAnsi="Arial"/>
          <w:sz w:val="16"/>
          <w:szCs w:val="16"/>
          <w:b w:val="1"/>
          <w:bCs w:val="1"/>
          <w:color w:val="auto"/>
        </w:rPr>
        <w:t>Dispute</w:t>
      </w:r>
      <w:r>
        <w:rPr>
          <w:rFonts w:ascii="Arial" w:cs="Arial" w:eastAsia="Arial" w:hAnsi="Arial"/>
          <w:sz w:val="16"/>
          <w:szCs w:val="16"/>
          <w:color w:val="auto"/>
        </w:rPr>
        <w:t>”). If the Parties initially are unable to resolve a Dispute despite using reasonable efforts to do so, either Party may, by written notice to the other, have the Dispute referred to their respective senior management designated below or their respective successors, for attempted resolution by negotiation in good faith. The attempted resolution shall take place no later than [*****] following receipt of such notice unless otherwise agreed. The designated management (each designated representative, an “Executive Officer”) are as follows:</w:t>
      </w:r>
    </w:p>
    <w:p>
      <w:pPr>
        <w:spacing w:after="0" w:line="307"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u w:val="single" w:color="auto"/>
          <w:color w:val="auto"/>
        </w:rPr>
        <w:t>For Janssen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Therapeutic Area Leader for Neuroscience or designee</w:t>
      </w:r>
    </w:p>
    <w:p>
      <w:pPr>
        <w:spacing w:after="0" w:line="117"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u w:val="single" w:color="auto"/>
          <w:color w:val="auto"/>
        </w:rPr>
        <w:t>For ACI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Chief Executive Officer or designee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69" w:right="339" w:bottom="1440" w:gutter="0" w:footer="0" w:header="0"/>
          <w:type w:val="continuous"/>
        </w:sectPr>
      </w:pPr>
    </w:p>
    <w:bookmarkStart w:id="361" w:name="page362"/>
    <w:bookmarkEnd w:id="361"/>
    <w:p>
      <w:pPr>
        <w:jc w:val="center"/>
        <w:ind w:righ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If the Parties are unable to resolve the Dispute, controversy or claim within [*****] (unless otherwise agreed) following the day on which one Party provides written notice of the Dispute to the other in accordance with section 12.7 .2, and a Party wishes to pursue the matter, each such Dispute, controversy or claim that is not an Excluded Claim will be finally resolved by mediation followed by binding arbitration as set forth below.</w:t>
      </w:r>
    </w:p>
    <w:p>
      <w:pPr>
        <w:spacing w:after="0" w:line="35"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13.7.2 Mediation</w:t>
      </w:r>
      <w:r>
        <w:rPr>
          <w:rFonts w:ascii="Arial" w:cs="Arial" w:eastAsia="Arial" w:hAnsi="Arial"/>
          <w:sz w:val="16"/>
          <w:szCs w:val="16"/>
          <w:color w:val="auto"/>
        </w:rPr>
        <w:t>. The Parties shall first attempt in good faith to resolve any Dispute by confidential mediation in accordance with the then current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Mediation Procedure </w:t>
      </w:r>
      <w:r>
        <w:rPr>
          <w:rFonts w:ascii="Arial" w:cs="Arial" w:eastAsia="Arial" w:hAnsi="Arial"/>
          <w:sz w:val="16"/>
          <w:szCs w:val="16"/>
          <w:color w:val="auto"/>
        </w:rPr>
        <w:t>of the International Institute for Conflict Prevention and Resolution (“</w:t>
      </w:r>
      <w:r>
        <w:rPr>
          <w:rFonts w:ascii="Arial" w:cs="Arial" w:eastAsia="Arial" w:hAnsi="Arial"/>
          <w:sz w:val="16"/>
          <w:szCs w:val="16"/>
          <w:b w:val="1"/>
          <w:bCs w:val="1"/>
          <w:color w:val="auto"/>
        </w:rPr>
        <w:t>CPR Mediation Procedure</w:t>
      </w:r>
      <w:r>
        <w:rPr>
          <w:rFonts w:ascii="Arial" w:cs="Arial" w:eastAsia="Arial" w:hAnsi="Arial"/>
          <w:sz w:val="16"/>
          <w:szCs w:val="16"/>
          <w:color w:val="auto"/>
        </w:rPr>
        <w:t>”) (www.cpradr.org)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initiating arbitration. The CPR Mediation Procedure controls, except where that Procedure conflicts with these provisions, in which case these provisions control. The mediator will be chosen pursuant to the CPR Mediation Procedure. The mediation will be held in Geneva, Switzerland.</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Either Party may initiate mediation by written notice to the other of the existence of a Dispute. The Parties will select the mediator within [*****]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 resolved by mediation. In no event, will mediation continue more than [*****] from the initial notice by a Party to initiate meditation unless the Parties agree in writing to extend that period.</w:t>
      </w:r>
    </w:p>
    <w:p>
      <w:pPr>
        <w:spacing w:after="0" w:line="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period of limitations that would otherwise expire between the initiation of mediation and its conclusion is extended until [*****] after the conclusion of the mediation.</w:t>
      </w:r>
    </w:p>
    <w:p>
      <w:pPr>
        <w:spacing w:after="0" w:line="5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13.7.3 Arbitration</w:t>
      </w:r>
      <w:r>
        <w:rPr>
          <w:rFonts w:ascii="Arial" w:cs="Arial" w:eastAsia="Arial" w:hAnsi="Arial"/>
          <w:sz w:val="18"/>
          <w:szCs w:val="18"/>
          <w:color w:val="auto"/>
        </w:rPr>
        <w:t>. If the Parties fail to resolve the Dispute in mediation, and a Party desires to pursue resolution of the Dispute, the Dispute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submitted by either Party for resolution in arbitration pursuant to the then current CPR </w:t>
      </w:r>
      <w:r>
        <w:rPr>
          <w:rFonts w:ascii="Arial" w:cs="Arial" w:eastAsia="Arial" w:hAnsi="Arial"/>
          <w:sz w:val="18"/>
          <w:szCs w:val="18"/>
          <w:i w:val="1"/>
          <w:iCs w:val="1"/>
          <w:color w:val="auto"/>
        </w:rPr>
        <w:t>Rules for Non-Administered Arbitration of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Disputes </w:t>
      </w:r>
      <w:r>
        <w:rPr>
          <w:rFonts w:ascii="Arial" w:cs="Arial" w:eastAsia="Arial" w:hAnsi="Arial"/>
          <w:sz w:val="18"/>
          <w:szCs w:val="18"/>
          <w:color w:val="auto"/>
        </w:rPr>
        <w:t>(“CPR Rules”) (</w:t>
      </w:r>
      <w:r>
        <w:rPr>
          <w:rFonts w:ascii="Arial" w:cs="Arial" w:eastAsia="Arial" w:hAnsi="Arial"/>
          <w:sz w:val="18"/>
          <w:szCs w:val="18"/>
          <w:u w:val="single" w:color="auto"/>
          <w:color w:val="auto"/>
        </w:rPr>
        <w:t>www.cpradr.org</w:t>
      </w:r>
      <w:r>
        <w:rPr>
          <w:rFonts w:ascii="Arial" w:cs="Arial" w:eastAsia="Arial" w:hAnsi="Arial"/>
          <w:sz w:val="18"/>
          <w:szCs w:val="18"/>
          <w:color w:val="auto"/>
        </w:rPr>
        <w:t>), except where they conflict with these provisions, in which case these provisions control. CPR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as the Neutral Organization for all purposes. The arbitration will be conducted in English and held in Geneva, Switzerland. All aspects of the arbitration will be treated as confidential.</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arbitrators will be chosen from the CPR Panels of Distinguished Neutrals, unless a candidate not on the CPR Panel is approved by both Parties. Each arbitrator must be a lawyer with at least 15 years experience with a law firm or corporate law department of over 25 lawyers or who was a judge of a court of general jurisdiction. To the extent that the Dispute requires special expertise, the Parties will so inform CPR prior to the beginning of the selection process.</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arbitration tribunal will consist of three arbitrators, chosen in accordance with Rules 5.3 and 6 of the CPR Rules. If, however, the aggregate award sought by the Parties is less than $5 million and equitable relief is not sought, a single arbitrator will be chosen in accordance with Rules 5.3 and 6 of the CPR Rules.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Candidates for the arbitrator position(s) may be interviewed by representatives of the Parties in advance of their selection, provided that all Parties are represented.</w:t>
      </w:r>
    </w:p>
    <w:p>
      <w:pPr>
        <w:spacing w:after="0" w:line="6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Parties will select the arbitrator(s) within [*****] of initiation of the arbitration. The hearing will be concluded within [*****] months after selection of the arbitrator(s) and the award will be rendered within [*****] of the conclusion of the hearing, or of any post-hearing</w:t>
      </w:r>
    </w:p>
    <w:p>
      <w:pPr>
        <w:spacing w:after="0" w:line="7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20"/>
          </w:cols>
          <w:pgMar w:left="820" w:top="270" w:right="25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color w:val="auto"/>
        </w:rPr>
        <w:t>briefing, which briefing will be completed by both sides within [*****] after the conclusion of the hearing. In the event the Parties cannot agree upon a schedule, then the arbitrator(s) shall set the schedule following the time limits set forth above as closely as practical.</w:t>
      </w:r>
    </w:p>
    <w:p>
      <w:pPr>
        <w:spacing w:after="0" w:line="62" w:lineRule="exact"/>
        <w:rPr>
          <w:sz w:val="20"/>
          <w:szCs w:val="20"/>
          <w:color w:val="auto"/>
        </w:rPr>
      </w:pPr>
    </w:p>
    <w:p>
      <w:pPr>
        <w:ind w:left="580" w:right="1300"/>
        <w:spacing w:after="0" w:line="277" w:lineRule="auto"/>
        <w:rPr>
          <w:sz w:val="20"/>
          <w:szCs w:val="20"/>
          <w:color w:val="auto"/>
        </w:rPr>
      </w:pPr>
      <w:r>
        <w:rPr>
          <w:rFonts w:ascii="Arial" w:cs="Arial" w:eastAsia="Arial" w:hAnsi="Arial"/>
          <w:sz w:val="18"/>
          <w:szCs w:val="18"/>
          <w:color w:val="auto"/>
        </w:rPr>
        <w:t xml:space="preserve">The arbitrator(s) will be guided, but not bound, by the </w:t>
      </w:r>
      <w:r>
        <w:rPr>
          <w:rFonts w:ascii="Arial" w:cs="Arial" w:eastAsia="Arial" w:hAnsi="Arial"/>
          <w:sz w:val="18"/>
          <w:szCs w:val="18"/>
          <w:i w:val="1"/>
          <w:iCs w:val="1"/>
          <w:color w:val="auto"/>
        </w:rPr>
        <w:t>IBA Rules on the Taking of Evidence in International Commercial Arbitration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www.ibanet.org</w:t>
      </w:r>
      <w:r>
        <w:rPr>
          <w:rFonts w:ascii="Arial" w:cs="Arial" w:eastAsia="Arial" w:hAnsi="Arial"/>
          <w:sz w:val="18"/>
          <w:szCs w:val="18"/>
          <w:color w:val="auto"/>
        </w:rPr>
        <w: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hearing will be concluded in [*****] hearing days or less. Multiple hearing days will be scheduled consecutively to the greatest extent possible.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transcript of the testimony adduced at the hearing will be made available to either Party.</w:t>
      </w:r>
    </w:p>
    <w:p>
      <w:pPr>
        <w:spacing w:after="0" w:line="103" w:lineRule="exact"/>
        <w:rPr>
          <w:sz w:val="20"/>
          <w:szCs w:val="20"/>
          <w:color w:val="auto"/>
        </w:rPr>
      </w:pPr>
    </w:p>
    <w:p>
      <w:pPr>
        <w:jc w:val="both"/>
        <w:ind w:left="580" w:right="80"/>
        <w:spacing w:after="0" w:line="264" w:lineRule="auto"/>
        <w:rPr>
          <w:sz w:val="20"/>
          <w:szCs w:val="20"/>
          <w:color w:val="auto"/>
        </w:rPr>
      </w:pPr>
      <w:r>
        <w:rPr>
          <w:rFonts w:ascii="Arial" w:cs="Arial" w:eastAsia="Arial" w:hAnsi="Arial"/>
          <w:sz w:val="18"/>
          <w:szCs w:val="18"/>
          <w:color w:val="auto"/>
        </w:rPr>
        <w:t>The arbitrator(s) shall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w:t>
      </w:r>
    </w:p>
    <w:p>
      <w:pPr>
        <w:spacing w:after="0" w:line="73"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The arbitrator(s) shall render a written opinion stating the reasons upon which the award is based. The arbitrator(s) may award the costs and expenses of the arbitration as provided in the CPR Rules, but each bears its own attorney fees</w:t>
      </w:r>
    </w:p>
    <w:p>
      <w:pPr>
        <w:spacing w:after="0" w:line="62" w:lineRule="exact"/>
        <w:rPr>
          <w:sz w:val="20"/>
          <w:szCs w:val="20"/>
          <w:color w:val="auto"/>
        </w:rPr>
      </w:pPr>
    </w:p>
    <w:p>
      <w:pPr>
        <w:ind w:left="580" w:right="40"/>
        <w:spacing w:after="0" w:line="264" w:lineRule="auto"/>
        <w:rPr>
          <w:sz w:val="20"/>
          <w:szCs w:val="20"/>
          <w:color w:val="auto"/>
        </w:rPr>
      </w:pPr>
      <w:r>
        <w:rPr>
          <w:rFonts w:ascii="Arial" w:cs="Arial" w:eastAsia="Arial" w:hAnsi="Arial"/>
          <w:sz w:val="18"/>
          <w:szCs w:val="18"/>
          <w:color w:val="auto"/>
        </w:rPr>
        <w:t>The award may be entered and enforced in any court of competent jurisdiction. If a court is called upon to enforce an award in a court proceeding, the Parties consent to the court’s requiring the Party resisting enforcement to pay the reasonable attorneys fees and costs incurred in that proceeding by the Party seeking enforcement.</w:t>
      </w:r>
    </w:p>
    <w:p>
      <w:pPr>
        <w:spacing w:after="0" w:line="73" w:lineRule="exact"/>
        <w:rPr>
          <w:sz w:val="20"/>
          <w:szCs w:val="20"/>
          <w:color w:val="auto"/>
        </w:rPr>
      </w:pPr>
    </w:p>
    <w:p>
      <w:pPr>
        <w:ind w:left="580" w:right="20"/>
        <w:spacing w:after="0" w:line="257" w:lineRule="auto"/>
        <w:rPr>
          <w:sz w:val="20"/>
          <w:szCs w:val="20"/>
          <w:color w:val="auto"/>
        </w:rPr>
      </w:pPr>
      <w:r>
        <w:rPr>
          <w:rFonts w:ascii="Arial" w:cs="Arial" w:eastAsia="Arial" w:hAnsi="Arial"/>
          <w:sz w:val="18"/>
          <w:szCs w:val="18"/>
          <w:color w:val="auto"/>
        </w:rPr>
        <w:t>Any Party may seek emergency, interim, or provisional relief prior to the appointment of the arbitrator(s) from any court of competent jurisdiction, without waiver of the agreements to mediate and arbitrate. After appointment of the arbitrator(s), any request for emergency, interim, or provisional relief shall either be addressed to the arbitrator(s), which will have the power to enter an interim award granting relief using the standards provided by applicable law, or to a court, but only with the permission of the arbitrator(s). Any interim award of the arbitrator(s) may be enforced in any court of competent jurisdiction.</w:t>
      </w:r>
    </w:p>
    <w:p>
      <w:pPr>
        <w:spacing w:after="0" w:line="80" w:lineRule="exact"/>
        <w:rPr>
          <w:sz w:val="20"/>
          <w:szCs w:val="20"/>
          <w:color w:val="auto"/>
        </w:rPr>
      </w:pPr>
    </w:p>
    <w:p>
      <w:pPr>
        <w:ind w:left="580" w:right="340"/>
        <w:spacing w:after="0" w:line="342" w:lineRule="auto"/>
        <w:rPr>
          <w:sz w:val="20"/>
          <w:szCs w:val="20"/>
          <w:color w:val="auto"/>
        </w:rPr>
      </w:pPr>
      <w:r>
        <w:rPr>
          <w:rFonts w:ascii="Arial" w:cs="Arial" w:eastAsia="Arial" w:hAnsi="Arial"/>
          <w:sz w:val="16"/>
          <w:szCs w:val="16"/>
          <w:color w:val="auto"/>
        </w:rPr>
        <w:t>Each Party waives: (1) its right to trial of any issue by jury, (2) with the exception of relief mandated by statute, any claim to punitive, exemplary, multiplied, indirect, consequential or lost profits/revenues damages, and (3) any claim for attorney fees, costs and prejudgment interest.</w:t>
      </w:r>
    </w:p>
    <w:p>
      <w:pPr>
        <w:spacing w:after="0" w:line="12" w:lineRule="exact"/>
        <w:rPr>
          <w:sz w:val="20"/>
          <w:szCs w:val="20"/>
          <w:color w:val="auto"/>
        </w:rPr>
      </w:pPr>
    </w:p>
    <w:p>
      <w:pPr>
        <w:jc w:val="both"/>
        <w:ind w:left="580" w:right="200"/>
        <w:spacing w:after="0" w:line="261" w:lineRule="auto"/>
        <w:rPr>
          <w:sz w:val="20"/>
          <w:szCs w:val="20"/>
          <w:color w:val="auto"/>
        </w:rPr>
      </w:pPr>
      <w:r>
        <w:rPr>
          <w:rFonts w:ascii="Arial" w:cs="Arial" w:eastAsia="Arial" w:hAnsi="Arial"/>
          <w:sz w:val="18"/>
          <w:szCs w:val="18"/>
          <w:b w:val="1"/>
          <w:bCs w:val="1"/>
          <w:color w:val="auto"/>
        </w:rPr>
        <w:t xml:space="preserve">13.7.4 </w:t>
      </w:r>
      <w:r>
        <w:rPr>
          <w:rFonts w:ascii="Arial" w:cs="Arial" w:eastAsia="Arial" w:hAnsi="Arial"/>
          <w:sz w:val="18"/>
          <w:szCs w:val="18"/>
          <w:color w:val="auto"/>
        </w:rPr>
        <w:t>The Parties agree that, in the event of a Dispute over the nature or quality of performance under this Agreement, neither Party may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until final resolution of the Dispute through arbitration or other judicial determination. The Parties further agree that any payments made pursuant to this Agreement pending resolution of the Dispute will be refunded if an arbitrator or court determines that such payments are not due.</w:t>
      </w:r>
    </w:p>
    <w:p>
      <w:pPr>
        <w:spacing w:after="0" w:line="72" w:lineRule="exact"/>
        <w:rPr>
          <w:sz w:val="20"/>
          <w:szCs w:val="20"/>
          <w:color w:val="auto"/>
        </w:rPr>
      </w:pPr>
    </w:p>
    <w:p>
      <w:pPr>
        <w:ind w:left="580"/>
        <w:spacing w:after="0" w:line="282" w:lineRule="auto"/>
        <w:rPr>
          <w:sz w:val="20"/>
          <w:szCs w:val="20"/>
          <w:color w:val="auto"/>
        </w:rPr>
      </w:pPr>
      <w:r>
        <w:rPr>
          <w:rFonts w:ascii="Arial" w:cs="Arial" w:eastAsia="Arial" w:hAnsi="Arial"/>
          <w:sz w:val="18"/>
          <w:szCs w:val="18"/>
          <w:b w:val="1"/>
          <w:bCs w:val="1"/>
          <w:color w:val="auto"/>
        </w:rPr>
        <w:t xml:space="preserve">13.7.5 </w:t>
      </w:r>
      <w:r>
        <w:rPr>
          <w:rFonts w:ascii="Arial" w:cs="Arial" w:eastAsia="Arial" w:hAnsi="Arial"/>
          <w:sz w:val="18"/>
          <w:szCs w:val="18"/>
          <w:color w:val="auto"/>
        </w:rPr>
        <w:t>As used in this section, the term “</w:t>
      </w:r>
      <w:r>
        <w:rPr>
          <w:rFonts w:ascii="Arial" w:cs="Arial" w:eastAsia="Arial" w:hAnsi="Arial"/>
          <w:sz w:val="18"/>
          <w:szCs w:val="18"/>
          <w:u w:val="single" w:color="auto"/>
          <w:color w:val="auto"/>
        </w:rPr>
        <w:t>Excluded Claim</w:t>
      </w:r>
      <w:r>
        <w:rPr>
          <w:rFonts w:ascii="Arial" w:cs="Arial" w:eastAsia="Arial" w:hAnsi="Arial"/>
          <w:sz w:val="18"/>
          <w:szCs w:val="18"/>
          <w:color w:val="auto"/>
        </w:rPr>
        <w:t>” means a dispute, controversy or claim that concerns the validity or infringement of a patent,</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or copyright.</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13.8 Compliance with Laws</w:t>
      </w:r>
      <w:r>
        <w:rPr>
          <w:rFonts w:ascii="Arial" w:cs="Arial" w:eastAsia="Arial" w:hAnsi="Arial"/>
          <w:sz w:val="18"/>
          <w:szCs w:val="18"/>
          <w:color w:val="auto"/>
        </w:rPr>
        <w:t>. Each Party will comply, and require its Affiliates and sublicensees to comply, with all applicable Laws and regulations relative</w:t>
      </w:r>
      <w:r>
        <w:rPr>
          <w:rFonts w:ascii="Arial" w:cs="Arial" w:eastAsia="Arial" w:hAnsi="Arial"/>
          <w:sz w:val="18"/>
          <w:szCs w:val="18"/>
          <w:b w:val="1"/>
          <w:bCs w:val="1"/>
          <w:color w:val="auto"/>
        </w:rPr>
        <w:t xml:space="preserve"> </w:t>
      </w:r>
      <w:r>
        <w:rPr>
          <w:rFonts w:ascii="Arial" w:cs="Arial" w:eastAsia="Arial" w:hAnsi="Arial"/>
          <w:sz w:val="18"/>
          <w:szCs w:val="18"/>
          <w:color w:val="auto"/>
        </w:rPr>
        <w:t>to its obligations under this Agreement.</w:t>
      </w:r>
    </w:p>
    <w:p>
      <w:pPr>
        <w:spacing w:after="0" w:line="54" w:lineRule="exact"/>
        <w:rPr>
          <w:sz w:val="20"/>
          <w:szCs w:val="20"/>
          <w:color w:val="auto"/>
        </w:rPr>
      </w:pPr>
    </w:p>
    <w:p>
      <w:pPr>
        <w:jc w:val="both"/>
        <w:ind w:right="440"/>
        <w:spacing w:after="0" w:line="347" w:lineRule="auto"/>
        <w:rPr>
          <w:sz w:val="20"/>
          <w:szCs w:val="20"/>
          <w:color w:val="auto"/>
        </w:rPr>
      </w:pPr>
      <w:r>
        <w:rPr>
          <w:rFonts w:ascii="Arial" w:cs="Arial" w:eastAsia="Arial" w:hAnsi="Arial"/>
          <w:sz w:val="16"/>
          <w:szCs w:val="16"/>
          <w:b w:val="1"/>
          <w:bCs w:val="1"/>
          <w:color w:val="auto"/>
        </w:rPr>
        <w:t>13.9 Entire agreement; Amendments</w:t>
      </w:r>
      <w:r>
        <w:rPr>
          <w:rFonts w:ascii="Arial" w:cs="Arial" w:eastAsia="Arial" w:hAnsi="Arial"/>
          <w:sz w:val="16"/>
          <w:szCs w:val="16"/>
          <w:color w:val="auto"/>
        </w:rPr>
        <w:t>. This Agreement, together with the Schedules and Exhibits, contains the entire understanding of the Parties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subject matter of this Agreement and supersedes and cancels all previous express or implied agreements and understandings, negotiations,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363" w:name="page364"/>
    <w:bookmarkEnd w:id="3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writings and commitments, either oral or written, in respect to the subject matter. This Agreement may be amended, or any term hereof modified, only by a written instrument duly executed by authorized representatives of both Parties.</w:t>
      </w:r>
    </w:p>
    <w:p>
      <w:pPr>
        <w:spacing w:after="0" w:line="16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13.10 Headings</w:t>
      </w:r>
      <w:r>
        <w:rPr>
          <w:rFonts w:ascii="Arial" w:cs="Arial" w:eastAsia="Arial" w:hAnsi="Arial"/>
          <w:sz w:val="18"/>
          <w:szCs w:val="18"/>
          <w:color w:val="auto"/>
        </w:rPr>
        <w:t>. The captions to the sections and subsections are not a part of this Agreement, but are merely for convenience to assist in locating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reading the sections and subsections.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13.11 Independent Contractors</w:t>
      </w:r>
      <w:r>
        <w:rPr>
          <w:rFonts w:ascii="Arial" w:cs="Arial" w:eastAsia="Arial" w:hAnsi="Arial"/>
          <w:sz w:val="18"/>
          <w:szCs w:val="18"/>
          <w:color w:val="auto"/>
        </w:rPr>
        <w:t>. ACI and Janssen are independent contractors with respect to each other and the relationship between the two Parties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or agency. Neither ACI nor Janssen has the authority to make any statements, representations or commitments of any kind, or to take any action, binding on the other Party, without the prior written consent of the other Party.</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13.12 Waiver</w:t>
      </w:r>
      <w:r>
        <w:rPr>
          <w:rFonts w:ascii="Arial" w:cs="Arial" w:eastAsia="Arial" w:hAnsi="Arial"/>
          <w:sz w:val="18"/>
          <w:szCs w:val="18"/>
          <w:color w:val="auto"/>
        </w:rPr>
        <w:t>. The waiver by either Party of any right, or the failure of the other Party to perform, or a breach by the other Party, is not a waiver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of any other breach or failure by such other Party.</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13.13 Cumulative Remedies</w:t>
      </w:r>
      <w:r>
        <w:rPr>
          <w:rFonts w:ascii="Arial" w:cs="Arial" w:eastAsia="Arial" w:hAnsi="Arial"/>
          <w:sz w:val="18"/>
          <w:szCs w:val="18"/>
          <w:color w:val="auto"/>
        </w:rPr>
        <w:t>. No remedy referred to in this Agreement is intended to be exclusive. Each is in addition to any other remedy referred to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available under law.</w:t>
      </w:r>
    </w:p>
    <w:p>
      <w:pPr>
        <w:spacing w:after="0" w:line="16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13.14 ACI Change of Control</w:t>
      </w:r>
      <w:r>
        <w:rPr>
          <w:rFonts w:ascii="Arial" w:cs="Arial" w:eastAsia="Arial" w:hAnsi="Arial"/>
          <w:sz w:val="18"/>
          <w:szCs w:val="18"/>
          <w:color w:val="auto"/>
        </w:rPr>
        <w:t>. In the event of the occurrence of a Change of Control of ACI during the Term and the successor in interest is 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company or organization, Janssen may elect, by providing written notice within [*****] days after the date of the Change of Control, to take control of all Research and Development activities being conducted by ACI, and eliminate the JRC and ISC so that the provisions of Articles 3 and 5 no longer apply. The provisions of this section 13.13 will not apply in the case of an initial public offering by ACI, or a corporate restructuring (including the corporate domicile).</w:t>
      </w:r>
    </w:p>
    <w:p>
      <w:pPr>
        <w:spacing w:after="0" w:line="18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13.15 Compliance with Anti-Corruption Laws</w:t>
      </w:r>
      <w:r>
        <w:rPr>
          <w:rFonts w:ascii="Arial" w:cs="Arial" w:eastAsia="Arial" w:hAnsi="Arial"/>
          <w:sz w:val="18"/>
          <w:szCs w:val="18"/>
          <w:color w:val="auto"/>
        </w:rPr>
        <w:t>. Neither Party shall perform any actions that are prohibited by local and other anti-corruption laws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U.S. Foreign Corrupt Practices Act, collectively “Anti-Corruption Laws”) that may be applicable to one or both Parties to the Agreement.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in a manner that would violate Anti-Corruption Laws.</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13.16 Advice of Counsel</w:t>
      </w:r>
      <w:r>
        <w:rPr>
          <w:rFonts w:ascii="Arial" w:cs="Arial" w:eastAsia="Arial" w:hAnsi="Arial"/>
          <w:sz w:val="18"/>
          <w:szCs w:val="18"/>
          <w:color w:val="auto"/>
        </w:rPr>
        <w:t>. Each Party participated in the drafting of this Agreement. In interpreting and applying the terms and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presumption will exist or be implied against the Party that drafted the terms and provisions.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13.17 Counterparts</w:t>
      </w:r>
      <w:r>
        <w:rPr>
          <w:rFonts w:ascii="Arial" w:cs="Arial" w:eastAsia="Arial" w:hAnsi="Arial"/>
          <w:sz w:val="18"/>
          <w:szCs w:val="18"/>
          <w:color w:val="auto"/>
        </w:rPr>
        <w:t>. This Agreement may be executed in two or more counterparts, each of which is an original, but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Treasurer</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12/24/14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Andrea Pfeifer</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Dec. 24, 15.45, 2014</w:t>
            </w:r>
          </w:p>
        </w:tc>
      </w:tr>
    </w:tbl>
    <w:p>
      <w:pPr>
        <w:sectPr>
          <w:pgSz w:w="11900" w:h="16838" w:orient="portrait"/>
          <w:cols w:equalWidth="0" w:num="1">
            <w:col w:w="11420"/>
          </w:cols>
          <w:pgMar w:left="240" w:top="270" w:right="2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Steven Bariahtaris</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By:</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Treasurer</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Title:</w:t>
            </w:r>
          </w:p>
        </w:tc>
      </w:tr>
      <w:tr>
        <w:trPr>
          <w:trHeight w:val="432"/>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24-12-2014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269" w:right="2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By:</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Title:</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24-XII-2014</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 Pfeifer</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Dec. 24, 15.45,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9" w:right="239" w:bottom="1440" w:gutter="0" w:footer="0" w:header="0"/>
        </w:sectPr>
      </w:pPr>
    </w:p>
    <w:bookmarkStart w:id="367" w:name="page368"/>
    <w:bookmarkEnd w:id="36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1.7 J&amp;J Universal Calendar</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270" w:right="1440" w:bottom="1440" w:gutter="0" w:footer="0" w:header="0"/>
        </w:sectPr>
      </w:pPr>
    </w:p>
    <w:bookmarkStart w:id="368" w:name="page369"/>
    <w:bookmarkEnd w:id="36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172085</wp:posOffset>
            </wp:positionV>
            <wp:extent cx="2418080" cy="38677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41808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9" w:name="page370"/>
    <w:bookmarkEnd w:id="36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2016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172085</wp:posOffset>
            </wp:positionV>
            <wp:extent cx="2521585" cy="38677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0" w:name="page371"/>
    <w:bookmarkEnd w:id="37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2017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172085</wp:posOffset>
            </wp:positionV>
            <wp:extent cx="2521585" cy="38677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71" w:name="page372"/>
    <w:bookmarkEnd w:id="37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171450</wp:posOffset>
            </wp:positionV>
            <wp:extent cx="2581275" cy="38677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8127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72" w:name="page373"/>
    <w:bookmarkEnd w:id="37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171450</wp:posOffset>
            </wp:positionV>
            <wp:extent cx="2529840" cy="38677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2984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3" w:name="page374"/>
    <w:bookmarkEnd w:id="37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2020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172085</wp:posOffset>
            </wp:positionV>
            <wp:extent cx="2418080" cy="38677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41808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4" w:name="page375"/>
    <w:bookmarkEnd w:id="37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2021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172085</wp:posOffset>
            </wp:positionV>
            <wp:extent cx="2581275" cy="38677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8127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5" w:name="page376"/>
    <w:bookmarkEnd w:id="37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2022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172085</wp:posOffset>
            </wp:positionV>
            <wp:extent cx="2426970" cy="38677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426970"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76" w:name="page377"/>
    <w:bookmarkEnd w:id="37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2023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171450</wp:posOffset>
            </wp:positionV>
            <wp:extent cx="2521585" cy="38677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7" w:name="page378"/>
    <w:bookmarkEnd w:id="37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2024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171450</wp:posOffset>
            </wp:positionV>
            <wp:extent cx="2538730" cy="38677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538730"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78" w:name="page379"/>
    <w:bookmarkEnd w:id="37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2025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172085</wp:posOffset>
            </wp:positionV>
            <wp:extent cx="2478405" cy="38677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47840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9" w:name="page380"/>
    <w:bookmarkEnd w:id="37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1.14 CMC Work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019"/>
          </w:cols>
          <w:pgMar w:left="1440" w:top="270" w:right="1440" w:bottom="1440" w:gutter="0" w:footer="0" w:header="0"/>
        </w:sectPr>
      </w:pPr>
    </w:p>
    <w:bookmarkStart w:id="380" w:name="page381"/>
    <w:bookmarkEnd w:id="38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1.20 Development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019"/>
          </w:cols>
          <w:pgMar w:left="1440" w:top="269" w:right="1440" w:bottom="1440" w:gutter="0" w:footer="0" w:header="0"/>
        </w:sectPr>
      </w:pPr>
    </w:p>
    <w:bookmarkStart w:id="381" w:name="page382"/>
    <w:bookmarkEnd w:id="38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1.66 Research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Tau [*****]</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Tau [*****]</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019"/>
          </w:cols>
          <w:pgMar w:left="1440" w:top="270" w:right="1440" w:bottom="1440" w:gutter="0" w:footer="0" w:header="0"/>
        </w:sectPr>
      </w:pPr>
    </w:p>
    <w:bookmarkStart w:id="382" w:name="page383"/>
    <w:bookmarkEnd w:id="382"/>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Tau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269" w:right="1440" w:bottom="1440" w:gutter="0" w:footer="0" w:header="0"/>
        </w:sectPr>
      </w:pPr>
    </w:p>
    <w:bookmarkStart w:id="383" w:name="page384"/>
    <w:bookmarkEnd w:id="38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4.1 ACI Employees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70" w:right="1440" w:bottom="1440" w:gutter="0" w:footer="0" w:header="0"/>
        </w:sectPr>
      </w:pPr>
    </w:p>
    <w:bookmarkStart w:id="384" w:name="page385"/>
    <w:bookmarkEnd w:id="38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500" w:right="11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4300"/>
        <w:spacing w:after="0"/>
        <w:rPr>
          <w:sz w:val="20"/>
          <w:szCs w:val="20"/>
          <w:color w:val="auto"/>
        </w:rPr>
      </w:pPr>
      <w:r>
        <w:rPr>
          <w:rFonts w:ascii="Arial" w:cs="Arial" w:eastAsia="Arial" w:hAnsi="Arial"/>
          <w:sz w:val="18"/>
          <w:szCs w:val="18"/>
          <w:b w:val="1"/>
          <w:bCs w:val="1"/>
          <w:u w:val="single" w:color="auto"/>
          <w:color w:val="auto"/>
        </w:rPr>
        <w:t>Schedule 9.2.2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ACI shall invoice Janssen for each Milestone Payment at the following address: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Janssen shall make all milestone and royalty payments to ACI by wire transfer of immediately available funds to the bank account identified below or such other bank account as ACI may designate in writing to Janssen: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Attention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270" w:right="479" w:bottom="1440" w:gutter="0" w:footer="0" w:header="0"/>
        </w:sectPr>
      </w:pPr>
    </w:p>
    <w:bookmarkStart w:id="385" w:name="page386"/>
    <w:bookmarkEnd w:id="3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10.1.5 ACI Patent Rights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Tau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Tau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69" w:right="239" w:bottom="1440" w:gutter="0" w:footer="0" w:header="0"/>
        </w:sectPr>
      </w:pPr>
    </w:p>
    <w:bookmarkStart w:id="386" w:name="page387"/>
    <w:bookmarkEnd w:id="38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019"/>
          </w:cols>
          <w:pgMar w:left="1440" w:top="270" w:right="1440"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Tau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69" w:right="239" w:bottom="1440" w:gutter="0" w:footer="0" w:header="0"/>
        </w:sectPr>
      </w:pPr>
    </w:p>
    <w:bookmarkStart w:id="388" w:name="page389"/>
    <w:bookmarkEnd w:id="38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10.1.6 ACI Agreements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019"/>
          </w:cols>
          <w:pgMar w:left="1440" w:top="270" w:right="1440" w:bottom="1440" w:gutter="0" w:footer="0" w:header="0"/>
        </w:sectPr>
      </w:pPr>
    </w:p>
    <w:bookmarkStart w:id="389" w:name="page390"/>
    <w:bookmarkEnd w:id="38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019"/>
          </w:cols>
          <w:pgMar w:left="1440" w:top="270" w:right="1440" w:bottom="1440" w:gutter="0" w:footer="0" w:header="0"/>
        </w:sectPr>
      </w:pPr>
    </w:p>
    <w:bookmarkStart w:id="390" w:name="page391"/>
    <w:bookmarkEnd w:id="39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019"/>
          </w:cols>
          <w:pgMar w:left="1440" w:top="270" w:right="1440" w:bottom="1440" w:gutter="0" w:footer="0" w:header="0"/>
        </w:sectPr>
      </w:pPr>
    </w:p>
    <w:bookmarkStart w:id="391" w:name="page392"/>
    <w:bookmarkEnd w:id="39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019"/>
          </w:cols>
          <w:pgMar w:left="1440" w:top="270" w:right="1440" w:bottom="1440" w:gutter="0" w:footer="0" w:header="0"/>
        </w:sectPr>
      </w:pPr>
    </w:p>
    <w:bookmarkStart w:id="392" w:name="page393"/>
    <w:bookmarkEnd w:id="39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9019"/>
          </w:cols>
          <w:pgMar w:left="1440" w:top="269" w:right="1440" w:bottom="1440" w:gutter="0" w:footer="0" w:header="0"/>
        </w:sectPr>
      </w:pPr>
    </w:p>
    <w:bookmarkStart w:id="393" w:name="page394"/>
    <w:bookmarkEnd w:id="39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A ACI Press Release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019"/>
          </w:cols>
          <w:pgMar w:left="1440" w:top="270" w:right="1440"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1389380" cy="3003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893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980"/>
        <w:spacing w:after="0"/>
        <w:rPr>
          <w:sz w:val="20"/>
          <w:szCs w:val="20"/>
          <w:color w:val="auto"/>
        </w:rPr>
      </w:pPr>
      <w:r>
        <w:rPr>
          <w:rFonts w:ascii="Arial" w:cs="Arial" w:eastAsia="Arial" w:hAnsi="Arial"/>
          <w:sz w:val="17"/>
          <w:szCs w:val="17"/>
          <w:b w:val="1"/>
          <w:bCs w:val="1"/>
          <w:color w:val="auto"/>
        </w:rPr>
        <w:t>PRESS RELEASE</w:t>
      </w:r>
    </w:p>
    <w:p>
      <w:pPr>
        <w:spacing w:after="0" w:line="23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AC Immune Enters into a Worldwide License and Collaboration Agreement for Alzheimer’s Disease Therapeutic Tau-Vaccines with Janssen Pharmaceuticals, Inc.</w:t>
      </w:r>
    </w:p>
    <w:p>
      <w:pPr>
        <w:spacing w:after="0" w:line="67"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worldwide License agreement potentially worth up to USD 509 million (CHF 500 million*)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Three-year joint program to develop tauopathies therapeutic vaccines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Offers potential to treat Alzheimer’s patients earlier in the disease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 xml:space="preserve">Lausanne, Switzerland, - January 12, 2015 - </w:t>
      </w:r>
      <w:r>
        <w:rPr>
          <w:rFonts w:ascii="Arial" w:cs="Arial" w:eastAsia="Arial" w:hAnsi="Arial"/>
          <w:sz w:val="17"/>
          <w:szCs w:val="17"/>
          <w:color w:val="auto"/>
        </w:rPr>
        <w:t>AC Immune today announced it has entered into a worldwide exclusive license agreement and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with Janssen Pharmaceuticals, Inc., to develop and commercialize therapeutic anti-Tau vaccines for the treatment of Alzheimer’s disease and potentially other tauopathies**. Janssen Research &amp; Development, LLC, an affiliate of Janssen Pharmaceuticals, Inc., will further develop the lead therapeutic vaccine, ACI-35, that is currently in a phase Ib clinical trial in Alzheimer’s patients. ACI-35 is an active therapeutic vaccine stimulating the patient’s immune system to produce a polyclonal antibody response against phosphorylated Tau protein.</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the agreement, AC Immune will receive an upfront payment and is eligible to receive research, development and commercialization milestone payments potentially totaling up to USD 509 million (CHF 500 million*) for Alzheimer’s disease and for a potential second indication outside of Alzheimer’s disease. Additionally, the company is eligible to receive tiered royalties on net sales for any approved products resulting from the collaboration. AC Immune and Janssen will co-develop ACI-35 through phase Ib completion. As of phase II and onward, Janssen will assume responsibility for the clinical development, manufacturing and commercialization of ACI-35. Additionally, the two companies have entered a 3 year joint research collaboration to further characterize and develop novel vaccine therapies for the treatment of tauopathies.</w:t>
      </w:r>
    </w:p>
    <w:p>
      <w:pPr>
        <w:spacing w:after="0" w:line="17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Prof. Andrea Pfeifer, CEO of AC Immune </w:t>
      </w:r>
      <w:r>
        <w:rPr>
          <w:rFonts w:ascii="Arial" w:cs="Arial" w:eastAsia="Arial" w:hAnsi="Arial"/>
          <w:sz w:val="16"/>
          <w:szCs w:val="16"/>
          <w:color w:val="auto"/>
        </w:rPr>
        <w:t>said: “We are very pleased to begin this exciting strategic partnership with Janssen in a groundbreaking deal</w:t>
      </w:r>
      <w:r>
        <w:rPr>
          <w:rFonts w:ascii="Arial" w:cs="Arial" w:eastAsia="Arial" w:hAnsi="Arial"/>
          <w:sz w:val="16"/>
          <w:szCs w:val="16"/>
          <w:b w:val="1"/>
          <w:bCs w:val="1"/>
          <w:color w:val="auto"/>
        </w:rPr>
        <w:t xml:space="preserve"> </w:t>
      </w:r>
      <w:r>
        <w:rPr>
          <w:rFonts w:ascii="Arial" w:cs="Arial" w:eastAsia="Arial" w:hAnsi="Arial"/>
          <w:sz w:val="16"/>
          <w:szCs w:val="16"/>
          <w:color w:val="auto"/>
        </w:rPr>
        <w:t>involving the first anti-pTau therapeutic vaccine. This is our third major collaboration with pharmaceutical partners involving the Tau protein and underscores the strength of our technology platforms for targeting proteinopathies and our success in bringing to the clinic Tau and Abeta therapies and diagnostics.”</w:t>
      </w:r>
    </w:p>
    <w:p>
      <w:pPr>
        <w:spacing w:after="0" w:line="173"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USD/CHF exchange rate from Bloomberg as of 19 December 2014</w:t>
      </w:r>
    </w:p>
    <w:p>
      <w:pPr>
        <w:spacing w:after="0" w:line="23" w:lineRule="exact"/>
        <w:rPr>
          <w:sz w:val="20"/>
          <w:szCs w:val="20"/>
          <w:color w:val="auto"/>
        </w:rPr>
      </w:pPr>
    </w:p>
    <w:p>
      <w:pPr>
        <w:ind w:left="460" w:right="240" w:hanging="452"/>
        <w:spacing w:after="0" w:line="261" w:lineRule="auto"/>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Tauopathies are a family of diseases involving the misfolding and aggregating of Tau protein; i.e. frontotemporal dementia, progressive supranuclear palsy and amyotrophic lateral sclerosis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 3</w:t>
      </w:r>
    </w:p>
    <w:p>
      <w:pPr>
        <w:sectPr>
          <w:pgSz w:w="11900" w:h="16838" w:orient="portrait"/>
          <w:cols w:equalWidth="0" w:num="1">
            <w:col w:w="11420"/>
          </w:cols>
          <w:pgMar w:left="240" w:top="270" w:right="239" w:bottom="144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Martin Velasco, Chairman of the Board </w:t>
      </w:r>
      <w:r>
        <w:rPr>
          <w:rFonts w:ascii="Arial" w:cs="Arial" w:eastAsia="Arial" w:hAnsi="Arial"/>
          <w:sz w:val="18"/>
          <w:szCs w:val="18"/>
          <w:color w:val="auto"/>
        </w:rPr>
        <w:t>added: “This agreement is another validation of our leadership in Alzheimer’s disease and of the growing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large pharmaceutical companies in this field. We are determined to remain at the forefront of the industry’s efforts to develop therapies to address this critical global health problem.”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ACI-35 vaccine</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“ACI-35 is the first therapeutic vaccine in clinical development that targets misfolded phospho-Tau protein that is associated with Alzheimer’s disease. It is important to note that this vaccine approach offers the potential to treat Alzheimer’s patients earlier and in broad populations and has an exciting future aptitude to treat other rarer tauopathy indications,” commented </w:t>
      </w:r>
      <w:r>
        <w:rPr>
          <w:rFonts w:ascii="Arial" w:cs="Arial" w:eastAsia="Arial" w:hAnsi="Arial"/>
          <w:sz w:val="17"/>
          <w:szCs w:val="17"/>
          <w:b w:val="1"/>
          <w:bCs w:val="1"/>
          <w:color w:val="auto"/>
        </w:rPr>
        <w:t>Dr. Andreas Muhs, Chief Scientific Officer of AC Immune</w:t>
      </w:r>
      <w:r>
        <w:rPr>
          <w:rFonts w:ascii="Arial" w:cs="Arial" w:eastAsia="Arial" w:hAnsi="Arial"/>
          <w:sz w:val="17"/>
          <w:szCs w:val="17"/>
          <w:color w:val="auto"/>
        </w:rPr>
        <w:t>.</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ACI-35 is an active therapeutic vaccine, discovered by AC Immune, stimulating the patient’s immune system to produce conformation-specific antibodies against phosphorylated Tau protein. The phospho-Tau protein forms twisted fibers inside neuronal cells and builds tangles that are considered to be one of the two hallmarks of Alzheimer’s disease, besides Abeta-plaques. During pre-clinical development, ACI-35 showed reduction of phospho-Tau aggregates and total pathological Tau and improvement of clinical parameters. ACI-35 is also characterized by very specific antibody response against pathological Tau and its T-cell independent immune response, an important feature of AC Immune’s SupraAntigen technology platform, supporting the excellent safety profile.</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therapeutic vaccine is currently in a phase lb, randomized, double blind, placebo controlled clinical study in Alzheimer’s patients with the primary objective of evaluating the safety, tolerability and immunogenicity of ACI-35. Secondary objectives will assess relevant biomarkers and functional and clinical parameters. Two groups of patients with mild to moderate Alzheimer’s disease will receive a different dose of ACI-35. Patient safety in the study has been secured by careful planning and extensive preclinical tests.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w:t>
      </w:r>
    </w:p>
    <w:p>
      <w:pPr>
        <w:spacing w:after="0" w:line="12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Scientists don’t yet fully understand what causes Alzheimer’s disease, but it has become increasingly clear that it develops because of a complex series of events that take place in the brain over a long period of time. Two proteins – Tau and Abeta – are perceived as the major hallmarks of neurodegeneration: tangles and other abnormal forms of Tau protein accumulate inside the brain cells, while plaques and oligomers formed by beta-amyloid occur outside the brain cells of people with Alzheimer’s disease.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 will be one of the biggest burdens of the future society showing dramatic incidence rates: every 69 seconds someone in the US develops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 by mid-century someone will develop the disease every 33 seconds. 44 million people were affected with the disease worldwide in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US Alzheimer’s disease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 3</w:t>
      </w:r>
    </w:p>
    <w:p>
      <w:pPr>
        <w:sectPr>
          <w:pgSz w:w="11900" w:h="16838" w:orient="portrait"/>
          <w:cols w:equalWidth="0" w:num="1">
            <w:col w:w="11420"/>
          </w:cols>
          <w:pgMar w:left="240" w:top="270" w:right="239" w:bottom="1440" w:gutter="0" w:footer="0" w:header="0"/>
        </w:sectPr>
      </w:pPr>
    </w:p>
    <w:bookmarkStart w:id="396" w:name="page397"/>
    <w:bookmarkEnd w:id="3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is now the 6th leading cause of death across all ages. It was the fifth leading cause of death for those aged 65 and older. Since the incidence and prevalence of Alzheimer’s disease increase with age, the number of patients will grow dramatically with our society getting older. By 2050, we expect that patient numbers will triple to 135 million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 Immune is a leading Swiss-based biopharmaceutical company with three products in clinical trials. The Company designs, discovers and develops therapeutic and diagnostic products to prevent and modify diseases caused by misfolding proteins. AC Immune’s two proprietary technology platforms create antibodies, small molecules and vaccines to address large markets across a broad spectrum of central nervous system indications. Alzheimer’s disease is the largest indication addressed by its products but the company’s innovative, highly differentiated and disease-modifying therapies are capable of shifting the paradigm in the treatment of other neurodegenerative diseases such as Down syndrome, Parkinson’s, tauopathies and Glaucoma. The Company has a large, diversified and promising pipeline featuring seven therapeutic and two diagnostic products in Alzheimer’s disease. The most advanced of these is crenezumab, an anti-Abeta antibody that is licensed to Genentech and has completed phase II clinical trials. Crenezumab was chosen by the US National Institute of Health for use in the first-ever AD prevention trial. The company has partnered three programs targeting Tau: ACI-35 with Janssen (therapeutic vaccine, phase Ib), Tau PET tracers with Piramal (Alzheimer’s diagnostic agent, pre-clinical) and Tau-antibodies with Genentech (preclinical). The anti-Abeta vaccine ACI-24 phase I/IIa trial is run in house. Since its foundation in 2003, AC Immune has raised 84 million Swiss francs (USD 81 million) from private investors.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2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AC Immune</w:t>
            </w:r>
          </w:p>
        </w:tc>
        <w:tc>
          <w:tcPr>
            <w:tcW w:w="2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Prof. Andrea Pfeifer</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Eva Schier</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Corporate Communications Manager</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Phone: +41-21-693 91 21</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Phone: +41-21-693 91 34</w:t>
            </w:r>
          </w:p>
        </w:tc>
      </w:tr>
      <w:tr>
        <w:trPr>
          <w:trHeight w:val="190"/>
        </w:trPr>
        <w:tc>
          <w:tcPr>
            <w:tcW w:w="4320" w:type="dxa"/>
            <w:vAlign w:val="bottom"/>
            <w:gridSpan w:val="4"/>
          </w:tcPr>
          <w:p>
            <w:pPr>
              <w:spacing w:after="0" w:line="190" w:lineRule="exact"/>
              <w:rPr>
                <w:sz w:val="20"/>
                <w:szCs w:val="20"/>
                <w:color w:val="auto"/>
              </w:rPr>
            </w:pPr>
            <w:r>
              <w:rPr>
                <w:rFonts w:ascii="Arial" w:cs="Arial" w:eastAsia="Arial" w:hAnsi="Arial"/>
                <w:sz w:val="18"/>
                <w:szCs w:val="18"/>
                <w:color w:val="auto"/>
              </w:rPr>
              <w:t>E-mail: andrea.pfeifer@acimmune.com</w:t>
            </w:r>
          </w:p>
        </w:tc>
        <w:tc>
          <w:tcPr>
            <w:tcW w:w="4640" w:type="dxa"/>
            <w:vAlign w:val="bottom"/>
            <w:gridSpan w:val="4"/>
          </w:tcPr>
          <w:p>
            <w:pPr>
              <w:ind w:left="1640"/>
              <w:spacing w:after="0" w:line="190" w:lineRule="exact"/>
              <w:rPr>
                <w:sz w:val="20"/>
                <w:szCs w:val="20"/>
                <w:color w:val="auto"/>
              </w:rPr>
            </w:pPr>
            <w:r>
              <w:rPr>
                <w:rFonts w:ascii="Arial" w:cs="Arial" w:eastAsia="Arial" w:hAnsi="Arial"/>
                <w:sz w:val="18"/>
                <w:szCs w:val="18"/>
                <w:color w:val="auto"/>
              </w:rPr>
              <w:t>E-mail: eva.schier@acimmune.com</w:t>
            </w:r>
          </w:p>
        </w:tc>
      </w:tr>
      <w:tr>
        <w:trPr>
          <w:trHeight w:val="20"/>
        </w:trPr>
        <w:tc>
          <w:tcPr>
            <w:tcW w:w="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2"/>
        </w:trPr>
        <w:tc>
          <w:tcPr>
            <w:tcW w:w="4320" w:type="dxa"/>
            <w:vAlign w:val="bottom"/>
            <w:gridSpan w:val="4"/>
          </w:tcPr>
          <w:p>
            <w:pPr>
              <w:spacing w:after="0"/>
              <w:rPr>
                <w:sz w:val="20"/>
                <w:szCs w:val="20"/>
                <w:color w:val="auto"/>
              </w:rPr>
            </w:pPr>
            <w:r>
              <w:rPr>
                <w:rFonts w:ascii="Arial" w:cs="Arial" w:eastAsia="Arial" w:hAnsi="Arial"/>
                <w:sz w:val="18"/>
                <w:szCs w:val="18"/>
                <w:color w:val="auto"/>
              </w:rPr>
              <w:t>Nick Miles</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In the US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Senior Consultant</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Ted Agne</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Cabinet Privé de Conseils s.a.</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w w:val="90"/>
              </w:rPr>
              <w:t>The Communications Strategy Group lnc.</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Mobile: +41 79 678 76 26</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Phone: +1 781 631 3117</w:t>
            </w:r>
          </w:p>
        </w:tc>
      </w:tr>
      <w:tr>
        <w:trPr>
          <w:trHeight w:val="190"/>
        </w:trPr>
        <w:tc>
          <w:tcPr>
            <w:tcW w:w="4320" w:type="dxa"/>
            <w:vAlign w:val="bottom"/>
            <w:gridSpan w:val="4"/>
          </w:tcPr>
          <w:p>
            <w:pPr>
              <w:spacing w:after="0" w:line="190" w:lineRule="exact"/>
              <w:rPr>
                <w:sz w:val="20"/>
                <w:szCs w:val="20"/>
                <w:color w:val="auto"/>
              </w:rPr>
            </w:pPr>
            <w:r>
              <w:rPr>
                <w:rFonts w:ascii="Arial" w:cs="Arial" w:eastAsia="Arial" w:hAnsi="Arial"/>
                <w:sz w:val="18"/>
                <w:szCs w:val="18"/>
                <w:color w:val="auto"/>
              </w:rPr>
              <w:t>E-mail: miles@cpc-pr.com</w:t>
            </w:r>
          </w:p>
        </w:tc>
        <w:tc>
          <w:tcPr>
            <w:tcW w:w="4640" w:type="dxa"/>
            <w:vAlign w:val="bottom"/>
            <w:gridSpan w:val="4"/>
          </w:tcPr>
          <w:p>
            <w:pPr>
              <w:ind w:left="1640"/>
              <w:spacing w:after="0" w:line="190" w:lineRule="exact"/>
              <w:rPr>
                <w:sz w:val="20"/>
                <w:szCs w:val="20"/>
                <w:color w:val="auto"/>
              </w:rPr>
            </w:pPr>
            <w:r>
              <w:rPr>
                <w:rFonts w:ascii="Arial" w:cs="Arial" w:eastAsia="Arial" w:hAnsi="Arial"/>
                <w:sz w:val="18"/>
                <w:szCs w:val="18"/>
                <w:color w:val="auto"/>
              </w:rPr>
              <w:t>E-mail: edagne@comstratgroup.com</w:t>
            </w:r>
          </w:p>
        </w:tc>
      </w:tr>
      <w:tr>
        <w:trPr>
          <w:trHeight w:val="399"/>
        </w:trPr>
        <w:tc>
          <w:tcPr>
            <w:tcW w:w="6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Pr>
          <w:p>
            <w:pPr>
              <w:ind w:left="1240"/>
              <w:spacing w:after="0"/>
              <w:rPr>
                <w:sz w:val="20"/>
                <w:szCs w:val="20"/>
                <w:color w:val="auto"/>
              </w:rPr>
            </w:pPr>
            <w:r>
              <w:rPr>
                <w:rFonts w:ascii="Arial" w:cs="Arial" w:eastAsia="Arial" w:hAnsi="Arial"/>
                <w:sz w:val="18"/>
                <w:szCs w:val="18"/>
                <w:color w:val="auto"/>
              </w:rPr>
              <w:t>3 / 3</w:t>
            </w:r>
          </w:p>
        </w:tc>
        <w:tc>
          <w:tcPr>
            <w:tcW w:w="19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21, 2016, in Amendment No. 4 to the Registration Statement (Form F-1 No. 333-211714) and related Prospectus of AC Immune SA for the registration of its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1)"/>
      <w:numFmt w:val="decimal"/>
      <w:start w:val="1"/>
    </w:lvl>
  </w:abstractNum>
  <w:abstractNum w:abstractNumId="1">
    <w:nsid w:val="4DF72E4E"/>
    <w:multiLevelType w:val="hybridMultilevel"/>
    <w:lvl w:ilvl="0">
      <w:lvlJc w:val="left"/>
      <w:lvlText w:val="(%1)"/>
      <w:numFmt w:val="decimal"/>
      <w:start w:val="1"/>
    </w:lvl>
  </w:abstractNum>
  <w:abstractNum w:abstractNumId="2">
    <w:nsid w:val="5046B5A9"/>
    <w:multiLevelType w:val="hybridMultilevel"/>
    <w:lvl w:ilvl="0">
      <w:lvlJc w:val="left"/>
      <w:lvlText w:val="•"/>
      <w:numFmt w:val="bullet"/>
      <w:start w:val="1"/>
    </w:lvl>
    <w:lvl w:ilvl="1">
      <w:lvlJc w:val="left"/>
      <w:lvlText w:val="•"/>
      <w:numFmt w:val="bullet"/>
      <w:start w:val="1"/>
    </w:lvl>
  </w:abstractNum>
  <w:abstractNum w:abstractNumId="3">
    <w:nsid w:val="5D888A08"/>
    <w:multiLevelType w:val="hybridMultilevel"/>
    <w:lvl w:ilvl="0">
      <w:lvlJc w:val="left"/>
      <w:lvlText w:val="•"/>
      <w:numFmt w:val="bullet"/>
      <w:start w:val="1"/>
    </w:lvl>
    <w:lvl w:ilvl="1">
      <w:lvlJc w:val="left"/>
      <w:lvlText w:val="•"/>
      <w:numFmt w:val="bullet"/>
      <w:start w:val="1"/>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
      <w:numFmt w:val="bullet"/>
      <w:start w:val="1"/>
    </w:lvl>
  </w:abstractNum>
  <w:abstractNum w:abstractNumId="6">
    <w:nsid w:val="19E21BB2"/>
    <w:multiLevelType w:val="hybridMultilevel"/>
    <w:lvl w:ilvl="0">
      <w:lvlJc w:val="left"/>
      <w:lvlText w:val="•"/>
      <w:numFmt w:val="bullet"/>
      <w:start w:val="1"/>
    </w:lvl>
  </w:abstractNum>
  <w:abstractNum w:abstractNumId="7">
    <w:nsid w:val="75E0858A"/>
    <w:multiLevelType w:val="hybridMultilevel"/>
    <w:lvl w:ilvl="0">
      <w:lvlJc w:val="left"/>
      <w:lvlText w:val="•"/>
      <w:numFmt w:val="bullet"/>
      <w:start w:val="1"/>
    </w:lvl>
  </w:abstractNum>
  <w:abstractNum w:abstractNumId="8">
    <w:nsid w:val="57A61A29"/>
    <w:multiLevelType w:val="hybridMultilevel"/>
    <w:lvl w:ilvl="0">
      <w:lvlJc w:val="left"/>
      <w:lvlText w:val="•"/>
      <w:numFmt w:val="bullet"/>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1)"/>
      <w:numFmt w:val="lowerRoman"/>
      <w:start w:val="1"/>
    </w:lvl>
  </w:abstractNum>
  <w:abstractNum w:abstractNumId="11">
    <w:nsid w:val="4427069A"/>
    <w:multiLevelType w:val="hybridMultilevel"/>
    <w:lvl w:ilvl="0">
      <w:lvlJc w:val="left"/>
      <w:lvlText w:val="(%1)"/>
      <w:numFmt w:val="lowerRoman"/>
      <w:start w:val="3"/>
    </w:lvl>
  </w:abstractNum>
  <w:abstractNum w:abstractNumId="12">
    <w:nsid w:val="B37E80A"/>
    <w:multiLevelType w:val="hybridMultilevel"/>
    <w:lvl w:ilvl="0">
      <w:lvlJc w:val="left"/>
      <w:lvlText w:val="•"/>
      <w:numFmt w:val="bullet"/>
      <w:start w:val="1"/>
    </w:lvl>
  </w:abstractNum>
  <w:abstractNum w:abstractNumId="13">
    <w:nsid w:val="2157F6BC"/>
    <w:multiLevelType w:val="hybridMultilevel"/>
    <w:lvl w:ilvl="0">
      <w:lvlJc w:val="left"/>
      <w:lvlText w:val="•"/>
      <w:numFmt w:val="bullet"/>
      <w:start w:val="1"/>
    </w:lvl>
  </w:abstractNum>
  <w:abstractNum w:abstractNumId="14">
    <w:nsid w:val="704E1DD5"/>
    <w:multiLevelType w:val="hybridMultilevel"/>
    <w:lvl w:ilvl="0">
      <w:lvlJc w:val="left"/>
      <w:lvlText w:val="(%1)"/>
      <w:numFmt w:val="decimal"/>
      <w:start w:val="1"/>
    </w:lvl>
  </w:abstractNum>
  <w:abstractNum w:abstractNumId="15">
    <w:nsid w:val="57D2F10E"/>
    <w:multiLevelType w:val="hybridMultilevel"/>
    <w:lvl w:ilvl="0">
      <w:lvlJc w:val="left"/>
      <w:lvlText w:val="(%1)"/>
      <w:numFmt w:val="decimal"/>
      <w:start w:val="1"/>
    </w:lvl>
  </w:abstractNum>
  <w:abstractNum w:abstractNumId="16">
    <w:nsid w:val="BFFAE18"/>
    <w:multiLevelType w:val="hybridMultilevel"/>
    <w:lvl w:ilvl="0">
      <w:lvlJc w:val="left"/>
      <w:lvlText w:val="•"/>
      <w:numFmt w:val="bullet"/>
      <w:start w:val="1"/>
    </w:lvl>
  </w:abstractNum>
  <w:abstractNum w:abstractNumId="17">
    <w:nsid w:val="E3E47A8"/>
    <w:multiLevelType w:val="hybridMultilevel"/>
    <w:lvl w:ilvl="0">
      <w:lvlJc w:val="left"/>
      <w:lvlText w:val="•"/>
      <w:numFmt w:val="bullet"/>
      <w:start w:val="1"/>
    </w:lvl>
  </w:abstractNum>
  <w:abstractNum w:abstractNumId="18">
    <w:nsid w:val="2E48F044"/>
    <w:multiLevelType w:val="hybridMultilevel"/>
    <w:lvl w:ilvl="0">
      <w:lvlJc w:val="left"/>
      <w:lvlText w:val="•"/>
      <w:numFmt w:val="bullet"/>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
      <w:numFmt w:val="bullet"/>
      <w:start w:val="1"/>
    </w:lvl>
  </w:abstractNum>
  <w:abstractNum w:abstractNumId="21">
    <w:nsid w:val="5551B9F3"/>
    <w:multiLevelType w:val="hybridMultilevel"/>
    <w:lvl w:ilvl="0">
      <w:lvlJc w:val="left"/>
      <w:lvlText w:val="•"/>
      <w:numFmt w:val="bullet"/>
      <w:start w:val="1"/>
    </w:lvl>
  </w:abstractNum>
  <w:abstractNum w:abstractNumId="22">
    <w:nsid w:val="24F6AB8E"/>
    <w:multiLevelType w:val="hybridMultilevel"/>
    <w:lvl w:ilvl="0">
      <w:lvlJc w:val="left"/>
      <w:lvlText w:val="•"/>
      <w:numFmt w:val="bullet"/>
      <w:start w:val="1"/>
    </w:lvl>
  </w:abstractNum>
  <w:abstractNum w:abstractNumId="23">
    <w:nsid w:val="634C574C"/>
    <w:multiLevelType w:val="hybridMultilevel"/>
    <w:lvl w:ilvl="0">
      <w:lvlJc w:val="left"/>
      <w:lvlText w:val="•"/>
      <w:numFmt w:val="bullet"/>
      <w:start w:val="1"/>
    </w:lvl>
  </w:abstractNum>
  <w:abstractNum w:abstractNumId="24">
    <w:nsid w:val="24E99DD7"/>
    <w:multiLevelType w:val="hybridMultilevel"/>
    <w:lvl w:ilvl="0">
      <w:lvlJc w:val="left"/>
      <w:lvlText w:val="•"/>
      <w:numFmt w:val="bullet"/>
      <w:start w:val="1"/>
    </w:lvl>
  </w:abstractNum>
  <w:abstractNum w:abstractNumId="25">
    <w:nsid w:val="2A31B62D"/>
    <w:multiLevelType w:val="hybridMultilevel"/>
    <w:lvl w:ilvl="0">
      <w:lvlJc w:val="left"/>
      <w:lvlText w:val="•"/>
      <w:numFmt w:val="bullet"/>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
      <w:numFmt w:val="bullet"/>
      <w:start w:val="1"/>
    </w:lvl>
  </w:abstractNum>
  <w:abstractNum w:abstractNumId="28">
    <w:nsid w:val="754342"/>
    <w:multiLevelType w:val="hybridMultilevel"/>
    <w:lvl w:ilvl="0">
      <w:lvlJc w:val="left"/>
      <w:lvlText w:val="•"/>
      <w:numFmt w:val="bullet"/>
      <w:start w:val="1"/>
    </w:lvl>
  </w:abstractNum>
  <w:abstractNum w:abstractNumId="29">
    <w:nsid w:val="69E7F3E5"/>
    <w:multiLevelType w:val="hybridMultilevel"/>
    <w:lvl w:ilvl="0">
      <w:lvlJc w:val="left"/>
      <w:lvlText w:val="•"/>
      <w:numFmt w:val="bullet"/>
      <w:start w:val="1"/>
    </w:lvl>
  </w:abstractNum>
  <w:abstractNum w:abstractNumId="30">
    <w:nsid w:val="2A6DE806"/>
    <w:multiLevelType w:val="hybridMultilevel"/>
    <w:lvl w:ilvl="0">
      <w:lvlJc w:val="left"/>
      <w:lvlText w:val="•"/>
      <w:numFmt w:val="bullet"/>
      <w:start w:val="1"/>
    </w:lvl>
  </w:abstractNum>
  <w:abstractNum w:abstractNumId="31">
    <w:nsid w:val="1816F8C4"/>
    <w:multiLevelType w:val="hybridMultilevel"/>
    <w:lvl w:ilvl="0">
      <w:lvlJc w:val="left"/>
      <w:lvlText w:val="•"/>
      <w:numFmt w:val="bullet"/>
      <w:start w:val="1"/>
    </w:lvl>
  </w:abstractNum>
  <w:abstractNum w:abstractNumId="32">
    <w:nsid w:val="37DF2233"/>
    <w:multiLevelType w:val="hybridMultilevel"/>
    <w:lvl w:ilvl="0">
      <w:lvlJc w:val="left"/>
      <w:lvlText w:val="•"/>
      <w:numFmt w:val="bullet"/>
      <w:start w:val="1"/>
    </w:lvl>
  </w:abstractNum>
  <w:abstractNum w:abstractNumId="33">
    <w:nsid w:val="7AB49DAF"/>
    <w:multiLevelType w:val="hybridMultilevel"/>
    <w:lvl w:ilvl="0">
      <w:lvlJc w:val="left"/>
      <w:lvlText w:val="•"/>
      <w:numFmt w:val="bullet"/>
      <w:start w:val="1"/>
    </w:lvl>
  </w:abstractNum>
  <w:abstractNum w:abstractNumId="34">
    <w:nsid w:val="759F82CD"/>
    <w:multiLevelType w:val="hybridMultilevel"/>
    <w:lvl w:ilvl="0">
      <w:lvlJc w:val="left"/>
      <w:lvlText w:val="•"/>
      <w:numFmt w:val="bullet"/>
      <w:start w:val="1"/>
    </w:lvl>
  </w:abstractNum>
  <w:abstractNum w:abstractNumId="35">
    <w:nsid w:val="61E74EA3"/>
    <w:multiLevelType w:val="hybridMultilevel"/>
    <w:lvl w:ilvl="0">
      <w:lvlJc w:val="left"/>
      <w:lvlText w:val="•"/>
      <w:numFmt w:val="bullet"/>
      <w:start w:val="1"/>
    </w:lvl>
  </w:abstractNum>
  <w:abstractNum w:abstractNumId="36">
    <w:nsid w:val="597B4D84"/>
    <w:multiLevelType w:val="hybridMultilevel"/>
    <w:lvl w:ilvl="0">
      <w:lvlJc w:val="left"/>
      <w:lvlText w:val="(%1)"/>
      <w:numFmt w:val="lowerRoman"/>
      <w:start w:val="3"/>
    </w:lvl>
  </w:abstractNum>
  <w:abstractNum w:abstractNumId="37">
    <w:nsid w:val="F819E7F"/>
    <w:multiLevelType w:val="hybridMultilevel"/>
    <w:lvl w:ilvl="0">
      <w:lvlJc w:val="left"/>
      <w:lvlText w:val="•"/>
      <w:numFmt w:val="bullet"/>
      <w:start w:val="1"/>
    </w:lvl>
  </w:abstractNum>
  <w:abstractNum w:abstractNumId="38">
    <w:nsid w:val="57C7D42D"/>
    <w:multiLevelType w:val="hybridMultilevel"/>
    <w:lvl w:ilvl="0">
      <w:lvlJc w:val="left"/>
      <w:lvlText w:val="•"/>
      <w:numFmt w:val="bullet"/>
      <w:start w:val="1"/>
    </w:lvl>
  </w:abstractNum>
  <w:abstractNum w:abstractNumId="39">
    <w:nsid w:val="312167AD"/>
    <w:multiLevelType w:val="hybridMultilevel"/>
    <w:lvl w:ilvl="0">
      <w:lvlJc w:val="left"/>
      <w:lvlText w:val="•"/>
      <w:numFmt w:val="bullet"/>
      <w:start w:val="1"/>
    </w:lvl>
    <w:lvl w:ilvl="1">
      <w:lvlJc w:val="left"/>
      <w:lvlText w:val="(%2)"/>
      <w:numFmt w:val="lowerRoman"/>
      <w:start w:val="1"/>
    </w:lvl>
  </w:abstractNum>
  <w:abstractNum w:abstractNumId="40">
    <w:nsid w:val="631B64D4"/>
    <w:multiLevelType w:val="hybridMultilevel"/>
    <w:lvl w:ilvl="0">
      <w:lvlJc w:val="left"/>
      <w:lvlText w:val="(%1)"/>
      <w:numFmt w:val="decimal"/>
      <w:start w:val="1"/>
    </w:lvl>
  </w:abstractNum>
  <w:abstractNum w:abstractNumId="41">
    <w:nsid w:val="78B5E776"/>
    <w:multiLevelType w:val="hybridMultilevel"/>
    <w:lvl w:ilvl="0">
      <w:lvlJc w:val="left"/>
      <w:lvlText w:val="•"/>
      <w:numFmt w:val="bullet"/>
      <w:start w:val="1"/>
    </w:lvl>
  </w:abstractNum>
  <w:abstractNum w:abstractNumId="42">
    <w:nsid w:val="75486E47"/>
    <w:multiLevelType w:val="hybridMultilevel"/>
    <w:lvl w:ilvl="0">
      <w:lvlJc w:val="left"/>
      <w:lvlText w:val="(%1)"/>
      <w:numFmt w:val="decimal"/>
      <w:start w:val="1"/>
    </w:lvl>
  </w:abstractNum>
  <w:abstractNum w:abstractNumId="43">
    <w:nsid w:val="6E534CDE"/>
    <w:multiLevelType w:val="hybridMultilevel"/>
    <w:lvl w:ilvl="0">
      <w:lvlJc w:val="left"/>
      <w:lvlText w:val="•"/>
      <w:numFmt w:val="bullet"/>
      <w:start w:val="1"/>
    </w:lvl>
  </w:abstractNum>
  <w:abstractNum w:abstractNumId="44">
    <w:nsid w:val="1A0DDE32"/>
    <w:multiLevelType w:val="hybridMultilevel"/>
    <w:lvl w:ilvl="0">
      <w:lvlJc w:val="left"/>
      <w:lvlText w:val="•"/>
      <w:numFmt w:val="bullet"/>
      <w:start w:val="1"/>
    </w:lvl>
  </w:abstractNum>
  <w:abstractNum w:abstractNumId="45">
    <w:nsid w:val="65968C1C"/>
    <w:multiLevelType w:val="hybridMultilevel"/>
    <w:lvl w:ilvl="0">
      <w:lvlJc w:val="left"/>
      <w:lvlText w:val="•"/>
      <w:numFmt w:val="bullet"/>
      <w:start w:val="1"/>
    </w:lvl>
  </w:abstractNum>
  <w:abstractNum w:abstractNumId="46">
    <w:nsid w:val="46263DEC"/>
    <w:multiLevelType w:val="hybridMultilevel"/>
    <w:lvl w:ilvl="0">
      <w:lvlJc w:val="left"/>
      <w:lvlText w:val="(%1)"/>
      <w:numFmt w:val="lowerRoman"/>
      <w:start w:val="1"/>
    </w:lvl>
  </w:abstractNum>
  <w:abstractNum w:abstractNumId="47">
    <w:nsid w:val="260D8C4A"/>
    <w:multiLevelType w:val="hybridMultilevel"/>
    <w:lvl w:ilvl="0">
      <w:lvlJc w:val="left"/>
      <w:lvlText w:val="(%1)"/>
      <w:numFmt w:val="decimal"/>
      <w:start w:val="1"/>
    </w:lvl>
  </w:abstractNum>
  <w:abstractNum w:abstractNumId="48">
    <w:nsid w:val="73D4D3C4"/>
    <w:multiLevelType w:val="hybridMultilevel"/>
    <w:lvl w:ilvl="0">
      <w:lvlJc w:val="left"/>
      <w:lvlText w:val="(%1)"/>
      <w:numFmt w:val="decimal"/>
      <w:start w:val="1"/>
    </w:lvl>
  </w:abstractNum>
  <w:abstractNum w:abstractNumId="49">
    <w:nsid w:val="746F2E30"/>
    <w:multiLevelType w:val="hybridMultilevel"/>
    <w:lvl w:ilvl="0">
      <w:lvlJc w:val="left"/>
      <w:lvlText w:val="(%1)"/>
      <w:numFmt w:val="lowerRoman"/>
      <w:start w:val="1"/>
    </w:lvl>
  </w:abstractNum>
  <w:abstractNum w:abstractNumId="50">
    <w:nsid w:val="6FDE8AF6"/>
    <w:multiLevelType w:val="hybridMultilevel"/>
    <w:lvl w:ilvl="0">
      <w:lvlJc w:val="left"/>
      <w:lvlText w:val="(%1)"/>
      <w:numFmt w:val="decimal"/>
      <w:start w:val="1"/>
    </w:lvl>
  </w:abstractNum>
  <w:abstractNum w:abstractNumId="51">
    <w:nsid w:val="3FC32E20"/>
    <w:multiLevelType w:val="hybridMultilevel"/>
    <w:lvl w:ilvl="0">
      <w:lvlJc w:val="left"/>
      <w:lvlText w:val="•"/>
      <w:numFmt w:val="bullet"/>
      <w:start w:val="1"/>
    </w:lvl>
  </w:abstractNum>
  <w:abstractNum w:abstractNumId="52">
    <w:nsid w:val="49C0E823"/>
    <w:multiLevelType w:val="hybridMultilevel"/>
    <w:lvl w:ilvl="0">
      <w:lvlJc w:val="left"/>
      <w:lvlText w:val="•"/>
      <w:numFmt w:val="bullet"/>
      <w:start w:val="1"/>
    </w:lvl>
  </w:abstractNum>
  <w:abstractNum w:abstractNumId="53">
    <w:nsid w:val="14D53685"/>
    <w:multiLevelType w:val="hybridMultilevel"/>
    <w:lvl w:ilvl="0">
      <w:lvlJc w:val="left"/>
      <w:lvlText w:val="•"/>
      <w:numFmt w:val="bullet"/>
      <w:start w:val="1"/>
    </w:lvl>
  </w:abstractNum>
  <w:abstractNum w:abstractNumId="54">
    <w:nsid w:val="230F856C"/>
    <w:multiLevelType w:val="hybridMultilevel"/>
    <w:lvl w:ilvl="0">
      <w:lvlJc w:val="left"/>
      <w:lvlText w:val="•"/>
      <w:numFmt w:val="bullet"/>
      <w:start w:val="1"/>
    </w:lvl>
    <w:lvl w:ilvl="1">
      <w:lvlJc w:val="left"/>
      <w:lvlText w:val="•"/>
      <w:numFmt w:val="bullet"/>
      <w:start w:val="1"/>
    </w:lvl>
  </w:abstractNum>
  <w:abstractNum w:abstractNumId="55">
    <w:nsid w:val="6EAA85FB"/>
    <w:multiLevelType w:val="hybridMultilevel"/>
    <w:lvl w:ilvl="0">
      <w:lvlJc w:val="left"/>
      <w:lvlText w:val="•"/>
      <w:numFmt w:val="bullet"/>
      <w:start w:val="1"/>
    </w:lvl>
    <w:lvl w:ilvl="1">
      <w:lvlJc w:val="left"/>
      <w:lvlText w:val="•"/>
      <w:numFmt w:val="bullet"/>
      <w:start w:val="1"/>
    </w:lvl>
  </w:abstractNum>
  <w:abstractNum w:abstractNumId="56">
    <w:nsid w:val="3F06ECB2"/>
    <w:multiLevelType w:val="hybridMultilevel"/>
    <w:lvl w:ilvl="0">
      <w:lvlJc w:val="left"/>
      <w:lvlText w:val="•"/>
      <w:numFmt w:val="bullet"/>
      <w:start w:val="1"/>
    </w:lvl>
  </w:abstractNum>
  <w:abstractNum w:abstractNumId="57">
    <w:nsid w:val="3B594807"/>
    <w:multiLevelType w:val="hybridMultilevel"/>
    <w:lvl w:ilvl="0">
      <w:lvlJc w:val="left"/>
      <w:lvlText w:val="•"/>
      <w:numFmt w:val="bullet"/>
      <w:start w:val="1"/>
    </w:lvl>
  </w:abstractNum>
  <w:abstractNum w:abstractNumId="58">
    <w:nsid w:val="6CAA2304"/>
    <w:multiLevelType w:val="hybridMultilevel"/>
    <w:lvl w:ilvl="0">
      <w:lvlJc w:val="left"/>
      <w:lvlText w:val="•"/>
      <w:numFmt w:val="bullet"/>
      <w:start w:val="1"/>
    </w:lvl>
  </w:abstractNum>
  <w:abstractNum w:abstractNumId="59">
    <w:nsid w:val="3F7C2FF4"/>
    <w:multiLevelType w:val="hybridMultilevel"/>
    <w:lvl w:ilvl="0">
      <w:lvlJc w:val="left"/>
      <w:lvlText w:val="•"/>
      <w:numFmt w:val="bullet"/>
      <w:start w:val="1"/>
    </w:lvl>
  </w:abstractNum>
  <w:abstractNum w:abstractNumId="60">
    <w:nsid w:val="25413BEC"/>
    <w:multiLevelType w:val="hybridMultilevel"/>
    <w:lvl w:ilvl="0">
      <w:lvlJc w:val="left"/>
      <w:lvlText w:val="•"/>
      <w:numFmt w:val="bullet"/>
      <w:start w:val="1"/>
    </w:lvl>
    <w:lvl w:ilvl="1">
      <w:lvlJc w:val="left"/>
      <w:lvlText w:val="•"/>
      <w:numFmt w:val="bullet"/>
      <w:start w:val="1"/>
    </w:lvl>
  </w:abstractNum>
  <w:abstractNum w:abstractNumId="61">
    <w:nsid w:val="17180B0B"/>
    <w:multiLevelType w:val="hybridMultilevel"/>
    <w:lvl w:ilvl="0">
      <w:lvlJc w:val="left"/>
      <w:lvlText w:val="•"/>
      <w:numFmt w:val="bullet"/>
      <w:start w:val="1"/>
    </w:lvl>
  </w:abstractNum>
  <w:abstractNum w:abstractNumId="62">
    <w:nsid w:val="579328B9"/>
    <w:multiLevelType w:val="hybridMultilevel"/>
    <w:lvl w:ilvl="0">
      <w:lvlJc w:val="left"/>
      <w:lvlText w:val="•"/>
      <w:numFmt w:val="bullet"/>
      <w:start w:val="1"/>
    </w:lvl>
  </w:abstractNum>
  <w:abstractNum w:abstractNumId="63">
    <w:nsid w:val="5D205E20"/>
    <w:multiLevelType w:val="hybridMultilevel"/>
    <w:lvl w:ilvl="0">
      <w:lvlJc w:val="left"/>
      <w:lvlText w:val="•"/>
      <w:numFmt w:val="bullet"/>
      <w:start w:val="1"/>
    </w:lvl>
  </w:abstractNum>
  <w:abstractNum w:abstractNumId="64">
    <w:nsid w:val="11CCA8BA"/>
    <w:multiLevelType w:val="hybridMultilevel"/>
    <w:lvl w:ilvl="0">
      <w:lvlJc w:val="left"/>
      <w:lvlText w:val="•"/>
      <w:numFmt w:val="bullet"/>
      <w:start w:val="1"/>
    </w:lvl>
    <w:lvl w:ilvl="1">
      <w:lvlJc w:val="left"/>
      <w:lvlText w:val="•"/>
      <w:numFmt w:val="bullet"/>
      <w:start w:val="1"/>
    </w:lvl>
  </w:abstractNum>
  <w:abstractNum w:abstractNumId="65">
    <w:nsid w:val="4D32AB86"/>
    <w:multiLevelType w:val="hybridMultilevel"/>
    <w:lvl w:ilvl="0">
      <w:lvlJc w:val="left"/>
      <w:lvlText w:val="•"/>
      <w:numFmt w:val="bullet"/>
      <w:start w:val="1"/>
    </w:lvl>
  </w:abstractNum>
  <w:abstractNum w:abstractNumId="66">
    <w:nsid w:val="3F07ACC3"/>
    <w:multiLevelType w:val="hybridMultilevel"/>
    <w:lvl w:ilvl="0">
      <w:lvlJc w:val="left"/>
      <w:lvlText w:val="•"/>
      <w:numFmt w:val="bullet"/>
      <w:start w:val="1"/>
    </w:lvl>
    <w:lvl w:ilvl="1">
      <w:lvlJc w:val="left"/>
      <w:lvlText w:val="•"/>
      <w:numFmt w:val="bullet"/>
      <w:start w:val="1"/>
    </w:lvl>
  </w:abstractNum>
  <w:abstractNum w:abstractNumId="67">
    <w:nsid w:val="6B47F63E"/>
    <w:multiLevelType w:val="hybridMultilevel"/>
    <w:lvl w:ilvl="0">
      <w:lvlJc w:val="left"/>
      <w:lvlText w:val="(%1)"/>
      <w:numFmt w:val="decimal"/>
      <w:start w:val="1"/>
    </w:lvl>
  </w:abstractNum>
  <w:abstractNum w:abstractNumId="68">
    <w:nsid w:val="5CB44A05"/>
    <w:multiLevelType w:val="hybridMultilevel"/>
    <w:lvl w:ilvl="0">
      <w:lvlJc w:val="left"/>
      <w:lvlText w:val="*"/>
      <w:numFmt w:val="bullet"/>
      <w:start w:val="1"/>
    </w:lvl>
  </w:abstractNum>
  <w:abstractNum w:abstractNumId="69">
    <w:nsid w:val="16CF80F1"/>
    <w:multiLevelType w:val="hybridMultilevel"/>
    <w:lvl w:ilvl="0">
      <w:lvlJc w:val="left"/>
      <w:lvlText w:val="•"/>
      <w:numFmt w:val="bullet"/>
      <w:start w:val="1"/>
    </w:lvl>
  </w:abstractNum>
  <w:abstractNum w:abstractNumId="70">
    <w:nsid w:val="1C695DEC"/>
    <w:multiLevelType w:val="hybridMultilevel"/>
    <w:lvl w:ilvl="0">
      <w:lvlJc w:val="left"/>
      <w:lvlText w:val="•"/>
      <w:numFmt w:val="bullet"/>
      <w:start w:val="1"/>
    </w:lvl>
  </w:abstractNum>
  <w:abstractNum w:abstractNumId="71">
    <w:nsid w:val="3FCFAED9"/>
    <w:multiLevelType w:val="hybridMultilevel"/>
    <w:lvl w:ilvl="0">
      <w:lvlJc w:val="left"/>
      <w:lvlText w:val="•"/>
      <w:numFmt w:val="bullet"/>
      <w:start w:val="1"/>
    </w:lvl>
  </w:abstractNum>
  <w:abstractNum w:abstractNumId="72">
    <w:nsid w:val="F856867"/>
    <w:multiLevelType w:val="hybridMultilevel"/>
    <w:lvl w:ilvl="0">
      <w:lvlJc w:val="left"/>
      <w:lvlText w:val="•"/>
      <w:numFmt w:val="bullet"/>
      <w:start w:val="1"/>
    </w:lvl>
  </w:abstractNum>
  <w:abstractNum w:abstractNumId="73">
    <w:nsid w:val="11B1CC33"/>
    <w:multiLevelType w:val="hybridMultilevel"/>
    <w:lvl w:ilvl="0">
      <w:lvlJc w:val="left"/>
      <w:lvlText w:val="•"/>
      <w:numFmt w:val="bullet"/>
      <w:start w:val="1"/>
    </w:lvl>
  </w:abstractNum>
  <w:abstractNum w:abstractNumId="74">
    <w:nsid w:val="2E22FBB7"/>
    <w:multiLevelType w:val="hybridMultilevel"/>
    <w:lvl w:ilvl="0">
      <w:lvlJc w:val="left"/>
      <w:lvlText w:val="•"/>
      <w:numFmt w:val="bullet"/>
      <w:start w:val="1"/>
    </w:lvl>
  </w:abstractNum>
  <w:abstractNum w:abstractNumId="75">
    <w:nsid w:val="29934699"/>
    <w:multiLevelType w:val="hybridMultilevel"/>
    <w:lvl w:ilvl="0">
      <w:lvlJc w:val="left"/>
      <w:lvlText w:val="•"/>
      <w:numFmt w:val="bullet"/>
      <w:start w:val="1"/>
    </w:lvl>
  </w:abstractNum>
  <w:abstractNum w:abstractNumId="76">
    <w:nsid w:val="77485850"/>
    <w:multiLevelType w:val="hybridMultilevel"/>
    <w:lvl w:ilvl="0">
      <w:lvlJc w:val="left"/>
      <w:lvlText w:val="•"/>
      <w:numFmt w:val="bullet"/>
      <w:start w:val="1"/>
    </w:lvl>
  </w:abstractNum>
  <w:abstractNum w:abstractNumId="77">
    <w:nsid w:val="744939A3"/>
    <w:multiLevelType w:val="hybridMultilevel"/>
    <w:lvl w:ilvl="0">
      <w:lvlJc w:val="left"/>
      <w:lvlText w:val="•"/>
      <w:numFmt w:val="bullet"/>
      <w:start w:val="1"/>
    </w:lvl>
  </w:abstractNum>
  <w:abstractNum w:abstractNumId="78">
    <w:nsid w:val="4FA0D2E3"/>
    <w:multiLevelType w:val="hybridMultilevel"/>
    <w:lvl w:ilvl="0">
      <w:lvlJc w:val="left"/>
      <w:lvlText w:val="•"/>
      <w:numFmt w:val="bullet"/>
      <w:start w:val="1"/>
    </w:lvl>
  </w:abstractNum>
  <w:abstractNum w:abstractNumId="79">
    <w:nsid w:val="6B1D2C14"/>
    <w:multiLevelType w:val="hybridMultilevel"/>
    <w:lvl w:ilvl="0">
      <w:lvlJc w:val="left"/>
      <w:lvlText w:val="•"/>
      <w:numFmt w:val="bullet"/>
      <w:start w:val="1"/>
    </w:lvl>
  </w:abstractNum>
  <w:abstractNum w:abstractNumId="80">
    <w:nsid w:val="68B867D3"/>
    <w:multiLevelType w:val="hybridMultilevel"/>
    <w:lvl w:ilvl="0">
      <w:lvlJc w:val="left"/>
      <w:lvlText w:val="&amp;"/>
      <w:numFmt w:val="bullet"/>
      <w:start w:val="1"/>
    </w:lvl>
  </w:abstractNum>
  <w:abstractNum w:abstractNumId="81">
    <w:nsid w:val="3F7F5DD9"/>
    <w:multiLevelType w:val="hybridMultilevel"/>
    <w:lvl w:ilvl="0">
      <w:lvlJc w:val="left"/>
      <w:lvlText w:val="•"/>
      <w:numFmt w:val="bullet"/>
      <w:start w:val="1"/>
    </w:lvl>
  </w:abstractNum>
  <w:abstractNum w:abstractNumId="82">
    <w:nsid w:val="2AE05A34"/>
    <w:multiLevelType w:val="hybridMultilevel"/>
    <w:lvl w:ilvl="0">
      <w:lvlJc w:val="left"/>
      <w:lvlText w:val="•"/>
      <w:numFmt w:val="bullet"/>
      <w:start w:val="1"/>
    </w:lvl>
  </w:abstractNum>
  <w:abstractNum w:abstractNumId="83">
    <w:nsid w:val="32794FF7"/>
    <w:multiLevelType w:val="hybridMultilevel"/>
    <w:lvl w:ilvl="0">
      <w:lvlJc w:val="left"/>
      <w:lvlText w:val="•"/>
      <w:numFmt w:val="bullet"/>
      <w:start w:val="1"/>
    </w:lvl>
  </w:abstractNum>
  <w:abstractNum w:abstractNumId="84">
    <w:nsid w:val="5454945E"/>
    <w:multiLevelType w:val="hybridMultilevel"/>
    <w:lvl w:ilvl="0">
      <w:lvlJc w:val="left"/>
      <w:lvlText w:val="•"/>
      <w:numFmt w:val="bullet"/>
      <w:start w:val="1"/>
    </w:lvl>
  </w:abstractNum>
  <w:abstractNum w:abstractNumId="85">
    <w:nsid w:val="4DEFDFA0"/>
    <w:multiLevelType w:val="hybridMultilevel"/>
    <w:lvl w:ilvl="0">
      <w:lvlJc w:val="left"/>
      <w:lvlText w:val="•"/>
      <w:numFmt w:val="bullet"/>
      <w:start w:val="1"/>
    </w:lvl>
  </w:abstractNum>
  <w:abstractNum w:abstractNumId="86">
    <w:nsid w:val="2123D5F2"/>
    <w:multiLevelType w:val="hybridMultilevel"/>
    <w:lvl w:ilvl="0">
      <w:lvlJc w:val="left"/>
      <w:lvlText w:val="•"/>
      <w:numFmt w:val="bullet"/>
      <w:start w:val="1"/>
    </w:lvl>
  </w:abstractNum>
  <w:abstractNum w:abstractNumId="87">
    <w:nsid w:val="135B8110"/>
    <w:multiLevelType w:val="hybridMultilevel"/>
    <w:lvl w:ilvl="0">
      <w:lvlJc w:val="left"/>
      <w:lvlText w:val="•"/>
      <w:numFmt w:val="bullet"/>
      <w:start w:val="1"/>
    </w:lvl>
  </w:abstractNum>
  <w:abstractNum w:abstractNumId="88">
    <w:nsid w:val="94927A8"/>
    <w:multiLevelType w:val="hybridMultilevel"/>
    <w:lvl w:ilvl="0">
      <w:lvlJc w:val="left"/>
      <w:lvlText w:val="•"/>
      <w:numFmt w:val="bullet"/>
      <w:start w:val="1"/>
    </w:lvl>
  </w:abstractNum>
  <w:abstractNum w:abstractNumId="89">
    <w:nsid w:val="DCDF8F6"/>
    <w:multiLevelType w:val="hybridMultilevel"/>
    <w:lvl w:ilvl="0">
      <w:lvlJc w:val="left"/>
      <w:lvlText w:val="•"/>
      <w:numFmt w:val="bullet"/>
      <w:start w:val="1"/>
    </w:lvl>
  </w:abstractNum>
  <w:abstractNum w:abstractNumId="90">
    <w:nsid w:val="52D7B105"/>
    <w:multiLevelType w:val="hybridMultilevel"/>
    <w:lvl w:ilvl="0">
      <w:lvlJc w:val="left"/>
      <w:lvlText w:val="•"/>
      <w:numFmt w:val="bullet"/>
      <w:start w:val="1"/>
    </w:lvl>
  </w:abstractNum>
  <w:abstractNum w:abstractNumId="91">
    <w:nsid w:val="2E8A6394"/>
    <w:multiLevelType w:val="hybridMultilevel"/>
    <w:lvl w:ilvl="0">
      <w:lvlJc w:val="left"/>
      <w:lvlText w:val="•"/>
      <w:numFmt w:val="bullet"/>
      <w:start w:val="1"/>
    </w:lvl>
  </w:abstractNum>
  <w:abstractNum w:abstractNumId="92">
    <w:nsid w:val="24E60401"/>
    <w:multiLevelType w:val="hybridMultilevel"/>
    <w:lvl w:ilvl="0">
      <w:lvlJc w:val="left"/>
      <w:lvlText w:val="*"/>
      <w:numFmt w:val="bullet"/>
      <w:start w:val="1"/>
    </w:lvl>
  </w:abstractNum>
  <w:abstractNum w:abstractNumId="93">
    <w:nsid w:val="2A6AD9BE"/>
    <w:multiLevelType w:val="hybridMultilevel"/>
    <w:lvl w:ilvl="0">
      <w:lvlJc w:val="left"/>
      <w:lvlText w:val="(%1)"/>
      <w:numFmt w:val="decimal"/>
      <w:start w:val="1"/>
    </w:lvl>
  </w:abstractNum>
  <w:abstractNum w:abstractNumId="94">
    <w:nsid w:val="BAAC1B4"/>
    <w:multiLevelType w:val="hybridMultilevel"/>
    <w:lvl w:ilvl="0">
      <w:lvlJc w:val="left"/>
      <w:lvlText w:val="(%1)"/>
      <w:numFmt w:val="decimal"/>
      <w:start w:val="1"/>
    </w:lvl>
  </w:abstractNum>
  <w:abstractNum w:abstractNumId="95">
    <w:nsid w:val="36B2ACBC"/>
    <w:multiLevelType w:val="hybridMultilevel"/>
    <w:lvl w:ilvl="0">
      <w:lvlJc w:val="left"/>
      <w:lvlText w:val="•"/>
      <w:numFmt w:val="bullet"/>
      <w:start w:val="1"/>
    </w:lvl>
  </w:abstractNum>
  <w:abstractNum w:abstractNumId="96">
    <w:nsid w:val="779D8544"/>
    <w:multiLevelType w:val="hybridMultilevel"/>
    <w:lvl w:ilvl="0">
      <w:lvlJc w:val="left"/>
      <w:lvlText w:val="•"/>
      <w:numFmt w:val="bullet"/>
      <w:start w:val="1"/>
    </w:lvl>
  </w:abstractNum>
  <w:abstractNum w:abstractNumId="97">
    <w:nsid w:val="4AB26E78"/>
    <w:multiLevelType w:val="hybridMultilevel"/>
    <w:lvl w:ilvl="0">
      <w:lvlJc w:val="left"/>
      <w:lvlText w:val="•"/>
      <w:numFmt w:val="bullet"/>
      <w:start w:val="1"/>
    </w:lvl>
  </w:abstractNum>
  <w:abstractNum w:abstractNumId="98">
    <w:nsid w:val="21FAA2FA"/>
    <w:multiLevelType w:val="hybridMultilevel"/>
    <w:lvl w:ilvl="0">
      <w:lvlJc w:val="left"/>
      <w:lvlText w:val="•"/>
      <w:numFmt w:val="bullet"/>
      <w:start w:val="1"/>
    </w:lvl>
  </w:abstractNum>
  <w:abstractNum w:abstractNumId="99">
    <w:nsid w:val="5451CF49"/>
    <w:multiLevelType w:val="hybridMultilevel"/>
    <w:lvl w:ilvl="0">
      <w:lvlJc w:val="left"/>
      <w:lvlText w:val="•"/>
      <w:numFmt w:val="bullet"/>
      <w:start w:val="1"/>
    </w:lvl>
  </w:abstractNum>
  <w:abstractNum w:abstractNumId="100">
    <w:nsid w:val="6181EF69"/>
    <w:multiLevelType w:val="hybridMultilevel"/>
    <w:lvl w:ilvl="0">
      <w:lvlJc w:val="left"/>
      <w:lvlText w:val="•"/>
      <w:numFmt w:val="bullet"/>
      <w:start w:val="1"/>
    </w:lvl>
  </w:abstractNum>
  <w:abstractNum w:abstractNumId="101">
    <w:nsid w:val="3E6400E6"/>
    <w:multiLevelType w:val="hybridMultilevel"/>
    <w:lvl w:ilvl="0">
      <w:lvlJc w:val="left"/>
      <w:lvlText w:val="•"/>
      <w:numFmt w:val="bullet"/>
      <w:start w:val="1"/>
    </w:lvl>
  </w:abstractNum>
  <w:abstractNum w:abstractNumId="102">
    <w:nsid w:val="14217E23"/>
    <w:multiLevelType w:val="hybridMultilevel"/>
    <w:lvl w:ilvl="0">
      <w:lvlJc w:val="left"/>
      <w:lvlText w:val="•"/>
      <w:numFmt w:val="bullet"/>
      <w:start w:val="1"/>
    </w:lvl>
  </w:abstractNum>
  <w:abstractNum w:abstractNumId="103">
    <w:nsid w:val="710757D0"/>
    <w:multiLevelType w:val="hybridMultilevel"/>
    <w:lvl w:ilvl="0">
      <w:lvlJc w:val="left"/>
      <w:lvlText w:val="•"/>
      <w:numFmt w:val="bullet"/>
      <w:start w:val="1"/>
    </w:lvl>
  </w:abstractNum>
  <w:abstractNum w:abstractNumId="104">
    <w:nsid w:val="5015CD1A"/>
    <w:multiLevelType w:val="hybridMultilevel"/>
    <w:lvl w:ilvl="0">
      <w:lvlJc w:val="left"/>
      <w:lvlText w:val="•"/>
      <w:numFmt w:val="bullet"/>
      <w:start w:val="1"/>
    </w:lvl>
  </w:abstractNum>
  <w:abstractNum w:abstractNumId="105">
    <w:nsid w:val="424479DA"/>
    <w:multiLevelType w:val="hybridMultilevel"/>
    <w:lvl w:ilvl="0">
      <w:lvlJc w:val="left"/>
      <w:lvlText w:val="•"/>
      <w:numFmt w:val="bullet"/>
      <w:start w:val="1"/>
    </w:lvl>
  </w:abstractNum>
  <w:abstractNum w:abstractNumId="106">
    <w:nsid w:val="1A9A9E69"/>
    <w:multiLevelType w:val="hybridMultilevel"/>
    <w:lvl w:ilvl="0">
      <w:lvlJc w:val="left"/>
      <w:lvlText w:val="•"/>
      <w:numFmt w:val="bullet"/>
      <w:start w:val="1"/>
    </w:lvl>
  </w:abstractNum>
  <w:abstractNum w:abstractNumId="107">
    <w:nsid w:val="475E256A"/>
    <w:multiLevelType w:val="hybridMultilevel"/>
    <w:lvl w:ilvl="0">
      <w:lvlJc w:val="left"/>
      <w:lvlText w:val="•"/>
      <w:numFmt w:val="bullet"/>
      <w:start w:val="1"/>
    </w:lvl>
  </w:abstractNum>
  <w:abstractNum w:abstractNumId="108">
    <w:nsid w:val="368DB37E"/>
    <w:multiLevelType w:val="hybridMultilevel"/>
    <w:lvl w:ilvl="0">
      <w:lvlJc w:val="left"/>
      <w:lvlText w:val="•"/>
      <w:numFmt w:val="bullet"/>
      <w:start w:val="1"/>
    </w:lvl>
  </w:abstractNum>
  <w:abstractNum w:abstractNumId="109">
    <w:nsid w:val="6A3B714C"/>
    <w:multiLevelType w:val="hybridMultilevel"/>
    <w:lvl w:ilvl="0">
      <w:lvlJc w:val="left"/>
      <w:lvlText w:val="•"/>
      <w:numFmt w:val="bullet"/>
      <w:start w:val="1"/>
    </w:lvl>
  </w:abstractNum>
  <w:abstractNum w:abstractNumId="110">
    <w:nsid w:val="327B517E"/>
    <w:multiLevelType w:val="hybridMultilevel"/>
    <w:lvl w:ilvl="0">
      <w:lvlJc w:val="left"/>
      <w:lvlText w:val="•"/>
      <w:numFmt w:val="bullet"/>
      <w:start w:val="1"/>
    </w:lvl>
  </w:abstractNum>
  <w:abstractNum w:abstractNumId="111">
    <w:nsid w:val="1F461B51"/>
    <w:multiLevelType w:val="hybridMultilevel"/>
    <w:lvl w:ilvl="0">
      <w:lvlJc w:val="left"/>
      <w:lvlText w:val="•"/>
      <w:numFmt w:val="bullet"/>
      <w:start w:val="1"/>
    </w:lvl>
  </w:abstractNum>
  <w:abstractNum w:abstractNumId="112">
    <w:nsid w:val="29BACF25"/>
    <w:multiLevelType w:val="hybridMultilevel"/>
    <w:lvl w:ilvl="0">
      <w:lvlJc w:val="left"/>
      <w:lvlText w:val="•"/>
      <w:numFmt w:val="bullet"/>
      <w:start w:val="1"/>
    </w:lvl>
  </w:abstractNum>
  <w:abstractNum w:abstractNumId="113">
    <w:nsid w:val="5D5BABB3"/>
    <w:multiLevelType w:val="hybridMultilevel"/>
    <w:lvl w:ilvl="0">
      <w:lvlJc w:val="left"/>
      <w:lvlText w:val="•"/>
      <w:numFmt w:val="bullet"/>
      <w:start w:val="1"/>
    </w:lvl>
  </w:abstractNum>
  <w:abstractNum w:abstractNumId="114">
    <w:nsid w:val="51BF6B48"/>
    <w:multiLevelType w:val="hybridMultilevel"/>
    <w:lvl w:ilvl="0">
      <w:lvlJc w:val="left"/>
      <w:lvlText w:val="(%1)"/>
      <w:numFmt w:val="lowerRoman"/>
      <w:start w:val="4"/>
    </w:lvl>
  </w:abstractNum>
  <w:abstractNum w:abstractNumId="115">
    <w:nsid w:val="7E0F6384"/>
    <w:multiLevelType w:val="hybridMultilevel"/>
    <w:lvl w:ilvl="0">
      <w:lvlJc w:val="left"/>
      <w:lvlText w:val="•"/>
      <w:numFmt w:val="bullet"/>
      <w:start w:val="1"/>
    </w:lvl>
  </w:abstractNum>
  <w:abstractNum w:abstractNumId="116">
    <w:nsid w:val="2B4B8B53"/>
    <w:multiLevelType w:val="hybridMultilevel"/>
    <w:lvl w:ilvl="0">
      <w:lvlJc w:val="left"/>
      <w:lvlText w:val="•"/>
      <w:numFmt w:val="bullet"/>
      <w:start w:val="1"/>
    </w:lvl>
  </w:abstractNum>
  <w:abstractNum w:abstractNumId="117">
    <w:nsid w:val="72E3413A"/>
    <w:multiLevelType w:val="hybridMultilevel"/>
    <w:lvl w:ilvl="0">
      <w:lvlJc w:val="left"/>
      <w:lvlText w:val="(%1)"/>
      <w:numFmt w:val="lowerRoman"/>
      <w:start w:val="2"/>
    </w:lvl>
  </w:abstractNum>
  <w:abstractNum w:abstractNumId="118">
    <w:nsid w:val="116AE494"/>
    <w:multiLevelType w:val="hybridMultilevel"/>
    <w:lvl w:ilvl="0">
      <w:lvlJc w:val="left"/>
      <w:lvlText w:val="•"/>
      <w:numFmt w:val="bullet"/>
      <w:start w:val="1"/>
    </w:lvl>
    <w:lvl w:ilvl="1">
      <w:lvlJc w:val="left"/>
      <w:lvlText w:val="•"/>
      <w:numFmt w:val="bullet"/>
      <w:start w:val="1"/>
    </w:lvl>
  </w:abstractNum>
  <w:abstractNum w:abstractNumId="119">
    <w:nsid w:val="3494B2FB"/>
    <w:multiLevelType w:val="hybridMultilevel"/>
    <w:lvl w:ilvl="0">
      <w:lvlJc w:val="left"/>
      <w:lvlText w:val="•"/>
      <w:numFmt w:val="bullet"/>
      <w:start w:val="1"/>
    </w:lvl>
    <w:lvl w:ilvl="1">
      <w:lvlJc w:val="left"/>
      <w:lvlText w:val="•"/>
      <w:numFmt w:val="bullet"/>
      <w:start w:val="1"/>
    </w:lvl>
  </w:abstractNum>
  <w:abstractNum w:abstractNumId="120">
    <w:nsid w:val="B13A31"/>
    <w:multiLevelType w:val="hybridMultilevel"/>
    <w:lvl w:ilvl="0">
      <w:lvlJc w:val="left"/>
      <w:lvlText w:val="•"/>
      <w:numFmt w:val="bullet"/>
      <w:start w:val="1"/>
    </w:lvl>
  </w:abstractNum>
  <w:abstractNum w:abstractNumId="121">
    <w:nsid w:val="64429599"/>
    <w:multiLevelType w:val="hybridMultilevel"/>
    <w:lvl w:ilvl="0">
      <w:lvlJc w:val="left"/>
      <w:lvlText w:val="•"/>
      <w:numFmt w:val="bullet"/>
      <w:start w:val="1"/>
    </w:lvl>
  </w:abstractNum>
  <w:abstractNum w:abstractNumId="122">
    <w:nsid w:val="631F1690"/>
    <w:multiLevelType w:val="hybridMultilevel"/>
    <w:lvl w:ilvl="0">
      <w:lvlJc w:val="left"/>
      <w:lvlText w:val="•"/>
      <w:numFmt w:val="bullet"/>
      <w:start w:val="1"/>
    </w:lvl>
  </w:abstractNum>
  <w:abstractNum w:abstractNumId="123">
    <w:nsid w:val="25973E32"/>
    <w:multiLevelType w:val="hybridMultilevel"/>
    <w:lvl w:ilvl="0">
      <w:lvlJc w:val="left"/>
      <w:lvlText w:val="(%1)"/>
      <w:numFmt w:val="lowerRoman"/>
      <w:start w:val="1"/>
    </w:lvl>
  </w:abstractNum>
  <w:abstractNum w:abstractNumId="124">
    <w:nsid w:val="EAD6F57"/>
    <w:multiLevelType w:val="hybridMultilevel"/>
    <w:lvl w:ilvl="0">
      <w:lvlJc w:val="left"/>
      <w:lvlText w:val="•"/>
      <w:numFmt w:val="bullet"/>
      <w:start w:val="1"/>
    </w:lvl>
  </w:abstractNum>
  <w:abstractNum w:abstractNumId="125">
    <w:nsid w:val="6EC9D844"/>
    <w:multiLevelType w:val="hybridMultilevel"/>
    <w:lvl w:ilvl="0">
      <w:lvlJc w:val="left"/>
      <w:lvlText w:val="•"/>
      <w:numFmt w:val="bullet"/>
      <w:start w:val="1"/>
    </w:lvl>
  </w:abstractNum>
  <w:abstractNum w:abstractNumId="126">
    <w:nsid w:val="5C49EAEE"/>
    <w:multiLevelType w:val="hybridMultilevel"/>
    <w:lvl w:ilvl="0">
      <w:lvlJc w:val="left"/>
      <w:lvlText w:val="%1."/>
      <w:numFmt w:val="decimal"/>
      <w:start w:val="1"/>
    </w:lvl>
  </w:abstractNum>
  <w:abstractNum w:abstractNumId="127">
    <w:nsid w:val="64AF49B"/>
    <w:multiLevelType w:val="hybridMultilevel"/>
    <w:lvl w:ilvl="0">
      <w:lvlJc w:val="left"/>
      <w:lvlText w:val="%1."/>
      <w:numFmt w:val="decimal"/>
      <w:start w:val="2"/>
    </w:lvl>
  </w:abstractNum>
  <w:abstractNum w:abstractNumId="128">
    <w:nsid w:val="397C46BC"/>
    <w:multiLevelType w:val="hybridMultilevel"/>
    <w:lvl w:ilvl="0">
      <w:lvlJc w:val="left"/>
      <w:lvlText w:val="(%1)"/>
      <w:numFmt w:val="lowerRoman"/>
      <w:start w:val="1"/>
    </w:lvl>
  </w:abstractNum>
  <w:abstractNum w:abstractNumId="129">
    <w:nsid w:val="7E448DE9"/>
    <w:multiLevelType w:val="hybridMultilevel"/>
    <w:lvl w:ilvl="0">
      <w:lvlJc w:val="left"/>
      <w:lvlText w:val="%1."/>
      <w:numFmt w:val="decimal"/>
      <w:start w:val="4"/>
    </w:lvl>
  </w:abstractNum>
  <w:abstractNum w:abstractNumId="130">
    <w:nsid w:val="5A9CC3E5"/>
    <w:multiLevelType w:val="hybridMultilevel"/>
    <w:lvl w:ilvl="0">
      <w:lvlJc w:val="left"/>
      <w:lvlText w:val="%1."/>
      <w:numFmt w:val="decimal"/>
      <w:start w:val="5"/>
    </w:lvl>
  </w:abstractNum>
  <w:abstractNum w:abstractNumId="131">
    <w:nsid w:val="1AFE3625"/>
    <w:multiLevelType w:val="hybridMultilevel"/>
    <w:lvl w:ilvl="0">
      <w:lvlJc w:val="left"/>
      <w:lvlText w:val="%1."/>
      <w:numFmt w:val="decimal"/>
      <w:start w:val="6"/>
    </w:lvl>
  </w:abstractNum>
  <w:abstractNum w:abstractNumId="132">
    <w:nsid w:val="3CA88ECF"/>
    <w:multiLevelType w:val="hybridMultilevel"/>
    <w:lvl w:ilvl="0">
      <w:lvlJc w:val="left"/>
      <w:lvlText w:val="%1."/>
      <w:numFmt w:val="decimal"/>
      <w:start w:val="7"/>
    </w:lvl>
  </w:abstractNum>
  <w:abstractNum w:abstractNumId="133">
    <w:nsid w:val="6EBE4208"/>
    <w:multiLevelType w:val="hybridMultilevel"/>
    <w:lvl w:ilvl="0">
      <w:lvlJc w:val="left"/>
      <w:lvlText w:val="%1."/>
      <w:numFmt w:val="decimal"/>
      <w:start w:val="1"/>
    </w:lvl>
  </w:abstractNum>
  <w:abstractNum w:abstractNumId="134">
    <w:nsid w:val="C058DF5"/>
    <w:multiLevelType w:val="hybridMultilevel"/>
    <w:lvl w:ilvl="0">
      <w:lvlJc w:val="left"/>
      <w:lvlText w:val="%1."/>
      <w:numFmt w:val="decimal"/>
      <w:start w:val="2"/>
    </w:lvl>
  </w:abstractNum>
  <w:abstractNum w:abstractNumId="135">
    <w:nsid w:val="CBE5BE9"/>
    <w:multiLevelType w:val="hybridMultilevel"/>
    <w:lvl w:ilvl="0">
      <w:lvlJc w:val="left"/>
      <w:lvlText w:val="(%1)"/>
      <w:numFmt w:val="lowerRoman"/>
      <w:start w:val="1"/>
    </w:lvl>
  </w:abstractNum>
  <w:abstractNum w:abstractNumId="136">
    <w:nsid w:val="3102BBE2"/>
    <w:multiLevelType w:val="hybridMultilevel"/>
    <w:lvl w:ilvl="0">
      <w:lvlJc w:val="left"/>
      <w:lvlText w:val="(%1)"/>
      <w:numFmt w:val="lowerRoman"/>
      <w:start w:val="3"/>
    </w:lvl>
  </w:abstractNum>
  <w:abstractNum w:abstractNumId="137">
    <w:nsid w:val="26A02C5E"/>
    <w:multiLevelType w:val="hybridMultilevel"/>
    <w:lvl w:ilvl="0">
      <w:lvlJc w:val="left"/>
      <w:lvlText w:val="%1."/>
      <w:numFmt w:val="decimal"/>
      <w:start w:val="3"/>
    </w:lvl>
  </w:abstractNum>
  <w:abstractNum w:abstractNumId="138">
    <w:nsid w:val="541C8153"/>
    <w:multiLevelType w:val="hybridMultilevel"/>
    <w:lvl w:ilvl="0">
      <w:lvlJc w:val="left"/>
      <w:lvlText w:val="•"/>
      <w:numFmt w:val="bullet"/>
      <w:start w:val="1"/>
    </w:lvl>
  </w:abstractNum>
  <w:abstractNum w:abstractNumId="139">
    <w:nsid w:val="67906F60"/>
    <w:multiLevelType w:val="hybridMultilevel"/>
    <w:lvl w:ilvl="0">
      <w:lvlJc w:val="left"/>
      <w:lvlText w:val="%1."/>
      <w:numFmt w:val="decimal"/>
      <w:start w:val="6"/>
    </w:lvl>
  </w:abstractNum>
  <w:abstractNum w:abstractNumId="140">
    <w:nsid w:val="10DB9DAA"/>
    <w:multiLevelType w:val="hybridMultilevel"/>
    <w:lvl w:ilvl="0">
      <w:lvlJc w:val="left"/>
      <w:lvlText w:val="%1."/>
      <w:numFmt w:val="decimal"/>
      <w:start w:val="9"/>
    </w:lvl>
  </w:abstractNum>
  <w:abstractNum w:abstractNumId="141">
    <w:nsid w:val="697D2D2"/>
    <w:multiLevelType w:val="hybridMultilevel"/>
    <w:lvl w:ilvl="0">
      <w:lvlJc w:val="left"/>
      <w:lvlText w:val="%1."/>
      <w:numFmt w:val="decimal"/>
      <w:start w:val="12"/>
    </w:lvl>
  </w:abstractNum>
  <w:abstractNum w:abstractNumId="142">
    <w:nsid w:val="6D68AB2"/>
    <w:multiLevelType w:val="hybridMultilevel"/>
    <w:lvl w:ilvl="0">
      <w:lvlJc w:val="left"/>
      <w:lvlText w:val="%1."/>
      <w:numFmt w:val="decimal"/>
      <w:start w:val="13"/>
    </w:lvl>
  </w:abstractNum>
  <w:abstractNum w:abstractNumId="143">
    <w:nsid w:val="3A966CD0"/>
    <w:multiLevelType w:val="hybridMultilevel"/>
    <w:lvl w:ilvl="0">
      <w:lvlJc w:val="left"/>
      <w:lvlText w:val="%1."/>
      <w:numFmt w:val="decimal"/>
      <w:start w:val="15"/>
    </w:lvl>
  </w:abstractNum>
  <w:abstractNum w:abstractNumId="144">
    <w:nsid w:val="63F37E85"/>
    <w:multiLevelType w:val="hybridMultilevel"/>
    <w:lvl w:ilvl="0">
      <w:lvlJc w:val="left"/>
      <w:lvlText w:val="%1."/>
      <w:numFmt w:val="decimal"/>
      <w:start w:val="16"/>
    </w:lvl>
  </w:abstractNum>
  <w:abstractNum w:abstractNumId="145">
    <w:nsid w:val="5895F5FA"/>
    <w:multiLevelType w:val="hybridMultilevel"/>
    <w:lvl w:ilvl="0">
      <w:lvlJc w:val="left"/>
      <w:lvlText w:val="%1."/>
      <w:numFmt w:val="decimal"/>
      <w:start w:val="19"/>
    </w:lvl>
  </w:abstractNum>
  <w:abstractNum w:abstractNumId="146">
    <w:nsid w:val="38A5D054"/>
    <w:multiLevelType w:val="hybridMultilevel"/>
    <w:lvl w:ilvl="0">
      <w:lvlJc w:val="left"/>
      <w:lvlText w:val="%1."/>
      <w:numFmt w:val="decimal"/>
      <w:start w:val="20"/>
    </w:lvl>
  </w:abstractNum>
  <w:abstractNum w:abstractNumId="147">
    <w:nsid w:val="F3F09D8"/>
    <w:multiLevelType w:val="hybridMultilevel"/>
    <w:lvl w:ilvl="0">
      <w:lvlJc w:val="left"/>
      <w:lvlText w:val="%1."/>
      <w:numFmt w:val="decimal"/>
      <w:start w:val="21"/>
    </w:lvl>
  </w:abstractNum>
  <w:abstractNum w:abstractNumId="148">
    <w:nsid w:val="4B793735"/>
    <w:multiLevelType w:val="hybridMultilevel"/>
    <w:lvl w:ilvl="0">
      <w:lvlJc w:val="left"/>
      <w:lvlText w:val="%1."/>
      <w:numFmt w:val="decimal"/>
      <w:start w:val="22"/>
    </w:lvl>
  </w:abstractNum>
  <w:abstractNum w:abstractNumId="149">
    <w:nsid w:val="4A10B4E8"/>
    <w:multiLevelType w:val="hybridMultilevel"/>
    <w:lvl w:ilvl="0">
      <w:lvlJc w:val="left"/>
      <w:lvlText w:val="%1."/>
      <w:numFmt w:val="decimal"/>
      <w:start w:val="23"/>
    </w:lvl>
  </w:abstractNum>
  <w:abstractNum w:abstractNumId="150">
    <w:nsid w:val="43D3BCD4"/>
    <w:multiLevelType w:val="hybridMultilevel"/>
    <w:lvl w:ilvl="0">
      <w:lvlJc w:val="left"/>
      <w:lvlText w:val="%1."/>
      <w:numFmt w:val="decimal"/>
      <w:start w:val="1"/>
    </w:lvl>
  </w:abstractNum>
  <w:abstractNum w:abstractNumId="151">
    <w:nsid w:val="4C2A7166"/>
    <w:multiLevelType w:val="hybridMultilevel"/>
    <w:lvl w:ilvl="0">
      <w:lvlJc w:val="left"/>
      <w:lvlText w:val="%1."/>
      <w:numFmt w:val="decimal"/>
      <w:start w:val="6"/>
    </w:lvl>
  </w:abstractNum>
  <w:abstractNum w:abstractNumId="152">
    <w:nsid w:val="2E534A82"/>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3">
    <w:nsid w:val="26F2D364"/>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4">
    <w:nsid w:val="71C1AF98"/>
    <w:multiLevelType w:val="hybridMultilevel"/>
    <w:lvl w:ilvl="0">
      <w:lvlJc w:val="left"/>
      <w:lvlText w:val="#"/>
      <w:numFmt w:val="bullet"/>
      <w:start w:val="1"/>
    </w:lvl>
  </w:abstractNum>
  <w:abstractNum w:abstractNumId="155">
    <w:nsid w:val="3D00B9D9"/>
    <w:multiLevelType w:val="hybridMultilevel"/>
    <w:lvl w:ilvl="0">
      <w:lvlJc w:val="left"/>
      <w:lvlText w:val="%1."/>
      <w:numFmt w:val="decimal"/>
      <w:start w:val="1"/>
    </w:lvl>
    <w:lvl w:ilvl="1">
      <w:lvlJc w:val="left"/>
      <w:lvlText w:val="(%2)"/>
      <w:numFmt w:val="lowerLetter"/>
      <w:start w:val="1"/>
    </w:lvl>
  </w:abstractNum>
  <w:abstractNum w:abstractNumId="156">
    <w:nsid w:val="15BCABA8"/>
    <w:multiLevelType w:val="hybridMultilevel"/>
    <w:lvl w:ilvl="0">
      <w:lvlJc w:val="left"/>
      <w:lvlText w:val="%1"/>
      <w:numFmt w:val="lowerLetter"/>
      <w:start w:val="1"/>
    </w:lvl>
    <w:lvl w:ilvl="1">
      <w:lvlJc w:val="left"/>
      <w:lvlText w:val="(%2)"/>
      <w:numFmt w:val="lowerLetter"/>
      <w:start w:val="2"/>
    </w:lvl>
  </w:abstractNum>
  <w:abstractNum w:abstractNumId="157">
    <w:nsid w:val="4E0B9A87"/>
    <w:multiLevelType w:val="hybridMultilevel"/>
    <w:lvl w:ilvl="0">
      <w:lvlJc w:val="left"/>
      <w:lvlText w:val="(%1)"/>
      <w:numFmt w:val="lowerLetter"/>
      <w:start w:val="9"/>
    </w:lvl>
    <w:lvl w:ilvl="1">
      <w:lvlJc w:val="left"/>
      <w:lvlText w:val="(%2)"/>
      <w:numFmt w:val="lowerLetter"/>
      <w:start w:val="3"/>
    </w:lvl>
  </w:abstractNum>
  <w:abstractNum w:abstractNumId="158">
    <w:nsid w:val="434BAE75"/>
    <w:multiLevelType w:val="hybridMultilevel"/>
    <w:lvl w:ilvl="0">
      <w:lvlJc w:val="left"/>
      <w:lvlText w:val="%1"/>
      <w:numFmt w:val="lowerLetter"/>
      <w:start w:val="1"/>
    </w:lvl>
    <w:lvl w:ilvl="1">
      <w:lvlJc w:val="left"/>
      <w:lvlText w:val="(%2)"/>
      <w:numFmt w:val="lowerLetter"/>
      <w:start w:val="5"/>
    </w:lvl>
  </w:abstractNum>
  <w:abstractNum w:abstractNumId="159">
    <w:nsid w:val="4F38F265"/>
    <w:multiLevelType w:val="hybridMultilevel"/>
    <w:lvl w:ilvl="0">
      <w:lvlJc w:val="left"/>
      <w:lvlText w:val="(%1)"/>
      <w:numFmt w:val="lowerLetter"/>
      <w:start w:val="35"/>
    </w:lvl>
    <w:lvl w:ilvl="1">
      <w:lvlJc w:val="left"/>
      <w:lvlText w:val="(%2)"/>
      <w:numFmt w:val="lowerLetter"/>
      <w:start w:val="6"/>
    </w:lvl>
  </w:abstractNum>
  <w:abstractNum w:abstractNumId="160">
    <w:nsid w:val="4C502870"/>
    <w:multiLevelType w:val="hybridMultilevel"/>
    <w:lvl w:ilvl="0">
      <w:lvlJc w:val="left"/>
      <w:lvlText w:val="(%1)"/>
      <w:numFmt w:val="lowerLetter"/>
      <w:start w:val="10"/>
    </w:lvl>
  </w:abstractNum>
  <w:abstractNum w:abstractNumId="161">
    <w:nsid w:val="1DE8725A"/>
    <w:multiLevelType w:val="hybridMultilevel"/>
    <w:lvl w:ilvl="0">
      <w:lvlJc w:val="left"/>
      <w:lvlText w:val="%1"/>
      <w:numFmt w:val="lowerRoman"/>
      <w:start w:val="1"/>
    </w:lvl>
    <w:lvl w:ilvl="1">
      <w:lvlJc w:val="left"/>
      <w:lvlText w:val="(%2)"/>
      <w:numFmt w:val="lowerLetter"/>
      <w:start w:val="16"/>
    </w:lvl>
  </w:abstractNum>
  <w:abstractNum w:abstractNumId="162">
    <w:nsid w:val="6A37288A"/>
    <w:multiLevelType w:val="hybridMultilevel"/>
    <w:lvl w:ilvl="0">
      <w:lvlJc w:val="left"/>
      <w:lvlText w:val="(%1)"/>
      <w:numFmt w:val="lowerRoman"/>
      <w:start w:val="3"/>
    </w:lvl>
    <w:lvl w:ilvl="1">
      <w:lvlJc w:val="left"/>
      <w:lvlText w:val="%2"/>
      <w:numFmt w:val="lowerLetter"/>
      <w:start w:val="1"/>
    </w:lvl>
  </w:abstractNum>
  <w:abstractNum w:abstractNumId="163">
    <w:nsid w:val="8F8B73F"/>
    <w:multiLevelType w:val="hybridMultilevel"/>
    <w:lvl w:ilvl="0">
      <w:lvlJc w:val="left"/>
      <w:lvlText w:val="(%1)"/>
      <w:numFmt w:val="lowerLetter"/>
      <w:start w:val="20"/>
    </w:lvl>
  </w:abstractNum>
  <w:abstractNum w:abstractNumId="164">
    <w:nsid w:val="CA6B462"/>
    <w:multiLevelType w:val="hybridMultilevel"/>
    <w:lvl w:ilvl="0">
      <w:lvlJc w:val="left"/>
      <w:lvlText w:val="(%1)"/>
      <w:numFmt w:val="lowerLetter"/>
      <w:start w:val="25"/>
    </w:lvl>
  </w:abstractNum>
  <w:abstractNum w:abstractNumId="165">
    <w:nsid w:val="763CB680"/>
    <w:multiLevelType w:val="hybridMultilevel"/>
    <w:lvl w:ilvl="0">
      <w:lvlJc w:val="left"/>
      <w:lvlText w:val="(%1)"/>
      <w:numFmt w:val="lowerLetter"/>
      <w:start w:val="27"/>
    </w:lvl>
  </w:abstractNum>
  <w:abstractNum w:abstractNumId="166">
    <w:nsid w:val="15B71329"/>
    <w:multiLevelType w:val="hybridMultilevel"/>
    <w:lvl w:ilvl="0">
      <w:lvlJc w:val="left"/>
      <w:lvlText w:val="(%1)"/>
      <w:numFmt w:val="lowerLetter"/>
      <w:start w:val="32"/>
    </w:lvl>
    <w:lvl w:ilvl="1">
      <w:lvlJc w:val="left"/>
      <w:lvlText w:val="(%2)"/>
      <w:numFmt w:val="lowerRoman"/>
      <w:start w:val="1"/>
    </w:lvl>
  </w:abstractNum>
  <w:abstractNum w:abstractNumId="167">
    <w:nsid w:val="3DA97044"/>
    <w:multiLevelType w:val="hybridMultilevel"/>
    <w:lvl w:ilvl="0">
      <w:lvlJc w:val="left"/>
      <w:lvlText w:val="(%1)"/>
      <w:numFmt w:val="lowerLetter"/>
      <w:start w:val="36"/>
    </w:lvl>
  </w:abstractNum>
  <w:abstractNum w:abstractNumId="168">
    <w:nsid w:val="1CDCE2DE"/>
    <w:multiLevelType w:val="hybridMultilevel"/>
    <w:lvl w:ilvl="0">
      <w:lvlJc w:val="left"/>
      <w:lvlText w:val="%1"/>
      <w:numFmt w:val="decimal"/>
      <w:start w:val="1"/>
    </w:lvl>
    <w:lvl w:ilvl="1">
      <w:lvlJc w:val="left"/>
      <w:lvlText w:val="(%2)"/>
      <w:numFmt w:val="lowerLetter"/>
      <w:start w:val="40"/>
    </w:lvl>
  </w:abstractNum>
  <w:abstractNum w:abstractNumId="169">
    <w:nsid w:val="69D3947C"/>
    <w:multiLevelType w:val="hybridMultilevel"/>
    <w:lvl w:ilvl="0">
      <w:lvlJc w:val="left"/>
      <w:lvlText w:val="%1."/>
      <w:numFmt w:val="decimal"/>
      <w:start w:val="3"/>
    </w:lvl>
    <w:lvl w:ilvl="1">
      <w:lvlJc w:val="left"/>
      <w:lvlText w:val="%2"/>
      <w:numFmt w:val="lowerLetter"/>
      <w:start w:val="1"/>
    </w:lvl>
  </w:abstractNum>
  <w:abstractNum w:abstractNumId="170">
    <w:nsid w:val="2539DFA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1">
    <w:nsid w:val="2DB88089"/>
    <w:multiLevelType w:val="hybridMultilevel"/>
    <w:lvl w:ilvl="0">
      <w:lvlJc w:val="left"/>
      <w:lvlText w:val="(%1)"/>
      <w:numFmt w:val="lowerRoman"/>
      <w:start w:val="1"/>
    </w:lvl>
  </w:abstractNum>
  <w:abstractNum w:abstractNumId="172">
    <w:nsid w:val="706B674E"/>
    <w:multiLevelType w:val="hybridMultilevel"/>
    <w:lvl w:ilvl="0">
      <w:lvlJc w:val="left"/>
      <w:lvlText w:val="(%1)"/>
      <w:numFmt w:val="lowerLetter"/>
      <w:start w:val="4"/>
    </w:lvl>
  </w:abstractNum>
  <w:abstractNum w:abstractNumId="173">
    <w:nsid w:val="2C106A57"/>
    <w:multiLevelType w:val="hybridMultilevel"/>
    <w:lvl w:ilvl="0">
      <w:lvlJc w:val="left"/>
      <w:lvlText w:val="(%1)"/>
      <w:numFmt w:val="lowerRoman"/>
      <w:start w:val="1"/>
    </w:lvl>
  </w:abstractNum>
  <w:abstractNum w:abstractNumId="174">
    <w:nsid w:val="684EED59"/>
    <w:multiLevelType w:val="hybridMultilevel"/>
    <w:lvl w:ilvl="0">
      <w:lvlJc w:val="left"/>
      <w:lvlText w:val="(%1)"/>
      <w:numFmt w:val="lowerLetter"/>
      <w:start w:val="5"/>
    </w:lvl>
    <w:lvl w:ilvl="1">
      <w:lvlJc w:val="left"/>
      <w:lvlText w:val="(%2)"/>
      <w:numFmt w:val="lowerLetter"/>
      <w:start w:val="9"/>
    </w:lvl>
  </w:abstractNum>
  <w:abstractNum w:abstractNumId="175">
    <w:nsid w:val="545EE5D3"/>
    <w:multiLevelType w:val="hybridMultilevel"/>
    <w:lvl w:ilvl="0">
      <w:lvlJc w:val="left"/>
      <w:lvlText w:val="(%1)"/>
      <w:numFmt w:val="lowerRoman"/>
      <w:start w:val="2"/>
    </w:lvl>
  </w:abstractNum>
  <w:abstractNum w:abstractNumId="176">
    <w:nsid w:val="4A66051"/>
    <w:multiLevelType w:val="hybridMultilevel"/>
    <w:lvl w:ilvl="0">
      <w:lvlJc w:val="left"/>
      <w:lvlText w:val="%1."/>
      <w:numFmt w:val="decimal"/>
      <w:start w:val="5"/>
    </w:lvl>
    <w:lvl w:ilvl="1">
      <w:lvlJc w:val="left"/>
      <w:lvlText w:val="(%2)"/>
      <w:numFmt w:val="lowerLetter"/>
      <w:start w:val="1"/>
    </w:lvl>
  </w:abstractNum>
  <w:abstractNum w:abstractNumId="177">
    <w:nsid w:val="20F4BDAD"/>
    <w:multiLevelType w:val="hybridMultilevel"/>
    <w:lvl w:ilvl="0">
      <w:lvlJc w:val="left"/>
      <w:lvlText w:val="%1"/>
      <w:numFmt w:val="lowerLetter"/>
      <w:start w:val="1"/>
    </w:lvl>
    <w:lvl w:ilvl="1">
      <w:lvlJc w:val="left"/>
      <w:lvlText w:val="(%2)"/>
      <w:numFmt w:val="lowerRoman"/>
      <w:start w:val="1"/>
    </w:lvl>
  </w:abstractNum>
  <w:abstractNum w:abstractNumId="178">
    <w:nsid w:val="639DEFAC"/>
    <w:multiLevelType w:val="hybridMultilevel"/>
    <w:lvl w:ilvl="0">
      <w:lvlJc w:val="left"/>
      <w:lvlText w:val="(%1)"/>
      <w:numFmt w:val="lowerLetter"/>
      <w:start w:val="3"/>
    </w:lvl>
    <w:lvl w:ilvl="1">
      <w:lvlJc w:val="left"/>
      <w:lvlText w:val="(%2)"/>
      <w:numFmt w:val="lowerRoman"/>
      <w:start w:val="1"/>
    </w:lvl>
  </w:abstractNum>
  <w:abstractNum w:abstractNumId="179">
    <w:nsid w:val="501F9786"/>
    <w:multiLevelType w:val="hybridMultilevel"/>
    <w:lvl w:ilvl="0">
      <w:lvlJc w:val="left"/>
      <w:lvlText w:val="(%1)"/>
      <w:numFmt w:val="lowerRoman"/>
      <w:start w:val="3"/>
    </w:lvl>
  </w:abstractNum>
  <w:abstractNum w:abstractNumId="180">
    <w:nsid w:val="6B057295"/>
    <w:multiLevelType w:val="hybridMultilevel"/>
    <w:lvl w:ilvl="0">
      <w:lvlJc w:val="left"/>
      <w:lvlText w:val="%1"/>
      <w:numFmt w:val="lowerLetter"/>
      <w:start w:val="1"/>
    </w:lvl>
    <w:lvl w:ilvl="1">
      <w:lvlJc w:val="left"/>
      <w:lvlText w:val="(%2)"/>
      <w:numFmt w:val="lowerRoman"/>
      <w:start w:val="4"/>
    </w:lvl>
  </w:abstractNum>
  <w:abstractNum w:abstractNumId="181">
    <w:nsid w:val="2771AC80"/>
    <w:multiLevelType w:val="hybridMultilevel"/>
    <w:lvl w:ilvl="0">
      <w:lvlJc w:val="left"/>
      <w:lvlText w:val="(%1)"/>
      <w:numFmt w:val="lowerLetter"/>
      <w:start w:val="4"/>
    </w:lvl>
    <w:lvl w:ilvl="1">
      <w:lvlJc w:val="left"/>
      <w:lvlText w:val="(%2)"/>
      <w:numFmt w:val="lowerRoman"/>
      <w:start w:val="1"/>
    </w:lvl>
  </w:abstractNum>
  <w:abstractNum w:abstractNumId="182">
    <w:nsid w:val="1C4A08EC"/>
    <w:multiLevelType w:val="hybridMultilevel"/>
    <w:lvl w:ilvl="0">
      <w:lvlJc w:val="left"/>
      <w:lvlText w:val="%1"/>
      <w:numFmt w:val="decimal"/>
      <w:start w:val="1"/>
    </w:lvl>
    <w:lvl w:ilvl="1">
      <w:lvlJc w:val="left"/>
      <w:lvlText w:val="(%2)"/>
      <w:numFmt w:val="lowerLetter"/>
      <w:start w:val="6"/>
    </w:lvl>
  </w:abstractNum>
  <w:abstractNum w:abstractNumId="183">
    <w:nsid w:val="1958BD17"/>
    <w:multiLevelType w:val="hybridMultilevel"/>
    <w:lvl w:ilvl="0">
      <w:lvlJc w:val="left"/>
      <w:lvlText w:val="%1."/>
      <w:numFmt w:val="decimal"/>
      <w:start w:val="6"/>
    </w:lvl>
    <w:lvl w:ilvl="1">
      <w:lvlJc w:val="left"/>
      <w:lvlText w:val="%2"/>
      <w:numFmt w:val="lowerLetter"/>
      <w:start w:val="1"/>
    </w:lvl>
  </w:abstractNum>
  <w:abstractNum w:abstractNumId="184">
    <w:nsid w:val="4E647FE4"/>
    <w:multiLevelType w:val="hybridMultilevel"/>
    <w:lvl w:ilvl="0">
      <w:lvlJc w:val="left"/>
      <w:lvlText w:val="%1."/>
      <w:numFmt w:val="decimal"/>
      <w:start w:val="7"/>
    </w:lvl>
    <w:lvl w:ilvl="1">
      <w:lvlJc w:val="left"/>
      <w:lvlText w:val="(%2)"/>
      <w:numFmt w:val="lowerLetter"/>
      <w:start w:val="1"/>
    </w:lvl>
  </w:abstractNum>
  <w:abstractNum w:abstractNumId="185">
    <w:nsid w:val="E0BB885"/>
    <w:multiLevelType w:val="hybridMultilevel"/>
    <w:lvl w:ilvl="0">
      <w:lvlJc w:val="left"/>
      <w:lvlText w:val="(%1)"/>
      <w:numFmt w:val="lowerLetter"/>
      <w:start w:val="4"/>
    </w:lvl>
  </w:abstractNum>
  <w:abstractNum w:abstractNumId="186">
    <w:nsid w:val="565976F1"/>
    <w:multiLevelType w:val="hybridMultilevel"/>
    <w:lvl w:ilvl="0">
      <w:lvlJc w:val="left"/>
      <w:lvlText w:val="(%1)"/>
      <w:numFmt w:val="lowerLetter"/>
      <w:start w:val="9"/>
    </w:lvl>
  </w:abstractNum>
  <w:abstractNum w:abstractNumId="187">
    <w:nsid w:val="64212B8C"/>
    <w:multiLevelType w:val="hybridMultilevel"/>
    <w:lvl w:ilvl="0">
      <w:lvlJc w:val="left"/>
      <w:lvlText w:val="(%1)"/>
      <w:numFmt w:val="lowerRoman"/>
      <w:start w:val="6"/>
    </w:lvl>
  </w:abstractNum>
  <w:abstractNum w:abstractNumId="188">
    <w:nsid w:val="5C17530C"/>
    <w:multiLevelType w:val="hybridMultilevel"/>
    <w:lvl w:ilvl="0">
      <w:lvlJc w:val="left"/>
      <w:lvlText w:val="%1"/>
      <w:numFmt w:val="decimal"/>
      <w:start w:val="1"/>
    </w:lvl>
    <w:lvl w:ilvl="1">
      <w:lvlJc w:val="left"/>
      <w:lvlText w:val="(%2)"/>
      <w:numFmt w:val="lowerLetter"/>
      <w:start w:val="12"/>
    </w:lvl>
  </w:abstractNum>
  <w:abstractNum w:abstractNumId="189">
    <w:nsid w:val="19A52566"/>
    <w:multiLevelType w:val="hybridMultilevel"/>
    <w:lvl w:ilvl="0">
      <w:lvlJc w:val="left"/>
      <w:lvlText w:val="%1."/>
      <w:numFmt w:val="decimal"/>
      <w:start w:val="8"/>
    </w:lvl>
    <w:lvl w:ilvl="1">
      <w:lvlJc w:val="left"/>
      <w:lvlText w:val="%2"/>
      <w:numFmt w:val="lowerLetter"/>
      <w:start w:val="1"/>
    </w:lvl>
  </w:abstractNum>
  <w:abstractNum w:abstractNumId="190">
    <w:nsid w:val="335A1DF1"/>
    <w:multiLevelType w:val="hybridMultilevel"/>
    <w:lvl w:ilvl="0">
      <w:lvlJc w:val="left"/>
      <w:lvlText w:val="%1."/>
      <w:numFmt w:val="decimal"/>
      <w:start w:val="9"/>
    </w:lvl>
    <w:lvl w:ilvl="1">
      <w:lvlJc w:val="left"/>
      <w:lvlText w:val="(%2)"/>
      <w:numFmt w:val="lowerLetter"/>
      <w:start w:val="1"/>
    </w:lvl>
  </w:abstractNum>
  <w:abstractNum w:abstractNumId="191">
    <w:nsid w:val="28677B7C"/>
    <w:multiLevelType w:val="hybridMultilevel"/>
    <w:lvl w:ilvl="0">
      <w:lvlJc w:val="left"/>
      <w:lvlText w:val="(%1)"/>
      <w:numFmt w:val="lowerLetter"/>
      <w:start w:val="6"/>
    </w:lvl>
  </w:abstractNum>
  <w:abstractNum w:abstractNumId="192">
    <w:nsid w:val="378D97C0"/>
    <w:multiLevelType w:val="hybridMultilevel"/>
    <w:lvl w:ilvl="0">
      <w:lvlJc w:val="left"/>
      <w:lvlText w:val="%1."/>
      <w:numFmt w:val="decimal"/>
      <w:start w:val="10"/>
    </w:lvl>
    <w:lvl w:ilvl="1">
      <w:lvlJc w:val="left"/>
      <w:lvlText w:val="(%2)"/>
      <w:numFmt w:val="lowerLetter"/>
      <w:start w:val="1"/>
    </w:lvl>
  </w:abstractNum>
  <w:abstractNum w:abstractNumId="193">
    <w:nsid w:val="1D91467C"/>
    <w:multiLevelType w:val="hybridMultilevel"/>
    <w:lvl w:ilvl="0">
      <w:lvlJc w:val="left"/>
      <w:lvlText w:val="(%1)"/>
      <w:numFmt w:val="lowerLetter"/>
      <w:start w:val="2"/>
    </w:lvl>
  </w:abstractNum>
  <w:abstractNum w:abstractNumId="194">
    <w:nsid w:val="316032BB"/>
    <w:multiLevelType w:val="hybridMultilevel"/>
    <w:lvl w:ilvl="0">
      <w:lvlJc w:val="left"/>
      <w:lvlText w:val="(%1)"/>
      <w:numFmt w:val="lowerLetter"/>
      <w:start w:val="4"/>
    </w:lvl>
  </w:abstractNum>
  <w:abstractNum w:abstractNumId="195">
    <w:nsid w:val="44344C22"/>
    <w:multiLevelType w:val="hybridMultilevel"/>
    <w:lvl w:ilvl="0">
      <w:lvlJc w:val="left"/>
      <w:lvlText w:val="%1."/>
      <w:numFmt w:val="decimal"/>
      <w:start w:val="11"/>
    </w:lvl>
  </w:abstractNum>
  <w:abstractNum w:abstractNumId="196">
    <w:nsid w:val="13CDFCFC"/>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97">
    <w:nsid w:val="471745E4"/>
    <w:multiLevelType w:val="hybridMultilevel"/>
    <w:lvl w:ilvl="0">
      <w:lvlJc w:val="left"/>
      <w:lvlText w:val="(%1)"/>
      <w:numFmt w:val="lowerLetter"/>
      <w:start w:val="3"/>
    </w:lvl>
    <w:lvl w:ilvl="1">
      <w:lvlJc w:val="left"/>
      <w:lvlText w:val="(%2)"/>
      <w:numFmt w:val="lowerRoman"/>
      <w:start w:val="1"/>
    </w:lvl>
  </w:abstractNum>
  <w:abstractNum w:abstractNumId="198">
    <w:nsid w:val="1DDBC66"/>
    <w:multiLevelType w:val="hybridMultilevel"/>
    <w:lvl w:ilvl="0">
      <w:lvlJc w:val="left"/>
      <w:lvlText w:val="(%1)"/>
      <w:numFmt w:val="lowerRoman"/>
      <w:start w:val="3"/>
    </w:lvl>
  </w:abstractNum>
  <w:abstractNum w:abstractNumId="199">
    <w:nsid w:val="30AADFD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00">
    <w:nsid w:val="30EADA6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01">
    <w:nsid w:val="27179C0B"/>
    <w:multiLevelType w:val="hybridMultilevel"/>
    <w:lvl w:ilvl="0">
      <w:lvlJc w:val="left"/>
      <w:lvlText w:val="%1"/>
      <w:numFmt w:val="decimal"/>
      <w:start w:val="1"/>
    </w:lvl>
    <w:lvl w:ilvl="1">
      <w:lvlJc w:val="left"/>
      <w:lvlText w:val="(%2)"/>
      <w:numFmt w:val="lowerLetter"/>
      <w:start w:val="3"/>
    </w:lvl>
  </w:abstractNum>
  <w:abstractNum w:abstractNumId="202">
    <w:nsid w:val="5E636063"/>
    <w:multiLevelType w:val="hybridMultilevel"/>
    <w:lvl w:ilvl="0">
      <w:lvlJc w:val="left"/>
      <w:lvlText w:val="%1."/>
      <w:numFmt w:val="decimal"/>
      <w:start w:val="20"/>
    </w:lvl>
    <w:lvl w:ilvl="1">
      <w:lvlJc w:val="left"/>
      <w:lvlText w:val="%2"/>
      <w:numFmt w:val="lowerLetter"/>
      <w:start w:val="1"/>
    </w:lvl>
  </w:abstractNum>
  <w:abstractNum w:abstractNumId="203">
    <w:nsid w:val="215641AF"/>
    <w:multiLevelType w:val="hybridMultilevel"/>
    <w:lvl w:ilvl="0">
      <w:lvlJc w:val="left"/>
      <w:lvlText w:val="%1."/>
      <w:numFmt w:val="decimal"/>
      <w:start w:val="21"/>
    </w:lvl>
  </w:abstractNum>
  <w:abstractNum w:abstractNumId="204">
    <w:nsid w:val="53280662"/>
    <w:multiLevelType w:val="hybridMultilevel"/>
    <w:lvl w:ilvl="0">
      <w:lvlJc w:val="left"/>
      <w:lvlText w:val="%1."/>
      <w:numFmt w:val="decimal"/>
      <w:start w:val="1"/>
    </w:lvl>
    <w:lvl w:ilvl="1">
      <w:lvlJc w:val="left"/>
      <w:lvlText w:val="%2."/>
      <w:numFmt w:val="decimal"/>
      <w:start w:val="1"/>
    </w:lvl>
  </w:abstractNum>
  <w:abstractNum w:abstractNumId="205">
    <w:nsid w:val="46B24DBC"/>
    <w:multiLevelType w:val="hybridMultilevel"/>
    <w:lvl w:ilvl="0">
      <w:lvlJc w:val="left"/>
      <w:lvlText w:val="%1"/>
      <w:numFmt w:val="decimal"/>
      <w:start w:val="1"/>
    </w:lvl>
    <w:lvl w:ilvl="1">
      <w:lvlJc w:val="left"/>
      <w:lvlText w:val="%2."/>
      <w:numFmt w:val="decimal"/>
      <w:start w:val="2"/>
    </w:lvl>
  </w:abstractNum>
  <w:abstractNum w:abstractNumId="206">
    <w:nsid w:val="75B52783"/>
    <w:multiLevelType w:val="hybridMultilevel"/>
    <w:lvl w:ilvl="0">
      <w:lvlJc w:val="left"/>
      <w:lvlText w:val="(%1)"/>
      <w:numFmt w:val="lowerLetter"/>
      <w:start w:val="1"/>
    </w:lvl>
  </w:abstractNum>
  <w:abstractNum w:abstractNumId="207">
    <w:nsid w:val="57CE66B4"/>
    <w:multiLevelType w:val="hybridMultilevel"/>
    <w:lvl w:ilvl="0">
      <w:lvlJc w:val="left"/>
      <w:lvlText w:val="(%1)"/>
      <w:numFmt w:val="lowerLetter"/>
      <w:start w:val="2"/>
    </w:lvl>
    <w:lvl w:ilvl="1">
      <w:lvlJc w:val="left"/>
      <w:lvlText w:val="(%2)"/>
      <w:numFmt w:val="lowerRoman"/>
      <w:start w:val="1"/>
    </w:lvl>
  </w:abstractNum>
  <w:abstractNum w:abstractNumId="208">
    <w:nsid w:val="67A70B69"/>
    <w:multiLevelType w:val="hybridMultilevel"/>
    <w:lvl w:ilvl="0">
      <w:lvlJc w:val="left"/>
      <w:lvlText w:val="(%1)"/>
      <w:numFmt w:val="lowerLetter"/>
      <w:start w:val="4"/>
    </w:lvl>
  </w:abstractNum>
  <w:abstractNum w:abstractNumId="209">
    <w:nsid w:val="5953172F"/>
    <w:multiLevelType w:val="hybridMultilevel"/>
    <w:lvl w:ilvl="0">
      <w:lvlJc w:val="left"/>
      <w:lvlText w:val="1"/>
      <w:numFmt w:val="bullet"/>
      <w:start w:val="1"/>
    </w:lvl>
  </w:abstractNum>
  <w:abstractNum w:abstractNumId="210">
    <w:nsid w:val="27EDFE3A"/>
    <w:multiLevelType w:val="hybridMultilevel"/>
    <w:lvl w:ilvl="0">
      <w:lvlJc w:val="left"/>
      <w:lvlText w:val="(%1)"/>
      <w:numFmt w:val="lowerRoman"/>
      <w:start w:val="2"/>
    </w:lvl>
  </w:abstractNum>
  <w:abstractNum w:abstractNumId="211">
    <w:nsid w:val="52AC7DFF"/>
    <w:multiLevelType w:val="hybridMultilevel"/>
    <w:lvl w:ilvl="0">
      <w:lvlJc w:val="left"/>
      <w:lvlText w:val="%1)"/>
      <w:numFmt w:val="lowerLetter"/>
      <w:start w:val="1"/>
    </w:lvl>
  </w:abstractNum>
  <w:abstractNum w:abstractNumId="212">
    <w:nsid w:val="C4C3AF"/>
    <w:multiLevelType w:val="hybridMultilevel"/>
    <w:lvl w:ilvl="0">
      <w:lvlJc w:val="left"/>
      <w:lvlText w:val="(%1)"/>
      <w:numFmt w:val="lowerLetter"/>
      <w:start w:val="2"/>
    </w:lvl>
  </w:abstractNum>
  <w:abstractNum w:abstractNumId="213">
    <w:nsid w:val="44380727"/>
    <w:multiLevelType w:val="hybridMultilevel"/>
    <w:lvl w:ilvl="0">
      <w:lvlJc w:val="left"/>
      <w:lvlText w:val="(%1)"/>
      <w:numFmt w:val="lowerRoman"/>
      <w:start w:val="1"/>
    </w:lvl>
  </w:abstractNum>
  <w:abstractNum w:abstractNumId="214">
    <w:nsid w:val="6C053B16"/>
    <w:multiLevelType w:val="hybridMultilevel"/>
    <w:lvl w:ilvl="0">
      <w:lvlJc w:val="left"/>
      <w:lvlText w:val="(%1)"/>
      <w:numFmt w:val="lowerRoman"/>
      <w:start w:val="4"/>
    </w:lvl>
  </w:abstractNum>
  <w:abstractNum w:abstractNumId="215">
    <w:nsid w:val="4F294393"/>
    <w:multiLevelType w:val="hybridMultilevel"/>
    <w:lvl w:ilvl="0">
      <w:lvlJc w:val="left"/>
      <w:lvlText w:val="(%1)"/>
      <w:numFmt w:val="lowerLetter"/>
      <w:start w:val="1"/>
    </w:lvl>
  </w:abstractNum>
  <w:abstractNum w:abstractNumId="216">
    <w:nsid w:val="5243BFAC"/>
    <w:multiLevelType w:val="hybridMultilevel"/>
    <w:lvl w:ilvl="0">
      <w:lvlJc w:val="left"/>
      <w:lvlText w:val="(%1)"/>
      <w:numFmt w:val="lowerLetter"/>
      <w:start w:val="1"/>
    </w:lvl>
  </w:abstractNum>
  <w:abstractNum w:abstractNumId="217">
    <w:nsid w:val="425EB207"/>
    <w:multiLevelType w:val="hybridMultilevel"/>
    <w:lvl w:ilvl="0">
      <w:lvlJc w:val="left"/>
      <w:lvlText w:val="%1"/>
      <w:numFmt w:val="lowerRoman"/>
      <w:start w:val="1"/>
    </w:lvl>
    <w:lvl w:ilvl="1">
      <w:lvlJc w:val="left"/>
      <w:lvlText w:val="(%2)"/>
      <w:numFmt w:val="lowerLetter"/>
      <w:start w:val="3"/>
    </w:lvl>
  </w:abstractNum>
  <w:abstractNum w:abstractNumId="218">
    <w:nsid w:val="334A6F1F"/>
    <w:multiLevelType w:val="hybridMultilevel"/>
    <w:lvl w:ilvl="0">
      <w:lvlJc w:val="left"/>
      <w:lvlText w:val="(%1)"/>
      <w:numFmt w:val="lowerRoman"/>
      <w:start w:val="1"/>
    </w:lvl>
    <w:lvl w:ilvl="1">
      <w:lvlJc w:val="left"/>
      <w:lvlText w:val="(%2)"/>
      <w:numFmt w:val="lowerLetter"/>
      <w:start w:val="4"/>
    </w:lvl>
  </w:abstractNum>
  <w:abstractNum w:abstractNumId="219">
    <w:nsid w:val="2E5B12B8"/>
    <w:multiLevelType w:val="hybridMultilevel"/>
    <w:lvl w:ilvl="0">
      <w:lvlJc w:val="left"/>
      <w:lvlText w:val="(%1)"/>
      <w:numFmt w:val="lowerRoman"/>
      <w:start w:val="1"/>
    </w:lvl>
  </w:abstractNum>
  <w:abstractNum w:abstractNumId="220">
    <w:nsid w:val="5C03D76D"/>
    <w:multiLevelType w:val="hybridMultilevel"/>
    <w:lvl w:ilvl="0">
      <w:lvlJc w:val="left"/>
      <w:lvlText w:val="(%1)"/>
      <w:numFmt w:val="lowerRoman"/>
      <w:start w:val="3"/>
    </w:lvl>
  </w:abstractNum>
  <w:abstractNum w:abstractNumId="221">
    <w:nsid w:val="66A48D11"/>
    <w:multiLevelType w:val="hybridMultilevel"/>
    <w:lvl w:ilvl="0">
      <w:lvlJc w:val="left"/>
      <w:lvlText w:val="(%1)"/>
      <w:numFmt w:val="lowerRoman"/>
      <w:start w:val="3"/>
    </w:lvl>
  </w:abstractNum>
  <w:abstractNum w:abstractNumId="222">
    <w:nsid w:val="56C28E34"/>
    <w:multiLevelType w:val="hybridMultilevel"/>
    <w:lvl w:ilvl="0">
      <w:lvlJc w:val="left"/>
      <w:lvlText w:val="(%1)"/>
      <w:numFmt w:val="lowerLetter"/>
      <w:start w:val="1"/>
    </w:lvl>
  </w:abstractNum>
  <w:abstractNum w:abstractNumId="223">
    <w:nsid w:val="13916F2D"/>
    <w:multiLevelType w:val="hybridMultilevel"/>
    <w:lvl w:ilvl="0">
      <w:lvlJc w:val="left"/>
      <w:lvlText w:val="(%1)"/>
      <w:numFmt w:val="lowerRoman"/>
      <w:start w:val="3"/>
    </w:lvl>
  </w:abstractNum>
  <w:abstractNum w:abstractNumId="224">
    <w:nsid w:val="435D38D"/>
    <w:multiLevelType w:val="hybridMultilevel"/>
    <w:lvl w:ilvl="0">
      <w:lvlJc w:val="left"/>
      <w:lvlText w:val="(%1)"/>
      <w:numFmt w:val="lowerLetter"/>
      <w:start w:val="1"/>
    </w:lvl>
    <w:lvl w:ilvl="1">
      <w:lvlJc w:val="left"/>
      <w:lvlText w:val="(%2)"/>
      <w:numFmt w:val="lowerRoman"/>
      <w:start w:val="1"/>
    </w:lvl>
  </w:abstractNum>
  <w:abstractNum w:abstractNumId="225">
    <w:nsid w:val="822C0EF"/>
    <w:multiLevelType w:val="hybridMultilevel"/>
    <w:lvl w:ilvl="0">
      <w:lvlJc w:val="left"/>
      <w:lvlText w:val="(%1)"/>
      <w:numFmt w:val="lowerLetter"/>
      <w:start w:val="1"/>
    </w:lvl>
  </w:abstractNum>
  <w:abstractNum w:abstractNumId="226">
    <w:nsid w:val="57C5BB4F"/>
    <w:multiLevelType w:val="hybridMultilevel"/>
    <w:lvl w:ilvl="0">
      <w:lvlJc w:val="left"/>
      <w:lvlText w:val="(%1)"/>
      <w:numFmt w:val="lowerLetter"/>
      <w:start w:val="3"/>
    </w:lvl>
  </w:abstractNum>
  <w:abstractNum w:abstractNumId="227">
    <w:nsid w:val="1803D089"/>
    <w:multiLevelType w:val="hybridMultilevel"/>
    <w:lvl w:ilvl="0">
      <w:lvlJc w:val="left"/>
      <w:lvlText w:val="(%1)"/>
      <w:numFmt w:val="lowerLetter"/>
      <w:start w:val="2"/>
    </w:lvl>
  </w:abstractNum>
  <w:abstractNum w:abstractNumId="228">
    <w:nsid w:val="4F3A06D4"/>
    <w:multiLevelType w:val="hybridMultilevel"/>
    <w:lvl w:ilvl="0">
      <w:lvlJc w:val="left"/>
      <w:lvlText w:val="(%1)"/>
      <w:numFmt w:val="lowerLetter"/>
      <w:start w:val="1"/>
    </w:lvl>
  </w:abstractNum>
  <w:abstractNum w:abstractNumId="229">
    <w:nsid w:val="59A377B6"/>
    <w:multiLevelType w:val="hybridMultilevel"/>
    <w:lvl w:ilvl="0">
      <w:lvlJc w:val="left"/>
      <w:lvlText w:val="(%1)"/>
      <w:numFmt w:val="lowerLetter"/>
      <w:start w:val="1"/>
    </w:lvl>
  </w:abstractNum>
  <w:abstractNum w:abstractNumId="230">
    <w:nsid w:val="48AEB063"/>
    <w:multiLevelType w:val="hybridMultilevel"/>
    <w:lvl w:ilvl="0">
      <w:lvlJc w:val="left"/>
      <w:lvlText w:val="(%1)"/>
      <w:numFmt w:val="lowerLetter"/>
      <w:start w:val="1"/>
    </w:lvl>
  </w:abstractNum>
  <w:abstractNum w:abstractNumId="231">
    <w:nsid w:val="24E135"/>
    <w:multiLevelType w:val="hybridMultilevel"/>
    <w:lvl w:ilvl="0">
      <w:lvlJc w:val="left"/>
      <w:lvlText w:val="(%1)"/>
      <w:numFmt w:val="lowerLetter"/>
      <w:start w:val="1"/>
    </w:lvl>
  </w:abstractNum>
  <w:abstractNum w:abstractNumId="232">
    <w:nsid w:val="BB13C1"/>
    <w:multiLevelType w:val="hybridMultilevel"/>
    <w:lvl w:ilvl="0">
      <w:lvlJc w:val="left"/>
      <w:lvlText w:val="(%1)"/>
      <w:numFmt w:val="lowerLetter"/>
      <w:start w:val="2"/>
    </w:lvl>
  </w:abstractNum>
  <w:abstractNum w:abstractNumId="233">
    <w:nsid w:val="271210C7"/>
    <w:multiLevelType w:val="hybridMultilevel"/>
    <w:lvl w:ilvl="0">
      <w:lvlJc w:val="left"/>
      <w:lvlText w:val="(%1)"/>
      <w:numFmt w:val="lowerRoman"/>
      <w:start w:val="1"/>
    </w:lvl>
  </w:abstractNum>
  <w:abstractNum w:abstractNumId="234">
    <w:nsid w:val="217B22E4"/>
    <w:multiLevelType w:val="hybridMultilevel"/>
    <w:lvl w:ilvl="0">
      <w:lvlJc w:val="left"/>
      <w:lvlText w:val="(%1)"/>
      <w:numFmt w:val="lowerRoman"/>
      <w:start w:val="3"/>
    </w:lvl>
  </w:abstractNum>
  <w:abstractNum w:abstractNumId="235">
    <w:nsid w:val="53E31A24"/>
    <w:multiLevelType w:val="hybridMultilevel"/>
    <w:lvl w:ilvl="0">
      <w:lvlJc w:val="left"/>
      <w:lvlText w:val="(%1)"/>
      <w:numFmt w:val="lowerRoman"/>
      <w:start w:val="1"/>
    </w:lvl>
  </w:abstractNum>
  <w:abstractNum w:abstractNumId="236">
    <w:nsid w:val="6DC45E83"/>
    <w:multiLevelType w:val="hybridMultilevel"/>
    <w:lvl w:ilvl="0">
      <w:lvlJc w:val="left"/>
      <w:lvlText w:val="(%1)"/>
      <w:numFmt w:val="lowerRoman"/>
      <w:start w:val="4"/>
    </w:lvl>
  </w:abstractNum>
  <w:abstractNum w:abstractNumId="237">
    <w:nsid w:val="17304A67"/>
    <w:multiLevelType w:val="hybridMultilevel"/>
    <w:lvl w:ilvl="0">
      <w:lvlJc w:val="left"/>
      <w:lvlText w:val="%1)"/>
      <w:numFmt w:val="lowerLetter"/>
      <w:start w:val="1"/>
    </w:lvl>
  </w:abstractNum>
  <w:abstractNum w:abstractNumId="238">
    <w:nsid w:val="2BB180D8"/>
    <w:multiLevelType w:val="hybridMultilevel"/>
    <w:lvl w:ilvl="0">
      <w:lvlJc w:val="left"/>
      <w:lvlText w:val="(%1)"/>
      <w:numFmt w:val="lowerLetter"/>
      <w:start w:val="1"/>
    </w:lvl>
  </w:abstractNum>
  <w:abstractNum w:abstractNumId="239">
    <w:nsid w:val="556B69ED"/>
    <w:multiLevelType w:val="hybridMultilevel"/>
    <w:lvl w:ilvl="0">
      <w:lvlJc w:val="left"/>
      <w:lvlText w:val="(%1)"/>
      <w:numFmt w:val="lowerLetter"/>
      <w:start w:val="3"/>
    </w:lvl>
  </w:abstractNum>
  <w:abstractNum w:abstractNumId="240">
    <w:nsid w:val="70836196"/>
    <w:multiLevelType w:val="hybridMultilevel"/>
    <w:lvl w:ilvl="0">
      <w:lvlJc w:val="left"/>
      <w:lvlText w:val="(%1)"/>
      <w:numFmt w:val="lowerLetter"/>
      <w:start w:val="1"/>
    </w:lvl>
  </w:abstractNum>
  <w:abstractNum w:abstractNumId="241">
    <w:nsid w:val="539F7F12"/>
    <w:multiLevelType w:val="hybridMultilevel"/>
    <w:lvl w:ilvl="0">
      <w:lvlJc w:val="left"/>
      <w:lvlText w:val="(%1)"/>
      <w:numFmt w:val="lowerLetter"/>
      <w:start w:val="2"/>
    </w:lvl>
  </w:abstractNum>
  <w:abstractNum w:abstractNumId="242">
    <w:nsid w:val="2817E7EC"/>
    <w:multiLevelType w:val="hybridMultilevel"/>
    <w:lvl w:ilvl="0">
      <w:lvlJc w:val="left"/>
      <w:lvlText w:val="%1)"/>
      <w:numFmt w:val="decimal"/>
      <w:start w:val="2"/>
    </w:lvl>
  </w:abstractNum>
  <w:abstractNum w:abstractNumId="243">
    <w:nsid w:val="71482545"/>
    <w:multiLevelType w:val="hybridMultilevel"/>
    <w:lvl w:ilvl="0">
      <w:lvlJc w:val="left"/>
      <w:lvlText w:val="(%1)"/>
      <w:numFmt w:val="lowerLetter"/>
      <w:start w:val="1"/>
    </w:lvl>
  </w:abstractNum>
  <w:abstractNum w:abstractNumId="244">
    <w:nsid w:val="17D78639"/>
    <w:multiLevelType w:val="hybridMultilevel"/>
    <w:lvl w:ilvl="0">
      <w:lvlJc w:val="left"/>
      <w:lvlText w:val="(%1)"/>
      <w:numFmt w:val="lowerLetter"/>
      <w:start w:val="3"/>
    </w:lvl>
  </w:abstractNum>
  <w:abstractNum w:abstractNumId="245">
    <w:nsid w:val="141D2302"/>
    <w:multiLevelType w:val="hybridMultilevel"/>
    <w:lvl w:ilvl="0">
      <w:lvlJc w:val="left"/>
      <w:lvlText w:val="(%1)"/>
      <w:numFmt w:val="lowerRoman"/>
      <w:start w:val="4"/>
    </w:lvl>
  </w:abstractNum>
  <w:abstractNum w:abstractNumId="246">
    <w:nsid w:val="407168D8"/>
    <w:multiLevelType w:val="hybridMultilevel"/>
    <w:lvl w:ilvl="0">
      <w:lvlJc w:val="left"/>
      <w:lvlText w:val="(%1)"/>
      <w:numFmt w:val="lowerLetter"/>
      <w:start w:val="1"/>
    </w:lvl>
  </w:abstractNum>
  <w:abstractNum w:abstractNumId="247">
    <w:nsid w:val="6A1B45E5"/>
    <w:multiLevelType w:val="hybridMultilevel"/>
    <w:lvl w:ilvl="0">
      <w:lvlJc w:val="left"/>
      <w:lvlText w:val="(%1)"/>
      <w:numFmt w:val="lowerLetter"/>
      <w:start w:val="1"/>
    </w:lvl>
  </w:abstractNum>
  <w:abstractNum w:abstractNumId="248">
    <w:nsid w:val="567BD50A"/>
    <w:multiLevelType w:val="hybridMultilevel"/>
    <w:lvl w:ilvl="0">
      <w:lvlJc w:val="left"/>
      <w:lvlText w:val="(%1)"/>
      <w:numFmt w:val="lowerRoman"/>
      <w:start w:val="1"/>
    </w:lvl>
  </w:abstractNum>
  <w:abstractNum w:abstractNumId="249">
    <w:nsid w:val="73BBD7F8"/>
    <w:multiLevelType w:val="hybridMultilevel"/>
    <w:lvl w:ilvl="0">
      <w:lvlJc w:val="left"/>
      <w:lvlText w:val="(%1)"/>
      <w:numFmt w:val="lowerLetter"/>
      <w:start w:val="1"/>
    </w:lvl>
  </w:abstractNum>
  <w:abstractNum w:abstractNumId="250">
    <w:nsid w:val="1876589D"/>
    <w:multiLevelType w:val="hybridMultilevel"/>
    <w:lvl w:ilvl="0">
      <w:lvlJc w:val="left"/>
      <w:lvlText w:val="•"/>
      <w:numFmt w:val="bullet"/>
      <w:start w:val="1"/>
    </w:lvl>
  </w:abstractNum>
  <w:abstractNum w:abstractNumId="251">
    <w:nsid w:val="327FAC77"/>
    <w:multiLevelType w:val="hybridMultilevel"/>
    <w:lvl w:ilvl="0">
      <w:lvlJc w:val="left"/>
      <w:lvlText w:val="*"/>
      <w:numFmt w:val="bullet"/>
      <w:start w:val="1"/>
    </w:lvl>
  </w:abstractNum>
  <w:abstractNum w:abstractNumId="252">
    <w:nsid w:val="5A60650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2019-12-09T08:56:48Z</dcterms:created>
  <dcterms:modified xsi:type="dcterms:W3CDTF">2019-12-09T08:56:48Z</dcterms:modified>
</cp:coreProperties>
</file>