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509270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29"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April,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jc w:val="center"/>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608965</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180340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231775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40"/>
          </w:cols>
          <w:pgMar w:left="1220" w:top="980" w:right="1239" w:bottom="1440" w:gutter="0" w:footer="0" w:header="0"/>
        </w:sectPr>
      </w:pPr>
    </w:p>
    <w:bookmarkStart w:id="1" w:name="page2"/>
    <w:bookmarkEnd w:id="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on Form 6-K (excluding Exhibit 99.3 and Exhibit 99.4 herewith)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842010</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30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1003300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9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(Unaudited) (IFRS) as of and for the three months ended March 31,</w:t>
            </w:r>
          </w:p>
        </w:tc>
      </w:tr>
      <w:tr>
        <w:trPr>
          <w:trHeight w:val="183"/>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4"/>
              </w:rPr>
              <w:t>2025</w:t>
            </w:r>
          </w:p>
        </w:tc>
        <w:tc>
          <w:tcPr>
            <w:tcW w:w="216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380" w:type="dxa"/>
            <w:vAlign w:val="bottom"/>
            <w:tcBorders>
              <w:top w:val="single" w:sz="8" w:color="0000EE"/>
            </w:tcBorders>
          </w:tcPr>
          <w:p>
            <w:pPr>
              <w:spacing w:after="0"/>
              <w:rPr>
                <w:sz w:val="15"/>
                <w:szCs w:val="15"/>
                <w:color w:val="auto"/>
              </w:rPr>
            </w:pPr>
          </w:p>
        </w:tc>
        <w:tc>
          <w:tcPr>
            <w:tcW w:w="238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r>
      <w:tr>
        <w:trPr>
          <w:trHeight w:val="209"/>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9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7"/>
                <w:szCs w:val="17"/>
                <w:color w:val="auto"/>
              </w:rPr>
            </w:pPr>
          </w:p>
        </w:tc>
        <w:tc>
          <w:tcPr>
            <w:tcW w:w="6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April 30, 2025</w:t>
            </w:r>
          </w:p>
        </w:tc>
        <w:tc>
          <w:tcPr>
            <w:tcW w:w="25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r>
      <w:tr>
        <w:trPr>
          <w:trHeight w:val="196"/>
        </w:trPr>
        <w:tc>
          <w:tcPr>
            <w:tcW w:w="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200" w:type="dxa"/>
            <w:vAlign w:val="bottom"/>
          </w:tcPr>
          <w:p>
            <w:pPr>
              <w:spacing w:after="0"/>
              <w:rPr>
                <w:sz w:val="17"/>
                <w:szCs w:val="17"/>
                <w:color w:val="auto"/>
              </w:rPr>
            </w:pPr>
          </w:p>
        </w:tc>
        <w:tc>
          <w:tcPr>
            <w:tcW w:w="90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Articles of Association of AC Immune SA</w:t>
            </w:r>
          </w:p>
        </w:tc>
      </w:tr>
      <w:tr>
        <w:trPr>
          <w:trHeight w:val="999"/>
        </w:trPr>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3" w:right="999" w:bottom="1440" w:gutter="0" w:footer="0" w:header="0"/>
        </w:sectPr>
      </w:pPr>
    </w:p>
    <w:bookmarkStart w:id="4" w:name="page5"/>
    <w:bookmarkEnd w:id="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1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Borders>
              <w:bottom w:val="single" w:sz="8" w:color="auto"/>
            </w:tcBorders>
            <w:gridSpan w:val="3"/>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8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gridSpan w:val="2"/>
            <w:vMerge w:val="continue"/>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5920" w:type="dxa"/>
            <w:vAlign w:val="bottom"/>
            <w:gridSpan w:val="2"/>
            <w:vMerge w:val="continue"/>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152,134</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211,082</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0" w:type="dxa"/>
            <w:vAlign w:val="bottom"/>
          </w:tcPr>
          <w:p>
            <w:pPr>
              <w:spacing w:after="0"/>
              <w:rPr>
                <w:sz w:val="1"/>
                <w:szCs w:val="1"/>
                <w:color w:val="auto"/>
              </w:rPr>
            </w:pPr>
          </w:p>
        </w:tc>
      </w:tr>
      <w:tr>
        <w:trPr>
          <w:trHeight w:val="24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94,798</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99,246</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116,284</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211,082</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for per-share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40" w:type="dxa"/>
            <w:vAlign w:val="bottom"/>
            <w:gridSpan w:val="2"/>
            <w:vMerge w:val="continue"/>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(19,370)</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410"/>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be reclassified to income or loss in subsequent periods (net of</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(19,025)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60" w:type="dxa"/>
            <w:vAlign w:val="bottom"/>
            <w:gridSpan w:val="3"/>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474,907</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(316,197)</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620" w:type="dxa"/>
            <w:vAlign w:val="bottom"/>
            <w:gridSpan w:val="2"/>
          </w:tcPr>
          <w:p>
            <w:pPr>
              <w:jc w:val="center"/>
              <w:ind w:left="239"/>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options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(332,558)</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60" w:type="dxa"/>
            <w:vAlign w:val="bottom"/>
            <w:gridSpan w:val="3"/>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6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1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160" w:type="dxa"/>
            <w:vAlign w:val="bottom"/>
            <w:tcBorders>
              <w:top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1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620" w:type="dxa"/>
            <w:vAlign w:val="bottom"/>
            <w:gridSpan w:val="2"/>
          </w:tcPr>
          <w:p>
            <w:pPr>
              <w:jc w:val="center"/>
              <w:ind w:left="239"/>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restricted share awards</w:t>
            </w:r>
          </w:p>
        </w:tc>
        <w:tc>
          <w:tcPr>
            <w:tcW w:w="3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478,999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(386,212)</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6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(19,029)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for the period to net cash flows: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(income), net</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net employee defined benefit liability</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working capital:</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prepaid expenses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accrued income</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accounts receivable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(Increase)/decrease in other current receivables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accrued expenses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short-term</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deferred income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(Decrease)/increase in trade and other payables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(Decrease)/increase in deferred contract revenue, long-term</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2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provided by/(used in) operating activities</w:t>
            </w:r>
          </w:p>
        </w:tc>
        <w:tc>
          <w:tcPr>
            <w:tcW w:w="6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(19,358)</w:t>
            </w:r>
          </w:p>
        </w:tc>
        <w:tc>
          <w:tcPr>
            <w:tcW w:w="2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704</w:t>
            </w: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Finance expenses paid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operating activities</w:t>
            </w: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(18,816)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1,024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(Deposits)/maturities of short-term financial assets, net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3,560</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Rental deposits</w:t>
            </w:r>
          </w:p>
        </w:tc>
        <w:tc>
          <w:tcPr>
            <w:tcW w:w="66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provided by/(used in) investing activities</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3,028</w:t>
            </w:r>
          </w:p>
        </w:tc>
        <w:tc>
          <w:tcPr>
            <w:tcW w:w="2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(23,561)</w:t>
            </w: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shares – equity plan, net of transaction costs</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and stamp duty associated with the public offerings of common shares previously</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recorded in Accrued expenses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previously recorded</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Accrued expenses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lease obligations</w:t>
            </w:r>
          </w:p>
        </w:tc>
        <w:tc>
          <w:tcPr>
            <w:tcW w:w="6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0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flows (used in) financing activities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(16,046)</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(23,225)</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January 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78,494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Exchange gain/(loss) on cash and cash equivalents</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March 31</w:t>
            </w:r>
          </w:p>
        </w:tc>
        <w:tc>
          <w:tcPr>
            <w:tcW w:w="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19,960</w:t>
            </w: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57,009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6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(16,046)</w:t>
            </w: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(23,225)</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non-cash activity</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Transaction costs associated with the sale of treasury shares in public offering recorded in Accrued</w:t>
            </w: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in Trade and other payables or Accrued expenses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80" w:hanging="330"/>
        <w:spacing w:after="0"/>
        <w:tabs>
          <w:tab w:leader="none" w:pos="3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organized under the laws of Delaware, USA in June 2021. The Company and its Subsidiary form the Group.</w:t>
      </w:r>
    </w:p>
    <w:p>
      <w:pPr>
        <w:spacing w:after="0" w:line="180"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8"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The Interim Condensed Consolidated Financial Statements of AC Immune SA as of and for the three months ended March 31, 2025 were authorized for issuance by the Company’s Audit and Finance Committee on April 29, 2025.</w:t>
      </w:r>
    </w:p>
    <w:p>
      <w:pPr>
        <w:spacing w:after="0" w:line="136" w:lineRule="exact"/>
        <w:rPr>
          <w:sz w:val="20"/>
          <w:szCs w:val="20"/>
          <w:color w:val="auto"/>
        </w:rPr>
      </w:pPr>
    </w:p>
    <w:p>
      <w:pPr>
        <w:ind w:left="60" w:right="3199" w:hanging="10"/>
        <w:spacing w:after="0" w:line="503" w:lineRule="auto"/>
        <w:tabs>
          <w:tab w:leader="none" w:pos="3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March 31, 2025 and for the three months ended March 31, 2025 and 2024, have been prepared in accordance with International Accounting Standard 34 (IAS 34),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as issued by the International Accounting Standards Board (IASB), and such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read in conjunction with the audited consolidated financial statements in AC Immune’s Annual Report on Form 20-F for the year ended December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 except for items that are required to be accounted for at fair value.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78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7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CHF/USD</w:t>
            </w:r>
          </w:p>
        </w:tc>
        <w:tc>
          <w:tcPr>
            <w:tcW w:w="26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368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exchange rate, USD 1</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0.908</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0.883</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0.889</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 the Interim Condensed Consolidated Financial Statements and accompanying notes, and the related application of accounting policies as it relates to the reported amounts of assets, liabilities, income and expenses.</w:t>
      </w:r>
    </w:p>
    <w:p>
      <w:pPr>
        <w:spacing w:after="0" w:line="180"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Option, Licensing and Collaboration Agreements (OLCAs), (ii) clinical development accruals, (iii) net employee defined benefit liability, (iv) share-based compensation, (v) right-of-use assets and lease liabilities and (vi) our IPR&amp;D asset (intangible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financial assets, cash and cash equivalents, trade payables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2024.</w:t>
      </w:r>
    </w:p>
    <w:p>
      <w:pPr>
        <w:spacing w:after="0" w:line="176"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There are no new IFRS standards, amendments or interpretations that are mandatory as of January 1, 2025 that are relevant to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standards that are not yet effective</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April 2024, the IASB issued </w:t>
      </w:r>
      <w:r>
        <w:rPr>
          <w:rFonts w:ascii="Times New Roman" w:cs="Times New Roman" w:eastAsia="Times New Roman" w:hAnsi="Times New Roman"/>
          <w:sz w:val="18"/>
          <w:szCs w:val="18"/>
          <w:i w:val="1"/>
          <w:iCs w:val="1"/>
          <w:color w:val="auto"/>
        </w:rPr>
        <w:t>IFRS 18 Presentation and Disclosure in Financial Statements</w:t>
      </w:r>
      <w:r>
        <w:rPr>
          <w:rFonts w:ascii="Times New Roman" w:cs="Times New Roman" w:eastAsia="Times New Roman" w:hAnsi="Times New Roman"/>
          <w:sz w:val="18"/>
          <w:szCs w:val="18"/>
          <w:color w:val="auto"/>
        </w:rPr>
        <w:t xml:space="preserve"> (IFRS 18). The new standard on presentation and disclosure in the financial statements will change the structure of the statement of profit or loss, require disclosures for certain profit or loss performance measure that are reported outside of the financial statements, and will enhance principles on aggregation and disaggregation within the notes to the financial statements. It also establishes a new starting point and revised requirements for interest and dividends in the statement of cash flows. This new standard will be effective for annual and interim reporting periods beginning on January 1, 2027 and will require retrospective application. The Company is currently evaluating the new standard to determine how it will impact the presentation and disclosure in its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the filing date of this Form 6-K, after considering the Company’s cash position of CHF 20.0 million and short-term financial assets of CHF 125.7 million as of March 31, 2025. Hence, these unaudited Interim Condensed Consolidated Financial Statements have been prepared on a going-concern basis.</w:t>
      </w:r>
    </w:p>
    <w:p>
      <w:pPr>
        <w:spacing w:after="0" w:line="180"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its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60" w:right="99"/>
        <w:spacing w:after="0" w:line="266" w:lineRule="auto"/>
        <w:rPr>
          <w:sz w:val="20"/>
          <w:szCs w:val="20"/>
          <w:color w:val="auto"/>
        </w:rPr>
      </w:pPr>
      <w:r>
        <w:rPr>
          <w:rFonts w:ascii="Times New Roman" w:cs="Times New Roman" w:eastAsia="Times New Roman" w:hAnsi="Times New Roman"/>
          <w:sz w:val="18"/>
          <w:szCs w:val="18"/>
          <w:color w:val="auto"/>
        </w:rPr>
        <w:t>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72"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 and other operating income</w:t>
      </w:r>
    </w:p>
    <w:p>
      <w:pPr>
        <w:spacing w:after="0" w:line="22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AC Immune generated CHF 1.0 million in contract revenues, compared to no contract revenues in the prior comparable period.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73"/>
        </w:trPr>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209"/>
        </w:trPr>
        <w:tc>
          <w:tcPr>
            <w:tcW w:w="720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4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8"/>
                <w:szCs w:val="18"/>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3.1 Option, licensing and collaboration agreements</w:t>
      </w:r>
    </w:p>
    <w:p>
      <w:pPr>
        <w:spacing w:after="0" w:line="22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For a discussion of our OLCAs for the fiscal year ended December 31, 2024, please refer to Note 13.1 “Licensing and Collaboration agreements” of our Annual Report on Form 20-F for the year ended December 31, 2024 filed on March 13,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Anti-Abeta Active Immunotherapy in AD – 2024 agreement with Takeda Pharmaceuticals, USA, Inc.</w:t>
      </w:r>
    </w:p>
    <w:p>
      <w:pPr>
        <w:spacing w:after="0" w:line="22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worldwide option and license agreement with Takeda Pharmaceuticals, USA, Inc. (Takeda) for our active immunotherapies targeting Abeta, including ACI-24.060 for the treatment of AD. AC Immune will be responsible for completing the ABATE trial. Following option exercise, Takeda would conduct and fund all further clinical development and be responsible for all global regulatory activities as well as worldwide commercialization. Under the terms of the agreement, AC Immune received an upfront payment of USD 100.0 (CHF 92.3) million in May 2024 and is eligible to receive an option exercise fee in the low-to-mid nine-figure USD range and additional potential development, commercial and sales-based milestones of up to approximately USD 2.1 (CHF 1.9) billion if all related milestones are achieved over the course of the agreement. Upon commercialization, AC Immune will be entitled to receive tiered mid-to-high teens percentages royalties on worldwide net sales.</w:t>
      </w:r>
    </w:p>
    <w:p>
      <w:pPr>
        <w:spacing w:after="0" w:line="18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Takeda may terminate the agreement at any time by providing 90 days’ notice to the Company. If not otherwise terminated, the agreement shall continue until Takeda decides not to exercise its license option or until the expiration of all royalty obligations as outlined in the contract.</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AC Immune assessed this arrangement in accordance with IFRS 15 and concluded that Takeda is a customer. The Company identified the following performance obligations under the contract: (i) a license option and (ii) development, chemistry, manufacturing, and controls (“CMC”) and regulatory activities as outlined in the development and CMC plans, which are necessary to deliver the data package to Takeda. AC Immune concluded that the license option is considered a material right, as the value of the license exceeds the option exercise fee, thereby considering it a distinct performance obligation. The development, CMC, and regulatory activities are treated as one distinct performance obligation because the underlying activities are not distinguishable in the context of the contract and are inputs to an integrated development program that will generate valuable data and information for Takeda in determining whether to exercise the option.</w:t>
      </w:r>
    </w:p>
    <w:p>
      <w:pPr>
        <w:spacing w:after="0" w:line="19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At the agreement's execution, the transaction price included only the upfront and non-refundable consideration of USD 100.0 (CHF 92.3) million. At inception, none of the development milestones, which may occur prior to the Takeda option exercise, were included in the transaction price, as all milestone amounts were fully constrained. The Takeda option exercise payment and any future development and commercial milestone payments, and royalties following the Takeda option exercise were excluded from the initial transaction price at contract inception. The option exercise fee is considered variable consideration as it depends on Takeda's decision to exercise. In assessing that future development or commercial milestones are fully constrained, the Company considered numerous factors, including that the receipt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these milestones is contingent upon success in future clinical trials and the licensee’s efforts, and thus not highly probable to obtain. Any consideration related to sales-based milestones (including royalties) will be recognized when the related sales occur, as they predominantly relate to the license that will be granted to Takeda upon exercise and therefore have also been excluded from the transaction price. The Company will re-evaluate the transaction price in each reporting period as uncertain events are resolved or other changes in circumstances occur.</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valuation of each performance obligation involves estimates and assumptions, with the timing of revenue recognition determined by either delivery or the provision of services. In line with the allocation objective under IFRS 15, the Company allocated the USD 100.0 (CHF 92.3) million upfront payment within the transaction price to the license option and development, CMC, and regulatory activities, using the relative stand-alone selling price method. For the standalone selling price of the license option, the Company utilized an income-based approach, which included key assumptions such as the post-option development timeline and costs, revenue forecasts, discount rates, and probabilities of development and regulatory success. The standalone selling price for the development, CMC and regulatory activities was calculated using a cost-plus margin approach based on the estimated development timeline. The Company allocated the transaction price based on the relative standalone selling prices, assigning USD 87.4 (CHF 80.7) million to the license option and USD 12.6 (CHF 11.6) million to development, CMC, and regulatory activities.</w:t>
      </w:r>
    </w:p>
    <w:p>
      <w:pPr>
        <w:spacing w:after="0" w:line="19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has deferred revenue recognition for the license option and will recognize the entirety of the revenue either when the option is exercised and Takeda obtains the exclusive license, or when the option expires. The Company will recognize revenue related to the development, CMC and regulatory performance obligation over the estimated period of completion of these obligations, using an input method reflecting the costs incurred relative to the total costs expected to be incurred.</w:t>
      </w:r>
    </w:p>
    <w:p>
      <w:pPr>
        <w:spacing w:after="0" w:line="18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contract revenue CHF 1.0 million reflecting its efforts under this agreement for the development, CMC, and regulatory activities of our active immunotherapies targeting Abeta, compared to no contract revenue in the prior comparable period.</w:t>
      </w:r>
    </w:p>
    <w:p>
      <w:pPr>
        <w:spacing w:after="0" w:line="1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As of March 31, 2025, the Company recorded CHF 88.6 million in deferred contract revenue related to the unsatisfied performance obligations under this agreement. The deferred contract revenue allocated to the license option is classified as short-term on the condensed consolidated balance sheets because, in accordance with IAS 1, the Company does not have the right to defer the settlement of that portion for at least twelve months after the reporting period. The deferred contract revenue allocated to development, CMC, and regulatory activities will be recognized over the remaining performance period and classified as either current or non-current on the condensed consolidated balance sheets, based on the expected timing of satisfaction of the performance obligations.</w:t>
      </w:r>
    </w:p>
    <w:p>
      <w:pPr>
        <w:spacing w:after="0" w:line="185"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Loss per share</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68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In CHF thousands except for share and per share data</w:t>
            </w:r>
          </w:p>
        </w:tc>
        <w:tc>
          <w:tcPr>
            <w:tcW w:w="208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2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 equity holders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100,408,779</w:t>
            </w:r>
          </w:p>
        </w:tc>
        <w:tc>
          <w:tcPr>
            <w:tcW w:w="14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99,385,471</w:t>
            </w:r>
          </w:p>
        </w:tc>
        <w:tc>
          <w:tcPr>
            <w:tcW w:w="0" w:type="dxa"/>
            <w:vAlign w:val="bottom"/>
          </w:tcPr>
          <w:p>
            <w:pPr>
              <w:spacing w:after="0"/>
              <w:rPr>
                <w:sz w:val="1"/>
                <w:szCs w:val="1"/>
                <w:color w:val="auto"/>
              </w:rPr>
            </w:pPr>
          </w:p>
        </w:tc>
      </w:tr>
      <w:tr>
        <w:trPr>
          <w:trHeight w:val="20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periods for which we have a loss, basic net loss per share is the same as diluted net loss per share. We have excluded from our calculation of diluted loss per share all potentially dilutive in-the-money share options. See “Note 12. Share-based compensation” for the potentially dilutive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380" w:hanging="330"/>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three months ended March 31, 2025:</w: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70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0"/>
                <w:szCs w:val="10"/>
                <w:color w:val="auto"/>
              </w:rPr>
            </w:pPr>
          </w:p>
        </w:tc>
        <w:tc>
          <w:tcPr>
            <w:tcW w:w="660" w:type="dxa"/>
            <w:vAlign w:val="bottom"/>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IT</w:t>
            </w:r>
          </w:p>
        </w:tc>
        <w:tc>
          <w:tcPr>
            <w:tcW w:w="140" w:type="dxa"/>
            <w:vAlign w:val="bottom"/>
          </w:tcPr>
          <w:p>
            <w:pPr>
              <w:spacing w:after="0"/>
              <w:rPr>
                <w:sz w:val="10"/>
                <w:szCs w:val="10"/>
                <w:color w:val="auto"/>
              </w:rPr>
            </w:pPr>
          </w:p>
        </w:tc>
        <w:tc>
          <w:tcPr>
            <w:tcW w:w="8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Lab</w:t>
            </w:r>
          </w:p>
        </w:tc>
        <w:tc>
          <w:tcPr>
            <w:tcW w:w="9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Leasehold</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Assets under</w:t>
            </w: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4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4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4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long-term financial assets and lease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recognized no additions for its right-of-use of leased assets for the three months ended March 31, 2025.</w:t>
      </w:r>
    </w:p>
    <w:p>
      <w:pPr>
        <w:spacing w:after="0" w:line="225" w:lineRule="exact"/>
        <w:rPr>
          <w:sz w:val="20"/>
          <w:szCs w:val="20"/>
          <w:color w:val="auto"/>
        </w:rPr>
      </w:pPr>
    </w:p>
    <w:p>
      <w:pPr>
        <w:jc w:val="both"/>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3.5% for buildings, 3.3% for office equipment and 7.2% for IT equipment, respectively.</w:t>
      </w:r>
    </w:p>
    <w:p>
      <w:pPr>
        <w:spacing w:after="0" w:line="1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three months ended March 31, 2025:</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8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IT</w:t>
            </w: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 w:name="page14"/>
    <w:bookmarkEnd w:id="13"/>
    <w:p>
      <w:pPr>
        <w:ind w:left="60" w:right="77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impact on the Company’s condensed consolidated statements of income/(loss) and the condensed consolidated statements of cash flows is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gridSpan w:val="2"/>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90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gridSpan w:val="2"/>
            <w:vMerge w:val="continue"/>
          </w:tcPr>
          <w:p>
            <w:pPr>
              <w:spacing w:after="0"/>
              <w:rPr>
                <w:sz w:val="12"/>
                <w:szCs w:val="12"/>
                <w:color w:val="auto"/>
              </w:rPr>
            </w:pPr>
          </w:p>
        </w:tc>
        <w:tc>
          <w:tcPr>
            <w:tcW w:w="84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8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9"/>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outflow for leases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contractual undiscounted cash flows for lease obligations as of March 31, 2025:</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20" w:type="dxa"/>
            <w:vAlign w:val="bottom"/>
            <w:gridSpan w:val="2"/>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 years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0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also has deposits in escrow accounts totaling CHF 0.6 million and CHF 0.4 million for leases of the Company’s premises as of March 31, 2025 and December 31, 2024, respectively. These deposits are presented in Long-term financial assets on the Company’s condensed consolidated balance sheets.</w:t>
      </w:r>
    </w:p>
    <w:p>
      <w:pPr>
        <w:spacing w:after="0" w:line="172"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Accrued expenses consists of accrued R&amp;D costs, accrued payroll expenses and other accrued expenses totaling CHF 11.1 million and CHF 12.1 million as of March 31, 2025 and December 31, 2024, respectively.</w:t>
      </w:r>
    </w:p>
    <w:p>
      <w:pPr>
        <w:spacing w:after="0" w:line="1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4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7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Net book</w:t>
            </w:r>
          </w:p>
        </w:tc>
        <w:tc>
          <w:tcPr>
            <w:tcW w:w="0" w:type="dxa"/>
            <w:vAlign w:val="bottom"/>
          </w:tcPr>
          <w:p>
            <w:pPr>
              <w:spacing w:after="0"/>
              <w:rPr>
                <w:sz w:val="1"/>
                <w:szCs w:val="1"/>
                <w:color w:val="auto"/>
              </w:rPr>
            </w:pPr>
          </w:p>
        </w:tc>
      </w:tr>
      <w:tr>
        <w:trPr>
          <w:trHeight w:val="148"/>
        </w:trPr>
        <w:tc>
          <w:tcPr>
            <w:tcW w:w="410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gridSpan w:val="2"/>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right="239"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accordance with IAS 36 </w:t>
      </w:r>
      <w:r>
        <w:rPr>
          <w:rFonts w:ascii="Times New Roman" w:cs="Times New Roman" w:eastAsia="Times New Roman" w:hAnsi="Times New Roman"/>
          <w:sz w:val="17"/>
          <w:szCs w:val="17"/>
          <w:i w:val="1"/>
          <w:iCs w:val="1"/>
          <w:color w:val="auto"/>
        </w:rPr>
        <w:t>Impairment of Assets</w:t>
      </w:r>
      <w:r>
        <w:rPr>
          <w:rFonts w:ascii="Times New Roman" w:cs="Times New Roman" w:eastAsia="Times New Roman" w:hAnsi="Times New Roman"/>
          <w:sz w:val="17"/>
          <w:szCs w:val="17"/>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due to unobservable inputs used in the valuation. The Company has determined the IPR&amp;D asset not to be impaired as 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60" w:right="499"/>
        <w:spacing w:after="0" w:line="282" w:lineRule="auto"/>
        <w:rPr>
          <w:sz w:val="20"/>
          <w:szCs w:val="20"/>
          <w:color w:val="auto"/>
        </w:rPr>
      </w:pPr>
      <w:r>
        <w:rPr>
          <w:rFonts w:ascii="Times New Roman" w:cs="Times New Roman" w:eastAsia="Times New Roman" w:hAnsi="Times New Roman"/>
          <w:sz w:val="18"/>
          <w:szCs w:val="18"/>
          <w:color w:val="auto"/>
        </w:rPr>
        <w:t>December 31, 2024. As of March 31, 2025, the Company did not identify any triggering events that could result in an impairment of the IPR&amp;D asset.</w:t>
      </w:r>
    </w:p>
    <w:p>
      <w:pPr>
        <w:spacing w:after="0" w:line="1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29"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employee social obligations totaling CHF 3.6 million and CHF 4.3 million as of March 31, 2025 and December 31,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Cash and cash equivalents and short-term financial assets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December 31, 2024:</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w:t>
            </w:r>
          </w:p>
        </w:tc>
        <w:tc>
          <w:tcPr>
            <w:tcW w:w="10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648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10"/>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short-term financial assets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125,654</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321"/>
        <w:spacing w:after="0" w:line="312" w:lineRule="auto"/>
        <w:rPr>
          <w:sz w:val="20"/>
          <w:szCs w:val="20"/>
          <w:color w:val="auto"/>
        </w:rPr>
      </w:pPr>
      <w:r>
        <w:rPr>
          <w:rFonts w:ascii="Times New Roman" w:cs="Times New Roman" w:eastAsia="Times New Roman" w:hAnsi="Times New Roman"/>
          <w:sz w:val="17"/>
          <w:szCs w:val="17"/>
          <w:color w:val="auto"/>
        </w:rPr>
        <w:t>For the three months ended March 31, 2025, the net proceeds from the maturity of investments in short-term financial assets amounted to CHF 3.6 million, compared to net investments of CHF 23.3 million in the prior comparable period.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Treasury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at the market offering program with Jefferies LLC for the fiscal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please refer to Note 11 “Share capital” of our Annual Report on Form 20-F for the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filed on March 13, 2025.</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10,899,773 treasury shares remaining, respectively.</w:t>
      </w:r>
    </w:p>
    <w:p>
      <w:pPr>
        <w:spacing w:after="0" w:line="221" w:lineRule="exact"/>
        <w:rPr>
          <w:sz w:val="20"/>
          <w:szCs w:val="20"/>
          <w:color w:val="auto"/>
        </w:rPr>
      </w:pPr>
    </w:p>
    <w:p>
      <w:pPr>
        <w:ind w:left="380" w:right="6599" w:hanging="330"/>
        <w:spacing w:after="0" w:line="532" w:lineRule="auto"/>
        <w:tabs>
          <w:tab w:leader="none" w:pos="3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i w:val="1"/>
          <w:iCs w:val="1"/>
          <w:color w:val="auto"/>
        </w:rPr>
        <w:t>Share-based option awards</w:t>
      </w:r>
    </w:p>
    <w:p>
      <w:pPr>
        <w:spacing w:after="0" w:line="1"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there are equity-based instruments outstanding that the Company has granted under two different plans.</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Company’s 2016 Share Option and Incentive Plan (SOIP) was approved by the shareholders at the ordinary shareholders’ meeting in November 2016. The 2016 Plan authorizes the grant of incentive and non-qualified share options, share appreciation rights, restricted share awards, restricted share units, unrestricted share awards, performance share awards, performance-based awards to covered employees and dividend equivalent rights. The Company only grants equity-based instruments from the SOIP as of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number and weighted-average exercise prices (in CHF) of options under the share option programs for Plans C1 and the 2016 SOIP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(CHF)</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4,949,177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(135,118)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during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(205,634)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406,680</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5,010,827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4,097,932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vMerge w:val="continue"/>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5,010,827</w:t>
            </w: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 during the period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369,231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5,327,163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March 31, 2025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4,334,193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A summary of share awards (restricted share and restricted share units) activity as of March 31, 2025 and changes during three months ended is presented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(CHF)</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1,003,743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during the year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1,094,876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the year</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(1,064,554)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822,740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1,377,903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822,740</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during the period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(32,518)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during the period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(40,269)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(212,039)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1,875,994</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exercisable at March 31, 2025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1,547,193</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The expense charged against the income statement was CHF 1.6 million and CHF 1.9 million for the three months ended March 31, 2025 and 2024, respectively. The expense is determined by the Company based on the number of instruments that are expected to become exercisable.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AC Immune recorded CHF 0.3 million and CHF 2.2 million in net financial gains, respectively. The decrease is primarily related to unfavorable foreign currency exchange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60" w:right="259"/>
        <w:spacing w:after="0" w:line="282" w:lineRule="auto"/>
        <w:rPr>
          <w:sz w:val="20"/>
          <w:szCs w:val="20"/>
          <w:color w:val="auto"/>
        </w:rPr>
      </w:pPr>
      <w:r>
        <w:rPr>
          <w:rFonts w:ascii="Times New Roman" w:cs="Times New Roman" w:eastAsia="Times New Roman" w:hAnsi="Times New Roman"/>
          <w:sz w:val="18"/>
          <w:szCs w:val="18"/>
          <w:color w:val="auto"/>
        </w:rPr>
        <w:t>differences related to movement in the CHF versus foreign currencies, predominantly the U.S. Dollar, compared with the preceding year end 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219" w:firstLine="324"/>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months ended March 31, 2025, included as Exhibit 99.1 to this Report on Form 6-K. We also recommend that you read our management’s discussion and analysis and our audited consolidated financial statements and the notes thereto, which appear in our Annual Report on Form 20-F for the year ended December 31, 2024 on file with the U.S. Securities and Exchange Commission (the “SEC”).</w:t>
      </w:r>
    </w:p>
    <w:p>
      <w:pPr>
        <w:spacing w:after="0" w:line="184" w:lineRule="exact"/>
        <w:rPr>
          <w:sz w:val="20"/>
          <w:szCs w:val="20"/>
          <w:color w:val="auto"/>
        </w:rPr>
      </w:pPr>
    </w:p>
    <w:p>
      <w:pPr>
        <w:ind w:left="60" w:right="21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45"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We prepare and report our consolidated financial statements and financial information in accordance with International Financial Reporting Standards (IFRS) Accounting Standards as issued by the International Accounting Standards Board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April 30,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shift the treatment paradigm for neurodegenerative disease towards Precision Medicine and disease prevention. We are executing a clear business strategy built on three pillars: (i) accelerate development of novel therapeutics in Alzheimer’s disease (AD) with our partners; (ii) 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9"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combination in order to slow or stop the disease course. Ultimately, it is our belief that Precision Medicine will increase the chance of treatment success by enabling clinical trial participants to be better defined by their various proteinopathies, allowing for treatment with the right therapies at the right time.</w:t>
      </w:r>
    </w:p>
    <w:p>
      <w:pPr>
        <w:spacing w:after="0" w:line="17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therapeutic and diagnostic programs targeting five different types of misfolded pathological proteins related to AD,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613410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700" w:right="299" w:hanging="326"/>
        <w:spacing w:after="0" w:line="267"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ACI-24.060 for AD and for AD in DS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ACI-24.060 is AC Immune’s anti-Abeta active immunotherapy being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evaluated in patients with AD and in subjects with DS. ACI-24.060 contains Abeta unrelated T-helper cell epitopes to increase the magnitude and the boostability of the antibody response against pathological Abeta and has no clinically relevant safety concerns, tolerability and immunogenicity in mouse and NHP studies. ACI-</w:t>
      </w:r>
    </w:p>
    <w:p>
      <w:pPr>
        <w:spacing w:after="0" w:line="2" w:lineRule="exact"/>
        <w:rPr>
          <w:rFonts w:ascii="Times New Roman" w:cs="Times New Roman" w:eastAsia="Times New Roman" w:hAnsi="Times New Roman"/>
          <w:sz w:val="17"/>
          <w:szCs w:val="17"/>
          <w:color w:val="auto"/>
        </w:rPr>
      </w:pPr>
    </w:p>
    <w:p>
      <w:pPr>
        <w:ind w:left="700" w:right="25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24.060 is currently being tested at 3 different incremental doses in the ABATE Phase 1b/2 trial (NCT05462106) and amyloid plaque reduction is being assessed using Abeta-PET imaging.</w:t>
      </w:r>
    </w:p>
    <w:p>
      <w:pPr>
        <w:spacing w:after="0" w:line="181" w:lineRule="exact"/>
        <w:rPr>
          <w:rFonts w:ascii="Times New Roman" w:cs="Times New Roman" w:eastAsia="Times New Roman" w:hAnsi="Times New Roman"/>
          <w:sz w:val="17"/>
          <w:szCs w:val="17"/>
          <w:color w:val="auto"/>
        </w:rPr>
      </w:pPr>
    </w:p>
    <w:p>
      <w:pPr>
        <w:ind w:left="700" w:right="7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ABATE is a multicenter, adaptive, double-blind, randomized, placebo-controlled study designed to assess the safety, tolerability, immunogenicity, and pharmacodynamic effects of ACl-24.060 in subjects with prodromal AD and in adults with Down Syndrome (DS) with evidence of brain amyloid plaques at PET scan. The Clinical Trial Application (CTA) was approved by the UK Medicines and Healthcare Products Regulatory Agency (MHRA) and Spanish Agency for Medicines and Health Products (AEMPS) with the first AD patient dosed in June 2022. In June 2023, AC Immune received Fast Track designation from the FDA for ACI-24.060, for the treatment of AD. This followed FDA clearance of the Investigational New Drug (IND) application in May 2023 enabling the ABATE study to include clinical trial sites to enroll participants with DS in the U.S. Based on the safety profile and induction of an anti-Abeta antibody response post-dosing of ACI-24.060 in patients with AD, dosing of the first individual with DS occurred in June 2023. Based on data available as of December 2024, ACI-24.060 has been shown to be generally safe and well tolerated in individuals with AD and with Down syndrome, noting in particular that no case of Amyloid-Related Imaging Abnormalities-vasogenic edema (ARIA-E) has been reported at brain MRI in these two study populations.</w:t>
      </w:r>
    </w:p>
    <w:p>
      <w:pPr>
        <w:spacing w:after="0" w:line="194" w:lineRule="exact"/>
        <w:rPr>
          <w:rFonts w:ascii="Times New Roman" w:cs="Times New Roman" w:eastAsia="Times New Roman" w:hAnsi="Times New Roman"/>
          <w:sz w:val="17"/>
          <w:szCs w:val="17"/>
          <w:color w:val="auto"/>
        </w:rPr>
      </w:pPr>
    </w:p>
    <w:p>
      <w:pPr>
        <w:ind w:left="700" w:right="1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Preliminary insights from blinded cohorts AD1, AD2 and AD3 showed that ACI-24.060 induced immunogenicity at all tested doses in AD subjects, with higher doses showing increased anti-Abeta1-42 IgG titers and responder rates. Repeated immunizations led to a boosting effect across all dose levels and cohorts AD2 and AD3 showed a more durable and sustained immune response (Post, AD/PD 2025).</w:t>
      </w:r>
    </w:p>
    <w:p>
      <w:pPr>
        <w:spacing w:after="0" w:line="166" w:lineRule="exact"/>
        <w:rPr>
          <w:rFonts w:ascii="Times New Roman" w:cs="Times New Roman" w:eastAsia="Times New Roman" w:hAnsi="Times New Roman"/>
          <w:sz w:val="17"/>
          <w:szCs w:val="17"/>
          <w:color w:val="auto"/>
        </w:rPr>
      </w:pPr>
    </w:p>
    <w:p>
      <w:pPr>
        <w:ind w:left="700" w:right="15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announced on May 13, 2024, this program is the subject of an exclusive option and license agreement with Takeda Pharmaceuticals USA, Inc. (Takeda). Under the terms of the agreement, AC Immune received an upfront payment of USD 100.0 (CHF 92.3) million from Takeda and is eligible to receive payments of up to approximately USD 2.1 (CHF 1.9) billion including an option exercise fee in the low-to-mid nine-figure USD range and potential development, commercial and sales-based milestone payments. Upon commercialization, AC Immune will be entitled to receive tiered mid-to-high teens percentages royalties on worldwide net sales. Further details related to the agreement are available on the Current Report on Form 6-K furnished by the Company on May 13, 2024 with the SEC.</w:t>
      </w:r>
    </w:p>
    <w:p>
      <w:pPr>
        <w:spacing w:after="0" w:line="187" w:lineRule="exact"/>
        <w:rPr>
          <w:rFonts w:ascii="Times New Roman" w:cs="Times New Roman" w:eastAsia="Times New Roman" w:hAnsi="Times New Roman"/>
          <w:sz w:val="17"/>
          <w:szCs w:val="17"/>
          <w:color w:val="auto"/>
        </w:rPr>
      </w:pPr>
    </w:p>
    <w:p>
      <w:pPr>
        <w:ind w:left="700" w:right="99" w:hanging="326"/>
        <w:spacing w:after="0" w:line="25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ACI-7104.056. </w:t>
      </w:r>
      <w:r>
        <w:rPr>
          <w:rFonts w:ascii="Times New Roman" w:cs="Times New Roman" w:eastAsia="Times New Roman" w:hAnsi="Times New Roman"/>
          <w:sz w:val="18"/>
          <w:szCs w:val="18"/>
          <w:color w:val="auto"/>
        </w:rPr>
        <w:t>ACI-7104.056, our active immunotherapy targeting pathological a-syn, is currently being tested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placebo-controlled, double-blind, adaptive, biomarker-based Phase 2 study (VacSYn; NCT06015841) in the EU and in the UK. This trial is evaluating the safety and immunogenicity of ACI-7104.056 against a-syn and pathological a-syn species in early PD. Additionally, disease-specific imaging and fluid biomarkers and progression of motor and non-motor symptoms of PD will be monitored. The VacSYn trial commenced in July 2023 with the dosing of the first patient and is progressing well with over 30 patients randomized in Part 1 of the study. Interim analyses have shown that ACI-7104.056 induces strong anti-a-synuclein antibody levels on average over 20-fold higher than placebo after 4 immunizations. ACI-7104.056 is well tolerated with no safety issues related to the study drug reported to date. Further interim results may be reported in H1 2025 including pharmacodynamic data. AC Immune may decide to initiate Part 2 of VacSYn with up to 150 patients.</w:t>
      </w:r>
    </w:p>
    <w:p>
      <w:pPr>
        <w:spacing w:after="0" w:line="189" w:lineRule="exact"/>
        <w:rPr>
          <w:rFonts w:ascii="Times New Roman" w:cs="Times New Roman" w:eastAsia="Times New Roman" w:hAnsi="Times New Roman"/>
          <w:sz w:val="18"/>
          <w:szCs w:val="18"/>
          <w:color w:val="auto"/>
        </w:rPr>
      </w:pPr>
    </w:p>
    <w:p>
      <w:pPr>
        <w:ind w:left="700" w:right="79" w:hanging="326"/>
        <w:spacing w:after="0" w:line="256"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ACI-35.030 (JNJ-64042056 also now referred to as JNJ-2056). </w:t>
      </w:r>
      <w:r>
        <w:rPr>
          <w:rFonts w:ascii="Times New Roman" w:cs="Times New Roman" w:eastAsia="Times New Roman" w:hAnsi="Times New Roman"/>
          <w:sz w:val="18"/>
          <w:szCs w:val="18"/>
          <w:color w:val="auto"/>
        </w:rPr>
        <w:t>AC Immune and Janssen Pharmaceuticals,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part of Johnson &amp; Johnson, evaluated the anti-phosphorylated-Tau (anti-pTau) active immunotherapy ACI-35.030 in a Phase 1b/2a study in subjects with early AD (NCT04445831). Results showed that ACI-35.030 immunization generated a rapid antibody response (anti-pTau, anti-ePHF and anti-Tau IgG) after the first injection (at week 2) at the 3 tested doses. An apparent dose-effect was observed between low- and mid-doses but not between the mid- and high-doses. A boosting effect was observed after each injection especially against pathological Tau species (pTau and ePHF). The antibody response was strongly directed</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700" w:right="419"/>
        <w:spacing w:after="0" w:line="282" w:lineRule="auto"/>
        <w:rPr>
          <w:sz w:val="20"/>
          <w:szCs w:val="20"/>
          <w:color w:val="auto"/>
        </w:rPr>
      </w:pPr>
      <w:r>
        <w:rPr>
          <w:rFonts w:ascii="Times New Roman" w:cs="Times New Roman" w:eastAsia="Times New Roman" w:hAnsi="Times New Roman"/>
          <w:sz w:val="18"/>
          <w:szCs w:val="18"/>
          <w:color w:val="auto"/>
        </w:rPr>
        <w:t>against these pathological Tau species but not against non-phosphorylated Tau. Long-term maintenance of the anti-ePHF IgG titers against endogenous pathological Tau was observed at the mid- and high doses.</w:t>
      </w:r>
    </w:p>
    <w:p>
      <w:pPr>
        <w:spacing w:after="0" w:line="162" w:lineRule="exact"/>
        <w:rPr>
          <w:sz w:val="20"/>
          <w:szCs w:val="20"/>
          <w:color w:val="auto"/>
        </w:rPr>
      </w:pPr>
    </w:p>
    <w:p>
      <w:pPr>
        <w:ind w:left="700" w:right="99"/>
        <w:spacing w:after="0" w:line="254" w:lineRule="auto"/>
        <w:rPr>
          <w:sz w:val="20"/>
          <w:szCs w:val="20"/>
          <w:color w:val="auto"/>
        </w:rPr>
      </w:pPr>
      <w:r>
        <w:rPr>
          <w:rFonts w:ascii="Times New Roman" w:cs="Times New Roman" w:eastAsia="Times New Roman" w:hAnsi="Times New Roman"/>
          <w:sz w:val="18"/>
          <w:szCs w:val="18"/>
          <w:color w:val="auto"/>
        </w:rPr>
        <w:t>In the Phase 1b/2a clinical trial, ACI-35.030 showed a good safety and tolerability profile. The majority of adverse events (AEs) were of mild or moderate intensity. No death was reported. No AE led to study discontinuation or to study treatment discontinuation. Injection site reactions were the most frequently reported AEs in actively treated subjects. The frequency of serious adverse events (SAEs) observed in subjects treated with ACI-35.030 did not appear to have any particular relationship to the dose.</w:t>
      </w:r>
    </w:p>
    <w:p>
      <w:pPr>
        <w:spacing w:after="0" w:line="187" w:lineRule="exact"/>
        <w:rPr>
          <w:sz w:val="20"/>
          <w:szCs w:val="20"/>
          <w:color w:val="auto"/>
        </w:rPr>
      </w:pPr>
    </w:p>
    <w:p>
      <w:pPr>
        <w:ind w:left="700" w:right="59"/>
        <w:spacing w:after="0" w:line="253" w:lineRule="auto"/>
        <w:rPr>
          <w:sz w:val="20"/>
          <w:szCs w:val="20"/>
          <w:color w:val="auto"/>
        </w:rPr>
      </w:pPr>
      <w:r>
        <w:rPr>
          <w:rFonts w:ascii="Times New Roman" w:cs="Times New Roman" w:eastAsia="Times New Roman" w:hAnsi="Times New Roman"/>
          <w:sz w:val="18"/>
          <w:szCs w:val="18"/>
          <w:color w:val="auto"/>
        </w:rPr>
        <w:t>Consequently, ACI-35.030/JNJ-2056 is now being assessed in subjects with preclinical (i.e., pre-symptomatic) AD in the Phase 2b study ReTain (NCT06544616). The ongoing trial will randomize approximately 500 participants with confirmed early-stage Tau pathology, who will be treated over a four-year period. The trial will include interim biomarker analyses potentially allowing for acceleration towards a regulatory filing. JNJ-2056 was granted Fast Track designation by the FDA, for the treatment of AD in July 2024. In September 2024, AC Immune received a milestone payment triggered by the rapid rate of prescreening in the potentially registrational Phase 2b ReTain trial and the first patient was dosed in H2 2024.</w:t>
      </w:r>
    </w:p>
    <w:p>
      <w:pPr>
        <w:spacing w:after="0" w:line="183" w:lineRule="exact"/>
        <w:rPr>
          <w:sz w:val="20"/>
          <w:szCs w:val="20"/>
          <w:color w:val="auto"/>
        </w:rPr>
      </w:pPr>
    </w:p>
    <w:p>
      <w:pPr>
        <w:ind w:left="700" w:right="119" w:hanging="326"/>
        <w:spacing w:after="0" w:line="24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PI-2620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the Tau-PET imaging agent discovered during the collaboration of AC Immune and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Molecular Imaging (LMI). We are working with our partner, LMI, to advance PI-2620 as a highly differentiated, best-in-class Tau diagnostic for AD as well as non-AD tauopathies such as progressive supranuclear palsy (PSP) and corticobasal degeneration (CBD). Results have demonstrated PI-2620’s differentiated characteristics as a diagnostic tool for studying Tau-related diseases. Results on the longitudinal use of PI-2620 in 52 participants (7 with normal cognition, 28 with mild cognitive impairment (MCI), and 17 with AD) from an investigator sponsored Phase 2 trial at the Asan Medical Center (NCT03903211) were presented at the 2022 AAIC and published in 2024 in the peer-reviewed Journal of Nuclear Medicine. Following these results, LMI moved PI-2620 into late-stage clinical development in AD and made a milestone payment to AC Immune. The first Alzheimer’s patient in ADvance, the pivotal Phase 3 histopathology study in AD (NCT05641688), was imaged in January 2023. In August 2024, partner LMI has received Fast Track Designation for the diagnostic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F-PI-2620, from the U.S. FDA in three neurodegenerative conditions: AD, PSP, and CBD.</w:t>
      </w:r>
    </w:p>
    <w:p>
      <w:pPr>
        <w:spacing w:after="0" w:line="183" w:lineRule="exact"/>
        <w:rPr>
          <w:rFonts w:ascii="Times New Roman" w:cs="Times New Roman" w:eastAsia="Times New Roman" w:hAnsi="Times New Roman"/>
          <w:sz w:val="18"/>
          <w:szCs w:val="18"/>
          <w:color w:val="auto"/>
        </w:rPr>
      </w:pPr>
    </w:p>
    <w:p>
      <w:pPr>
        <w:jc w:val="both"/>
        <w:ind w:left="700" w:right="79" w:hanging="326"/>
        <w:spacing w:after="0" w:line="259"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ACI-12589 and ACI-15916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Morphomer platform has delivered the first clinically validated a-syn-PET tracer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now can support the differential diagnosis of multiple system atrophy (MSA) from other neurodegenerative diseases and allow precision medicine approaches and biomarker-based clinical development in this indication.</w:t>
      </w:r>
    </w:p>
    <w:p>
      <w:pPr>
        <w:ind w:left="700" w:right="7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ACI-12589 preclinical and clinical data were published in October 2023 in Nature Communications. In addition, medicinal chemistry optimization strategies have allowed the identification of our next-generation clinical candidate, ACI-15916. Compared to ACI-12589, ACI-15916 shows significantly higher target occupancy in brain slices from idiopathic forms of PD and has therefore the potential to enable imaging of a-syn pathology in patients with PD. IND/CTA-enabling studies for ACI-15916 were completed in H2 2024 and the Phase 1 trial in PD was initiated in Q1 2025. The readout from this study is expected in H2 2025.</w:t>
      </w:r>
    </w:p>
    <w:p>
      <w:pPr>
        <w:spacing w:after="0" w:line="187" w:lineRule="exact"/>
        <w:rPr>
          <w:rFonts w:ascii="Times New Roman" w:cs="Times New Roman" w:eastAsia="Times New Roman" w:hAnsi="Times New Roman"/>
          <w:sz w:val="18"/>
          <w:szCs w:val="18"/>
          <w:color w:val="auto"/>
        </w:rPr>
      </w:pPr>
    </w:p>
    <w:p>
      <w:pPr>
        <w:ind w:left="700" w:right="219" w:hanging="326"/>
        <w:spacing w:after="0" w:line="241"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ACI-19626, TDP-43 imaging diagnostic. </w:t>
      </w:r>
      <w:r>
        <w:rPr>
          <w:rFonts w:ascii="Times New Roman" w:cs="Times New Roman" w:eastAsia="Times New Roman" w:hAnsi="Times New Roman"/>
          <w:sz w:val="18"/>
          <w:szCs w:val="18"/>
          <w:color w:val="auto"/>
        </w:rPr>
        <w:t>Our Morphomer platform has delivered the first-in-class TDP-43 PET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tracer, </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F-ACI-19626 entering the FiH evaluation in healthy volunteers and in patients with TDP-43 proteinopathies. ACI-19626 shows optimal binding potential in frontotemporal lobar degeneration (FTLD)-TDP brain tissue with no binding to physiological TDP-43, excellent selectivity over other aggregated proteins commonly present in neurodegenerative diseases and aging brain, excellent pharmacokinetic properties suitable for human brain imaging. This PET tracer is envisioned to enable early and differential diagnosis, improve the design and interpretation of clinical trials allowing for patient stratification, selection of optimal timing for therapeutic intervention and pharmacodynamic effect evaluation. This first-in-class molecule could have a high impact, opening new opportunities for therapeutic interventions in diseases with high unmet medical needs and huge societal burdens, such as ALS, FTD and AD. CTA enabling studies for ACI-19626 were completed in July 2024. The Phase 1 trial was initiated in Q1 2025 and the interim readout from this study is expected in H2 2025.</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700" w:right="139" w:hanging="326"/>
        <w:spacing w:after="0" w:line="26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We are researching and developing small molecule Tau aggregation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inhibitors with plans to evaluate candidates in AD. Continued candidate characterization across the research program has also identified new and highly differentiated candidates with excellent brain exposure and selectivity for pathological aggregated Tau.</w:t>
      </w:r>
    </w:p>
    <w:p>
      <w:pPr>
        <w:spacing w:after="0" w:line="162" w:lineRule="exact"/>
        <w:rPr>
          <w:rFonts w:ascii="Times New Roman" w:cs="Times New Roman" w:eastAsia="Times New Roman" w:hAnsi="Times New Roman"/>
          <w:sz w:val="18"/>
          <w:szCs w:val="18"/>
          <w:color w:val="auto"/>
        </w:rPr>
      </w:pPr>
    </w:p>
    <w:p>
      <w:pPr>
        <w:ind w:left="700" w:right="159" w:hanging="326"/>
        <w:spacing w:after="0" w:line="255"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Semorinemab is an investigational monoclonal anti-Tau antibody that targets the N-terminal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the Tau protein and is designed to bind to Tau and slow its spread between neurons for the treatment of AD. AC Immune regained the global rights to semorinemab in February 2025. The Company will carefully review and evaluate available data sets, before decisions are made on potential further development and other opportunities.</w:t>
      </w:r>
    </w:p>
    <w:p>
      <w:pPr>
        <w:spacing w:after="0" w:line="182" w:lineRule="exact"/>
        <w:rPr>
          <w:rFonts w:ascii="Times New Roman" w:cs="Times New Roman" w:eastAsia="Times New Roman" w:hAnsi="Times New Roman"/>
          <w:sz w:val="18"/>
          <w:szCs w:val="18"/>
          <w:color w:val="auto"/>
        </w:rPr>
      </w:pPr>
    </w:p>
    <w:p>
      <w:pPr>
        <w:ind w:left="700" w:right="359" w:hanging="326"/>
        <w:spacing w:after="0" w:line="291"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Crenezumab. </w:t>
      </w:r>
      <w:r>
        <w:rPr>
          <w:rFonts w:ascii="Times New Roman" w:cs="Times New Roman" w:eastAsia="Times New Roman" w:hAnsi="Times New Roman"/>
          <w:sz w:val="17"/>
          <w:szCs w:val="17"/>
          <w:color w:val="auto"/>
        </w:rPr>
        <w:t>Crenezumab is a humanized monoclonal antibody, an investigational treatment designed to slow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 progression by neutralizing neurotoxic Abeta oligomers. AC Immune will carefully review and evaluate available data sets, before decisions are made on potential further development and other opportunities.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Q1 2025 Company highlights</w:t>
      </w:r>
    </w:p>
    <w:p>
      <w:pPr>
        <w:spacing w:after="0" w:line="229" w:lineRule="exact"/>
        <w:rPr>
          <w:sz w:val="20"/>
          <w:szCs w:val="20"/>
          <w:color w:val="auto"/>
        </w:rPr>
      </w:pPr>
    </w:p>
    <w:p>
      <w:pPr>
        <w:jc w:val="both"/>
        <w:ind w:left="700" w:right="419" w:hanging="326"/>
        <w:spacing w:after="0" w:line="26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interim safety and positive immunogenicity data from the Phase 2 VacSYn clinical trial evaluating ACI-7104.056, AC Immune’s wholly-owned anti-a-syn active immunotherapy candidate, for the treatment of patients with early PD.</w:t>
      </w:r>
    </w:p>
    <w:p>
      <w:pPr>
        <w:spacing w:after="0" w:line="176" w:lineRule="exact"/>
        <w:rPr>
          <w:sz w:val="20"/>
          <w:szCs w:val="20"/>
          <w:color w:val="auto"/>
        </w:rPr>
      </w:pPr>
    </w:p>
    <w:p>
      <w:pPr>
        <w:ind w:left="1680" w:right="199" w:hanging="334"/>
        <w:spacing w:after="0" w:line="264" w:lineRule="auto"/>
        <w:tabs>
          <w:tab w:leader="none" w:pos="168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Antibody responses were rapidly induced against the target antigen after 2 immunizations and were further boosted by each subsequent immunization.</w:t>
      </w:r>
    </w:p>
    <w:p>
      <w:pPr>
        <w:spacing w:after="0" w:line="176" w:lineRule="exact"/>
        <w:rPr>
          <w:rFonts w:ascii="Courier New" w:cs="Courier New" w:eastAsia="Courier New" w:hAnsi="Courier New"/>
          <w:sz w:val="18"/>
          <w:szCs w:val="18"/>
          <w:color w:val="auto"/>
        </w:rPr>
      </w:pPr>
    </w:p>
    <w:p>
      <w:pPr>
        <w:ind w:left="1680" w:right="79" w:hanging="334"/>
        <w:spacing w:after="0" w:line="264" w:lineRule="auto"/>
        <w:tabs>
          <w:tab w:leader="none" w:pos="168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Treatment with ACI-7104.056 induced an increase in anti-a-syn antibodies on average more than 20-fold higher than the placebo background level after four immunizations.</w:t>
      </w:r>
    </w:p>
    <w:p>
      <w:pPr>
        <w:spacing w:after="0" w:line="176" w:lineRule="exact"/>
        <w:rPr>
          <w:rFonts w:ascii="Courier New" w:cs="Courier New" w:eastAsia="Courier New" w:hAnsi="Courier New"/>
          <w:sz w:val="18"/>
          <w:szCs w:val="18"/>
          <w:color w:val="auto"/>
        </w:rPr>
      </w:pPr>
    </w:p>
    <w:p>
      <w:pPr>
        <w:ind w:left="1680" w:right="299" w:hanging="334"/>
        <w:spacing w:after="0" w:line="249" w:lineRule="auto"/>
        <w:tabs>
          <w:tab w:leader="none" w:pos="1680" w:val="left"/>
        </w:tabs>
        <w:numPr>
          <w:ilvl w:val="1"/>
          <w:numId w:val="1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Based on further interim results to be reported later in 2025, including pharmacodynamic and biomarker data, AC Immune may decide to initiate Part 2 of VacSYn, with the aim of establishing early proof-of-concept and identification of disease-specific biomarkers for rapid transition into a pivotal study.</w:t>
      </w:r>
    </w:p>
    <w:p>
      <w:pPr>
        <w:spacing w:after="0" w:line="189" w:lineRule="exact"/>
        <w:rPr>
          <w:rFonts w:ascii="Courier New" w:cs="Courier New" w:eastAsia="Courier New" w:hAnsi="Courier New"/>
          <w:sz w:val="18"/>
          <w:szCs w:val="18"/>
          <w:color w:val="auto"/>
        </w:rPr>
      </w:pPr>
    </w:p>
    <w:p>
      <w:pPr>
        <w:ind w:left="700" w:hanging="326"/>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proof-of-concept study of proprietary morADC platform was completed in Q1.</w:t>
      </w:r>
    </w:p>
    <w:p>
      <w:pPr>
        <w:spacing w:after="0" w:line="227" w:lineRule="exact"/>
        <w:rPr>
          <w:rFonts w:ascii="Times New Roman" w:cs="Times New Roman" w:eastAsia="Times New Roman" w:hAnsi="Times New Roman"/>
          <w:sz w:val="18"/>
          <w:szCs w:val="18"/>
          <w:color w:val="auto"/>
        </w:rPr>
      </w:pPr>
    </w:p>
    <w:p>
      <w:pPr>
        <w:ind w:left="700" w:right="39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the International Conference on Alzheimer’s and Parkinson’s Disease (AD/PD™ 2025).</w:t>
      </w:r>
    </w:p>
    <w:p>
      <w:pPr>
        <w:spacing w:after="0" w:line="161" w:lineRule="exact"/>
        <w:rPr>
          <w:rFonts w:ascii="Times New Roman" w:cs="Times New Roman" w:eastAsia="Times New Roman" w:hAnsi="Times New Roman"/>
          <w:sz w:val="18"/>
          <w:szCs w:val="18"/>
          <w:color w:val="auto"/>
        </w:rPr>
      </w:pPr>
    </w:p>
    <w:p>
      <w:pPr>
        <w:ind w:left="700" w:right="659" w:hanging="326"/>
        <w:spacing w:after="0" w:line="28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hosted an industry symposium highlighting the company’s industry-leading pipeline of active immunotherapies for precision prevention of neurodegenerative diseases.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right="3819"/>
        <w:spacing w:after="0" w:line="49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three months ended March 31, 2025 and 2024 </w:t>
      </w:r>
      <w:r>
        <w:rPr>
          <w:rFonts w:ascii="Times New Roman" w:cs="Times New Roman" w:eastAsia="Times New Roman" w:hAnsi="Times New Roman"/>
          <w:sz w:val="18"/>
          <w:szCs w:val="18"/>
          <w:i w:val="1"/>
          <w:iCs w:val="1"/>
          <w:color w:val="auto"/>
        </w:rPr>
        <w:t>Contract revenues</w:t>
      </w:r>
    </w:p>
    <w:p>
      <w:pPr>
        <w:spacing w:after="0" w:line="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generated CHF 1.0 million in contract revenues compared with no contract revenues for the comparable period in 2024. This represents an increase of CHF 1.0 million. The following table summarizes our contract revenues during the three months ended March 31, 2025 and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4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352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8"/>
                <w:szCs w:val="18"/>
                <w:color w:val="auto"/>
              </w:rPr>
            </w:pP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Takeda</w:t>
            </w:r>
          </w:p>
        </w:tc>
        <w:tc>
          <w:tcPr>
            <w:tcW w:w="2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 revenues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60" w:type="dxa"/>
            <w:vAlign w:val="bottom"/>
            <w:vMerge w:val="restart"/>
          </w:tcPr>
          <w:p>
            <w:pPr>
              <w:jc w:val="right"/>
              <w:ind w:right="2402"/>
              <w:spacing w:after="0"/>
              <w:rPr>
                <w:sz w:val="20"/>
                <w:szCs w:val="20"/>
                <w:color w:val="auto"/>
              </w:rPr>
            </w:pPr>
            <w:r>
              <w:rPr>
                <w:rFonts w:ascii="Times New Roman" w:cs="Times New Roman" w:eastAsia="Times New Roman" w:hAnsi="Times New Roman"/>
                <w:sz w:val="17"/>
                <w:szCs w:val="17"/>
                <w:color w:val="auto"/>
                <w:w w:val="70"/>
              </w:rPr>
              <w:t>4</w:t>
            </w: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4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21" w:name="page22"/>
    <w:bookmarkEnd w:id="21"/>
    <w:p>
      <w:pPr>
        <w:ind w:left="60" w:right="499" w:firstLine="324"/>
        <w:spacing w:after="0" w:line="282" w:lineRule="auto"/>
        <w:rPr>
          <w:sz w:val="20"/>
          <w:szCs w:val="20"/>
          <w:color w:val="auto"/>
        </w:rPr>
      </w:pPr>
      <w:r>
        <w:rPr>
          <w:rFonts w:ascii="Times New Roman" w:cs="Times New Roman" w:eastAsia="Times New Roman" w:hAnsi="Times New Roman"/>
          <w:sz w:val="18"/>
          <w:szCs w:val="18"/>
          <w:color w:val="auto"/>
        </w:rPr>
        <w:t>Our contract revenues experience fluctuations as a result of securing new collaboration agreements, the timing of milestone achievements and the size of each milestone payment.</w:t>
      </w:r>
    </w:p>
    <w:p>
      <w:pPr>
        <w:spacing w:after="0" w:line="16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our contract revenues of CHF 1.0 million were related to the efforts made under the agreement with Takeda for the development, CMC, and regulatory activities of our active immunotherapies targeting Abeta.</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3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agreements have different agreements to share costs for the development of our product candidates.</w:t>
      </w:r>
    </w:p>
    <w:p>
      <w:pPr>
        <w:spacing w:after="0" w:line="180"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We have completed our co-development costs with Janssen for the Phase 1b/2a studies for our active immunotherapy, ACI-35.030 (JNJ-2056). From Phase 2b and onwards, Janssen will assume responsibility for the clinical development, manufacturing and commercialization of ACI-35.030 (JNJ-2056).</w:t>
      </w:r>
    </w:p>
    <w:p>
      <w:pPr>
        <w:spacing w:after="0" w:line="183"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intend to increase our R&amp;D costs associated with the advancement of our active immunotherapies, ACI-24.060 targeting Abeta in AD and AD in DS and ACI-7104.056 targeting a-syn in PD, through mid- and late-stage clinical development, as well as through investments in our diagnostic programs.</w:t>
      </w:r>
    </w:p>
    <w:p>
      <w:pPr>
        <w:spacing w:after="0" w:line="1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Finally, we intend to further advance the characterization of our other clinical and preclinical candidates, such as our Morphomer Tau and NLRP3 inhibitor programs. In addition to the collaborative arrangements and proprietarily held assets, we expect that our total future R&amp;D costs will remain at similar levels.</w:t>
      </w:r>
    </w:p>
    <w:p>
      <w:pPr>
        <w:spacing w:after="0" w:line="18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quality assurance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R&amp;D expenses totaled CHF 15.9 million compared with CHF 15.2 million for the comparable period in 2024. This represents an increase of CHF 0.7 million. The following table presents the R&amp;D expenses during the three months ended March 31, 2025 and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2100" w:type="dxa"/>
            <w:vAlign w:val="bottom"/>
            <w:gridSpan w:val="2"/>
          </w:tcPr>
          <w:p>
            <w:pPr>
              <w:spacing w:after="0"/>
              <w:rPr>
                <w:sz w:val="15"/>
                <w:szCs w:val="15"/>
                <w:color w:val="auto"/>
              </w:rPr>
            </w:pPr>
          </w:p>
        </w:tc>
        <w:tc>
          <w:tcPr>
            <w:tcW w:w="7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direct R&amp;D expenses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expenses</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6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2100" w:type="dxa"/>
            <w:vAlign w:val="bottom"/>
            <w:gridSpan w:val="2"/>
          </w:tcPr>
          <w:p>
            <w:pPr>
              <w:spacing w:after="0"/>
              <w:rPr>
                <w:sz w:val="15"/>
                <w:szCs w:val="15"/>
                <w:color w:val="auto"/>
              </w:rPr>
            </w:pPr>
          </w:p>
        </w:tc>
        <w:tc>
          <w:tcPr>
            <w:tcW w:w="7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2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0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22" w:name="page23"/>
    <w:bookmarkEnd w:id="22"/>
    <w:p>
      <w:pPr>
        <w:ind w:left="380" w:hanging="330"/>
        <w:spacing w:after="0"/>
        <w:tabs>
          <w:tab w:leader="none" w:pos="38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spacing w:after="0" w:line="1" w:lineRule="exact"/>
        <w:rPr>
          <w:sz w:val="20"/>
          <w:szCs w:val="20"/>
          <w:color w:val="auto"/>
        </w:rPr>
      </w:pPr>
    </w:p>
    <w:p>
      <w:pPr>
        <w:ind w:left="60" w:right="5479" w:hanging="10"/>
        <w:spacing w:after="0" w:line="409" w:lineRule="auto"/>
        <w:tabs>
          <w:tab w:leader="none" w:pos="384"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share-based compensation expense For the three months ended March 31, 2025:</w:t>
      </w:r>
    </w:p>
    <w:p>
      <w:pPr>
        <w:spacing w:after="0" w:line="2"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Discovery and preclinical expenses decreased by CHF 0.4 million, primarily due to the completion of research activities in our ACI-24.060 active immunotherapy during the prior comparable period.</w:t>
      </w:r>
    </w:p>
    <w:p>
      <w:pPr>
        <w:spacing w:after="0" w:line="16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Clinical expenses increased by CHF 0.1 million, primarily due to an increase in our ACI-24.060 active immunotherapy for the expansion phase of the ABATE study.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and intellectual property costs.</w:t>
      </w:r>
    </w:p>
    <w:p>
      <w:pPr>
        <w:spacing w:after="0" w:line="225"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variances in Other non-allocated expenses relate to infrastructure and functional expenses not allocated to direct R&amp;D expenses.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salaries and related costs increased by CHF 0.2 million, primarily due to:</w:t>
      </w:r>
    </w:p>
    <w:p>
      <w:pPr>
        <w:spacing w:after="0" w:line="225" w:lineRule="exact"/>
        <w:rPr>
          <w:sz w:val="20"/>
          <w:szCs w:val="20"/>
          <w:color w:val="auto"/>
        </w:rPr>
      </w:pPr>
    </w:p>
    <w:p>
      <w:pPr>
        <w:ind w:left="1020" w:right="359" w:hanging="322"/>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0.4 million in payroll expenses, driven by new hires during the current quarter and the annualization of 2024 hires.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1020" w:right="459" w:hanging="322"/>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0.2 million in share-based compensation expense, mainly due to a decrease in the fair value of equity awards granted in 2025 compared to the prior year.</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left="60" w:right="559" w:firstLine="324"/>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40"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For the three months ended March 31, 2025, general and administrative expenses totaled CHF 4.4 million compared with CHF 5.0 million for the comparable period in 2024. This represents a decrease of CHF 0.6 million. The following table presents the general and administrative expenses during the three months ended March 31, 2025 and 2024:</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3"/>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gridSpan w:val="3"/>
            <w:vMerge w:val="continue"/>
          </w:tcPr>
          <w:p>
            <w:pPr>
              <w:spacing w:after="0"/>
              <w:rPr>
                <w:sz w:val="15"/>
                <w:szCs w:val="15"/>
                <w:color w:val="auto"/>
              </w:rPr>
            </w:pPr>
          </w:p>
        </w:tc>
        <w:tc>
          <w:tcPr>
            <w:tcW w:w="8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gridSpan w:val="3"/>
          </w:tcPr>
          <w:p>
            <w:pPr>
              <w:spacing w:after="0" w:line="216" w:lineRule="exact"/>
              <w:rPr>
                <w:sz w:val="20"/>
                <w:szCs w:val="20"/>
                <w:color w:val="auto"/>
              </w:rPr>
            </w:pPr>
            <w:r>
              <w:rPr>
                <w:rFonts w:ascii="Times New Roman" w:cs="Times New Roman" w:eastAsia="Times New Roman" w:hAnsi="Times New Roman"/>
                <w:sz w:val="17"/>
                <w:szCs w:val="17"/>
                <w:color w:val="auto"/>
              </w:rPr>
              <w:t>Salaries and related costs</w:t>
            </w:r>
            <w:r>
              <w:rPr>
                <w:rFonts w:ascii="Times New Roman" w:cs="Times New Roman" w:eastAsia="Times New Roman" w:hAnsi="Times New Roman"/>
                <w:sz w:val="25"/>
                <w:szCs w:val="25"/>
                <w:color w:val="auto"/>
                <w:vertAlign w:val="superscript"/>
              </w:rPr>
              <w:t>2</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3,196</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4,443</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depreciation expense</w:t>
      </w:r>
    </w:p>
    <w:p>
      <w:pPr>
        <w:ind w:left="380" w:hanging="330"/>
        <w:spacing w:after="0" w:line="180" w:lineRule="auto"/>
        <w:tabs>
          <w:tab w:leader="none" w:pos="38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Includes share-based compensation expense</w:t>
      </w:r>
    </w:p>
    <w:p>
      <w:pPr>
        <w:spacing w:after="0" w:line="19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decrease of CHF 0.6 million in general and administrative expenses was primarily due to a decrease in operating expenses, mainly driven by a decrease in legal fees related to business development and licensing activities, which did not occur this period compared to the prior comparative period.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operating income/(expense), net</w:t>
      </w:r>
    </w:p>
    <w:p>
      <w:pPr>
        <w:spacing w:after="0" w:line="227"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net consists primarily of income associated with foundation grants such as those from the MJFF or Target ALS.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5" w:right="1440" w:bottom="1440" w:gutter="0" w:footer="0" w:header="0"/>
        </w:sectPr>
      </w:pPr>
    </w:p>
    <w:bookmarkStart w:id="23" w:name="page24"/>
    <w:bookmarkEnd w:id="23"/>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other operating income/(expense), net was an expense of less than CHF 0.1 million compared to an income of CHF 0.1 million for the comparable period in 2024. This represents a decrease of CHF 0.1 million. The following table presents the other operating income/(expense), net during the three months ended March 31, 2025 and 2024:</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60" w:type="dxa"/>
            <w:vAlign w:val="bottom"/>
            <w:gridSpan w:val="2"/>
            <w:vMerge w:val="continue"/>
          </w:tcPr>
          <w:p>
            <w:pPr>
              <w:spacing w:after="0"/>
              <w:rPr>
                <w:sz w:val="15"/>
                <w:szCs w:val="15"/>
                <w:color w:val="auto"/>
              </w:rPr>
            </w:pPr>
          </w:p>
        </w:tc>
        <w:tc>
          <w:tcPr>
            <w:tcW w:w="8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 net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decrease of CHF 0.1 million in grant income is primarily due to the completion of activities in the prior period related to our MJFF and Target ALS awards, which did not recur in the current period.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jc w:val="both"/>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finance result, net totaled to CHF 0.3 million gain compared with a gain of CHF 2.2 million for the comparable period in 2024. This represents a decrease of CHF 1.9 million. The following table presents the finance result, net during the three months ended March 31, 2025 and 2024:</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20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5980" w:type="dxa"/>
            <w:vAlign w:val="bottom"/>
            <w:gridSpan w:val="2"/>
            <w:vMerge w:val="continue"/>
          </w:tcPr>
          <w:p>
            <w:pPr>
              <w:spacing w:after="0"/>
              <w:rPr>
                <w:sz w:val="15"/>
                <w:szCs w:val="15"/>
                <w:color w:val="auto"/>
              </w:rPr>
            </w:pPr>
          </w:p>
        </w:tc>
        <w:tc>
          <w:tcPr>
            <w:tcW w:w="840" w:type="dxa"/>
            <w:vAlign w:val="bottom"/>
            <w:tcBorders>
              <w:top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0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change in net finance result of CHF 1.9 million primarily related to a CHF 1.9 million decrease explained by unfavorable foreign currency exchange differences related to movement in the CHF versus foreign currencies, predominantly the U.S. Dollar, compared with the preceding year end rate.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0" w:right="59" w:firstLine="324"/>
        <w:spacing w:after="0" w:line="265" w:lineRule="auto"/>
        <w:rPr>
          <w:sz w:val="20"/>
          <w:szCs w:val="20"/>
          <w:color w:val="auto"/>
        </w:rPr>
      </w:pPr>
      <w:r>
        <w:rPr>
          <w:rFonts w:ascii="Times New Roman" w:cs="Times New Roman" w:eastAsia="Times New Roman" w:hAnsi="Times New Roman"/>
          <w:sz w:val="17"/>
          <w:szCs w:val="17"/>
          <w:color w:val="auto"/>
        </w:rPr>
        <w:t>To date, the Company has financed its cash requirements primarily from its public offerings, share issuances, contract revenues from option, license and collaboration agreements (OLCAs) and grants. The Company is a clinical stage company and is exposed to all the risks inherent to establishing a business. Inherent to the Company’s business are various risks and uncertainties, including the substantial uncertainty as to whether current projects will succeed and our ability to raise additional capital as needed. These risks may require us to take certain measures such as delaying, reducing or eliminating certain programs.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w:t>
      </w:r>
    </w:p>
    <w:p>
      <w:pPr>
        <w:spacing w:after="0" w:line="6" w:lineRule="exact"/>
        <w:rPr>
          <w:sz w:val="20"/>
          <w:szCs w:val="20"/>
          <w:color w:val="auto"/>
        </w:rPr>
      </w:pPr>
    </w:p>
    <w:p>
      <w:pPr>
        <w:ind w:left="60" w:right="179" w:hanging="10"/>
        <w:spacing w:after="0" w:line="260"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capital to support its operations. As of March 31, 2025, we had cash and cash equivalents of CHF 20.0 million and short-term financial assets of CHF 125.7 million for a total liquidity balance of CHF 145.7 million.</w:t>
      </w:r>
    </w:p>
    <w:p>
      <w:pPr>
        <w:spacing w:after="0" w:line="181"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 trade and other payables and accrued expenses. We expect to incur substantial expenses in connection with our product candidates in various stages of clinical development. In December 2023, it was announced that Janssen has programmed the launch of a Phase 2b clinical study to evaluate ACI-35.030 (JNJ-2056) in patients with preclinical AD, those individuals not yet showing symptoms. AC Immune and Janssen will jointly share research and development costs until the completion of the first Phase 2b, however AC Immune’s contribution to the first Phase 2b trial is capped (and remaining costs for AC Immune are non-material). From Phase 2b and onwards, Janssen will assume responsibility for the clinical development, manufacturing and commercialization of ACI-35.030 (JNJ-2056). We intend to increase our R&amp;D costs associated 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60" w:right="459"/>
        <w:spacing w:after="0" w:line="312" w:lineRule="auto"/>
        <w:rPr>
          <w:sz w:val="20"/>
          <w:szCs w:val="20"/>
          <w:color w:val="auto"/>
        </w:rPr>
      </w:pPr>
      <w:r>
        <w:rPr>
          <w:rFonts w:ascii="Times New Roman" w:cs="Times New Roman" w:eastAsia="Times New Roman" w:hAnsi="Times New Roman"/>
          <w:sz w:val="17"/>
          <w:szCs w:val="17"/>
          <w:color w:val="auto"/>
        </w:rPr>
        <w:t>the advancement of the active immunotherapies, ACI-24.060 targeting Abeta in AD and AD in DS and ACI-7104.056 targeting a-syn in PD, through clinical development, as well as through investments in our diagnostic programs.</w:t>
      </w:r>
    </w:p>
    <w:p>
      <w:pPr>
        <w:spacing w:after="0" w:line="140" w:lineRule="exact"/>
        <w:rPr>
          <w:sz w:val="20"/>
          <w:szCs w:val="20"/>
          <w:color w:val="auto"/>
        </w:rPr>
      </w:pPr>
    </w:p>
    <w:p>
      <w:pPr>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plan to continue to fund our operating and capital funding needs through proceeds received from OLCAs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71.0) million through Jefferies acting as our sales agent.</w:t>
      </w:r>
    </w:p>
    <w:p>
      <w:pPr>
        <w:spacing w:after="0" w:line="175"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first replaced this Sale Agreement in Q2 2021 to continue the ATM program and have subsequently replaced this Sale Agreement on August 6, 2024 to continue the ATM program under a new Registration Statement on Form F-3. Under each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w:t>
      </w:r>
    </w:p>
    <w:p>
      <w:pPr>
        <w:spacing w:after="0" w:line="187"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will pay Jefferies a commission of up to 3.0% of the gross sales proceeds of any common shares sold through Jefferies under the new Sales Agreement. We are not obligated to make any sales of common shares under the new Sales Agreement. As of March 31, 2025, no sales of our common shares had been made under the ATM program since the Sale Agreement was replaced on August 6, 2024.</w:t>
      </w:r>
    </w:p>
    <w:p>
      <w:pPr>
        <w:spacing w:after="0" w:line="166"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We may also consider entering into additional OLCAs and selectively partnering for clinical development and commercialization.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in CHF thousands, unaudited</w:t>
            </w: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6500" w:type="dxa"/>
            <w:vAlign w:val="bottom"/>
            <w:gridSpan w:val="2"/>
            <w:vMerge w:val="continue"/>
          </w:tcPr>
          <w:p>
            <w:pPr>
              <w:spacing w:after="0"/>
              <w:rPr>
                <w:sz w:val="15"/>
                <w:szCs w:val="15"/>
                <w:color w:val="auto"/>
              </w:rPr>
            </w:pPr>
          </w:p>
        </w:tc>
        <w:tc>
          <w:tcPr>
            <w:tcW w:w="68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left="60" w:right="79" w:firstLine="324"/>
        <w:spacing w:after="0" w:line="270" w:lineRule="auto"/>
        <w:rPr>
          <w:sz w:val="20"/>
          <w:szCs w:val="20"/>
          <w:color w:val="auto"/>
        </w:rPr>
      </w:pPr>
      <w:r>
        <w:rPr>
          <w:rFonts w:ascii="Times New Roman" w:cs="Times New Roman" w:eastAsia="Times New Roman" w:hAnsi="Times New Roman"/>
          <w:sz w:val="17"/>
          <w:szCs w:val="17"/>
          <w:color w:val="auto"/>
        </w:rPr>
        <w:t>Net cash used in operating activities was CHF 18.8 million for the three months ended March 31, 2025, compared with net cash provided by operating activities of CHF 1.0 million for the three months ended March 31, 2024. The change in cash for operating activities for the three months ended March 31, 2025 was primarily due to (i) the Company’s reporting a net loss of CHF 19.0 million for the period, compared with a net loss of CHF 17.9 million for the same period in 2024 and</w:t>
      </w:r>
    </w:p>
    <w:p>
      <w:pPr>
        <w:spacing w:after="0" w:line="3" w:lineRule="exact"/>
        <w:rPr>
          <w:sz w:val="20"/>
          <w:szCs w:val="20"/>
          <w:color w:val="auto"/>
        </w:rPr>
      </w:pPr>
    </w:p>
    <w:p>
      <w:pPr>
        <w:jc w:val="both"/>
        <w:ind w:left="60" w:right="639" w:hanging="10"/>
        <w:spacing w:after="0" w:line="290" w:lineRule="auto"/>
        <w:tabs>
          <w:tab w:leader="none" w:pos="3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working capital of CHF 20.4 million, mainly linked to the receipt of the CHF 14.8 million milestone payment from Janssen for the commencement of our first Phase 2b clinical study of ACI-35.030 in the prior period.</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Net cash provided by investing activities was CHF 3.0 million for the three months ended March 31, 2025, compared with net cash used in investing activities of CHF 23.6 million for the three months ended March 31, 2024. A net amount of CHF 3.6 million in short term-financial assets matured in the current period compared to a net invested amount of CHF</w:t>
      </w:r>
    </w:p>
    <w:p>
      <w:pPr>
        <w:spacing w:after="0" w:line="1" w:lineRule="exact"/>
        <w:rPr>
          <w:sz w:val="20"/>
          <w:szCs w:val="20"/>
          <w:color w:val="auto"/>
        </w:rPr>
      </w:pPr>
    </w:p>
    <w:p>
      <w:pPr>
        <w:ind w:left="60" w:right="279"/>
        <w:spacing w:after="0" w:line="260" w:lineRule="auto"/>
        <w:rPr>
          <w:sz w:val="20"/>
          <w:szCs w:val="20"/>
          <w:color w:val="auto"/>
        </w:rPr>
      </w:pPr>
      <w:r>
        <w:rPr>
          <w:rFonts w:ascii="Times New Roman" w:cs="Times New Roman" w:eastAsia="Times New Roman" w:hAnsi="Times New Roman"/>
          <w:sz w:val="18"/>
          <w:szCs w:val="18"/>
          <w:color w:val="auto"/>
        </w:rPr>
        <w:t>23.3 million in the comparable prior period. In addition, the Company paid CHF 0.4 million in fixed assets in the current period compared to CHF 0.2 million in the prior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was CHF 0.3 million for the three months ended March 31, 2025, compared with net cash used in financing activities of CHF 0.7 million for the three months ended March 31, 2024. The change of CHF 0.4 million is predominantly related to the payment of the transaction costs and stamp duty associated with the public offerings of common shares that were paid in the prior comparable period.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collaboration partners or we obtain regulatory approval of, and successfully commercialize, our current or any future product candidates. As of March 31, 2025, we had cash and cash equivalents of CHF 20.0 million and short-term financial assets of CHF 125.7 million, resulting in CHF 145.7 million of liquidity. The decrease of CHF 19.8 million relative to December 31, 2024 was predominantly related to R&amp;D spending on our major discovery and R&amp;D programs, the strengthening of the Company’s infrastructure, systems and organization and other operating expenditures. We believe that our existing capital resources, assuming no other milestone payments, will be sufficient to meet our projected operating requirements into Q1 2027. There can be no certainty as to the exact timing of future milestone payments (including option exercise fees), or in fact, whether any of these will ever be made, given that they are contingent on clear milestones being reached.</w:t>
      </w:r>
    </w:p>
    <w:p>
      <w:pPr>
        <w:spacing w:after="0" w:line="191"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700" w:right="4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61" w:lineRule="exact"/>
        <w:rPr>
          <w:rFonts w:ascii="Times New Roman" w:cs="Times New Roman" w:eastAsia="Times New Roman" w:hAnsi="Times New Roman"/>
          <w:sz w:val="18"/>
          <w:szCs w:val="18"/>
          <w:color w:val="auto"/>
        </w:rPr>
      </w:pPr>
    </w:p>
    <w:p>
      <w:pPr>
        <w:ind w:left="700" w:right="27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2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700" w:right="139" w:hanging="326"/>
        <w:spacing w:after="0" w:line="282" w:lineRule="auto"/>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6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25" w:lineRule="exact"/>
        <w:rPr>
          <w:sz w:val="20"/>
          <w:szCs w:val="20"/>
          <w:color w:val="auto"/>
        </w:rPr>
      </w:pPr>
    </w:p>
    <w:p>
      <w:pPr>
        <w:ind w:left="700" w:right="599" w:hanging="326"/>
        <w:spacing w:after="0" w:line="282" w:lineRule="auto"/>
        <w:tabs>
          <w:tab w:leader="none" w:pos="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and timing of managing, protecting, defending and enforcing our portfolio of intellectual property.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there were no significant changes to our quantitative and qualitative disclosures about market risk described under the heading “Management’s Discussion and Analysis of Financial Condition and Results of Operations – Quantitative and Qualitative Disclosures About Market Risk” in the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material accounting policies and estimates described under the heading “Management’s Discussion and Analysis of Financial Condition and Results of Operations – Critical Judgments and Accounting Estimates” in the Annual Report on Form 20-F.</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9" w:lineRule="exact"/>
        <w:rPr>
          <w:sz w:val="20"/>
          <w:szCs w:val="20"/>
          <w:color w:val="auto"/>
        </w:rPr>
      </w:pPr>
    </w:p>
    <w:p>
      <w:pPr>
        <w:ind w:left="60" w:right="79" w:firstLine="324"/>
        <w:spacing w:after="0" w:line="249"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7" w:name="page28"/>
    <w:bookmarkEnd w:id="2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165735</wp:posOffset>
            </wp:positionV>
            <wp:extent cx="1774190"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 Immune Reports First Quarter 2025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a Corporate Update</w:t>
      </w:r>
    </w:p>
    <w:p>
      <w:pPr>
        <w:spacing w:after="0" w:line="247" w:lineRule="exact"/>
        <w:rPr>
          <w:sz w:val="20"/>
          <w:szCs w:val="20"/>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advance clinical active immunotherapy portfolio for precision prevention of neurodegenerative diseases</w:t>
      </w:r>
    </w:p>
    <w:p>
      <w:pPr>
        <w:spacing w:after="0" w:line="76" w:lineRule="exact"/>
        <w:rPr>
          <w:rFonts w:ascii="Times New Roman" w:cs="Times New Roman" w:eastAsia="Times New Roman" w:hAnsi="Times New Roman"/>
          <w:sz w:val="18"/>
          <w:szCs w:val="18"/>
          <w:color w:val="auto"/>
        </w:rPr>
      </w:pPr>
    </w:p>
    <w:p>
      <w:pPr>
        <w:ind w:left="380" w:right="79" w:hanging="330"/>
        <w:spacing w:after="0" w:line="328"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immunogenicity and good safety in interim results for wholly owned anti-alpha-synuclein (a-syn) active immunotherapy ACI-7104.056 in Phase 2 trial in Parkinson’s disease (PD)</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ACI-7104.056 Phase 2 interim results (pharmacodynamics and biomarkers) expected in Q2 2025</w:t>
      </w:r>
    </w:p>
    <w:p>
      <w:pPr>
        <w:spacing w:after="0" w:line="76" w:lineRule="exact"/>
        <w:rPr>
          <w:rFonts w:ascii="Times New Roman" w:cs="Times New Roman" w:eastAsia="Times New Roman" w:hAnsi="Times New Roman"/>
          <w:sz w:val="18"/>
          <w:szCs w:val="18"/>
          <w:color w:val="auto"/>
        </w:rPr>
      </w:pPr>
    </w:p>
    <w:p>
      <w:pPr>
        <w:ind w:left="380" w:right="79" w:hanging="330"/>
        <w:spacing w:after="0" w:line="328"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Presentations at International Conference on Alzheimer’s and Parkinson’s Disease (AD/PD™ 2025) highlight leadership in active immunotherapy and promising data on early-stage assets</w:t>
      </w:r>
    </w:p>
    <w:p>
      <w:pPr>
        <w:spacing w:after="0" w:line="1" w:lineRule="exact"/>
        <w:rPr>
          <w:rFonts w:ascii="Times New Roman" w:cs="Times New Roman" w:eastAsia="Times New Roman" w:hAnsi="Times New Roman"/>
          <w:sz w:val="18"/>
          <w:szCs w:val="18"/>
          <w:color w:val="auto"/>
        </w:rPr>
      </w:pPr>
    </w:p>
    <w:p>
      <w:pPr>
        <w:ind w:left="360" w:right="79" w:hanging="310"/>
        <w:spacing w:after="0" w:line="360"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resources of CHF 145.7 million as of March 31, 2025 provide funding into Q1 2027 before any potential milestones</w:t>
      </w:r>
    </w:p>
    <w:p>
      <w:pPr>
        <w:spacing w:after="0" w:line="118" w:lineRule="exact"/>
        <w:rPr>
          <w:sz w:val="20"/>
          <w:szCs w:val="20"/>
          <w:color w:val="auto"/>
        </w:rPr>
      </w:pPr>
    </w:p>
    <w:p>
      <w:pPr>
        <w:ind w:left="60" w:right="419"/>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Lausanne, Switzerland, April 30, 2025 </w:t>
      </w:r>
      <w:r>
        <w:rPr>
          <w:rFonts w:ascii="Times New Roman" w:cs="Times New Roman" w:eastAsia="Times New Roman" w:hAnsi="Times New Roman"/>
          <w:sz w:val="18"/>
          <w:szCs w:val="18"/>
          <w:color w:val="auto"/>
        </w:rPr>
        <w:t>– AC Immune SA (NASDAQ: ACIU),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pioneering precision therapeutics for neurodegenerative diseases, today reported results for the quarter ended March 31, 2025, and provided a corporate update.</w:t>
      </w:r>
    </w:p>
    <w:p>
      <w:pPr>
        <w:spacing w:after="0" w:line="131" w:lineRule="exact"/>
        <w:rPr>
          <w:sz w:val="20"/>
          <w:szCs w:val="20"/>
          <w:color w:val="auto"/>
        </w:rPr>
      </w:pPr>
    </w:p>
    <w:p>
      <w:pPr>
        <w:ind w:left="60" w:right="59"/>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“AC Immune’s portfolio of active immunotherapies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precision prevention of neurodegeneration continues to advance in clinical development. Our interim Phase 2 data on ACI-7104.056, our wholly owned a-syn active immunotherapy, demonstrated strong immunogenicity and a favorable safety profile in early Parkinson’s disease patients, further supporting its best-in-class characteristics. Our two partnered active immunotherapy programs, ACI-24.060 and ACI-35.030, also advanced well in their respective ongoing Phase 2 trials. Furthermore, we highlighted progress with our promising early-stage assets in presentations of preclinical data at AD/PD™ 2025, including Morphomer® small molecule drugs targeting a-syn and Tau, and Morphomer®-antibody drug conjugates (morADC) our new class of drug candidates for neurodegenerative diseases.”</w:t>
      </w:r>
    </w:p>
    <w:p>
      <w:pPr>
        <w:spacing w:after="0" w:line="150" w:lineRule="exact"/>
        <w:rPr>
          <w:sz w:val="20"/>
          <w:szCs w:val="20"/>
          <w:color w:val="auto"/>
        </w:rPr>
      </w:pPr>
    </w:p>
    <w:p>
      <w:pPr>
        <w:jc w:val="both"/>
        <w:ind w:left="60" w:right="79"/>
        <w:spacing w:after="0" w:line="332" w:lineRule="auto"/>
        <w:rPr>
          <w:sz w:val="20"/>
          <w:szCs w:val="20"/>
          <w:color w:val="auto"/>
        </w:rPr>
      </w:pPr>
      <w:r>
        <w:rPr>
          <w:rFonts w:ascii="Times New Roman" w:cs="Times New Roman" w:eastAsia="Times New Roman" w:hAnsi="Times New Roman"/>
          <w:sz w:val="18"/>
          <w:szCs w:val="18"/>
          <w:color w:val="auto"/>
        </w:rPr>
        <w:t>“AC Immune is well financed into Q1 2027, without including significant potential milestones. We are moving towards several value-inflection points throughout 2025, including pharmacodynamic and biomarker data on ACI-7104.056 and potential initiation of Part 2 of the Phase 2 VacSYn trial, reaching the 12-month treatment timepoint for all the Alzheimer’s disease (AD) cohorts (including AD3 where enrollment was completed in December 2024) of the Phase 2 ABATE trial of ACI-24.060, and further developments across our early-stage pipeline.”</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Q1 2025 and Subsequent Highlights:</w:t>
      </w:r>
    </w:p>
    <w:p>
      <w:pPr>
        <w:spacing w:after="0" w:line="256" w:lineRule="exact"/>
        <w:rPr>
          <w:sz w:val="20"/>
          <w:szCs w:val="20"/>
          <w:color w:val="auto"/>
        </w:rPr>
      </w:pPr>
    </w:p>
    <w:p>
      <w:pPr>
        <w:jc w:val="both"/>
        <w:ind w:left="380" w:right="79" w:hanging="330"/>
        <w:spacing w:after="0" w:line="32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interim safety and positive immunogenicity data from the Phase 2 VacSYn clinical trial evaluating ACI-7104.056, AC Immune’s wholly-owned anti-a-syn active immunotherapy candidate, for the treatment of patients with early PD.</w:t>
      </w:r>
    </w:p>
    <w:p>
      <w:pPr>
        <w:spacing w:after="0" w:line="2" w:lineRule="exact"/>
        <w:rPr>
          <w:rFonts w:ascii="Times New Roman" w:cs="Times New Roman" w:eastAsia="Times New Roman" w:hAnsi="Times New Roman"/>
          <w:sz w:val="18"/>
          <w:szCs w:val="18"/>
          <w:color w:val="auto"/>
        </w:rPr>
      </w:pPr>
    </w:p>
    <w:p>
      <w:pPr>
        <w:ind w:left="1020" w:right="79" w:hanging="324"/>
        <w:spacing w:after="0" w:line="335"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Antibody responses were rapidly induced against the target antigen after 2 immunizations and were further</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boosted by each subsequent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724535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1020" w:right="79" w:hanging="322"/>
        <w:spacing w:after="0" w:line="308" w:lineRule="auto"/>
        <w:tabs>
          <w:tab w:leader="none" w:pos="1020" w:val="left"/>
        </w:tabs>
        <w:numPr>
          <w:ilvl w:val="1"/>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Treatment with ACI-7104.056 induced an increase in anti-a-syn antibodies on average more than 20-fold higher than the placebo background level after four immunizations.</w:t>
      </w:r>
    </w:p>
    <w:p>
      <w:pPr>
        <w:spacing w:after="0" w:line="16" w:lineRule="exact"/>
        <w:rPr>
          <w:rFonts w:ascii="Courier New" w:cs="Courier New" w:eastAsia="Courier New" w:hAnsi="Courier New"/>
          <w:sz w:val="18"/>
          <w:szCs w:val="18"/>
          <w:color w:val="auto"/>
        </w:rPr>
      </w:pPr>
    </w:p>
    <w:p>
      <w:pPr>
        <w:jc w:val="both"/>
        <w:ind w:left="1020" w:right="79" w:hanging="322"/>
        <w:spacing w:after="0" w:line="320" w:lineRule="auto"/>
        <w:tabs>
          <w:tab w:leader="none" w:pos="1020" w:val="left"/>
        </w:tabs>
        <w:numPr>
          <w:ilvl w:val="1"/>
          <w:numId w:val="2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Based on further interim results to be reported later in 2025, including pharmacodynamic and biomarker data, AC Immune may decide to initiate Part 2 of VacSYn, with the aim of establishing early proof-of-concept and identification of disease-specific biomarkers for rapid transition into a pivotal study.</w:t>
      </w: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proof-of-concept study of proprietary morADC platform was completed in Q1.</w:t>
      </w:r>
    </w:p>
    <w:p>
      <w:pPr>
        <w:spacing w:after="0" w:line="78"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Immune’s therapeutic and diagnostic programs were featured in multiple presentations at AD/PD™ 2025.</w:t>
      </w:r>
    </w:p>
    <w:p>
      <w:pPr>
        <w:spacing w:after="0" w:line="76" w:lineRule="exact"/>
        <w:rPr>
          <w:rFonts w:ascii="Times New Roman" w:cs="Times New Roman" w:eastAsia="Times New Roman" w:hAnsi="Times New Roman"/>
          <w:sz w:val="18"/>
          <w:szCs w:val="18"/>
          <w:color w:val="auto"/>
        </w:rPr>
      </w:pPr>
    </w:p>
    <w:p>
      <w:pPr>
        <w:ind w:left="360" w:right="79" w:hanging="310"/>
        <w:spacing w:after="0" w:line="360"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Immune hosted an industry symposium highlighting the company’s industry-leading pipeline of active immunotherapies for precision prevention of neurodegenerative diseases.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Anticipated 2025 Milestones</w:t>
      </w:r>
    </w:p>
    <w:p>
      <w:pPr>
        <w:spacing w:after="0" w:line="241" w:lineRule="exact"/>
        <w:rPr>
          <w:sz w:val="20"/>
          <w:szCs w:val="20"/>
          <w:color w:val="auto"/>
        </w:rPr>
      </w:pPr>
    </w:p>
    <w:tbl>
      <w:tblPr>
        <w:tblLayout w:type="fixed"/>
        <w:tblInd w:w="50" w:type="dxa"/>
        <w:tblCellMar>
          <w:top w:w="0" w:type="dxa"/>
          <w:left w:w="0" w:type="dxa"/>
          <w:bottom w:w="0" w:type="dxa"/>
          <w:right w:w="0" w:type="dxa"/>
        </w:tblCellMar>
      </w:tblPr>
      <w:tr>
        <w:trPr>
          <w:trHeight w:val="324"/>
        </w:trPr>
        <w:tc>
          <w:tcPr>
            <w:tcW w:w="2220" w:type="dxa"/>
            <w:vAlign w:val="bottom"/>
            <w:tcBorders>
              <w:top w:val="single" w:sz="8" w:color="CCCCCC"/>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5620" w:type="dxa"/>
            <w:vAlign w:val="bottom"/>
            <w:tcBorders>
              <w:top w:val="single" w:sz="8" w:color="CCCCCC"/>
              <w:right w:val="single" w:sz="8" w:color="CCCCC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Milestone</w:t>
            </w:r>
          </w:p>
        </w:tc>
        <w:tc>
          <w:tcPr>
            <w:tcW w:w="1060" w:type="dxa"/>
            <w:vAlign w:val="bottom"/>
            <w:tcBorders>
              <w:top w:val="single" w:sz="8" w:color="CCCCCC"/>
              <w:right w:val="single" w:sz="8" w:color="CCCCC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Expected in</w:t>
            </w:r>
          </w:p>
        </w:tc>
        <w:tc>
          <w:tcPr>
            <w:tcW w:w="0" w:type="dxa"/>
            <w:vAlign w:val="bottom"/>
          </w:tcPr>
          <w:p>
            <w:pPr>
              <w:spacing w:after="0"/>
              <w:rPr>
                <w:sz w:val="1"/>
                <w:szCs w:val="1"/>
                <w:color w:val="auto"/>
              </w:rPr>
            </w:pPr>
          </w:p>
        </w:tc>
      </w:tr>
      <w:tr>
        <w:trPr>
          <w:trHeight w:val="189"/>
        </w:trPr>
        <w:tc>
          <w:tcPr>
            <w:tcW w:w="2220" w:type="dxa"/>
            <w:vAlign w:val="bottom"/>
            <w:tcBorders>
              <w:left w:val="single" w:sz="8" w:color="CCCCCC"/>
              <w:bottom w:val="single" w:sz="8" w:color="CCCCCC"/>
              <w:right w:val="single" w:sz="8" w:color="CCCCCC"/>
            </w:tcBorders>
          </w:tcPr>
          <w:p>
            <w:pPr>
              <w:spacing w:after="0"/>
              <w:rPr>
                <w:sz w:val="16"/>
                <w:szCs w:val="16"/>
                <w:color w:val="auto"/>
              </w:rPr>
            </w:pPr>
          </w:p>
        </w:tc>
        <w:tc>
          <w:tcPr>
            <w:tcW w:w="5620" w:type="dxa"/>
            <w:vAlign w:val="bottom"/>
            <w:tcBorders>
              <w:bottom w:val="single" w:sz="8" w:color="CCCCCC"/>
              <w:right w:val="single" w:sz="8" w:color="CCCCCC"/>
            </w:tcBorders>
          </w:tcPr>
          <w:p>
            <w:pPr>
              <w:spacing w:after="0"/>
              <w:rPr>
                <w:sz w:val="16"/>
                <w:szCs w:val="16"/>
                <w:color w:val="auto"/>
              </w:rPr>
            </w:pPr>
          </w:p>
        </w:tc>
        <w:tc>
          <w:tcPr>
            <w:tcW w:w="1060" w:type="dxa"/>
            <w:vAlign w:val="bottom"/>
            <w:tcBorders>
              <w:bottom w:val="single" w:sz="8" w:color="CCCCCC"/>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ACI-24.060</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ABATE Phase 2 trial reaches 12-month treatment timepoint in the AD3</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6"/>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anti-Abeta active</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cohort (with interim results reported shortly thereafter)</w:t>
            </w: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5620" w:type="dxa"/>
            <w:vAlign w:val="bottom"/>
            <w:tcBorders>
              <w:right w:val="single" w:sz="8" w:color="CCCCCC"/>
            </w:tcBorders>
          </w:tcPr>
          <w:p>
            <w:pPr>
              <w:spacing w:after="0"/>
              <w:rPr>
                <w:sz w:val="22"/>
                <w:szCs w:val="22"/>
                <w:color w:val="auto"/>
              </w:rPr>
            </w:pP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ACI-7104.056</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Further interim results from Part 1 of Phase 2 VacSYn trial in PD, including</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Q2 2025</w:t>
            </w:r>
          </w:p>
        </w:tc>
        <w:tc>
          <w:tcPr>
            <w:tcW w:w="0" w:type="dxa"/>
            <w:vAlign w:val="bottom"/>
          </w:tcPr>
          <w:p>
            <w:pPr>
              <w:spacing w:after="0"/>
              <w:rPr>
                <w:sz w:val="1"/>
                <w:szCs w:val="1"/>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anti-a-syn active</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pharmacodynamics and biomarkers</w:t>
            </w: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right w:val="single" w:sz="8" w:color="CCCCCC"/>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20" w:type="dxa"/>
            <w:vAlign w:val="bottom"/>
            <w:tcBorders>
              <w:left w:val="single" w:sz="8" w:color="CCCCCC"/>
              <w:right w:val="single" w:sz="8" w:color="CCCCCC"/>
            </w:tcBorders>
            <w:vMerge w:val="continue"/>
          </w:tcPr>
          <w:p>
            <w:pPr>
              <w:spacing w:after="0"/>
              <w:rPr>
                <w:sz w:val="13"/>
                <w:szCs w:val="13"/>
                <w:color w:val="auto"/>
              </w:rPr>
            </w:pPr>
          </w:p>
        </w:tc>
        <w:tc>
          <w:tcPr>
            <w:tcW w:w="5620" w:type="dxa"/>
            <w:vAlign w:val="bottom"/>
            <w:tcBorders>
              <w:right w:val="single" w:sz="8" w:color="CCCCCC"/>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Initiation of Part 2 of VacSYn trial</w:t>
            </w:r>
          </w:p>
        </w:tc>
        <w:tc>
          <w:tcPr>
            <w:tcW w:w="1060" w:type="dxa"/>
            <w:vAlign w:val="bottom"/>
            <w:tcBorders>
              <w:right w:val="single" w:sz="8" w:color="CCCCCC"/>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148"/>
        </w:trPr>
        <w:tc>
          <w:tcPr>
            <w:tcW w:w="2220" w:type="dxa"/>
            <w:vAlign w:val="bottom"/>
            <w:tcBorders>
              <w:left w:val="single" w:sz="8" w:color="CCCCCC"/>
              <w:right w:val="single" w:sz="8" w:color="CCCCCC"/>
            </w:tcBorders>
          </w:tcPr>
          <w:p>
            <w:pPr>
              <w:spacing w:after="0"/>
              <w:rPr>
                <w:sz w:val="12"/>
                <w:szCs w:val="12"/>
                <w:color w:val="auto"/>
              </w:rPr>
            </w:pPr>
          </w:p>
        </w:tc>
        <w:tc>
          <w:tcPr>
            <w:tcW w:w="5620" w:type="dxa"/>
            <w:vAlign w:val="bottom"/>
            <w:tcBorders>
              <w:right w:val="single" w:sz="8" w:color="CCCCCC"/>
            </w:tcBorders>
            <w:vMerge w:val="continue"/>
          </w:tcPr>
          <w:p>
            <w:pPr>
              <w:spacing w:after="0"/>
              <w:rPr>
                <w:sz w:val="12"/>
                <w:szCs w:val="12"/>
                <w:color w:val="auto"/>
              </w:rPr>
            </w:pPr>
          </w:p>
        </w:tc>
        <w:tc>
          <w:tcPr>
            <w:tcW w:w="1060" w:type="dxa"/>
            <w:vAlign w:val="bottom"/>
            <w:tcBorders>
              <w:right w:val="single" w:sz="8" w:color="CCCCC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ACI-19764</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Lead declaration and initiation of IND-enabling studies</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Q2 2025</w:t>
            </w:r>
          </w:p>
        </w:tc>
        <w:tc>
          <w:tcPr>
            <w:tcW w:w="0" w:type="dxa"/>
            <w:vAlign w:val="bottom"/>
          </w:tcPr>
          <w:p>
            <w:pPr>
              <w:spacing w:after="0"/>
              <w:rPr>
                <w:sz w:val="1"/>
                <w:szCs w:val="1"/>
                <w:color w:val="auto"/>
              </w:rPr>
            </w:pPr>
          </w:p>
        </w:tc>
      </w:tr>
      <w:tr>
        <w:trPr>
          <w:trHeight w:val="135"/>
        </w:trPr>
        <w:tc>
          <w:tcPr>
            <w:tcW w:w="2220" w:type="dxa"/>
            <w:vAlign w:val="bottom"/>
            <w:tcBorders>
              <w:left w:val="single" w:sz="8" w:color="CCCCCC"/>
              <w:right w:val="single" w:sz="8" w:color="CCCCCC"/>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Small molecule NLRP3</w:t>
            </w:r>
          </w:p>
        </w:tc>
        <w:tc>
          <w:tcPr>
            <w:tcW w:w="5620" w:type="dxa"/>
            <w:vAlign w:val="bottom"/>
            <w:tcBorders>
              <w:bottom w:val="single" w:sz="8" w:color="CCCCCC"/>
              <w:right w:val="single" w:sz="8" w:color="CCCCCC"/>
            </w:tcBorders>
          </w:tcPr>
          <w:p>
            <w:pPr>
              <w:spacing w:after="0"/>
              <w:rPr>
                <w:sz w:val="11"/>
                <w:szCs w:val="11"/>
                <w:color w:val="auto"/>
              </w:rPr>
            </w:pPr>
          </w:p>
        </w:tc>
        <w:tc>
          <w:tcPr>
            <w:tcW w:w="1060" w:type="dxa"/>
            <w:vAlign w:val="bottom"/>
            <w:tcBorders>
              <w:bottom w:val="single" w:sz="8" w:color="CCCCCC"/>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220" w:type="dxa"/>
            <w:vAlign w:val="bottom"/>
            <w:tcBorders>
              <w:left w:val="single" w:sz="8" w:color="CCCCCC"/>
              <w:right w:val="single" w:sz="8" w:color="CCCCCC"/>
            </w:tcBorders>
            <w:vMerge w:val="continue"/>
          </w:tcPr>
          <w:p>
            <w:pPr>
              <w:spacing w:after="0"/>
              <w:rPr>
                <w:sz w:val="8"/>
                <w:szCs w:val="8"/>
                <w:color w:val="auto"/>
              </w:rPr>
            </w:pPr>
          </w:p>
        </w:tc>
        <w:tc>
          <w:tcPr>
            <w:tcW w:w="5620" w:type="dxa"/>
            <w:vAlign w:val="bottom"/>
            <w:tcBorders>
              <w:right w:val="single" w:sz="8" w:color="CCCCCC"/>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IND/CTA filing</w:t>
            </w:r>
          </w:p>
        </w:tc>
        <w:tc>
          <w:tcPr>
            <w:tcW w:w="1060" w:type="dxa"/>
            <w:vAlign w:val="bottom"/>
            <w:tcBorders>
              <w:right w:val="single" w:sz="8" w:color="CCCCCC"/>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6"/>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inhibitor</w:t>
            </w:r>
          </w:p>
        </w:tc>
        <w:tc>
          <w:tcPr>
            <w:tcW w:w="5620" w:type="dxa"/>
            <w:vAlign w:val="bottom"/>
            <w:tcBorders>
              <w:right w:val="single" w:sz="8" w:color="CCCCCC"/>
            </w:tcBorders>
            <w:vMerge w:val="continue"/>
          </w:tcPr>
          <w:p>
            <w:pPr>
              <w:spacing w:after="0"/>
              <w:rPr>
                <w:sz w:val="22"/>
                <w:szCs w:val="22"/>
                <w:color w:val="auto"/>
              </w:rPr>
            </w:pPr>
          </w:p>
        </w:tc>
        <w:tc>
          <w:tcPr>
            <w:tcW w:w="1060" w:type="dxa"/>
            <w:vAlign w:val="bottom"/>
            <w:tcBorders>
              <w:right w:val="single" w:sz="8" w:color="CCCCCC"/>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TDP-43</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Validated pharmacodynamic assay for clinical readout</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6"/>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monoclonal antibody</w:t>
            </w:r>
          </w:p>
        </w:tc>
        <w:tc>
          <w:tcPr>
            <w:tcW w:w="5620" w:type="dxa"/>
            <w:vAlign w:val="bottom"/>
            <w:tcBorders>
              <w:right w:val="single" w:sz="8" w:color="CCCCCC"/>
            </w:tcBorders>
          </w:tcPr>
          <w:p>
            <w:pPr>
              <w:spacing w:after="0"/>
              <w:rPr>
                <w:sz w:val="22"/>
                <w:szCs w:val="22"/>
                <w:color w:val="auto"/>
              </w:rPr>
            </w:pP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Morphomer-Tau</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Lead declaration and initiation of IND-enabling studies</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aggregation inhibitors</w:t>
            </w:r>
          </w:p>
        </w:tc>
        <w:tc>
          <w:tcPr>
            <w:tcW w:w="5620" w:type="dxa"/>
            <w:vAlign w:val="bottom"/>
            <w:tcBorders>
              <w:right w:val="single" w:sz="8" w:color="CCCCCC"/>
            </w:tcBorders>
          </w:tcPr>
          <w:p>
            <w:pPr>
              <w:spacing w:after="0"/>
              <w:rPr>
                <w:sz w:val="22"/>
                <w:szCs w:val="22"/>
                <w:color w:val="auto"/>
              </w:rPr>
            </w:pP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Morphomer a-syn</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Lead declaration</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6"/>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aggregation inhibitor</w:t>
            </w:r>
          </w:p>
        </w:tc>
        <w:tc>
          <w:tcPr>
            <w:tcW w:w="5620" w:type="dxa"/>
            <w:vAlign w:val="bottom"/>
            <w:tcBorders>
              <w:right w:val="single" w:sz="8" w:color="CCCCCC"/>
            </w:tcBorders>
          </w:tcPr>
          <w:p>
            <w:pPr>
              <w:spacing w:after="0"/>
              <w:rPr>
                <w:sz w:val="22"/>
                <w:szCs w:val="22"/>
                <w:color w:val="auto"/>
              </w:rPr>
            </w:pP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TDP-43-PET tracer</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Initial Phase 1 readout in genetic frontotemporal dementia (FTD)</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ACI-15916</w:t>
            </w:r>
          </w:p>
        </w:tc>
        <w:tc>
          <w:tcPr>
            <w:tcW w:w="5620" w:type="dxa"/>
            <w:vAlign w:val="bottom"/>
            <w:tcBorders>
              <w:right w:val="single" w:sz="8" w:color="CCCCCC"/>
            </w:tcBorders>
          </w:tcPr>
          <w:p>
            <w:pPr>
              <w:ind w:left="60"/>
              <w:spacing w:after="0"/>
              <w:rPr>
                <w:sz w:val="20"/>
                <w:szCs w:val="20"/>
                <w:color w:val="auto"/>
              </w:rPr>
            </w:pPr>
            <w:r>
              <w:rPr>
                <w:rFonts w:ascii="Times New Roman" w:cs="Times New Roman" w:eastAsia="Times New Roman" w:hAnsi="Times New Roman"/>
                <w:sz w:val="18"/>
                <w:szCs w:val="18"/>
                <w:color w:val="auto"/>
              </w:rPr>
              <w:t>Phase 1 readout in Parkinson’s disease (PD)</w:t>
            </w:r>
          </w:p>
        </w:tc>
        <w:tc>
          <w:tcPr>
            <w:tcW w:w="1060" w:type="dxa"/>
            <w:vAlign w:val="bottom"/>
            <w:tcBorders>
              <w:right w:val="single" w:sz="8" w:color="CCCCCC"/>
            </w:tcBorders>
          </w:tcPr>
          <w:p>
            <w:pPr>
              <w:ind w:left="40"/>
              <w:spacing w:after="0"/>
              <w:rPr>
                <w:sz w:val="20"/>
                <w:szCs w:val="20"/>
                <w:color w:val="auto"/>
              </w:rPr>
            </w:pPr>
            <w:r>
              <w:rPr>
                <w:rFonts w:ascii="Times New Roman" w:cs="Times New Roman" w:eastAsia="Times New Roman" w:hAnsi="Times New Roman"/>
                <w:sz w:val="18"/>
                <w:szCs w:val="18"/>
                <w:color w:val="auto"/>
              </w:rPr>
              <w:t>H2 2025</w:t>
            </w:r>
          </w:p>
        </w:tc>
        <w:tc>
          <w:tcPr>
            <w:tcW w:w="0" w:type="dxa"/>
            <w:vAlign w:val="bottom"/>
          </w:tcPr>
          <w:p>
            <w:pPr>
              <w:spacing w:after="0"/>
              <w:rPr>
                <w:sz w:val="1"/>
                <w:szCs w:val="1"/>
                <w:color w:val="auto"/>
              </w:rPr>
            </w:pPr>
          </w:p>
        </w:tc>
      </w:tr>
      <w:tr>
        <w:trPr>
          <w:trHeight w:val="257"/>
        </w:trPr>
        <w:tc>
          <w:tcPr>
            <w:tcW w:w="2220" w:type="dxa"/>
            <w:vAlign w:val="bottom"/>
            <w:tcBorders>
              <w:left w:val="single" w:sz="8" w:color="CCCCCC"/>
              <w:right w:val="single" w:sz="8" w:color="CCCCCC"/>
            </w:tcBorders>
          </w:tcPr>
          <w:p>
            <w:pPr>
              <w:ind w:left="80"/>
              <w:spacing w:after="0"/>
              <w:rPr>
                <w:sz w:val="20"/>
                <w:szCs w:val="20"/>
                <w:color w:val="auto"/>
              </w:rPr>
            </w:pPr>
            <w:r>
              <w:rPr>
                <w:rFonts w:ascii="Times New Roman" w:cs="Times New Roman" w:eastAsia="Times New Roman" w:hAnsi="Times New Roman"/>
                <w:sz w:val="18"/>
                <w:szCs w:val="18"/>
                <w:color w:val="auto"/>
              </w:rPr>
              <w:t>a-syn-PET tracer</w:t>
            </w:r>
          </w:p>
        </w:tc>
        <w:tc>
          <w:tcPr>
            <w:tcW w:w="5620" w:type="dxa"/>
            <w:vAlign w:val="bottom"/>
            <w:tcBorders>
              <w:right w:val="single" w:sz="8" w:color="CCCCCC"/>
            </w:tcBorders>
          </w:tcPr>
          <w:p>
            <w:pPr>
              <w:spacing w:after="0"/>
              <w:rPr>
                <w:sz w:val="22"/>
                <w:szCs w:val="22"/>
                <w:color w:val="auto"/>
              </w:rPr>
            </w:pPr>
          </w:p>
        </w:tc>
        <w:tc>
          <w:tcPr>
            <w:tcW w:w="106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2220" w:type="dxa"/>
            <w:vAlign w:val="bottom"/>
            <w:tcBorders>
              <w:left w:val="single" w:sz="8" w:color="CCCCCC"/>
              <w:bottom w:val="single" w:sz="8" w:color="CCCCCC"/>
              <w:right w:val="single" w:sz="8" w:color="CCCCCC"/>
            </w:tcBorders>
          </w:tcPr>
          <w:p>
            <w:pPr>
              <w:spacing w:after="0"/>
              <w:rPr>
                <w:sz w:val="7"/>
                <w:szCs w:val="7"/>
                <w:color w:val="auto"/>
              </w:rPr>
            </w:pPr>
          </w:p>
        </w:tc>
        <w:tc>
          <w:tcPr>
            <w:tcW w:w="5620" w:type="dxa"/>
            <w:vAlign w:val="bottom"/>
            <w:tcBorders>
              <w:bottom w:val="single" w:sz="8" w:color="CCCCCC"/>
              <w:right w:val="single" w:sz="8" w:color="CCCCCC"/>
            </w:tcBorders>
          </w:tcPr>
          <w:p>
            <w:pPr>
              <w:spacing w:after="0"/>
              <w:rPr>
                <w:sz w:val="7"/>
                <w:szCs w:val="7"/>
                <w:color w:val="auto"/>
              </w:rPr>
            </w:pPr>
          </w:p>
        </w:tc>
        <w:tc>
          <w:tcPr>
            <w:tcW w:w="1060" w:type="dxa"/>
            <w:vAlign w:val="bottom"/>
            <w:tcBorders>
              <w:bottom w:val="single" w:sz="8" w:color="CCCCCC"/>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Quarter Ended March 31, 2025</w:t>
      </w:r>
    </w:p>
    <w:p>
      <w:pPr>
        <w:spacing w:after="0" w:line="252" w:lineRule="exact"/>
        <w:rPr>
          <w:sz w:val="20"/>
          <w:szCs w:val="20"/>
          <w:color w:val="auto"/>
        </w:rPr>
      </w:pPr>
    </w:p>
    <w:p>
      <w:pPr>
        <w:jc w:val="both"/>
        <w:ind w:left="360" w:right="79" w:hanging="310"/>
        <w:spacing w:after="0" w:line="340" w:lineRule="auto"/>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total cash resources of CHF 145.7 million (CHF 165.5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composed of CHF 20.0 million in cash and cash equivalents and CHF 125.7 million in short-term financial assets. The Company’s cash balance provides sufficient capital resources into Q1 2027, without including potential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795020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29" w:name="page30"/>
    <w:bookmarkEnd w:id="29"/>
    <w:p>
      <w:pPr>
        <w:jc w:val="both"/>
        <w:ind w:left="360" w:right="79" w:hanging="310"/>
        <w:spacing w:after="0" w:line="346"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expenses in the period were CHF 15.9 million, compared with CHF 15.2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2024. The expenses for the period were comprised mostly of ongoing clinical trial costs as well as personnel costs (including share-based payments), and regulatory, quality assurance, and intellectual property costs.</w:t>
      </w:r>
    </w:p>
    <w:p>
      <w:pPr>
        <w:spacing w:after="0" w:line="63" w:lineRule="exact"/>
        <w:rPr>
          <w:rFonts w:ascii="Times New Roman" w:cs="Times New Roman" w:eastAsia="Times New Roman" w:hAnsi="Times New Roman"/>
          <w:sz w:val="18"/>
          <w:szCs w:val="18"/>
          <w:color w:val="auto"/>
        </w:rPr>
      </w:pPr>
    </w:p>
    <w:p>
      <w:pPr>
        <w:ind w:left="360" w:right="79" w:hanging="310"/>
        <w:spacing w:after="0" w:line="365"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expenditures: </w:t>
      </w:r>
      <w:r>
        <w:rPr>
          <w:rFonts w:ascii="Times New Roman" w:cs="Times New Roman" w:eastAsia="Times New Roman" w:hAnsi="Times New Roman"/>
          <w:sz w:val="18"/>
          <w:szCs w:val="18"/>
          <w:color w:val="auto"/>
        </w:rPr>
        <w:t>G&amp;A expenses in the period were CHF 4.4 million, compared with CHF 5.0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 in 2024.</w:t>
      </w:r>
    </w:p>
    <w:p>
      <w:pPr>
        <w:spacing w:after="0" w:line="45" w:lineRule="exact"/>
        <w:rPr>
          <w:rFonts w:ascii="Times New Roman" w:cs="Times New Roman" w:eastAsia="Times New Roman" w:hAnsi="Times New Roman"/>
          <w:sz w:val="18"/>
          <w:szCs w:val="18"/>
          <w:color w:val="auto"/>
        </w:rPr>
      </w:pPr>
    </w:p>
    <w:p>
      <w:pPr>
        <w:ind w:left="360" w:right="79" w:hanging="310"/>
        <w:spacing w:after="0" w:line="365" w:lineRule="auto"/>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IFRS loss for the period: </w:t>
      </w:r>
      <w:r>
        <w:rPr>
          <w:rFonts w:ascii="Times New Roman" w:cs="Times New Roman" w:eastAsia="Times New Roman" w:hAnsi="Times New Roman"/>
          <w:sz w:val="18"/>
          <w:szCs w:val="18"/>
          <w:color w:val="auto"/>
        </w:rPr>
        <w:t>The Company reported a net loss after taxes of CHF 19.0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2025, compared with a net loss of CHF 17.9 million for the comparable period in 2024.</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43" w:lineRule="exact"/>
        <w:rPr>
          <w:sz w:val="20"/>
          <w:szCs w:val="20"/>
          <w:color w:val="auto"/>
        </w:rPr>
      </w:pPr>
    </w:p>
    <w:p>
      <w:pPr>
        <w:ind w:left="60" w:right="139"/>
        <w:spacing w:after="0" w:line="292"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14" w:lineRule="exact"/>
        <w:rPr>
          <w:sz w:val="20"/>
          <w:szCs w:val="20"/>
          <w:color w:val="auto"/>
        </w:rPr>
      </w:pPr>
    </w:p>
    <w:p>
      <w:pPr>
        <w:ind w:left="60" w:right="99"/>
        <w:spacing w:after="0" w:line="313"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EU, GB, JP, KR, NO, RU and SG.</w:t>
      </w:r>
    </w:p>
    <w:p>
      <w:pPr>
        <w:spacing w:after="0" w:line="95" w:lineRule="exact"/>
        <w:rPr>
          <w:sz w:val="20"/>
          <w:szCs w:val="20"/>
          <w:color w:val="auto"/>
        </w:rPr>
      </w:pPr>
    </w:p>
    <w:p>
      <w:pPr>
        <w:ind w:left="60" w:right="279"/>
        <w:spacing w:after="0" w:line="313"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Gary Waanders, Ph.D., MBA</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 Immune</w:t>
      </w:r>
    </w:p>
    <w:p>
      <w:pPr>
        <w:ind w:left="140"/>
        <w:spacing w:after="0"/>
        <w:rPr>
          <w:sz w:val="20"/>
          <w:szCs w:val="20"/>
          <w:color w:val="auto"/>
        </w:rPr>
      </w:pPr>
      <w:r>
        <w:rPr>
          <w:rFonts w:ascii="Times New Roman" w:cs="Times New Roman" w:eastAsia="Times New Roman" w:hAnsi="Times New Roman"/>
          <w:sz w:val="18"/>
          <w:szCs w:val="18"/>
          <w:color w:val="auto"/>
        </w:rPr>
        <w:t>Phone: +41 21 345 91 91</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Email: gary.waanders@acimmune.com</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International Media</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Chris Maggos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Cohesion Bureau</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Phone: +41 79 367 62 54</w:t>
      </w:r>
    </w:p>
    <w:p>
      <w:pPr>
        <w:ind w:left="140"/>
        <w:spacing w:after="0"/>
        <w:rPr>
          <w:sz w:val="20"/>
          <w:szCs w:val="20"/>
          <w:color w:val="auto"/>
        </w:rPr>
      </w:pPr>
      <w:r>
        <w:rPr>
          <w:rFonts w:ascii="Times New Roman" w:cs="Times New Roman" w:eastAsia="Times New Roman" w:hAnsi="Times New Roman"/>
          <w:sz w:val="18"/>
          <w:szCs w:val="18"/>
          <w:color w:val="auto"/>
        </w:rPr>
        <w:t>Email: 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844550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ind w:left="60" w:right="119"/>
        <w:spacing w:after="0" w:line="289"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42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644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50,416</w:t>
            </w:r>
          </w:p>
        </w:tc>
        <w:tc>
          <w:tcPr>
            <w:tcW w:w="20" w:type="dxa"/>
            <w:vAlign w:val="bottom"/>
          </w:tcPr>
          <w:p>
            <w:pPr>
              <w:spacing w:after="0"/>
              <w:rPr>
                <w:sz w:val="19"/>
                <w:szCs w:val="19"/>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financial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36,275</w:t>
            </w:r>
          </w:p>
        </w:tc>
        <w:tc>
          <w:tcPr>
            <w:tcW w:w="20" w:type="dxa"/>
            <w:vAlign w:val="bottom"/>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152,134</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171,994</w:t>
            </w:r>
          </w:p>
        </w:tc>
        <w:tc>
          <w:tcPr>
            <w:tcW w:w="20" w:type="dxa"/>
            <w:vAlign w:val="bottom"/>
          </w:tcPr>
          <w:p>
            <w:pPr>
              <w:spacing w:after="0"/>
              <w:rPr>
                <w:sz w:val="19"/>
                <w:szCs w:val="19"/>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211,082</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22"/>
                <w:szCs w:val="22"/>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premium</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478,506</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losses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(386,212)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(368,239)</w:t>
            </w:r>
          </w:p>
        </w:tc>
        <w:tc>
          <w:tcPr>
            <w:tcW w:w="20" w:type="dxa"/>
            <w:vAlign w:val="bottom"/>
          </w:tcPr>
          <w:p>
            <w:pPr>
              <w:spacing w:after="0"/>
              <w:rPr>
                <w:sz w:val="19"/>
                <w:szCs w:val="19"/>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94,798</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112,270</w:t>
            </w:r>
          </w:p>
        </w:tc>
        <w:tc>
          <w:tcPr>
            <w:tcW w:w="20" w:type="dxa"/>
            <w:vAlign w:val="bottom"/>
          </w:tcPr>
          <w:p>
            <w:pPr>
              <w:spacing w:after="0"/>
              <w:rPr>
                <w:sz w:val="22"/>
                <w:szCs w:val="22"/>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deferred contract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0" w:type="dxa"/>
            <w:vAlign w:val="bottom"/>
          </w:tcPr>
          <w:p>
            <w:pPr>
              <w:spacing w:after="0"/>
              <w:rPr>
                <w:sz w:val="19"/>
                <w:szCs w:val="19"/>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20" w:type="dxa"/>
            <w:vAlign w:val="bottom"/>
          </w:tcPr>
          <w:p>
            <w:pPr>
              <w:spacing w:after="0"/>
              <w:rPr>
                <w:sz w:val="19"/>
                <w:szCs w:val="19"/>
                <w:color w:val="auto"/>
              </w:rPr>
            </w:pPr>
          </w:p>
        </w:tc>
      </w:tr>
      <w:tr>
        <w:trPr>
          <w:trHeight w:val="26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0" w:type="dxa"/>
            <w:vAlign w:val="bottom"/>
          </w:tcPr>
          <w:p>
            <w:pPr>
              <w:spacing w:after="0"/>
              <w:rPr>
                <w:sz w:val="22"/>
                <w:szCs w:val="22"/>
                <w:color w:val="auto"/>
              </w:rPr>
            </w:pPr>
          </w:p>
        </w:tc>
      </w:tr>
      <w:tr>
        <w:trPr>
          <w:trHeight w:val="210"/>
        </w:trPr>
        <w:tc>
          <w:tcPr>
            <w:tcW w:w="6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0" w:type="dxa"/>
            <w:vAlign w:val="bottom"/>
          </w:tcPr>
          <w:p>
            <w:pPr>
              <w:spacing w:after="0"/>
              <w:rPr>
                <w:sz w:val="19"/>
                <w:szCs w:val="19"/>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20" w:type="dxa"/>
            <w:vAlign w:val="bottom"/>
          </w:tcPr>
          <w:p>
            <w:pPr>
              <w:spacing w:after="0"/>
              <w:rPr>
                <w:sz w:val="19"/>
                <w:szCs w:val="19"/>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deferred contract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85,056</w:t>
            </w:r>
          </w:p>
        </w:tc>
        <w:tc>
          <w:tcPr>
            <w:tcW w:w="20" w:type="dxa"/>
            <w:vAlign w:val="bottom"/>
          </w:tcPr>
          <w:p>
            <w:pPr>
              <w:spacing w:after="0"/>
              <w:rPr>
                <w:sz w:val="19"/>
                <w:szCs w:val="19"/>
                <w:color w:val="auto"/>
              </w:rPr>
            </w:pPr>
          </w:p>
        </w:tc>
      </w:tr>
      <w:tr>
        <w:trPr>
          <w:trHeight w:val="229"/>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99,246</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100,838</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118,643</w:t>
            </w:r>
          </w:p>
        </w:tc>
        <w:tc>
          <w:tcPr>
            <w:tcW w:w="20" w:type="dxa"/>
            <w:vAlign w:val="bottom"/>
          </w:tcPr>
          <w:p>
            <w:pPr>
              <w:spacing w:after="0"/>
              <w:rPr>
                <w:sz w:val="19"/>
                <w:szCs w:val="19"/>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211,082</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230,913</w:t>
            </w:r>
          </w:p>
        </w:tc>
        <w:tc>
          <w:tcPr>
            <w:tcW w:w="2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8"/>
        </w:trPr>
        <w:tc>
          <w:tcPr>
            <w:tcW w:w="6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Contract revenue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(15,916)</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income/(expense), net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tcBorders>
              <w:bottom w:val="single" w:sz="8" w:color="CCEEFF"/>
            </w:tcBorders>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income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expense</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differences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(19,029)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Loss per share:</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4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8"/>
        </w:trPr>
        <w:tc>
          <w:tcPr>
            <w:tcW w:w="818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Income/(Loss) (Unaudited)</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4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440" w:type="dxa"/>
            <w:vAlign w:val="bottom"/>
          </w:tcPr>
          <w:p>
            <w:pPr>
              <w:spacing w:after="0"/>
              <w:rPr>
                <w:sz w:val="16"/>
                <w:szCs w:val="16"/>
                <w:color w:val="auto"/>
              </w:rPr>
            </w:pP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5"/>
        </w:trPr>
        <w:tc>
          <w:tcPr>
            <w:tcW w:w="644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be reclassified to income or loss in subsequent periods (net of tax):</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 (net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Remeasurement gains on defined-benefit plans (net of tax)</w:t>
            </w:r>
          </w:p>
        </w:tc>
        <w:tc>
          <w:tcPr>
            <w:tcW w:w="17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2"/>
        </w:trPr>
        <w:tc>
          <w:tcPr>
            <w:tcW w:w="6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33" w:name="page34"/>
    <w:bookmarkEnd w:id="33"/>
    <w:p>
      <w:pPr>
        <w:ind w:left="826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185"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940" w:type="dxa"/>
            <w:vAlign w:val="bottom"/>
            <w:tcBorders>
              <w:top w:val="single" w:sz="8" w:color="auto"/>
              <w:left w:val="single" w:sz="8" w:color="auto"/>
            </w:tcBorders>
          </w:tcPr>
          <w:p>
            <w:pPr>
              <w:spacing w:after="0"/>
              <w:rPr>
                <w:sz w:val="24"/>
                <w:szCs w:val="24"/>
                <w:color w:val="auto"/>
              </w:rPr>
            </w:pPr>
          </w:p>
        </w:tc>
        <w:tc>
          <w:tcPr>
            <w:tcW w:w="3440" w:type="dxa"/>
            <w:vAlign w:val="bottom"/>
            <w:tcBorders>
              <w:top w:val="single" w:sz="8" w:color="auto"/>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780" w:type="dxa"/>
            <w:vAlign w:val="bottom"/>
            <w:tcBorders>
              <w:top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STATUTS</w:t>
            </w:r>
          </w:p>
        </w:tc>
      </w:tr>
      <w:tr>
        <w:trPr>
          <w:trHeight w:val="324"/>
        </w:trPr>
        <w:tc>
          <w:tcPr>
            <w:tcW w:w="94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de</w:t>
            </w:r>
          </w:p>
        </w:tc>
      </w:tr>
      <w:tr>
        <w:trPr>
          <w:trHeight w:val="302"/>
        </w:trPr>
        <w:tc>
          <w:tcPr>
            <w:tcW w:w="94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AC Immune SA</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(AC Immune AG)</w:t>
            </w:r>
          </w:p>
        </w:tc>
        <w:tc>
          <w:tcPr>
            <w:tcW w:w="2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(AC Immune AG)</w:t>
            </w:r>
          </w:p>
        </w:tc>
      </w:tr>
      <w:tr>
        <w:trPr>
          <w:trHeight w:val="238"/>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(AC Immune Ltd)</w:t>
            </w:r>
          </w:p>
        </w:tc>
        <w:tc>
          <w:tcPr>
            <w:tcW w:w="2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(AC Immune Ltd)</w:t>
            </w:r>
          </w:p>
        </w:tc>
      </w:tr>
      <w:tr>
        <w:trPr>
          <w:trHeight w:val="634"/>
        </w:trPr>
        <w:tc>
          <w:tcPr>
            <w:tcW w:w="94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with registered office in</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avec siège à</w:t>
            </w:r>
          </w:p>
        </w:tc>
      </w:tr>
      <w:tr>
        <w:trPr>
          <w:trHeight w:val="324"/>
        </w:trPr>
        <w:tc>
          <w:tcPr>
            <w:tcW w:w="94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Ecublens (VD)</w:t>
            </w:r>
          </w:p>
        </w:tc>
      </w:tr>
      <w:tr>
        <w:trPr>
          <w:trHeight w:val="30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 French version of these Articles of Association shall</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9"/>
              </w:rPr>
              <w:t>La version française de ces statuts fait foi.</w:t>
            </w: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prevail.</w:t>
            </w:r>
          </w:p>
        </w:tc>
        <w:tc>
          <w:tcPr>
            <w:tcW w:w="34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r>
      <w:tr>
        <w:trPr>
          <w:trHeight w:val="295"/>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NAME, PRINCIPAL</w:t>
            </w:r>
          </w:p>
        </w:tc>
        <w:tc>
          <w:tcPr>
            <w:tcW w:w="220" w:type="dxa"/>
            <w:vAlign w:val="bottom"/>
            <w:tcBorders>
              <w:right w:val="single" w:sz="8" w:color="auto"/>
            </w:tcBorders>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w:t>
            </w:r>
          </w:p>
        </w:tc>
        <w:tc>
          <w:tcPr>
            <w:tcW w:w="37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RAISON SOCIALE, SIÈGE, DURÉE ET</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OFFICE, DURATION AND PURPOSE</w:t>
            </w:r>
          </w:p>
        </w:tc>
        <w:tc>
          <w:tcPr>
            <w:tcW w:w="2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7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BUT DE LA SOCIÉTÉ</w:t>
            </w:r>
          </w:p>
        </w:tc>
      </w:tr>
      <w:tr>
        <w:trPr>
          <w:trHeight w:val="238"/>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 THE COMPANY</w:t>
            </w:r>
          </w:p>
        </w:tc>
        <w:tc>
          <w:tcPr>
            <w:tcW w:w="2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r>
      <w:tr>
        <w:trPr>
          <w:trHeight w:val="310"/>
        </w:trPr>
        <w:tc>
          <w:tcPr>
            <w:tcW w:w="940" w:type="dxa"/>
            <w:vAlign w:val="bottom"/>
            <w:tcBorders>
              <w:left w:val="single" w:sz="8" w:color="auto"/>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spacing w:after="0"/>
              <w:rPr>
                <w:sz w:val="24"/>
                <w:szCs w:val="24"/>
                <w:color w:val="auto"/>
              </w:rPr>
            </w:pPr>
          </w:p>
        </w:tc>
      </w:tr>
      <w:tr>
        <w:trPr>
          <w:trHeight w:val="318"/>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1</w:t>
            </w: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Corporate Name and Duration</w:t>
            </w:r>
          </w:p>
        </w:tc>
        <w:tc>
          <w:tcPr>
            <w:tcW w:w="220" w:type="dxa"/>
            <w:vAlign w:val="bottom"/>
            <w:tcBorders>
              <w:right w:val="single" w:sz="8" w:color="auto"/>
            </w:tcBorders>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w:t>
            </w:r>
          </w:p>
        </w:tc>
        <w:tc>
          <w:tcPr>
            <w:tcW w:w="37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Raison sociale et durée</w:t>
            </w:r>
          </w:p>
        </w:tc>
      </w:tr>
      <w:tr>
        <w:trPr>
          <w:trHeight w:val="324"/>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Sous la raison sociale</w:t>
            </w:r>
          </w:p>
        </w:tc>
      </w:tr>
      <w:tr>
        <w:trPr>
          <w:trHeight w:val="306"/>
        </w:trPr>
        <w:tc>
          <w:tcPr>
            <w:tcW w:w="94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AC Immune SA</w:t>
            </w:r>
          </w:p>
        </w:tc>
        <w:tc>
          <w:tcPr>
            <w:tcW w:w="22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AC Immune SA</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(AC Immune AG)</w:t>
            </w:r>
          </w:p>
        </w:tc>
        <w:tc>
          <w:tcPr>
            <w:tcW w:w="2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(AC Immune AG)</w:t>
            </w:r>
          </w:p>
        </w:tc>
      </w:tr>
      <w:tr>
        <w:trPr>
          <w:trHeight w:val="234"/>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9"/>
              </w:rPr>
              <w:t>(AC Immune Ltd)</w:t>
            </w:r>
          </w:p>
        </w:tc>
        <w:tc>
          <w:tcPr>
            <w:tcW w:w="2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Borders>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(AC Immune Ltd)</w:t>
            </w:r>
          </w:p>
        </w:tc>
      </w:tr>
      <w:tr>
        <w:trPr>
          <w:trHeight w:val="304"/>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there exists a company pursuant to the provisions of</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il existe une société conformément aux articles 620 ss. du</w:t>
            </w:r>
          </w:p>
        </w:tc>
      </w:tr>
      <w:tr>
        <w:trPr>
          <w:trHeight w:val="218"/>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Articles 620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Swiss Code of Obligations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Code des Obligations suisse (CO) ayant son siège à</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  with  registered  office  in  Ecublens  (VD).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Ecublens (VD). La durée de la société est illimitée.</w:t>
            </w:r>
          </w:p>
        </w:tc>
      </w:tr>
      <w:tr>
        <w:trPr>
          <w:trHeight w:val="234"/>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duration of the Company is unlimited.</w:t>
            </w:r>
          </w:p>
        </w:tc>
        <w:tc>
          <w:tcPr>
            <w:tcW w:w="22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r>
      <w:tr>
        <w:trPr>
          <w:trHeight w:val="318"/>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Art. 2</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20" w:type="dxa"/>
            <w:vAlign w:val="bottom"/>
            <w:tcBorders>
              <w:right w:val="single" w:sz="8" w:color="auto"/>
            </w:tcBorders>
          </w:tcPr>
          <w:p>
            <w:pPr>
              <w:spacing w:after="0"/>
              <w:rPr>
                <w:sz w:val="24"/>
                <w:szCs w:val="24"/>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w:t>
            </w:r>
          </w:p>
        </w:tc>
        <w:tc>
          <w:tcPr>
            <w:tcW w:w="37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But</w:t>
            </w:r>
          </w:p>
        </w:tc>
      </w:tr>
      <w:tr>
        <w:trPr>
          <w:trHeight w:val="30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purpose of the Company is the research, study,</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but de la société est la recherche, les études, le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development,   manufacture,   promotion,   sale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développement, la fabrication, la promotion, la vente et le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marketing  of  products  and  substances  within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marketing des produits et des substances au sein de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pharmaceutical and nutrition industry as well as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l'industrie pharmaceutique et de la nutrition ainsi que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purchase, sale and exploitation of patents and licenses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l'achat, la vente et l'exploitation de brevets et de licences</w:t>
            </w: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field.</w:t>
            </w:r>
          </w:p>
        </w:tc>
        <w:tc>
          <w:tcPr>
            <w:tcW w:w="34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ce domaine.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Company may engage in any activities which are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 société peut se livrer à des activités qui sont de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apt to favor the purpose of the Company directly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nature à favoriser directement ou indirectement le but de</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indirectly. The Company may also acquire and sell real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 société. La société peut également acquérir et vendre</w:t>
            </w: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estate.</w:t>
            </w:r>
          </w:p>
        </w:tc>
        <w:tc>
          <w:tcPr>
            <w:tcW w:w="34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des biens immobiliers.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Company may open branch offices in Switzerland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La société peut ouvrir des succursales en Suisse et à</w:t>
            </w:r>
          </w:p>
        </w:tc>
      </w:tr>
      <w:tr>
        <w:trPr>
          <w:trHeight w:val="216"/>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abroad and may also acquire participations in other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l'étranger et peut également acquérir des participations</w:t>
            </w:r>
          </w:p>
        </w:tc>
      </w:tr>
      <w:tr>
        <w:trPr>
          <w:trHeight w:val="234"/>
        </w:trPr>
        <w:tc>
          <w:tcPr>
            <w:tcW w:w="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companies.</w:t>
            </w:r>
          </w:p>
        </w:tc>
        <w:tc>
          <w:tcPr>
            <w:tcW w:w="344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d'autres sociétés.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Company may provide securities to its subsidiaries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La société peut fournir des titres à ses filiales et des</w:t>
            </w:r>
          </w:p>
        </w:tc>
      </w:tr>
      <w:tr>
        <w:trPr>
          <w:trHeight w:val="234"/>
        </w:trPr>
        <w:tc>
          <w:tcPr>
            <w:tcW w:w="4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 supply guarantees.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garanties d'approvisionnement.</w:t>
            </w: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r>
      <w:tr>
        <w:trPr>
          <w:trHeight w:val="986"/>
        </w:trPr>
        <w:tc>
          <w:tcPr>
            <w:tcW w:w="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887" w:right="1279" w:bottom="1440" w:gutter="0" w:footer="0" w:header="0"/>
        </w:sectPr>
      </w:pPr>
    </w:p>
    <w:bookmarkStart w:id="34" w:name="page35"/>
    <w:bookmarkEnd w:id="34"/>
    <w:p>
      <w:pPr>
        <w:ind w:left="9100"/>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pacing w:after="0" w:line="303"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82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II.</w:t>
            </w:r>
          </w:p>
        </w:tc>
        <w:tc>
          <w:tcPr>
            <w:tcW w:w="3100" w:type="dxa"/>
            <w:vAlign w:val="bottom"/>
            <w:tcBorders>
              <w:top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 AND SHARES</w:t>
            </w:r>
          </w:p>
        </w:tc>
        <w:tc>
          <w:tcPr>
            <w:tcW w:w="460" w:type="dxa"/>
            <w:vAlign w:val="bottom"/>
            <w:tcBorders>
              <w:top w:val="single" w:sz="8" w:color="auto"/>
              <w:right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II.</w:t>
            </w:r>
          </w:p>
        </w:tc>
        <w:tc>
          <w:tcPr>
            <w:tcW w:w="320" w:type="dxa"/>
            <w:vAlign w:val="bottom"/>
            <w:tcBorders>
              <w:top w:val="single" w:sz="8" w:color="auto"/>
            </w:tcBorders>
          </w:tcPr>
          <w:p>
            <w:pPr>
              <w:spacing w:after="0"/>
              <w:rPr>
                <w:sz w:val="24"/>
                <w:szCs w:val="24"/>
                <w:color w:val="auto"/>
              </w:rPr>
            </w:pPr>
          </w:p>
        </w:tc>
        <w:tc>
          <w:tcPr>
            <w:tcW w:w="3580" w:type="dxa"/>
            <w:vAlign w:val="bottom"/>
            <w:tcBorders>
              <w:top w:val="single" w:sz="8" w:color="auto"/>
              <w:right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CAPITAL-ACTIONS ET ACTIONS</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100" w:type="dxa"/>
            <w:vAlign w:val="bottom"/>
            <w:tcBorders>
              <w:bottom w:val="single" w:sz="8" w:color="auto"/>
            </w:tcBorders>
            <w:gridSpan w:val="5"/>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2280" w:type="dxa"/>
            <w:vAlign w:val="bottom"/>
            <w:tcBorders>
              <w:bottom w:val="single" w:sz="8" w:color="auto"/>
            </w:tcBorders>
            <w:gridSpan w:val="5"/>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 and Shares</w:t>
            </w:r>
          </w:p>
        </w:tc>
        <w:tc>
          <w:tcPr>
            <w:tcW w:w="4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w:t>
            </w: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Capital-actions et actions</w:t>
            </w:r>
          </w:p>
        </w:tc>
        <w:tc>
          <w:tcPr>
            <w:tcW w:w="5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6"/>
              </w:rPr>
              <w:t>Capital</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Company</w:t>
            </w:r>
          </w:p>
        </w:tc>
        <w:tc>
          <w:tcPr>
            <w:tcW w:w="4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is</w:t>
            </w:r>
          </w:p>
        </w:tc>
        <w:tc>
          <w:tcPr>
            <w:tcW w:w="220" w:type="dxa"/>
            <w:vAlign w:val="bottom"/>
            <w:tcBorders>
              <w:right w:val="single" w:sz="8" w:color="auto"/>
            </w:tcBorders>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capital-actions</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 la</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société se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monte</w:t>
            </w:r>
          </w:p>
        </w:tc>
        <w:tc>
          <w:tcPr>
            <w:tcW w:w="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à CHF</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46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2'198'644.96.  Il</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est</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7"/>
              </w:rPr>
              <w:t>divisé</w:t>
            </w:r>
          </w:p>
        </w:tc>
        <w:tc>
          <w:tcPr>
            <w:tcW w:w="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en</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109'932’248</w:t>
            </w:r>
          </w:p>
        </w:tc>
        <w:tc>
          <w:tcPr>
            <w:tcW w:w="7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actions</w:t>
            </w: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CHF  2'198'644.96.</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It  is</w:t>
            </w:r>
          </w:p>
        </w:tc>
        <w:tc>
          <w:tcPr>
            <w:tcW w:w="2180" w:type="dxa"/>
            <w:vAlign w:val="bottom"/>
            <w:tcBorders>
              <w:right w:val="single" w:sz="8" w:color="auto"/>
            </w:tcBorders>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divided  into  109'932’248</w:t>
            </w:r>
          </w:p>
        </w:tc>
        <w:tc>
          <w:tcPr>
            <w:tcW w:w="220" w:type="dxa"/>
            <w:vAlign w:val="bottom"/>
            <w:tcBorders>
              <w:right w:val="single" w:sz="8" w:color="auto"/>
            </w:tcBorders>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tcBorders>
              <w:left w:val="single" w:sz="8" w:color="auto"/>
            </w:tcBorders>
            <w:gridSpan w:val="3"/>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180" w:type="dxa"/>
            <w:vAlign w:val="bottom"/>
            <w:tcBorders>
              <w:right w:val="single" w:sz="8" w:color="auto"/>
            </w:tcBorders>
            <w:gridSpan w:val="3"/>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9"/>
            <w:vMerge w:val="restart"/>
          </w:tcPr>
          <w:p>
            <w:pPr>
              <w:ind w:left="80"/>
              <w:spacing w:after="0"/>
              <w:rPr>
                <w:sz w:val="20"/>
                <w:szCs w:val="20"/>
                <w:color w:val="auto"/>
              </w:rPr>
            </w:pPr>
            <w:r>
              <w:rPr>
                <w:rFonts w:ascii="Times New Roman" w:cs="Times New Roman" w:eastAsia="Times New Roman" w:hAnsi="Times New Roman"/>
                <w:sz w:val="18"/>
                <w:szCs w:val="18"/>
                <w:color w:val="auto"/>
              </w:rPr>
              <w:t>nominatives d'une valeur nominale de CHF 0.02 chacune,</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registered shares with a nominal value of CHF 0.02 each,</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7"/>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entièrement libérées.</w:t>
            </w: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60" w:type="dxa"/>
            <w:vAlign w:val="bottom"/>
            <w:tcBorders>
              <w:lef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fully paid-in.</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tcBorders>
              <w:left w:val="single" w:sz="8" w:color="auto"/>
            </w:tcBorders>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7"/>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According to the contribution in kind agreement dated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Selon contrat d’apport du 12 octobre 2021, la société</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October 12th, 2021, the Company acquires from Affiris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acquiert de Affiris AG (FN 240538), société de droit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AG  (FN  240538),  a  company  incorporated  under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autrichien ayant son siège à Vienne (Autriche) les droits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Austrian  law  with  its  registered  office  in  Vienna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liés à des brevets, dépôts de brevets, marques et savoir-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(Austria),  the  rights  related  to  patents,  patent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faire. Cet apport est fait et accepté pour le prix de USD</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applications,</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know-how.</w:t>
            </w:r>
          </w:p>
        </w:tc>
        <w:tc>
          <w:tcPr>
            <w:tcW w:w="4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This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53'702'500.--, et payé par la remise à l'apporteur d’un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contribution is made and accepted for the price of USD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total de 6'501'513 actions nominatives de la société d'une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53,702,500.--, and paid by the delivery to the contributor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valeur  nominale  de  CHF  0.02  chacune,  entièrement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of a total of 6,501,513 fully paid up registered shares of</w:t>
            </w:r>
          </w:p>
        </w:tc>
        <w:tc>
          <w:tcPr>
            <w:tcW w:w="220" w:type="dxa"/>
            <w:vAlign w:val="bottom"/>
            <w:tcBorders>
              <w:right w:val="single" w:sz="8" w:color="auto"/>
            </w:tcBorders>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libérées.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the Company with a nominal value of CHF 0.02 each.</w:t>
            </w:r>
          </w:p>
        </w:tc>
        <w:tc>
          <w:tcPr>
            <w:tcW w:w="2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100" w:type="dxa"/>
            <w:vAlign w:val="bottom"/>
            <w:tcBorders>
              <w:bottom w:val="single" w:sz="8" w:color="auto"/>
            </w:tcBorders>
            <w:gridSpan w:val="5"/>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3580" w:type="dxa"/>
            <w:vAlign w:val="bottom"/>
            <w:tcBorders>
              <w:bottom w:val="single" w:sz="8" w:color="auto"/>
              <w:right w:val="single" w:sz="8" w:color="auto"/>
            </w:tcBorders>
            <w:gridSpan w:val="7"/>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3a</w:t>
            </w:r>
          </w:p>
        </w:tc>
        <w:tc>
          <w:tcPr>
            <w:tcW w:w="31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Authorized Capital Increase of Share</w:t>
            </w:r>
          </w:p>
        </w:tc>
        <w:tc>
          <w:tcPr>
            <w:tcW w:w="4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3a</w:t>
            </w:r>
          </w:p>
        </w:tc>
        <w:tc>
          <w:tcPr>
            <w:tcW w:w="3580" w:type="dxa"/>
            <w:vAlign w:val="bottom"/>
            <w:tcBorders>
              <w:right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Augmentation autorisée du capital-actions</w:t>
            </w:r>
          </w:p>
        </w:tc>
        <w:tc>
          <w:tcPr>
            <w:tcW w:w="0" w:type="dxa"/>
            <w:vAlign w:val="bottom"/>
          </w:tcPr>
          <w:p>
            <w:pPr>
              <w:spacing w:after="0"/>
              <w:rPr>
                <w:sz w:val="1"/>
                <w:szCs w:val="1"/>
                <w:color w:val="auto"/>
              </w:rPr>
            </w:pPr>
          </w:p>
        </w:tc>
      </w:tr>
      <w:tr>
        <w:trPr>
          <w:trHeight w:val="238"/>
        </w:trPr>
        <w:tc>
          <w:tcPr>
            <w:tcW w:w="820" w:type="dxa"/>
            <w:vAlign w:val="bottom"/>
            <w:tcBorders>
              <w:left w:val="single" w:sz="8" w:color="auto"/>
            </w:tcBorders>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(abrogé)</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(abrogé)</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gridSpan w:val="6"/>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1380" w:type="dxa"/>
            <w:vAlign w:val="bottom"/>
            <w:tcBorders>
              <w:bottom w:val="single" w:sz="8" w:color="auto"/>
            </w:tcBorders>
            <w:gridSpan w:val="3"/>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3b</w:t>
            </w:r>
          </w:p>
        </w:tc>
        <w:tc>
          <w:tcPr>
            <w:tcW w:w="356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Conditional  capital  for  financing  and</w:t>
            </w:r>
          </w:p>
        </w:tc>
        <w:tc>
          <w:tcPr>
            <w:tcW w:w="22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3b</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conditionnel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pour</w:t>
            </w:r>
          </w:p>
        </w:tc>
        <w:tc>
          <w:tcPr>
            <w:tcW w:w="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des</w:t>
            </w:r>
          </w:p>
        </w:tc>
        <w:tc>
          <w:tcPr>
            <w:tcW w:w="0" w:type="dxa"/>
            <w:vAlign w:val="bottom"/>
          </w:tcPr>
          <w:p>
            <w:pPr>
              <w:spacing w:after="0"/>
              <w:rPr>
                <w:sz w:val="1"/>
                <w:szCs w:val="1"/>
                <w:color w:val="auto"/>
              </w:rPr>
            </w:pPr>
          </w:p>
        </w:tc>
      </w:tr>
      <w:tr>
        <w:trPr>
          <w:trHeight w:val="238"/>
        </w:trPr>
        <w:tc>
          <w:tcPr>
            <w:tcW w:w="820" w:type="dxa"/>
            <w:vAlign w:val="bottom"/>
            <w:tcBorders>
              <w:left w:val="single" w:sz="8" w:color="auto"/>
            </w:tcBorders>
          </w:tcPr>
          <w:p>
            <w:pPr>
              <w:spacing w:after="0"/>
              <w:rPr>
                <w:sz w:val="20"/>
                <w:szCs w:val="20"/>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other purposes</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financements et autres objets</w:t>
            </w: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7"/>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share capital of the Company shall be increased by</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capital-actions de la société peut être augmenté d'un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 maximum amount of CHF 100,000 through the issue of</w:t>
            </w:r>
          </w:p>
        </w:tc>
        <w:tc>
          <w:tcPr>
            <w:tcW w:w="220" w:type="dxa"/>
            <w:vAlign w:val="bottom"/>
            <w:tcBorders>
              <w:right w:val="single" w:sz="8" w:color="auto"/>
            </w:tcBorders>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montant maximum de</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 maximum of 5,000,000 registered shares, payable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CHF 100’000 par l'émission d'un maximum de 5’000’000</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full, each with a nominal value of CHF 0.02 through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d’actions nominatives, d'une valeur nominale de CHF</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optional or mandatory exercise of conversion, exchange,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0.02 chacune, à libérer entièrement, suite à l'exercice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option, warrant or similar rights or obligations for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optionnel  ou  obligatoire  de  droits  de  conversion,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subscription of shares granted to shareholders or third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d’échange, d'option, d’acquisition (« warrants ») ou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parties on a standalone basis or in connection with bonds,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droits ou obligations similaires portant sur la souscription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notes, options, warrants or other securities or contractual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d’actions, accordés aux actionnaires ou à des tiers sur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obligations of the Company or any subsidiaries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base individuelle ou en relation avec des obligations,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Company, including convertible debt instruments, as may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reconnaissances de dette (« notes »), options, droits</w:t>
            </w:r>
          </w:p>
        </w:tc>
        <w:tc>
          <w:tcPr>
            <w:tcW w:w="0" w:type="dxa"/>
            <w:vAlign w:val="bottom"/>
          </w:tcPr>
          <w:p>
            <w:pPr>
              <w:spacing w:after="0"/>
              <w:rPr>
                <w:sz w:val="1"/>
                <w:szCs w:val="1"/>
                <w:color w:val="auto"/>
              </w:rPr>
            </w:pPr>
          </w:p>
        </w:tc>
      </w:tr>
      <w:tr>
        <w:trPr>
          <w:trHeight w:val="216"/>
        </w:trPr>
        <w:tc>
          <w:tcPr>
            <w:tcW w:w="3920" w:type="dxa"/>
            <w:vAlign w:val="bottom"/>
            <w:tcBorders>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be amended or novated from time to time.</w:t>
            </w:r>
          </w:p>
        </w:tc>
        <w:tc>
          <w:tcPr>
            <w:tcW w:w="4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d’acquisition (« warrants ») ou autres titres ou obligations</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contractuelles de la société ou de filiales de la société, y</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compris les instruments d'emprunt convertible, tels que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6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modifiés ou novés ultérieurement.</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7"/>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Shareholders'  subscription  rights  are  excluded.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droit de souscription préférentiel des actionnaires est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Shareholders' advance subscription rights with regard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exclu. Les droits de souscription préférentiels préalables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the new bonds, warrants or similar instruments may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des  actionnaires  à  l'égard  des  nouvelles  obligations,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restricted  or  excluded  by  decision  of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nouveaux  droits  d’acquisition  («  warrants  »)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Directors in order to finance or re-finance the acquisition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instruments similaires peuvent être limités ou exclus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of companies, parts of companies or holdings, or new</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décision du conseil d'administration afin de financer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investments planned by the Company, or in order to issue</w:t>
            </w:r>
          </w:p>
        </w:tc>
        <w:tc>
          <w:tcPr>
            <w:tcW w:w="220" w:type="dxa"/>
            <w:vAlign w:val="bottom"/>
            <w:tcBorders>
              <w:right w:val="single" w:sz="8" w:color="auto"/>
            </w:tcBorders>
          </w:tcPr>
          <w:p>
            <w:pPr>
              <w:spacing w:after="0"/>
              <w:rPr>
                <w:sz w:val="18"/>
                <w:szCs w:val="18"/>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refinancer</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l'acquisition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d'entreprises,</w:t>
            </w:r>
          </w:p>
        </w:tc>
        <w:tc>
          <w:tcPr>
            <w:tcW w:w="7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parts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convertible  bonds  and  warrants  on  the  international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d'entreprises  ou  de  holdings,  ou  de  nouveaux</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capital markets or through private placement. If advance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investissements prévus par la société, ou en vue d'émettre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subscription rights are excluded, then (1) the instruments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des obligations convertibles et des droits d’acquisition («</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are to be placed at market conditions, (2) the exercise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warrants ») sur les marchés internationaux de capitaux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period is not to exceed ten years from the date of issue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par  placement  privé.  Si  les  droits  de  souscription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for warrants and twenty years for conversion rights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préférentiels préalables sont exclus, (1) les instruments</w:t>
            </w:r>
          </w:p>
        </w:tc>
        <w:tc>
          <w:tcPr>
            <w:tcW w:w="0" w:type="dxa"/>
            <w:vAlign w:val="bottom"/>
          </w:tcPr>
          <w:p>
            <w:pPr>
              <w:spacing w:after="0"/>
              <w:rPr>
                <w:sz w:val="1"/>
                <w:szCs w:val="1"/>
                <w:color w:val="auto"/>
              </w:rPr>
            </w:pPr>
          </w:p>
        </w:tc>
      </w:tr>
      <w:tr>
        <w:trPr>
          <w:trHeight w:val="234"/>
        </w:trPr>
        <w:tc>
          <w:tcPr>
            <w:tcW w:w="2200" w:type="dxa"/>
            <w:vAlign w:val="bottom"/>
            <w:tcBorders>
              <w:lef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(3) the conversion or</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doivent être attribués aux</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35" w:name="page36"/>
    <w:bookmarkEnd w:id="35"/>
    <w:p>
      <w:pPr>
        <w:ind w:left="9100"/>
        <w:spacing w:after="0"/>
        <w:rPr>
          <w:sz w:val="20"/>
          <w:szCs w:val="20"/>
          <w:color w:val="auto"/>
        </w:rPr>
      </w:pPr>
      <w:r>
        <w:rPr>
          <w:rFonts w:ascii="Times New Roman" w:cs="Times New Roman" w:eastAsia="Times New Roman" w:hAnsi="Times New Roman"/>
          <w:sz w:val="16"/>
          <w:szCs w:val="16"/>
          <w:color w:val="auto"/>
        </w:rPr>
        <w:t>3</w:t>
      </w:r>
    </w:p>
    <w:p>
      <w:pPr>
        <w:spacing w:after="0" w:line="200" w:lineRule="exact"/>
        <w:rPr>
          <w:sz w:val="20"/>
          <w:szCs w:val="20"/>
          <w:color w:val="auto"/>
        </w:rPr>
      </w:pPr>
    </w:p>
    <w:p>
      <w:pPr>
        <w:spacing w:after="0" w:line="289" w:lineRule="exact"/>
        <w:rPr>
          <w:sz w:val="20"/>
          <w:szCs w:val="20"/>
          <w:color w:val="auto"/>
        </w:rPr>
      </w:pPr>
    </w:p>
    <w:tbl>
      <w:tblPr>
        <w:tblLayout w:type="fixed"/>
        <w:tblInd w:w="230" w:type="dxa"/>
        <w:tblCellMar>
          <w:top w:w="0" w:type="dxa"/>
          <w:left w:w="0" w:type="dxa"/>
          <w:bottom w:w="0" w:type="dxa"/>
          <w:right w:w="0" w:type="dxa"/>
        </w:tblCellMar>
      </w:tblPr>
      <w:tr>
        <w:trPr>
          <w:trHeight w:val="211"/>
        </w:trPr>
        <w:tc>
          <w:tcPr>
            <w:tcW w:w="43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exercise price for the new shares is to be set at least in</w:t>
            </w:r>
          </w:p>
        </w:tc>
        <w:tc>
          <w:tcPr>
            <w:tcW w:w="200" w:type="dxa"/>
            <w:vAlign w:val="bottom"/>
            <w:tcBorders>
              <w:top w:val="single" w:sz="8" w:color="auto"/>
              <w:right w:val="single" w:sz="8" w:color="auto"/>
            </w:tcBorders>
          </w:tcPr>
          <w:p>
            <w:pPr>
              <w:spacing w:after="0"/>
              <w:rPr>
                <w:sz w:val="18"/>
                <w:szCs w:val="18"/>
                <w:color w:val="auto"/>
              </w:rPr>
            </w:pPr>
          </w:p>
        </w:tc>
        <w:tc>
          <w:tcPr>
            <w:tcW w:w="43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conditions du marché, (2) la période d'exercice ne doit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line with the market conditions prevailing at the date on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pas dépasser dix ans à partir de la date d'émission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which the instruments are issued. The respective holders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droits d’acquisitions (« warrants ») et vingt ans pour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conversion and/or option or warrant rights are entitled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droits de conversion et (3) le prix de conversion ou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subscribe the new shares.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d'exercice des actions nouvelles doit être fixé au moins</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aux conditions du marché prévalant à la date à laquelle</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 instruments sont émis. Les détenteurs respectifs de</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droits  de  conversion  et/ou  option  ou  de  droits</w:t>
            </w: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d’acquisition (« warrants ») ont le droit de souscrire les</w:t>
            </w:r>
          </w:p>
        </w:tc>
      </w:tr>
      <w:tr>
        <w:trPr>
          <w:trHeight w:val="234"/>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nouvelles actions.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exercise of conversion or option rights, as well as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L’exercice des droits de conversion ou d’options,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waiver of such rights, may be exercised by written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même que la renonciation à ces droits, s’exercent par</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declaration or by electronic means.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déclaration écrite ou par voie électronique.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acquisition  of  registered  shares  through  the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L'acquisition d'actions nominatives par l'exercice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exercise  of  conversion  rights  or  warrants  and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droits ou de bons de conversion et les transferts d'actions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transfers of registered shares shall be subject to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nominatives sont assujetties aux restrictions prévues par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restrictions specified in Article 4 of the Articles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l'article 4 des statuts.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Association.</w:t>
            </w: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r>
      <w:tr>
        <w:trPr>
          <w:trHeight w:val="295"/>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3c</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Conditional Share Capital Increase for</w:t>
            </w:r>
          </w:p>
        </w:tc>
        <w:tc>
          <w:tcPr>
            <w:tcW w:w="200" w:type="dxa"/>
            <w:vAlign w:val="bottom"/>
            <w:tcBorders>
              <w:right w:val="single" w:sz="8" w:color="auto"/>
            </w:tcBorders>
          </w:tcPr>
          <w:p>
            <w:pPr>
              <w:spacing w:after="0"/>
              <w:rPr>
                <w:sz w:val="24"/>
                <w:szCs w:val="24"/>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3c</w:t>
            </w:r>
          </w:p>
        </w:tc>
        <w:tc>
          <w:tcPr>
            <w:tcW w:w="35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Augmentation conditionnelle du capital-</w:t>
            </w:r>
          </w:p>
        </w:tc>
      </w:tr>
      <w:tr>
        <w:trPr>
          <w:trHeight w:val="238"/>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 Plans</w:t>
            </w: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5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actions pour les plans d'avantages sociaux</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share capital of the Company shall be increased by</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capital social de la société sera augmenté d’un</w:t>
            </w:r>
          </w:p>
        </w:tc>
      </w:tr>
      <w:tr>
        <w:trPr>
          <w:trHeight w:val="221"/>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 amount not exceeding CHF 90’057.34 through the</w:t>
            </w:r>
          </w:p>
        </w:tc>
        <w:tc>
          <w:tcPr>
            <w:tcW w:w="20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montant ne dépassant pas CHF 90’057.34 par l'émission</w:t>
            </w:r>
          </w:p>
        </w:tc>
      </w:tr>
      <w:tr>
        <w:trPr>
          <w:trHeight w:val="22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issue of a maximum of 4'502’867 registered shares,</w:t>
            </w:r>
          </w:p>
        </w:tc>
        <w:tc>
          <w:tcPr>
            <w:tcW w:w="20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d'un  maximum  de  4'502’867  actions  nominatives,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payable in full, each with a nominal value of CHF 0.02,</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entièrement libérées, chacune avec une valeur nominale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 connection with the exercise of option rights granted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 CHF 0.02, dans le cadre de l'exercice de droits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any employee of the Company or a subsidiary, and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d'option accordés à tout employé de la Société ou d'une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consultant, members of the Board of Directors, or other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succursale, et à tout consultant, aux membres du conseil</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person  providing  services  to  the  Company  or  a</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ou à d'autres personnes fournissant des</w:t>
            </w:r>
          </w:p>
        </w:tc>
      </w:tr>
      <w:tr>
        <w:trPr>
          <w:trHeight w:val="270"/>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subsidiary.</w:t>
            </w:r>
          </w:p>
        </w:tc>
        <w:tc>
          <w:tcPr>
            <w:tcW w:w="3440" w:type="dxa"/>
            <w:vAlign w:val="bottom"/>
            <w:tcBorders>
              <w:right w:val="single" w:sz="8" w:color="auto"/>
            </w:tcBorders>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services en faveur de la Société ou d'une filiale.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Shareholders' subscription rights shall be excluded with</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droit de souscription préférentiel des actionnaires est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regard to these shares. These new registered shares may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exclu à l'égard de ces actions. Ces nouvelles actions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 issued at a price below the current market price.</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nominatives peuvent être émises à un prix inférieur au</w:t>
            </w: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r>
      <w:tr>
        <w:trPr>
          <w:trHeight w:val="1229"/>
        </w:trPr>
        <w:tc>
          <w:tcPr>
            <w:tcW w:w="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36" w:name="page37"/>
    <w:bookmarkEnd w:id="36"/>
    <w:p>
      <w:pPr>
        <w:ind w:left="9100"/>
        <w:spacing w:after="0"/>
        <w:rPr>
          <w:sz w:val="20"/>
          <w:szCs w:val="20"/>
          <w:color w:val="auto"/>
        </w:rPr>
      </w:pPr>
      <w:r>
        <w:rPr>
          <w:rFonts w:ascii="Times New Roman" w:cs="Times New Roman" w:eastAsia="Times New Roman" w:hAnsi="Times New Roman"/>
          <w:sz w:val="16"/>
          <w:szCs w:val="16"/>
          <w:color w:val="auto"/>
        </w:rPr>
        <w:t>4</w:t>
      </w:r>
    </w:p>
    <w:p>
      <w:pPr>
        <w:spacing w:after="0" w:line="200" w:lineRule="exact"/>
        <w:rPr>
          <w:sz w:val="20"/>
          <w:szCs w:val="20"/>
          <w:color w:val="auto"/>
        </w:rPr>
      </w:pPr>
    </w:p>
    <w:p>
      <w:pPr>
        <w:spacing w:after="0" w:line="303"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3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  shall  specify  the  precise</w:t>
            </w:r>
          </w:p>
        </w:tc>
        <w:tc>
          <w:tcPr>
            <w:tcW w:w="220" w:type="dxa"/>
            <w:vAlign w:val="bottom"/>
            <w:tcBorders>
              <w:top w:val="single" w:sz="8" w:color="auto"/>
              <w:right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prix du marché actuel. Le conseil d'administration doit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conditions of issue including the issue price of the shares.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préciser les conditions précises d'émission, y compris le</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4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prix d'émission des actions.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11"/>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acquisition of registered shares in connection with</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L'acquisition d'actions nominatives dans le cadre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employee  participation  and  any  further  transfers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participation des employés et d'autres transferts d'actions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registered  shares  shall  be  subject  to  the  restrictions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nominatives  sont  soumis  aux  restrictions  prévues  à</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specified in Article 4 of the Articles of Association.</w:t>
            </w:r>
          </w:p>
        </w:tc>
        <w:tc>
          <w:tcPr>
            <w:tcW w:w="220" w:type="dxa"/>
            <w:vAlign w:val="bottom"/>
            <w:tcBorders>
              <w:right w:val="single" w:sz="8" w:color="auto"/>
            </w:tcBorders>
          </w:tcPr>
          <w:p>
            <w:pPr>
              <w:spacing w:after="0"/>
              <w:rPr>
                <w:sz w:val="20"/>
                <w:szCs w:val="20"/>
                <w:color w:val="auto"/>
              </w:rPr>
            </w:pPr>
          </w:p>
        </w:tc>
        <w:tc>
          <w:tcPr>
            <w:tcW w:w="17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l'article 4 des statuts.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1580" w:type="dxa"/>
            <w:vAlign w:val="bottom"/>
            <w:tcBorders>
              <w:bottom w:val="single" w:sz="8" w:color="auto"/>
            </w:tcBorders>
            <w:gridSpan w:val="4"/>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w:t>
            </w:r>
          </w:p>
        </w:tc>
        <w:tc>
          <w:tcPr>
            <w:tcW w:w="36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 Register</w:t>
            </w:r>
          </w:p>
        </w:tc>
        <w:tc>
          <w:tcPr>
            <w:tcW w:w="220" w:type="dxa"/>
            <w:vAlign w:val="bottom"/>
            <w:tcBorders>
              <w:right w:val="single" w:sz="8" w:color="auto"/>
            </w:tcBorders>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4</w:t>
            </w: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Registre des actions</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Company shall maintain a share register in which it</w:t>
            </w:r>
          </w:p>
        </w:tc>
        <w:tc>
          <w:tcPr>
            <w:tcW w:w="220" w:type="dxa"/>
            <w:vAlign w:val="bottom"/>
            <w:tcBorders>
              <w:right w:val="single" w:sz="8" w:color="auto"/>
            </w:tcBorders>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société</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9"/>
              </w:rPr>
              <w:t>tient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des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actions</w:t>
            </w:r>
          </w:p>
        </w:tc>
        <w:tc>
          <w:tcPr>
            <w:tcW w:w="106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nominatives,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restart"/>
          </w:tcPr>
          <w:p>
            <w:pPr>
              <w:ind w:left="80"/>
              <w:spacing w:after="0"/>
              <w:rPr>
                <w:sz w:val="20"/>
                <w:szCs w:val="20"/>
                <w:color w:val="auto"/>
              </w:rPr>
            </w:pPr>
            <w:r>
              <w:rPr>
                <w:rFonts w:ascii="Times New Roman" w:cs="Times New Roman" w:eastAsia="Times New Roman" w:hAnsi="Times New Roman"/>
                <w:sz w:val="18"/>
                <w:szCs w:val="18"/>
                <w:color w:val="auto"/>
              </w:rPr>
              <w:t>dans lequel sont inscrits le nom, le prénom et l'adresse</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shall register the name, first name and place of residence</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7"/>
              </w:rPr>
              <w:t>(dans</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5"/>
              </w:rPr>
              <w:t>cas</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d'une</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personne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morale,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76"/>
              </w:rPr>
              <w:t>le</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siège)</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des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 case of legal persons the place of incorporation) of the</w:t>
            </w:r>
          </w:p>
        </w:tc>
        <w:tc>
          <w:tcPr>
            <w:tcW w:w="220" w:type="dxa"/>
            <w:vAlign w:val="bottom"/>
            <w:tcBorders>
              <w:right w:val="single" w:sz="8" w:color="auto"/>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propriétaires</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et</w:t>
            </w: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des</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usufruitiers</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des</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actions.</w:t>
            </w:r>
          </w:p>
        </w:tc>
        <w:tc>
          <w:tcPr>
            <w:tcW w:w="4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Les</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owners</w:t>
            </w:r>
          </w:p>
        </w:tc>
        <w:tc>
          <w:tcPr>
            <w:tcW w:w="36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and  usufructuaries  of  its  registered  shares.</w:t>
            </w:r>
          </w:p>
        </w:tc>
        <w:tc>
          <w:tcPr>
            <w:tcW w:w="220" w:type="dxa"/>
            <w:vAlign w:val="bottom"/>
            <w:tcBorders>
              <w:right w:val="single" w:sz="8" w:color="auto"/>
            </w:tcBorders>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tcBorders>
              <w:left w:val="single" w:sz="8" w:color="auto"/>
            </w:tcBorders>
            <w:vMerge w:val="continue"/>
          </w:tcPr>
          <w:p>
            <w:pPr>
              <w:spacing w:after="0"/>
              <w:rPr>
                <w:sz w:val="9"/>
                <w:szCs w:val="9"/>
                <w:color w:val="auto"/>
              </w:rPr>
            </w:pPr>
          </w:p>
        </w:tc>
        <w:tc>
          <w:tcPr>
            <w:tcW w:w="36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personnes</w:t>
            </w:r>
          </w:p>
        </w:tc>
        <w:tc>
          <w:tcPr>
            <w:tcW w:w="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w w:val="99"/>
              </w:rPr>
              <w:t>physiques</w:t>
            </w:r>
          </w:p>
        </w:tc>
        <w:tc>
          <w:tcPr>
            <w:tcW w:w="22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8"/>
                <w:szCs w:val="18"/>
                <w:color w:val="auto"/>
              </w:rPr>
              <w:t>et  morales  ainsi  que</w:t>
            </w:r>
          </w:p>
        </w:tc>
        <w:tc>
          <w:tcPr>
            <w:tcW w:w="4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les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Natural and legal persons as well as legal representatives</w:t>
            </w:r>
          </w:p>
        </w:tc>
        <w:tc>
          <w:tcPr>
            <w:tcW w:w="220" w:type="dxa"/>
            <w:vAlign w:val="bottom"/>
            <w:tcBorders>
              <w:right w:val="single" w:sz="8" w:color="auto"/>
            </w:tcBorders>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restart"/>
          </w:tcPr>
          <w:p>
            <w:pPr>
              <w:ind w:left="80"/>
              <w:spacing w:after="0"/>
              <w:rPr>
                <w:sz w:val="20"/>
                <w:szCs w:val="20"/>
                <w:color w:val="auto"/>
              </w:rPr>
            </w:pPr>
            <w:r>
              <w:rPr>
                <w:rFonts w:ascii="Times New Roman" w:cs="Times New Roman" w:eastAsia="Times New Roman" w:hAnsi="Times New Roman"/>
                <w:sz w:val="18"/>
                <w:szCs w:val="18"/>
                <w:color w:val="auto"/>
              </w:rPr>
              <w:t>représentants légaux des mineurs etc. autorisés par la loi</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 minors etc. entitled by law to the voting rights of a</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restart"/>
          </w:tcPr>
          <w:p>
            <w:pPr>
              <w:ind w:left="80"/>
              <w:spacing w:after="0"/>
              <w:rPr>
                <w:sz w:val="20"/>
                <w:szCs w:val="20"/>
                <w:color w:val="auto"/>
              </w:rPr>
            </w:pPr>
            <w:r>
              <w:rPr>
                <w:rFonts w:ascii="Times New Roman" w:cs="Times New Roman" w:eastAsia="Times New Roman" w:hAnsi="Times New Roman"/>
                <w:sz w:val="18"/>
                <w:szCs w:val="18"/>
                <w:color w:val="auto"/>
              </w:rPr>
              <w:t>à voter alors qu'ils ne sont pas propriétaires des actions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 which they do not own will be noted in the share</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11"/>
            <w:vMerge w:val="restart"/>
          </w:tcPr>
          <w:p>
            <w:pPr>
              <w:ind w:left="80"/>
              <w:spacing w:after="0"/>
              <w:rPr>
                <w:sz w:val="20"/>
                <w:szCs w:val="20"/>
                <w:color w:val="auto"/>
              </w:rPr>
            </w:pPr>
            <w:r>
              <w:rPr>
                <w:rFonts w:ascii="Times New Roman" w:cs="Times New Roman" w:eastAsia="Times New Roman" w:hAnsi="Times New Roman"/>
                <w:sz w:val="18"/>
                <w:szCs w:val="18"/>
                <w:color w:val="auto"/>
              </w:rPr>
              <w:t>seront, sur demande, inscrits dans le registre des actions.</w:t>
            </w:r>
          </w:p>
        </w:tc>
        <w:tc>
          <w:tcPr>
            <w:tcW w:w="0" w:type="dxa"/>
            <w:vAlign w:val="bottom"/>
          </w:tcPr>
          <w:p>
            <w:pPr>
              <w:spacing w:after="0"/>
              <w:rPr>
                <w:sz w:val="1"/>
                <w:szCs w:val="1"/>
                <w:color w:val="auto"/>
              </w:rPr>
            </w:pPr>
          </w:p>
        </w:tc>
      </w:tr>
      <w:tr>
        <w:trPr>
          <w:trHeight w:val="126"/>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register upon request.</w:t>
            </w:r>
          </w:p>
        </w:tc>
        <w:tc>
          <w:tcPr>
            <w:tcW w:w="22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11"/>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Upon request, acquirers of shares will be registered in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Sur demande, les acquéreurs d'actions seront inscrits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share register without limitation as shareholders if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dans  le  registre  des  actions  sans  limitation  comme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they expressly certify that they acquired the shares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actionnaires s'ils attestent expressément qu'ils ont acquis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their own name and for their own account.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les actions en leur propre nom et pour leur propre</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compte.</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11"/>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Persons who do not expressly declare in the registration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Les personnes qui ne déclarent pas expressément dans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application that they are holding the shares on their own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la demande d'inscription qu'ils détiennent les actions pour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 (thereafter: nominees) shall forthwith be entered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leur propre compte (par la suite: les candidats) doivent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on the share register as shareholders with voting rights up</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immédiatement être inscrits dans le registre des 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a maximum of 3 percent of the share capital. Beyond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comme actionnaires avec droit de vote pour un maximum</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that limit, registered shares of nominees shall only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de 3 pour cent du capital-actions. Au-delà de cette limite,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entered as voting if the nominees in question confirm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les actions nominatives des candidats ne sont inscrites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writing that they are willing to disclose the names,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avec droit de vote que si les candidats en question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addresses and shareholdings of the persons on whose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confirment par écrit qu'ils sont prêts à divulguer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 they hold 0.5 percent or more of the share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noms, adresses et participations des personnes pour 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capital. The Board of Directors concludes agreements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compte desquelles ils détiennent 0,5 pour cent ou plus du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  nominees  that  among  other  things  govern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capital-actions. Le conseil d'administration conclut des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 of shareholders and the voting rights.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accords  avec  les  candidats  qui,  entre  autres  choses,</w:t>
            </w: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36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régissent la représentation des actionnaires et des droits</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 vote.</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11"/>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After hearing the registered shareholder or nominee,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Après  avoir  entendu  l'actionnaire  enregistré  ou  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 may remove entries in the share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candidat, le conseil d'administration peut supprimer des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register with retroactive effect as per the date of entry, if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inscriptions  dans  le  registre  des  actions  avec  effet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such entry was based on false information. The party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rétroactif à la date d'inscription, si cette inscription était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affected must be informed of such removal immediately.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11"/>
          </w:tcPr>
          <w:p>
            <w:pPr>
              <w:ind w:left="80"/>
              <w:spacing w:after="0"/>
              <w:rPr>
                <w:sz w:val="20"/>
                <w:szCs w:val="20"/>
                <w:color w:val="auto"/>
              </w:rPr>
            </w:pPr>
            <w:r>
              <w:rPr>
                <w:rFonts w:ascii="Times New Roman" w:cs="Times New Roman" w:eastAsia="Times New Roman" w:hAnsi="Times New Roman"/>
                <w:sz w:val="18"/>
                <w:szCs w:val="18"/>
                <w:color w:val="auto"/>
              </w:rPr>
              <w:t>basée sur de fausses informations. La partie touchée doit</w:t>
            </w: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36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94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être immédiatement informée de cette suppression.</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tcBorders>
              <w:left w:val="single" w:sz="8" w:color="auto"/>
              <w:bottom w:val="single" w:sz="8" w:color="auto"/>
            </w:tcBorders>
          </w:tcPr>
          <w:p>
            <w:pPr>
              <w:spacing w:after="0"/>
              <w:rPr>
                <w:sz w:val="9"/>
                <w:szCs w:val="9"/>
                <w:color w:val="auto"/>
              </w:rPr>
            </w:pPr>
          </w:p>
        </w:tc>
        <w:tc>
          <w:tcPr>
            <w:tcW w:w="36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7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37" w:name="page38"/>
    <w:bookmarkEnd w:id="37"/>
    <w:p>
      <w:pPr>
        <w:ind w:left="9100"/>
        <w:spacing w:after="0"/>
        <w:rPr>
          <w:sz w:val="20"/>
          <w:szCs w:val="20"/>
          <w:color w:val="auto"/>
        </w:rPr>
      </w:pPr>
      <w:r>
        <w:rPr>
          <w:rFonts w:ascii="Times New Roman" w:cs="Times New Roman" w:eastAsia="Times New Roman" w:hAnsi="Times New Roman"/>
          <w:sz w:val="16"/>
          <w:szCs w:val="16"/>
          <w:color w:val="auto"/>
        </w:rPr>
        <w:t>5</w:t>
      </w:r>
    </w:p>
    <w:p>
      <w:pPr>
        <w:spacing w:after="0" w:line="200" w:lineRule="exact"/>
        <w:rPr>
          <w:sz w:val="20"/>
          <w:szCs w:val="20"/>
          <w:color w:val="auto"/>
        </w:rPr>
      </w:pPr>
    </w:p>
    <w:p>
      <w:pPr>
        <w:spacing w:after="0" w:line="303"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38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No individual or legal entity may, directly or indirectly,</w:t>
            </w:r>
          </w:p>
        </w:tc>
        <w:tc>
          <w:tcPr>
            <w:tcW w:w="220" w:type="dxa"/>
            <w:vAlign w:val="bottom"/>
            <w:tcBorders>
              <w:top w:val="single" w:sz="8" w:color="auto"/>
              <w:right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Aucune  personne  physique  ou  morale  ne  peut,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formally, constructively or beneficially own (as defined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directement   ou   indirectement,   formellement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 the next paragraph below) or otherwise control voting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implicitement détenir à son profit (comme défini dans le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rights ("Controlled Shares") with respect to 33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w:t>
            </w:r>
          </w:p>
        </w:tc>
        <w:tc>
          <w:tcPr>
            <w:tcW w:w="620" w:type="dxa"/>
            <w:vAlign w:val="bottom"/>
            <w:tcBorders>
              <w:right w:val="single" w:sz="8" w:color="auto"/>
            </w:tcBorders>
          </w:tcPr>
          <w:p>
            <w:pPr>
              <w:jc w:val="right"/>
              <w:ind w:right="47"/>
              <w:spacing w:after="0" w:line="181" w:lineRule="exact"/>
              <w:rPr>
                <w:sz w:val="20"/>
                <w:szCs w:val="20"/>
                <w:color w:val="auto"/>
              </w:rPr>
            </w:pPr>
            <w:r>
              <w:rPr>
                <w:rFonts w:ascii="Times New Roman" w:cs="Times New Roman" w:eastAsia="Times New Roman" w:hAnsi="Times New Roman"/>
                <w:sz w:val="18"/>
                <w:szCs w:val="18"/>
                <w:color w:val="auto"/>
              </w:rPr>
              <w:t>% or</w:t>
            </w:r>
          </w:p>
        </w:tc>
        <w:tc>
          <w:tcPr>
            <w:tcW w:w="2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5"/>
          </w:tcPr>
          <w:p>
            <w:pPr>
              <w:ind w:left="80"/>
              <w:spacing w:after="0" w:line="181" w:lineRule="exact"/>
              <w:rPr>
                <w:sz w:val="20"/>
                <w:szCs w:val="20"/>
                <w:color w:val="auto"/>
              </w:rPr>
            </w:pPr>
            <w:r>
              <w:rPr>
                <w:rFonts w:ascii="Times New Roman" w:cs="Times New Roman" w:eastAsia="Times New Roman" w:hAnsi="Times New Roman"/>
                <w:sz w:val="18"/>
                <w:szCs w:val="18"/>
                <w:color w:val="auto"/>
              </w:rPr>
              <w:t>paragraphe ci-dessous) ou, d'une autre manière, contrôler</w:t>
            </w:r>
          </w:p>
        </w:tc>
        <w:tc>
          <w:tcPr>
            <w:tcW w:w="0" w:type="dxa"/>
            <w:vAlign w:val="bottom"/>
          </w:tcPr>
          <w:p>
            <w:pPr>
              <w:spacing w:after="0"/>
              <w:rPr>
                <w:sz w:val="1"/>
                <w:szCs w:val="1"/>
                <w:color w:val="auto"/>
              </w:rPr>
            </w:pPr>
          </w:p>
        </w:tc>
      </w:tr>
      <w:tr>
        <w:trPr>
          <w:trHeight w:val="49"/>
        </w:trPr>
        <w:tc>
          <w:tcPr>
            <w:tcW w:w="3760" w:type="dxa"/>
            <w:vAlign w:val="bottom"/>
            <w:tcBorders>
              <w:left w:val="single" w:sz="8" w:color="auto"/>
            </w:tcBorders>
          </w:tcPr>
          <w:p>
            <w:pPr>
              <w:spacing w:after="0"/>
              <w:rPr>
                <w:sz w:val="4"/>
                <w:szCs w:val="4"/>
                <w:color w:val="auto"/>
              </w:rPr>
            </w:pPr>
          </w:p>
        </w:tc>
        <w:tc>
          <w:tcPr>
            <w:tcW w:w="620" w:type="dxa"/>
            <w:vAlign w:val="bottom"/>
            <w:tcBorders>
              <w:right w:val="single" w:sz="8" w:color="auto"/>
            </w:tcBorders>
          </w:tcPr>
          <w:p>
            <w:pPr>
              <w:jc w:val="right"/>
              <w:ind w:right="467"/>
              <w:spacing w:after="0"/>
              <w:rPr>
                <w:sz w:val="20"/>
                <w:szCs w:val="20"/>
                <w:color w:val="auto"/>
              </w:rPr>
            </w:pPr>
            <w:r>
              <w:rPr>
                <w:rFonts w:ascii="Times New Roman" w:cs="Times New Roman" w:eastAsia="Times New Roman" w:hAnsi="Times New Roman"/>
                <w:sz w:val="4"/>
                <w:szCs w:val="4"/>
                <w:color w:val="auto"/>
              </w:rPr>
              <w:t>3</w:t>
            </w:r>
          </w:p>
        </w:tc>
        <w:tc>
          <w:tcPr>
            <w:tcW w:w="220" w:type="dxa"/>
            <w:vAlign w:val="bottom"/>
            <w:tcBorders>
              <w:right w:val="single" w:sz="8" w:color="auto"/>
            </w:tcBorders>
          </w:tcPr>
          <w:p>
            <w:pPr>
              <w:spacing w:after="0"/>
              <w:rPr>
                <w:sz w:val="4"/>
                <w:szCs w:val="4"/>
                <w:color w:val="auto"/>
              </w:rPr>
            </w:pPr>
          </w:p>
        </w:tc>
        <w:tc>
          <w:tcPr>
            <w:tcW w:w="4380" w:type="dxa"/>
            <w:vAlign w:val="bottom"/>
            <w:tcBorders>
              <w:right w:val="single" w:sz="8" w:color="auto"/>
            </w:tcBorders>
            <w:gridSpan w:val="5"/>
            <w:vMerge w:val="restart"/>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le droit de vote (les "Actions Contrôlées") de 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 ou</w:t>
            </w:r>
          </w:p>
        </w:tc>
        <w:tc>
          <w:tcPr>
            <w:tcW w:w="0" w:type="dxa"/>
            <w:vAlign w:val="bottom"/>
          </w:tcPr>
          <w:p>
            <w:pPr>
              <w:spacing w:after="0"/>
              <w:rPr>
                <w:sz w:val="1"/>
                <w:szCs w:val="1"/>
                <w:color w:val="auto"/>
              </w:rPr>
            </w:pPr>
          </w:p>
        </w:tc>
      </w:tr>
      <w:tr>
        <w:trPr>
          <w:trHeight w:val="167"/>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more of the registered share capital recorded in the</w:t>
            </w:r>
          </w:p>
        </w:tc>
        <w:tc>
          <w:tcPr>
            <w:tcW w:w="220" w:type="dxa"/>
            <w:vAlign w:val="bottom"/>
            <w:tcBorders>
              <w:right w:val="single" w:sz="8" w:color="auto"/>
            </w:tcBorders>
          </w:tcPr>
          <w:p>
            <w:pPr>
              <w:spacing w:after="0"/>
              <w:rPr>
                <w:sz w:val="14"/>
                <w:szCs w:val="14"/>
                <w:color w:val="auto"/>
              </w:rPr>
            </w:pPr>
          </w:p>
        </w:tc>
        <w:tc>
          <w:tcPr>
            <w:tcW w:w="4380" w:type="dxa"/>
            <w:vAlign w:val="bottom"/>
            <w:tcBorders>
              <w:right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380" w:type="dxa"/>
            <w:vAlign w:val="bottom"/>
            <w:tcBorders>
              <w:left w:val="single" w:sz="8" w:color="auto"/>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right w:val="single" w:sz="8" w:color="auto"/>
            </w:tcBorders>
          </w:tcPr>
          <w:p>
            <w:pPr>
              <w:jc w:val="right"/>
              <w:ind w:right="484"/>
              <w:spacing w:after="0"/>
              <w:rPr>
                <w:sz w:val="20"/>
                <w:szCs w:val="20"/>
                <w:color w:val="auto"/>
              </w:rPr>
            </w:pPr>
            <w:r>
              <w:rPr>
                <w:rFonts w:ascii="Times New Roman" w:cs="Times New Roman" w:eastAsia="Times New Roman" w:hAnsi="Times New Roman"/>
                <w:sz w:val="4"/>
                <w:szCs w:val="4"/>
                <w:color w:val="auto"/>
              </w:rPr>
              <w:t>3</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 Register except if such individual or legal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plus du capital-actions nominatif tel qu'inscrit au registre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entity has submitted prior to the acquisition of such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du commerce sauf si cette personne physique ou morale 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Controlled  Shares  an  orderly  tender  offer  to  all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présenté avant l'acquisition de ces Actions Contrôlée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with a minimum price of the higher of (i)</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offre publique d'achat en bonne et due forme à tous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volume weighted average price of the last 60 trading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actionnaires à un prix minimum équivalent au montant 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days prior to the publication of the tender offer or (ii)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plus élevé entre (i) le cours moyen pondéré en fonction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highest price paid by such individual or legal entity 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du volume des 60 derniers jours de bourse précédant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12 months preceding to the publication of the tender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publication de l'offre publique d'achat et (ii) le plus haut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offer. Those associated through capital, voting power,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prix payé par cette personne physique ou morale dans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joint management or in any other way, or joining for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12 mois précédant la publication de l'offre publique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of shares, shall be regarded as one person.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d'achat. Les personnes associées par le capital, les droits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tcBorders>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The registered shares exceeding the limit of 33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4"/>
                <w:szCs w:val="14"/>
                <w:color w:val="auto"/>
              </w:rPr>
              <w:t>/</w:t>
            </w:r>
          </w:p>
        </w:tc>
        <w:tc>
          <w:tcPr>
            <w:tcW w:w="620" w:type="dxa"/>
            <w:vAlign w:val="bottom"/>
            <w:tcBorders>
              <w:right w:val="single" w:sz="8" w:color="auto"/>
            </w:tcBorders>
          </w:tcPr>
          <w:p>
            <w:pPr>
              <w:jc w:val="right"/>
              <w:ind w:right="47"/>
              <w:spacing w:after="0" w:line="181" w:lineRule="exact"/>
              <w:rPr>
                <w:sz w:val="20"/>
                <w:szCs w:val="20"/>
                <w:color w:val="auto"/>
              </w:rPr>
            </w:pPr>
            <w:r>
              <w:rPr>
                <w:rFonts w:ascii="Times New Roman" w:cs="Times New Roman" w:eastAsia="Times New Roman" w:hAnsi="Times New Roman"/>
                <w:sz w:val="18"/>
                <w:szCs w:val="18"/>
                <w:color w:val="auto"/>
              </w:rPr>
              <w:t>% and</w:t>
            </w:r>
          </w:p>
        </w:tc>
        <w:tc>
          <w:tcPr>
            <w:tcW w:w="22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5"/>
          </w:tcPr>
          <w:p>
            <w:pPr>
              <w:ind w:left="80"/>
              <w:spacing w:after="0" w:line="181" w:lineRule="exact"/>
              <w:rPr>
                <w:sz w:val="20"/>
                <w:szCs w:val="20"/>
                <w:color w:val="auto"/>
              </w:rPr>
            </w:pPr>
            <w:r>
              <w:rPr>
                <w:rFonts w:ascii="Times New Roman" w:cs="Times New Roman" w:eastAsia="Times New Roman" w:hAnsi="Times New Roman"/>
                <w:sz w:val="18"/>
                <w:szCs w:val="18"/>
                <w:color w:val="auto"/>
              </w:rPr>
              <w:t>de vote, une gestion commune ou de toute autre manière,</w:t>
            </w:r>
          </w:p>
        </w:tc>
        <w:tc>
          <w:tcPr>
            <w:tcW w:w="0" w:type="dxa"/>
            <w:vAlign w:val="bottom"/>
          </w:tcPr>
          <w:p>
            <w:pPr>
              <w:spacing w:after="0"/>
              <w:rPr>
                <w:sz w:val="1"/>
                <w:szCs w:val="1"/>
                <w:color w:val="auto"/>
              </w:rPr>
            </w:pPr>
          </w:p>
        </w:tc>
      </w:tr>
      <w:tr>
        <w:trPr>
          <w:trHeight w:val="49"/>
        </w:trPr>
        <w:tc>
          <w:tcPr>
            <w:tcW w:w="3760" w:type="dxa"/>
            <w:vAlign w:val="bottom"/>
            <w:tcBorders>
              <w:left w:val="single" w:sz="8" w:color="auto"/>
            </w:tcBorders>
          </w:tcPr>
          <w:p>
            <w:pPr>
              <w:ind w:left="3680"/>
              <w:spacing w:after="0"/>
              <w:rPr>
                <w:sz w:val="20"/>
                <w:szCs w:val="20"/>
                <w:color w:val="auto"/>
              </w:rPr>
            </w:pPr>
            <w:r>
              <w:rPr>
                <w:rFonts w:ascii="Times New Roman" w:cs="Times New Roman" w:eastAsia="Times New Roman" w:hAnsi="Times New Roman"/>
                <w:sz w:val="4"/>
                <w:szCs w:val="4"/>
                <w:color w:val="auto"/>
              </w:rPr>
              <w:t>3</w:t>
            </w:r>
          </w:p>
        </w:tc>
        <w:tc>
          <w:tcPr>
            <w:tcW w:w="620" w:type="dxa"/>
            <w:vAlign w:val="bottom"/>
            <w:tcBorders>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4380" w:type="dxa"/>
            <w:vAlign w:val="bottom"/>
            <w:tcBorders>
              <w:righ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ou qui se joignent pour une acquisition d'actions, sont</w:t>
            </w: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rPr>
              <w:t>not benefiting from the exemption regarding a tender</w:t>
            </w:r>
          </w:p>
        </w:tc>
        <w:tc>
          <w:tcPr>
            <w:tcW w:w="22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offer shall be entered in the share register as</w:t>
            </w:r>
          </w:p>
        </w:tc>
        <w:tc>
          <w:tcPr>
            <w:tcW w:w="620" w:type="dxa"/>
            <w:vAlign w:val="bottom"/>
            <w:tcBorders>
              <w:right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considérées   comme   une   personne.   Les   actions</w:t>
            </w: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without voting rights.</w:t>
            </w:r>
          </w:p>
        </w:tc>
        <w:tc>
          <w:tcPr>
            <w:tcW w:w="620" w:type="dxa"/>
            <w:vAlign w:val="bottom"/>
            <w:tcBorders>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nominatives  dépassant  la</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  de</w:t>
            </w:r>
          </w:p>
        </w:tc>
        <w:tc>
          <w:tcPr>
            <w:tcW w:w="500" w:type="dxa"/>
            <w:vAlign w:val="bottom"/>
          </w:tcPr>
          <w:p>
            <w:pPr>
              <w:jc w:val="right"/>
              <w:spacing w:after="0" w:line="221" w:lineRule="exact"/>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3</w:t>
            </w:r>
          </w:p>
        </w:tc>
        <w:tc>
          <w:tcPr>
            <w:tcW w:w="920" w:type="dxa"/>
            <w:vAlign w:val="bottom"/>
            <w:tcBorders>
              <w:right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  et  ne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bénéficiant  pas  de  l'exemption  relative  à  une  offre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publique d'achat sont inscrites dans le registre des actions</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 des actions sans droit de vote.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5"/>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For the purposes of this Article 4, "Controlled Shares"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Aux fins du présent article 4, Actions Contrôlées</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reference to any individual or entity means:</w:t>
            </w: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signifie  en  référence  à  toute  personne  physique  ou</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  all shares of the Company directly, indirectly or</w:t>
            </w:r>
          </w:p>
        </w:tc>
        <w:tc>
          <w:tcPr>
            <w:tcW w:w="220" w:type="dxa"/>
            <w:vAlign w:val="bottom"/>
            <w:tcBorders>
              <w:right w:val="single" w:sz="8" w:color="auto"/>
            </w:tcBorders>
          </w:tcPr>
          <w:p>
            <w:pPr>
              <w:spacing w:after="0"/>
              <w:rPr>
                <w:sz w:val="20"/>
                <w:szCs w:val="20"/>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morale:</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constructively owned by such individual or entity;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  toutes  actions  directement,  indirectement  ou</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provided that</w:t>
            </w: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8"/>
                <w:szCs w:val="18"/>
                <w:color w:val="auto"/>
              </w:rPr>
              <w:t>implicitement détenues par cette personne physique</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(i)  shares owned, directly or indirectly, by or for a</w:t>
            </w:r>
          </w:p>
        </w:tc>
        <w:tc>
          <w:tcPr>
            <w:tcW w:w="220" w:type="dxa"/>
            <w:vAlign w:val="bottom"/>
            <w:tcBorders>
              <w:right w:val="single" w:sz="8" w:color="auto"/>
            </w:tcBorders>
          </w:tcPr>
          <w:p>
            <w:pPr>
              <w:spacing w:after="0"/>
              <w:rPr>
                <w:sz w:val="20"/>
                <w:szCs w:val="20"/>
                <w:color w:val="auto"/>
              </w:rPr>
            </w:pPr>
          </w:p>
        </w:tc>
        <w:tc>
          <w:tcPr>
            <w:tcW w:w="2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 morale, à condition que</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partnership,  or  trust  or  estate  will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8"/>
                <w:szCs w:val="18"/>
                <w:color w:val="auto"/>
              </w:rPr>
              <w:t>(i)  les   actions   détenues,   directement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considered as being owned proportionately by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indirectement, par ou pour un partenariat, une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its partners, or beneficiaries; and</w:t>
            </w: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fiducie ou une communauté d'héritiers sont</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considérées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comme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étant</w:t>
            </w:r>
          </w:p>
        </w:tc>
        <w:tc>
          <w:tcPr>
            <w:tcW w:w="80" w:type="dxa"/>
            <w:vAlign w:val="bottom"/>
          </w:tcPr>
          <w:p>
            <w:pPr>
              <w:spacing w:after="0"/>
              <w:rPr>
                <w:sz w:val="18"/>
                <w:szCs w:val="18"/>
                <w:color w:val="auto"/>
              </w:rPr>
            </w:pPr>
          </w:p>
        </w:tc>
        <w:tc>
          <w:tcPr>
            <w:tcW w:w="92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détenues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(ii)  shares owned, directly or indirectly, by or for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proportionnellement par leurs partenaires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corporation will be considered as being owned</w:t>
            </w:r>
          </w:p>
        </w:tc>
        <w:tc>
          <w:tcPr>
            <w:tcW w:w="220" w:type="dxa"/>
            <w:vAlign w:val="bottom"/>
            <w:tcBorders>
              <w:right w:val="single" w:sz="8" w:color="auto"/>
            </w:tcBorders>
          </w:tcPr>
          <w:p>
            <w:pPr>
              <w:spacing w:after="0"/>
              <w:rPr>
                <w:sz w:val="18"/>
                <w:szCs w:val="18"/>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bénéficiaires; et</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proportionately by any shareholder owning</w:t>
            </w:r>
          </w:p>
        </w:tc>
        <w:tc>
          <w:tcPr>
            <w:tcW w:w="2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50% or more of the outstanding voting shares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8"/>
                <w:szCs w:val="18"/>
                <w:color w:val="auto"/>
              </w:rPr>
              <w:t>(ii)  les   actions   détenues,   directement   ou</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of such corporation; and</w:t>
            </w: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indirectement, par ou pour une société seront</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considérées</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comme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étant</w:t>
            </w:r>
          </w:p>
        </w:tc>
        <w:tc>
          <w:tcPr>
            <w:tcW w:w="80" w:type="dxa"/>
            <w:vAlign w:val="bottom"/>
          </w:tcPr>
          <w:p>
            <w:pPr>
              <w:spacing w:after="0"/>
              <w:rPr>
                <w:sz w:val="18"/>
                <w:szCs w:val="18"/>
                <w:color w:val="auto"/>
              </w:rPr>
            </w:pPr>
          </w:p>
        </w:tc>
        <w:tc>
          <w:tcPr>
            <w:tcW w:w="92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détenues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(iii) shares subject to options, warrants or other</w:t>
            </w:r>
          </w:p>
        </w:tc>
        <w:tc>
          <w:tcPr>
            <w:tcW w:w="220" w:type="dxa"/>
            <w:vAlign w:val="bottom"/>
            <w:tcBorders>
              <w:right w:val="single" w:sz="8" w:color="auto"/>
            </w:tcBorders>
          </w:tcPr>
          <w:p>
            <w:pPr>
              <w:spacing w:after="0"/>
              <w:rPr>
                <w:sz w:val="18"/>
                <w:szCs w:val="18"/>
                <w:color w:val="auto"/>
              </w:rPr>
            </w:pPr>
          </w:p>
        </w:tc>
        <w:tc>
          <w:tcPr>
            <w:tcW w:w="28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proportionnellement   par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tout</w:t>
            </w:r>
          </w:p>
        </w:tc>
        <w:tc>
          <w:tcPr>
            <w:tcW w:w="80" w:type="dxa"/>
            <w:vAlign w:val="bottom"/>
          </w:tcPr>
          <w:p>
            <w:pPr>
              <w:spacing w:after="0"/>
              <w:rPr>
                <w:sz w:val="18"/>
                <w:szCs w:val="18"/>
                <w:color w:val="auto"/>
              </w:rPr>
            </w:pPr>
          </w:p>
        </w:tc>
        <w:tc>
          <w:tcPr>
            <w:tcW w:w="92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w w:val="97"/>
              </w:rPr>
              <w:t>actionnaire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similar rights shall be deemed to be owned;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détenant 50% ou plus des actions avec droit de</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and</w:t>
            </w:r>
          </w:p>
        </w:tc>
        <w:tc>
          <w:tcPr>
            <w:tcW w:w="6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vote en circulation de cette société; et</w:t>
            </w:r>
          </w:p>
        </w:tc>
        <w:tc>
          <w:tcPr>
            <w:tcW w:w="0" w:type="dxa"/>
            <w:vAlign w:val="bottom"/>
          </w:tcPr>
          <w:p>
            <w:pPr>
              <w:spacing w:after="0"/>
              <w:rPr>
                <w:sz w:val="1"/>
                <w:szCs w:val="1"/>
                <w:color w:val="auto"/>
              </w:rPr>
            </w:pPr>
          </w:p>
        </w:tc>
      </w:tr>
      <w:tr>
        <w:trPr>
          <w:trHeight w:val="414"/>
        </w:trPr>
        <w:tc>
          <w:tcPr>
            <w:tcW w:w="376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8"/>
                <w:szCs w:val="18"/>
                <w:color w:val="auto"/>
              </w:rPr>
              <w:t>(iii) les actions sujettes à des options, des bons de</w:t>
            </w:r>
          </w:p>
        </w:tc>
        <w:tc>
          <w:tcPr>
            <w:tcW w:w="0" w:type="dxa"/>
            <w:vAlign w:val="bottom"/>
          </w:tcPr>
          <w:p>
            <w:pPr>
              <w:spacing w:after="0"/>
              <w:rPr>
                <w:sz w:val="1"/>
                <w:szCs w:val="1"/>
                <w:color w:val="auto"/>
              </w:rPr>
            </w:pPr>
          </w:p>
        </w:tc>
      </w:tr>
      <w:tr>
        <w:trPr>
          <w:trHeight w:val="216"/>
        </w:trPr>
        <w:tc>
          <w:tcPr>
            <w:tcW w:w="3760" w:type="dxa"/>
            <w:vAlign w:val="bottom"/>
            <w:tcBorders>
              <w:lef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5"/>
          </w:tcPr>
          <w:p>
            <w:pPr>
              <w:ind w:left="840"/>
              <w:spacing w:after="0"/>
              <w:rPr>
                <w:sz w:val="20"/>
                <w:szCs w:val="20"/>
                <w:color w:val="auto"/>
              </w:rPr>
            </w:pPr>
            <w:r>
              <w:rPr>
                <w:rFonts w:ascii="Times New Roman" w:cs="Times New Roman" w:eastAsia="Times New Roman" w:hAnsi="Times New Roman"/>
                <w:sz w:val="18"/>
                <w:szCs w:val="18"/>
                <w:color w:val="auto"/>
              </w:rPr>
              <w:t>souscription ou autres droits semblables sont</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8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réputées être détenues; et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bottom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3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38" w:name="page39"/>
    <w:bookmarkEnd w:id="38"/>
    <w:p>
      <w:pPr>
        <w:ind w:left="9100"/>
        <w:spacing w:after="0"/>
        <w:rPr>
          <w:sz w:val="20"/>
          <w:szCs w:val="20"/>
          <w:color w:val="auto"/>
        </w:rPr>
      </w:pPr>
      <w:r>
        <w:rPr>
          <w:rFonts w:ascii="Times New Roman" w:cs="Times New Roman" w:eastAsia="Times New Roman" w:hAnsi="Times New Roman"/>
          <w:sz w:val="16"/>
          <w:szCs w:val="16"/>
          <w:color w:val="auto"/>
        </w:rPr>
        <w:t>6</w:t>
      </w:r>
    </w:p>
    <w:p>
      <w:pPr>
        <w:spacing w:after="0" w:line="200" w:lineRule="exact"/>
        <w:rPr>
          <w:sz w:val="20"/>
          <w:szCs w:val="20"/>
          <w:color w:val="auto"/>
        </w:rPr>
      </w:pPr>
    </w:p>
    <w:p>
      <w:pPr>
        <w:spacing w:after="0" w:line="289"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7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  all</w:t>
            </w:r>
          </w:p>
        </w:tc>
        <w:tc>
          <w:tcPr>
            <w:tcW w:w="3600" w:type="dxa"/>
            <w:vAlign w:val="bottom"/>
            <w:tcBorders>
              <w:top w:val="single" w:sz="8" w:color="auto"/>
              <w:right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shares  of  the  Company  directly,  indirectly</w:t>
            </w:r>
          </w:p>
        </w:tc>
        <w:tc>
          <w:tcPr>
            <w:tcW w:w="200" w:type="dxa"/>
            <w:vAlign w:val="bottom"/>
            <w:tcBorders>
              <w:top w:val="single" w:sz="8" w:color="auto"/>
              <w:right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(b)  toutes actions de la société détenues directement,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color w:val="auto"/>
              </w:rPr>
              <w:t>beneficially owned by such individual or entity;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indirectement ou à son profit par cette personne</w:t>
            </w:r>
          </w:p>
        </w:tc>
        <w:tc>
          <w:tcPr>
            <w:tcW w:w="0" w:type="dxa"/>
            <w:vAlign w:val="bottom"/>
          </w:tcPr>
          <w:p>
            <w:pPr>
              <w:spacing w:after="0"/>
              <w:rPr>
                <w:sz w:val="1"/>
                <w:szCs w:val="1"/>
                <w:color w:val="auto"/>
              </w:rPr>
            </w:pPr>
          </w:p>
        </w:tc>
      </w:tr>
      <w:tr>
        <w:trPr>
          <w:trHeight w:val="234"/>
        </w:trPr>
        <w:tc>
          <w:tcPr>
            <w:tcW w:w="1800" w:type="dxa"/>
            <w:vAlign w:val="bottom"/>
            <w:tcBorders>
              <w:lef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provided that</w:t>
            </w:r>
          </w:p>
        </w:tc>
        <w:tc>
          <w:tcPr>
            <w:tcW w:w="13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39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physique ou morale, à condition que</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w:t>
            </w: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 beneficial owner of a security includes any</w:t>
            </w:r>
          </w:p>
        </w:tc>
        <w:tc>
          <w:tcPr>
            <w:tcW w:w="200" w:type="dxa"/>
            <w:vAlign w:val="bottom"/>
            <w:tcBorders>
              <w:right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un bénéficiaire effectif d'un titre comprend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person who, directly or indirectly, through any</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toute</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personne</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qui,</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directement</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arrangement,</w:t>
            </w:r>
          </w:p>
        </w:tc>
        <w:tc>
          <w:tcPr>
            <w:tcW w:w="12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understanding,</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indirectement, par le biais d'un contrat, d'un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relationship, or otherwise alone or together</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accord,  d'une  entente,  d'une  relation,  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 other such persons has or shares:</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autrement, seul ou avec d'autres personnes a ou</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(1)  voting power which includes the power</w:t>
            </w: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partage:</w:t>
            </w: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Borders>
              <w:left w:val="single" w:sz="8" w:color="auto"/>
            </w:tcBorders>
          </w:tcPr>
          <w:p>
            <w:pPr>
              <w:spacing w:after="0"/>
              <w:rPr>
                <w:sz w:val="17"/>
                <w:szCs w:val="17"/>
                <w:color w:val="auto"/>
              </w:rPr>
            </w:pPr>
          </w:p>
        </w:tc>
        <w:tc>
          <w:tcPr>
            <w:tcW w:w="3600" w:type="dxa"/>
            <w:vAlign w:val="bottom"/>
            <w:tcBorders>
              <w:right w:val="single" w:sz="8" w:color="auto"/>
            </w:tcBorders>
            <w:gridSpan w:val="3"/>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 vote, or to direct the voting of, such</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(1)  le pouvoir de voter, y compris le pouvoir</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2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security; and/or</w:t>
            </w:r>
          </w:p>
        </w:tc>
        <w:tc>
          <w:tcPr>
            <w:tcW w:w="120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de voter ou de diriger le vote d'un tel titre;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2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(2)  investment  power  which</w:t>
            </w:r>
          </w:p>
        </w:tc>
        <w:tc>
          <w:tcPr>
            <w:tcW w:w="120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includes  the</w:t>
            </w: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et/ou</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Borders>
              <w:left w:val="single" w:sz="8" w:color="auto"/>
            </w:tcBorders>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power  to  dispose,  or  to  direct  the</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(2)  le pouvoir d'investir, y compris le pouvoir</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disposition of, such security.</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de disposer ou de diriger la disposition</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vMerge w:val="restart"/>
          </w:tcPr>
          <w:p>
            <w:pPr>
              <w:ind w:left="480"/>
              <w:spacing w:after="0"/>
              <w:rPr>
                <w:sz w:val="20"/>
                <w:szCs w:val="20"/>
                <w:color w:val="auto"/>
              </w:rPr>
            </w:pPr>
            <w:r>
              <w:rPr>
                <w:rFonts w:ascii="Times New Roman" w:cs="Times New Roman" w:eastAsia="Times New Roman" w:hAnsi="Times New Roman"/>
                <w:sz w:val="18"/>
                <w:szCs w:val="18"/>
                <w:color w:val="auto"/>
              </w:rPr>
              <w:t>(ii)</w:t>
            </w:r>
          </w:p>
        </w:tc>
        <w:tc>
          <w:tcPr>
            <w:tcW w:w="360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Any person who, directly or indirectly, creates</w:t>
            </w: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d'un tel titre.</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Borders>
              <w:left w:val="single" w:sz="8" w:color="auto"/>
            </w:tcBorders>
            <w:vMerge w:val="continue"/>
          </w:tcPr>
          <w:p>
            <w:pPr>
              <w:spacing w:after="0"/>
              <w:rPr>
                <w:sz w:val="17"/>
                <w:szCs w:val="17"/>
                <w:color w:val="auto"/>
              </w:rPr>
            </w:pPr>
          </w:p>
        </w:tc>
        <w:tc>
          <w:tcPr>
            <w:tcW w:w="3600" w:type="dxa"/>
            <w:vAlign w:val="bottom"/>
            <w:tcBorders>
              <w:right w:val="single" w:sz="8" w:color="auto"/>
            </w:tcBorders>
            <w:gridSpan w:val="3"/>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 uses a trust, proxy, power of attorney,</w:t>
            </w:r>
          </w:p>
        </w:tc>
        <w:tc>
          <w:tcPr>
            <w:tcW w:w="200" w:type="dxa"/>
            <w:vAlign w:val="bottom"/>
            <w:tcBorders>
              <w:right w:val="single" w:sz="8" w:color="auto"/>
            </w:tcBorders>
          </w:tcPr>
          <w:p>
            <w:pPr>
              <w:spacing w:after="0"/>
              <w:rPr>
                <w:sz w:val="18"/>
                <w:szCs w:val="18"/>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Toute</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personne</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qui,</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directement</w:t>
            </w:r>
          </w:p>
        </w:tc>
        <w:tc>
          <w:tcPr>
            <w:tcW w:w="4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pooling arrangement or any other contract,</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indirectement, crée ou utilise une fiducie, une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arrangement, or device with the purpose or</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procuration, un pooling ou tout autre contrat,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effect of divesting such person of beneficial</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accord, ou un dispositif ayant pour objet 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ownership  of  shares  of  the  Company  or</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pour  effet  de  priver  cette  personne  de  la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preventing  the  vesting  of  such  beneficial</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propriété effective des actions de la société 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ownership as part of a plan or scheme to evade</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d'en empêcher l'acquisition effective au moyen</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provisions of these articles of association</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d'un plan ou programme visant à se soustraire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shall be deemed to be the beneficial owner of</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aux dispositions de ces statuts est réputée être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such shares.</w:t>
            </w:r>
          </w:p>
        </w:tc>
        <w:tc>
          <w:tcPr>
            <w:tcW w:w="13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 propriétaire effectif de ces actions.</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(iii)</w:t>
            </w: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 person shall be deemed to be the beneficial</w:t>
            </w:r>
          </w:p>
        </w:tc>
        <w:tc>
          <w:tcPr>
            <w:tcW w:w="200" w:type="dxa"/>
            <w:vAlign w:val="bottom"/>
            <w:tcBorders>
              <w:right w:val="single" w:sz="8" w:color="auto"/>
            </w:tcBorders>
          </w:tcPr>
          <w:p>
            <w:pPr>
              <w:spacing w:after="0"/>
              <w:rPr>
                <w:sz w:val="24"/>
                <w:szCs w:val="24"/>
                <w:color w:val="auto"/>
              </w:rPr>
            </w:pPr>
          </w:p>
        </w:tc>
        <w:tc>
          <w:tcPr>
            <w:tcW w:w="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Une  personne  est  réputée  être  propriétaire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owner of shares if that person has the right to</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effective d'actions si cette personne a le droit</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acquire beneficial ownership of such shares</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d'acquérir la propriété effective de ces actions</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within 60 days, including but not limited to</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dans les 60 jours, y compris, mais pas limité à</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any right acquired: (A) through the exercise of</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un droit acquis: (A) au moyen de l'exercice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any option, warrant or right; (B) through the</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d'une  option,  d'un  bon  ou  d'un  droit  de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conversion of a security; (C) pursuant to the</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souscription; (B) par la conversion d'un titre;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power to revoke a trust, discretionary account,</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(C)  en  vertu  du  pouvoir  de  révoquer  une</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or similar arrangement; or (D) pursuant to the</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fiducie,  compte  discrétionnaire  ou  accord</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automatic termination of a trust, discretionary</w:t>
            </w: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semblable;  ou  (D)  conformément  à  la</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 or similar arrangement.</w:t>
            </w:r>
          </w:p>
        </w:tc>
        <w:tc>
          <w:tcPr>
            <w:tcW w:w="120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358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résiliation automatique d'une fiducie, compte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discrétionnaire ou accord semblable.</w:t>
            </w: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4"/>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The limit of 33 1/3 % of the registered share capital</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La limite de 33 1/3 % du capital-actions nominatif</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also applies to the subscription for, or acquisition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s'applique également à la souscription ou l'acquisition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registered shares by exercising option or convertible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d'actions nominatives par l'exercice d'options ou de droits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rights arising from registered or bearer securities or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convertibles découlant de titres nominatifs ou au porteur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other securities issued by the Company or third parties,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ou d'autres titres émis par la société ou par des tiers, ainsi</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as well as by means of exercising purchased preemptive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que par le biais de l'exercice de droits de souscription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rights arising from either registered or bearer shares.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préférentiels achetés découlant d'actions nominatives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registered shares exceeding the limit of 33 1/3 % shall be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au porteur. Les actions nominatives dépassant la limite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entered in the share register as shares without voting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33 1/3 % sont inscrites dans le registre des actions</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rights.</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8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comme des actions sans droit de vote.</w:t>
            </w:r>
          </w:p>
        </w:tc>
        <w:tc>
          <w:tcPr>
            <w:tcW w:w="10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3"/>
        </w:trPr>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39" w:name="page40"/>
    <w:bookmarkEnd w:id="39"/>
    <w:p>
      <w:pPr>
        <w:ind w:left="9100"/>
        <w:spacing w:after="0"/>
        <w:rPr>
          <w:sz w:val="20"/>
          <w:szCs w:val="20"/>
          <w:color w:val="auto"/>
        </w:rPr>
      </w:pPr>
      <w:r>
        <w:rPr>
          <w:rFonts w:ascii="Times New Roman" w:cs="Times New Roman" w:eastAsia="Times New Roman" w:hAnsi="Times New Roman"/>
          <w:sz w:val="16"/>
          <w:szCs w:val="16"/>
          <w:color w:val="auto"/>
        </w:rPr>
        <w:t>7</w:t>
      </w:r>
    </w:p>
    <w:p>
      <w:pPr>
        <w:spacing w:after="0" w:line="200" w:lineRule="exact"/>
        <w:rPr>
          <w:sz w:val="20"/>
          <w:szCs w:val="20"/>
          <w:color w:val="auto"/>
        </w:rPr>
      </w:pPr>
    </w:p>
    <w:p>
      <w:pPr>
        <w:spacing w:after="0" w:line="303" w:lineRule="exact"/>
        <w:rPr>
          <w:sz w:val="20"/>
          <w:szCs w:val="20"/>
          <w:color w:val="auto"/>
        </w:rPr>
      </w:pPr>
    </w:p>
    <w:tbl>
      <w:tblPr>
        <w:tblLayout w:type="fixed"/>
        <w:tblInd w:w="230" w:type="dxa"/>
        <w:tblCellMar>
          <w:top w:w="0" w:type="dxa"/>
          <w:left w:w="0" w:type="dxa"/>
          <w:bottom w:w="0" w:type="dxa"/>
          <w:right w:w="0" w:type="dxa"/>
        </w:tblCellMar>
      </w:tblPr>
      <w:tr>
        <w:trPr>
          <w:trHeight w:val="319"/>
        </w:trPr>
        <w:tc>
          <w:tcPr>
            <w:tcW w:w="4380" w:type="dxa"/>
            <w:vAlign w:val="bottom"/>
            <w:tcBorders>
              <w:top w:val="single" w:sz="8" w:color="auto"/>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The Board of Directors may in special cases approve</w:t>
            </w:r>
          </w:p>
        </w:tc>
        <w:tc>
          <w:tcPr>
            <w:tcW w:w="220" w:type="dxa"/>
            <w:vAlign w:val="bottom"/>
            <w:tcBorders>
              <w:top w:val="single" w:sz="8" w:color="auto"/>
              <w:right w:val="single" w:sz="8" w:color="auto"/>
            </w:tcBorders>
          </w:tcPr>
          <w:p>
            <w:pPr>
              <w:spacing w:after="0"/>
              <w:rPr>
                <w:sz w:val="24"/>
                <w:szCs w:val="24"/>
                <w:color w:val="auto"/>
              </w:rPr>
            </w:pPr>
          </w:p>
        </w:tc>
        <w:tc>
          <w:tcPr>
            <w:tcW w:w="438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8</w:t>
            </w:r>
            <w:r>
              <w:rPr>
                <w:rFonts w:ascii="Times New Roman" w:cs="Times New Roman" w:eastAsia="Times New Roman" w:hAnsi="Times New Roman"/>
                <w:sz w:val="18"/>
                <w:szCs w:val="18"/>
                <w:color w:val="auto"/>
              </w:rPr>
              <w:t xml:space="preserve">  Le  conseil  d'administration  peut  dans  des  cas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exceptions  to  the  above  regulations.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particuliers  approuver  des  exceptions  aux  règles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Directors is in addition authorized, after due consultation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précitées. Il est en outre autorisé, après consultation avec</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with the person concerned, to delete with retroactive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personne concernée, de supprimer avec effet rétroactif</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effect entries in the share register which were effected 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inscriptions  du  registre  des  actions  qui  ont  été</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basis of false information.</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effectuées sur la base de fausses informations.</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7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5</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Share Certificates and Intermediated</w:t>
            </w: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5</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Certificats d'actions et titres intermédiés</w:t>
            </w:r>
          </w:p>
        </w:tc>
        <w:tc>
          <w:tcPr>
            <w:tcW w:w="0" w:type="dxa"/>
            <w:vAlign w:val="bottom"/>
          </w:tcPr>
          <w:p>
            <w:pPr>
              <w:spacing w:after="0"/>
              <w:rPr>
                <w:sz w:val="1"/>
                <w:szCs w:val="1"/>
                <w:color w:val="auto"/>
              </w:rPr>
            </w:pPr>
          </w:p>
        </w:tc>
      </w:tr>
      <w:tr>
        <w:trPr>
          <w:trHeight w:val="238"/>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 société peut émettre des actions nominatives sous</w:t>
            </w:r>
          </w:p>
        </w:tc>
        <w:tc>
          <w:tcPr>
            <w:tcW w:w="0" w:type="dxa"/>
            <w:vAlign w:val="bottom"/>
          </w:tcPr>
          <w:p>
            <w:pPr>
              <w:spacing w:after="0"/>
              <w:rPr>
                <w:sz w:val="1"/>
                <w:szCs w:val="1"/>
                <w:color w:val="auto"/>
              </w:rPr>
            </w:pPr>
          </w:p>
        </w:tc>
      </w:tr>
      <w:tr>
        <w:trPr>
          <w:trHeight w:val="198"/>
        </w:trPr>
        <w:tc>
          <w:tcPr>
            <w:tcW w:w="420" w:type="dxa"/>
            <w:vAlign w:val="bottom"/>
            <w:tcBorders>
              <w:lef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The Company may issue registered shares in the form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forme de certificats individuels, de certificats globaux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single   certificates,   global   certificates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titres dématérialisés. Dans les conditions prévues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uncertificated securities. Under the conditions set forth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loi, la société peut convertir ses actions nominatives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by statutory law, the Company may convert its registered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d'une forme en une autre forme, à tout moment et sans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shares from one form into another form at any time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l'approbation des actionnaires.</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without the approval of the shareholders.</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shareholder has no right to demand a conversion of</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L'actionnaire n'a pas le droit d'exiger une conversion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registered shares. Each shareholder may, however, at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d'actions nominatives. Chaque actionnaire peut toutefois,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any  time  request  a  written  confirmation  from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à tout moment, demander une confirmation écrite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Company  of  the  registered  shares  held  by  such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société du nombres d'actions nominatives détenues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shareholder, as reflected in the share register.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cet  actionnaire  telles  qu'inscrites  au  registre  du</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commerce.</w:t>
            </w:r>
          </w:p>
        </w:tc>
        <w:tc>
          <w:tcPr>
            <w:tcW w:w="3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transfer  of  intermediated  securities  and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 transfert des titres intermédiés et la mise en gage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pledging of these intermediated securities shall be based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ces titres intermédiés suivent les dispositions de la Loi</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on the provisions of the Swiss Federal Intermediated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fédérale  sur  les  titres  intermédiés.  Le  transfert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Securities Act. Transfer of propriety as collateral by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propriété à titre de sûreté par cession écrite n'est pas</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means of written assignment are not permitted.</w:t>
            </w:r>
          </w:p>
        </w:tc>
        <w:tc>
          <w:tcPr>
            <w:tcW w:w="220" w:type="dxa"/>
            <w:vAlign w:val="bottom"/>
            <w:tcBorders>
              <w:right w:val="single" w:sz="8" w:color="auto"/>
            </w:tcBorders>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autorisé.</w:t>
            </w:r>
          </w:p>
        </w:tc>
        <w:tc>
          <w:tcPr>
            <w:tcW w:w="3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6</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 of Shareholders Rights</w:t>
            </w: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6</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Exercice des droits des actionnaires</w:t>
            </w:r>
          </w:p>
        </w:tc>
        <w:tc>
          <w:tcPr>
            <w:tcW w:w="0" w:type="dxa"/>
            <w:vAlign w:val="bottom"/>
          </w:tcPr>
          <w:p>
            <w:pPr>
              <w:spacing w:after="0"/>
              <w:rPr>
                <w:sz w:val="1"/>
                <w:szCs w:val="1"/>
                <w:color w:val="auto"/>
              </w:rPr>
            </w:pPr>
          </w:p>
        </w:tc>
      </w:tr>
      <w:tr>
        <w:trPr>
          <w:trHeight w:val="41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shares are indivisible and the Company recognizes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Les actions sont indivisibles et la société ne reconnaît</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only one single representative per share.</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qu'un seul représentant par action.</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right to vote and the other rights pertaining to a</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droit de vote et les autres droits relatifs à une action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registered share may only be exercised by a shareholder,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nominative  ne  peuvent  être  exercés  que  par  un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 usufructuary or a Nominee who is registered with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actionnaire, un usufruitier ou un Actionnaire Désigné qui</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right to vote in the share register and by persons who 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est inscrit avec le droit de vote dans le registre des 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entitled by law to the voting rights of a share.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par des personnes autorisées par la loi à exercer les</w:t>
            </w:r>
          </w:p>
        </w:tc>
        <w:tc>
          <w:tcPr>
            <w:tcW w:w="0" w:type="dxa"/>
            <w:vAlign w:val="bottom"/>
          </w:tcPr>
          <w:p>
            <w:pPr>
              <w:spacing w:after="0"/>
              <w:rPr>
                <w:sz w:val="1"/>
                <w:szCs w:val="1"/>
                <w:color w:val="auto"/>
              </w:rPr>
            </w:pPr>
          </w:p>
        </w:tc>
      </w:tr>
      <w:tr>
        <w:trPr>
          <w:trHeight w:val="234"/>
        </w:trPr>
        <w:tc>
          <w:tcPr>
            <w:tcW w:w="4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droits de vote d'une action.</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III.</w:t>
            </w:r>
          </w:p>
        </w:tc>
        <w:tc>
          <w:tcPr>
            <w:tcW w:w="360" w:type="dxa"/>
            <w:vAlign w:val="bottom"/>
          </w:tcPr>
          <w:p>
            <w:pPr>
              <w:spacing w:after="0"/>
              <w:rPr>
                <w:sz w:val="24"/>
                <w:szCs w:val="24"/>
                <w:color w:val="auto"/>
              </w:rPr>
            </w:pP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CORPORATE STRUCTURE</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III.</w:t>
            </w:r>
          </w:p>
        </w:tc>
        <w:tc>
          <w:tcPr>
            <w:tcW w:w="520" w:type="dxa"/>
            <w:vAlign w:val="bottom"/>
          </w:tcPr>
          <w:p>
            <w:pPr>
              <w:spacing w:after="0"/>
              <w:rPr>
                <w:sz w:val="24"/>
                <w:szCs w:val="24"/>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STRUCTURE DE LA SOCIÉTÉ</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7</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7</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Organisation</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organes de la société sont:</w:t>
            </w: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39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the General Meeting;</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L'assemblée générale;</w:t>
            </w: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  the Board of Directors;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Le conseil d'administration;</w:t>
            </w:r>
          </w:p>
        </w:tc>
        <w:tc>
          <w:tcPr>
            <w:tcW w:w="0" w:type="dxa"/>
            <w:vAlign w:val="bottom"/>
          </w:tcPr>
          <w:p>
            <w:pPr>
              <w:spacing w:after="0"/>
              <w:rPr>
                <w:sz w:val="1"/>
                <w:szCs w:val="1"/>
                <w:color w:val="auto"/>
              </w:rPr>
            </w:pPr>
          </w:p>
        </w:tc>
      </w:tr>
      <w:tr>
        <w:trPr>
          <w:trHeight w:val="324"/>
        </w:trPr>
        <w:tc>
          <w:tcPr>
            <w:tcW w:w="4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9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the Auditors.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l'organe de révision.</w:t>
            </w:r>
          </w:p>
        </w:tc>
        <w:tc>
          <w:tcPr>
            <w:tcW w:w="0" w:type="dxa"/>
            <w:vAlign w:val="bottom"/>
          </w:tcPr>
          <w:p>
            <w:pPr>
              <w:spacing w:after="0"/>
              <w:rPr>
                <w:sz w:val="1"/>
                <w:szCs w:val="1"/>
                <w:color w:val="auto"/>
              </w:rPr>
            </w:pPr>
          </w:p>
        </w:tc>
      </w:tr>
      <w:tr>
        <w:trPr>
          <w:trHeight w:val="108"/>
        </w:trPr>
        <w:tc>
          <w:tcPr>
            <w:tcW w:w="420" w:type="dxa"/>
            <w:vAlign w:val="bottom"/>
            <w:tcBorders>
              <w:left w:val="single" w:sz="8" w:color="auto"/>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40" w:name="page41"/>
    <w:bookmarkEnd w:id="40"/>
    <w:p>
      <w:pPr>
        <w:ind w:left="9100"/>
        <w:spacing w:after="0"/>
        <w:rPr>
          <w:sz w:val="20"/>
          <w:szCs w:val="20"/>
          <w:color w:val="auto"/>
        </w:rPr>
      </w:pPr>
      <w:r>
        <w:rPr>
          <w:rFonts w:ascii="Times New Roman" w:cs="Times New Roman" w:eastAsia="Times New Roman" w:hAnsi="Times New Roman"/>
          <w:sz w:val="16"/>
          <w:szCs w:val="16"/>
          <w:color w:val="auto"/>
        </w:rPr>
        <w:t>8</w:t>
      </w:r>
    </w:p>
    <w:p>
      <w:pPr>
        <w:spacing w:after="0" w:line="200" w:lineRule="exact"/>
        <w:rPr>
          <w:sz w:val="20"/>
          <w:szCs w:val="20"/>
          <w:color w:val="auto"/>
        </w:rPr>
      </w:pPr>
    </w:p>
    <w:p>
      <w:pPr>
        <w:spacing w:after="0" w:line="303" w:lineRule="exact"/>
        <w:rPr>
          <w:sz w:val="20"/>
          <w:szCs w:val="20"/>
          <w:color w:val="auto"/>
        </w:rPr>
      </w:pPr>
    </w:p>
    <w:tbl>
      <w:tblPr>
        <w:tblLayout w:type="fixed"/>
        <w:tblInd w:w="230" w:type="dxa"/>
        <w:tblCellMar>
          <w:top w:w="0" w:type="dxa"/>
          <w:left w:w="0" w:type="dxa"/>
          <w:bottom w:w="0" w:type="dxa"/>
          <w:right w:w="0" w:type="dxa"/>
        </w:tblCellMar>
      </w:tblPr>
      <w:tr>
        <w:trPr>
          <w:trHeight w:val="338"/>
        </w:trPr>
        <w:tc>
          <w:tcPr>
            <w:tcW w:w="40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IV.</w:t>
            </w:r>
          </w:p>
        </w:tc>
        <w:tc>
          <w:tcPr>
            <w:tcW w:w="380" w:type="dxa"/>
            <w:vAlign w:val="bottom"/>
            <w:tcBorders>
              <w:top w:val="single" w:sz="8" w:color="auto"/>
            </w:tcBorders>
          </w:tcPr>
          <w:p>
            <w:pPr>
              <w:spacing w:after="0"/>
              <w:rPr>
                <w:sz w:val="24"/>
                <w:szCs w:val="24"/>
                <w:color w:val="auto"/>
              </w:rPr>
            </w:pPr>
          </w:p>
        </w:tc>
        <w:tc>
          <w:tcPr>
            <w:tcW w:w="36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THE GENERAL MEETING</w:t>
            </w:r>
          </w:p>
        </w:tc>
        <w:tc>
          <w:tcPr>
            <w:tcW w:w="220" w:type="dxa"/>
            <w:vAlign w:val="bottom"/>
            <w:tcBorders>
              <w:top w:val="single" w:sz="8" w:color="auto"/>
              <w:right w:val="single" w:sz="8" w:color="auto"/>
            </w:tcBorders>
          </w:tcPr>
          <w:p>
            <w:pPr>
              <w:spacing w:after="0"/>
              <w:rPr>
                <w:sz w:val="24"/>
                <w:szCs w:val="24"/>
                <w:color w:val="auto"/>
              </w:rPr>
            </w:pPr>
          </w:p>
        </w:tc>
        <w:tc>
          <w:tcPr>
            <w:tcW w:w="4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IV.</w:t>
            </w:r>
          </w:p>
        </w:tc>
        <w:tc>
          <w:tcPr>
            <w:tcW w:w="30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L'ASSEMBLÉE GÉNÉRALE</w:t>
            </w:r>
          </w:p>
        </w:tc>
        <w:tc>
          <w:tcPr>
            <w:tcW w:w="40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8</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Powers</w:t>
            </w:r>
          </w:p>
        </w:tc>
        <w:tc>
          <w:tcPr>
            <w:tcW w:w="220" w:type="dxa"/>
            <w:vAlign w:val="bottom"/>
            <w:tcBorders>
              <w:right w:val="single" w:sz="8" w:color="auto"/>
            </w:tcBorders>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8</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Pouvoirs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General  Meeting  is  the  supreme  body  of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L'assemblée  générale  est  le  pouvoir  suprême  de  la</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Company. It has the following non delegable powers:</w:t>
            </w:r>
          </w:p>
        </w:tc>
        <w:tc>
          <w:tcPr>
            <w:tcW w:w="220" w:type="dxa"/>
            <w:vAlign w:val="bottom"/>
            <w:tcBorders>
              <w:right w:val="single" w:sz="8" w:color="auto"/>
            </w:tcBorders>
          </w:tcPr>
          <w:p>
            <w:pPr>
              <w:spacing w:after="0"/>
              <w:rPr>
                <w:sz w:val="20"/>
                <w:szCs w:val="20"/>
                <w:color w:val="auto"/>
              </w:rPr>
            </w:pPr>
          </w:p>
        </w:tc>
        <w:tc>
          <w:tcPr>
            <w:tcW w:w="37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société. Elle a les droits intransmissibles suivants:</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   to adopt and amend the Articles of Association;</w:t>
            </w:r>
          </w:p>
        </w:tc>
        <w:tc>
          <w:tcPr>
            <w:tcW w:w="220" w:type="dxa"/>
            <w:vAlign w:val="bottom"/>
            <w:tcBorders>
              <w:right w:val="single" w:sz="8" w:color="auto"/>
            </w:tcBorders>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adopter et modifier les statuts;</w:t>
            </w:r>
          </w:p>
        </w:tc>
        <w:tc>
          <w:tcPr>
            <w:tcW w:w="4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 elect and remove the members of the Board of</w:t>
            </w:r>
          </w:p>
        </w:tc>
        <w:tc>
          <w:tcPr>
            <w:tcW w:w="220" w:type="dxa"/>
            <w:vAlign w:val="bottom"/>
            <w:tcBorders>
              <w:right w:val="single" w:sz="8" w:color="auto"/>
            </w:tcBorders>
          </w:tcPr>
          <w:p>
            <w:pPr>
              <w:spacing w:after="0"/>
              <w:rPr>
                <w:sz w:val="24"/>
                <w:szCs w:val="24"/>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nommer  et  révoquer  les  membres  du  conseil</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Directors, the Chairman of the Board of Directors,</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le</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président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du</w:t>
            </w:r>
          </w:p>
        </w:tc>
        <w:tc>
          <w:tcPr>
            <w:tcW w:w="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conseil</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members of the Compensation, Nomination and</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d'administration,  les  membres  du  comité  de</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Corporate Governance Committee, the Auditors and</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rémunération, de nomination et de gouvernance</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Independent Proxy;</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d’entreprise, l'organe de révision et le mandataire</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approve  the  management  report,  the  annual</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indépendant;</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vMerge w:val="continue"/>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and stand-alone accounts and other</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approuver  le  rapport  de  gestion,  les  comptes</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reports  legally  required,  and  to  determine  the</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annuels sur une base individuelle et consolidés et</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allocation of profits, in particular with regard to</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tous autres rapports requis par la loi et déterminer</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la répartition des bénéfices, en particulier en ce qui</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determine the interim dividend and approve the</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concerne les dividendes;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vMerge w:val="continue"/>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interim account required therefor;</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fixer le dividende intermédiaire et approuver les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pass resolutions on repaying the statutory capital</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comptes intermédiaires nécessaires à cet effet;</w:t>
            </w: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vMerge w:val="continue"/>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reserve;</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décider du remboursement de la réserve légale</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discharge the members of the Board of Directors</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issue du capital</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vMerge w:val="continue"/>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and of the Executive Committee;</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donner  décharge  aux  membres  du  conseil</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delist the securities of the Company;</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d'administration et au comité exécutif;</w:t>
            </w: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00" w:type="dxa"/>
            <w:vAlign w:val="bottom"/>
            <w:tcBorders>
              <w:left w:val="single" w:sz="8" w:color="auto"/>
            </w:tcBorders>
            <w:vMerge w:val="continue"/>
          </w:tcPr>
          <w:p>
            <w:pPr>
              <w:spacing w:after="0"/>
              <w:rPr>
                <w:sz w:val="9"/>
                <w:szCs w:val="9"/>
                <w:color w:val="auto"/>
              </w:rPr>
            </w:pPr>
          </w:p>
        </w:tc>
        <w:tc>
          <w:tcPr>
            <w:tcW w:w="3980" w:type="dxa"/>
            <w:vAlign w:val="bottom"/>
            <w:tcBorders>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g)</w:t>
            </w:r>
          </w:p>
        </w:tc>
        <w:tc>
          <w:tcPr>
            <w:tcW w:w="3960" w:type="dxa"/>
            <w:vAlign w:val="bottom"/>
            <w:tcBorders>
              <w:right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procéder à la décotation des titres de participation</w:t>
            </w:r>
          </w:p>
        </w:tc>
        <w:tc>
          <w:tcPr>
            <w:tcW w:w="0" w:type="dxa"/>
            <w:vAlign w:val="bottom"/>
          </w:tcPr>
          <w:p>
            <w:pPr>
              <w:spacing w:after="0"/>
              <w:rPr>
                <w:sz w:val="1"/>
                <w:szCs w:val="1"/>
                <w:color w:val="auto"/>
              </w:rPr>
            </w:pPr>
          </w:p>
        </w:tc>
      </w:tr>
      <w:tr>
        <w:trPr>
          <w:trHeight w:val="198"/>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approve the aggregate amounts of compensation</w:t>
            </w:r>
          </w:p>
        </w:tc>
        <w:tc>
          <w:tcPr>
            <w:tcW w:w="220" w:type="dxa"/>
            <w:vAlign w:val="bottom"/>
            <w:tcBorders>
              <w:right w:val="single" w:sz="8" w:color="auto"/>
            </w:tcBorders>
          </w:tcPr>
          <w:p>
            <w:pPr>
              <w:spacing w:after="0"/>
              <w:rPr>
                <w:sz w:val="17"/>
                <w:szCs w:val="17"/>
                <w:color w:val="auto"/>
              </w:rPr>
            </w:pPr>
          </w:p>
        </w:tc>
        <w:tc>
          <w:tcPr>
            <w:tcW w:w="420" w:type="dxa"/>
            <w:vAlign w:val="bottom"/>
            <w:vMerge w:val="continue"/>
          </w:tcPr>
          <w:p>
            <w:pPr>
              <w:spacing w:after="0"/>
              <w:rPr>
                <w:sz w:val="17"/>
                <w:szCs w:val="17"/>
                <w:color w:val="auto"/>
              </w:rPr>
            </w:pPr>
          </w:p>
        </w:tc>
        <w:tc>
          <w:tcPr>
            <w:tcW w:w="3960" w:type="dxa"/>
            <w:vAlign w:val="bottom"/>
            <w:tcBorders>
              <w:right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0" w:type="dxa"/>
            <w:vAlign w:val="bottom"/>
            <w:tcBorders>
              <w:left w:val="single" w:sz="8" w:color="auto"/>
            </w:tcBorders>
            <w:vMerge w:val="continue"/>
          </w:tcPr>
          <w:p>
            <w:pPr>
              <w:spacing w:after="0"/>
              <w:rPr>
                <w:sz w:val="9"/>
                <w:szCs w:val="9"/>
                <w:color w:val="auto"/>
              </w:rPr>
            </w:pPr>
          </w:p>
        </w:tc>
        <w:tc>
          <w:tcPr>
            <w:tcW w:w="3980" w:type="dxa"/>
            <w:vAlign w:val="bottom"/>
            <w:tcBorders>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 la société;</w:t>
            </w: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 w:type="dxa"/>
            <w:vAlign w:val="bottom"/>
            <w:tcBorders>
              <w:left w:val="single" w:sz="8" w:color="auto"/>
            </w:tcBorders>
          </w:tcPr>
          <w:p>
            <w:pPr>
              <w:spacing w:after="0"/>
              <w:rPr>
                <w:sz w:val="10"/>
                <w:szCs w:val="10"/>
                <w:color w:val="auto"/>
              </w:rPr>
            </w:pP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  the  Board  of  Directors  and  the  Executive</w:t>
            </w:r>
          </w:p>
        </w:tc>
        <w:tc>
          <w:tcPr>
            <w:tcW w:w="2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Committee in accordance with Article 18 of the</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approuver les montants globaux des rémunérations</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Articles of Association; and</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du conseil d'administration et du comité exécutif</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39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 pass resolutions concerning all matters which are</w:t>
            </w: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conformément à l'article 18 des statuts; et</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 w:type="dxa"/>
            <w:vAlign w:val="bottom"/>
            <w:tcBorders>
              <w:left w:val="single" w:sz="8" w:color="auto"/>
            </w:tcBorders>
            <w:vMerge w:val="continue"/>
          </w:tcPr>
          <w:p>
            <w:pPr>
              <w:spacing w:after="0"/>
              <w:rPr>
                <w:sz w:val="7"/>
                <w:szCs w:val="7"/>
                <w:color w:val="auto"/>
              </w:rPr>
            </w:pPr>
          </w:p>
        </w:tc>
        <w:tc>
          <w:tcPr>
            <w:tcW w:w="3980" w:type="dxa"/>
            <w:vAlign w:val="bottom"/>
            <w:tcBorders>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reserved to the authority of the General Meeting by</w:t>
            </w:r>
          </w:p>
        </w:tc>
        <w:tc>
          <w:tcPr>
            <w:tcW w:w="220" w:type="dxa"/>
            <w:vAlign w:val="bottom"/>
            <w:tcBorders>
              <w:right w:val="single" w:sz="8" w:color="auto"/>
            </w:tcBorders>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w:t>
            </w: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prendre les décisions sur toutes les affaires qui sont</w:t>
            </w: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39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law or by the Articles of Association.</w:t>
            </w:r>
          </w:p>
        </w:tc>
        <w:tc>
          <w:tcPr>
            <w:tcW w:w="22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attribuées à l'assemblée générale par la loi ou les</w:t>
            </w: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statuts.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58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9</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Ordinary General Meeting</w:t>
            </w:r>
          </w:p>
        </w:tc>
        <w:tc>
          <w:tcPr>
            <w:tcW w:w="220" w:type="dxa"/>
            <w:vAlign w:val="bottom"/>
            <w:tcBorders>
              <w:right w:val="single" w:sz="8" w:color="auto"/>
            </w:tcBorders>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9</w:t>
            </w:r>
          </w:p>
        </w:tc>
        <w:tc>
          <w:tcPr>
            <w:tcW w:w="2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Assemblée générale ordinaire</w:t>
            </w:r>
          </w:p>
        </w:tc>
        <w:tc>
          <w:tcPr>
            <w:tcW w:w="40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Ordinary General Meeting shall be held annually</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L'assemblée générale ordinaire aura lieu chaque année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within six months after the close of the business year.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dans les six mois qui suivent la clôture de l'exercice.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General Meetings are held at such time and at such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assemblées générales sont tenues à la date et au lieu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physical location, which may be within or outside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physique, qui peut être en ou hors de la Suisse, tel que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Switzerland, as determined by the Board of Directors.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déterminé par le conseil d'administration. Le conseil</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Board of Directors may provide that shareholders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d’administration peut prévoir que les actionnaires non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who are not present at the place of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présents au lieu de l’assemblée générale puissent exercer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may exercise their rights by electronic means and may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leurs droits par des moyens électroniques, également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also order that the General Meeting be held by electronic</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ordonner que l’assemblée générale soit tenue sous forme</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means without a venue.</w:t>
            </w:r>
          </w:p>
        </w:tc>
        <w:tc>
          <w:tcPr>
            <w:tcW w:w="220" w:type="dxa"/>
            <w:vAlign w:val="bottom"/>
            <w:tcBorders>
              <w:right w:val="single" w:sz="8" w:color="auto"/>
            </w:tcBorders>
          </w:tcPr>
          <w:p>
            <w:pPr>
              <w:spacing w:after="0"/>
              <w:rPr>
                <w:sz w:val="20"/>
                <w:szCs w:val="20"/>
                <w:color w:val="auto"/>
              </w:rPr>
            </w:pPr>
          </w:p>
        </w:tc>
        <w:tc>
          <w:tcPr>
            <w:tcW w:w="3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électronique sans lieu de réunion physique.</w:t>
            </w:r>
          </w:p>
        </w:tc>
        <w:tc>
          <w:tcPr>
            <w:tcW w:w="4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00" w:type="dxa"/>
            <w:vAlign w:val="bottom"/>
            <w:tcBorders>
              <w:left w:val="single" w:sz="8" w:color="auto"/>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41" w:name="page42"/>
    <w:bookmarkEnd w:id="41"/>
    <w:p>
      <w:pPr>
        <w:ind w:left="91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323215</wp:posOffset>
            </wp:positionV>
            <wp:extent cx="5683885" cy="6206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3885" cy="62064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 10</w:t>
            </w:r>
          </w:p>
        </w:tc>
        <w:tc>
          <w:tcPr>
            <w:tcW w:w="26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Extraordinary General Meeting</w:t>
            </w: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Art. 10</w:t>
            </w:r>
          </w:p>
        </w:tc>
        <w:tc>
          <w:tcPr>
            <w:tcW w:w="3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Assemblée générale extraordinaire</w:t>
            </w:r>
          </w:p>
        </w:tc>
        <w:tc>
          <w:tcPr>
            <w:tcW w:w="0" w:type="dxa"/>
            <w:vAlign w:val="bottom"/>
          </w:tcPr>
          <w:p>
            <w:pPr>
              <w:spacing w:after="0"/>
              <w:rPr>
                <w:sz w:val="1"/>
                <w:szCs w:val="1"/>
                <w:color w:val="auto"/>
              </w:rPr>
            </w:pPr>
          </w:p>
        </w:tc>
      </w:tr>
      <w:tr>
        <w:trPr>
          <w:trHeight w:val="30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Extraordinary</w:t>
            </w: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Meetings  may</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called</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Les assemblées générales extraordinaires peuvent être</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resolution of the General Meeting, the Auditors or the</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convoquées par décision de l'assemblée générale, l'organe</w:t>
            </w: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Board  of</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Directors,  or</w:t>
            </w:r>
          </w:p>
        </w:tc>
        <w:tc>
          <w:tcPr>
            <w:tcW w:w="2540" w:type="dxa"/>
            <w:vAlign w:val="bottom"/>
            <w:gridSpan w:val="4"/>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by  shareholders  with  voting</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de révision ou le conseil d'administration, ou par des</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powers, provided they represent at least 5% of the share</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actionnaires  avec  droit  de  vote,  à  condition  qu'ils</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capital or of the votes and who submit (a)(1) a request</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représentent au moins 5% du capital-actions ou des voix</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signed by such shareholder(s) that specifies the item(s) to</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et qu'ils</w:t>
            </w:r>
          </w:p>
        </w:tc>
        <w:tc>
          <w:tcPr>
            <w:tcW w:w="3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soumettent (a) (1) une demande signée par</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be included on the agenda, (2) the respective proposals of</w:t>
            </w:r>
          </w:p>
        </w:tc>
        <w:tc>
          <w:tcPr>
            <w:tcW w:w="88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le(s)dit(s) actionnaire(s) qui spécifie les objets à faire</w:t>
            </w:r>
          </w:p>
        </w:tc>
        <w:tc>
          <w:tcPr>
            <w:tcW w:w="0" w:type="dxa"/>
            <w:vAlign w:val="bottom"/>
          </w:tcPr>
          <w:p>
            <w:pPr>
              <w:spacing w:after="0"/>
              <w:rPr>
                <w:sz w:val="1"/>
                <w:szCs w:val="1"/>
                <w:color w:val="auto"/>
              </w:rPr>
            </w:pPr>
          </w:p>
        </w:tc>
      </w:tr>
      <w:tr>
        <w:trPr>
          <w:trHeight w:val="108"/>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shareholder(s)  and</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  evidence  of</w:t>
            </w:r>
          </w:p>
        </w:tc>
        <w:tc>
          <w:tcPr>
            <w:tcW w:w="126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the  required</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3"/>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figurer sur l'ordre du jour, (2) les propositions respectives</w:t>
            </w:r>
          </w:p>
        </w:tc>
        <w:tc>
          <w:tcPr>
            <w:tcW w:w="0" w:type="dxa"/>
            <w:vAlign w:val="bottom"/>
          </w:tcPr>
          <w:p>
            <w:pPr>
              <w:spacing w:after="0"/>
              <w:rPr>
                <w:sz w:val="1"/>
                <w:szCs w:val="1"/>
                <w:color w:val="auto"/>
              </w:rPr>
            </w:pPr>
          </w:p>
        </w:tc>
      </w:tr>
      <w:tr>
        <w:trPr>
          <w:trHeight w:val="108"/>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shareholdings</w:t>
            </w:r>
          </w:p>
        </w:tc>
        <w:tc>
          <w:tcPr>
            <w:tcW w:w="2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recorded in the share register</w:t>
            </w:r>
          </w:p>
        </w:tc>
        <w:tc>
          <w:tcPr>
            <w:tcW w:w="9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and (b) if</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de  cet  (ces)  actionnaire(s)  et  (3)  la  preuve  des</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applicable such other information as would be required</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participations  requises  inscrites  dans  le  registre  des</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to be included in the invitation pursuant to the rules of</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actions et (b) le cas échéant, les autres informations qui</w:t>
            </w:r>
          </w:p>
        </w:tc>
        <w:tc>
          <w:tcPr>
            <w:tcW w:w="0" w:type="dxa"/>
            <w:vAlign w:val="bottom"/>
          </w:tcPr>
          <w:p>
            <w:pPr>
              <w:spacing w:after="0"/>
              <w:rPr>
                <w:sz w:val="1"/>
                <w:szCs w:val="1"/>
                <w:color w:val="auto"/>
              </w:rPr>
            </w:pPr>
          </w:p>
        </w:tc>
      </w:tr>
      <w:tr>
        <w:trPr>
          <w:trHeight w:val="108"/>
        </w:trPr>
        <w:tc>
          <w:tcPr>
            <w:tcW w:w="4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country where the Company's shares are primarily</w:t>
            </w: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60" w:type="dxa"/>
            <w:vAlign w:val="bottom"/>
            <w:gridSpan w:val="7"/>
            <w:vMerge w:val="continue"/>
          </w:tcPr>
          <w:p>
            <w:pPr>
              <w:spacing w:after="0"/>
              <w:rPr>
                <w:sz w:val="9"/>
                <w:szCs w:val="9"/>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doivent être mentionnées dans l’invitation conformément</w:t>
            </w: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listed.</w:t>
            </w: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7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aux règles du pays où les actions de la société sont</w:t>
            </w:r>
          </w:p>
        </w:tc>
        <w:tc>
          <w:tcPr>
            <w:tcW w:w="0" w:type="dxa"/>
            <w:vAlign w:val="bottom"/>
          </w:tcPr>
          <w:p>
            <w:pPr>
              <w:spacing w:after="0"/>
              <w:rPr>
                <w:sz w:val="1"/>
                <w:szCs w:val="1"/>
                <w:color w:val="auto"/>
              </w:rPr>
            </w:pPr>
          </w:p>
        </w:tc>
      </w:tr>
      <w:tr>
        <w:trPr>
          <w:trHeight w:val="90"/>
        </w:trPr>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principalement cotées.</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11</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Notice  and  Agenda  of  Shareholders'</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Art. 11</w:t>
            </w: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Convocations  et  ordres  du  jour  des</w:t>
            </w:r>
          </w:p>
        </w:tc>
      </w:tr>
      <w:tr>
        <w:trPr>
          <w:trHeight w:val="238"/>
        </w:trPr>
        <w:tc>
          <w:tcPr>
            <w:tcW w:w="86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900" w:type="dxa"/>
            <w:vAlign w:val="bottom"/>
          </w:tcPr>
          <w:p>
            <w:pPr>
              <w:spacing w:after="0"/>
              <w:rPr>
                <w:sz w:val="20"/>
                <w:szCs w:val="20"/>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assemblées générales</w:t>
            </w:r>
          </w:p>
        </w:tc>
      </w:tr>
      <w:tr>
        <w:trPr>
          <w:trHeight w:val="41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Notice of a General Meeting shall be given by the</w:t>
            </w:r>
          </w:p>
        </w:tc>
        <w:tc>
          <w:tcPr>
            <w:tcW w:w="4500" w:type="dxa"/>
            <w:vAlign w:val="bottom"/>
            <w:gridSpan w:val="2"/>
          </w:tcPr>
          <w:p>
            <w:pPr>
              <w:ind w:left="2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L'assemblée générale est convoquée par le conseil</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 or, if necessary, by the Auditors, not</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d'administration  ou,  si  nécessaire,  par  l'organe  de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later than twenty calendar days prior to the date of the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révision, au moins 20 jours avant la tenue de l'assemblée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Notice of the General Meeting shall be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générale. La convocation à l'assemblée générale doit être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given by way of a one-time announcement in the official</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faite au moyen d'une seule publication conformément à</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means of publication of the Company pursuant to Article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l'article 46 de ces statuts. La période de préavis sera</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 of these Articles of Association. The notice period</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réputée avoir été respectée si la convocation à l'assemblée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shall be deemed to have been observed if notice of the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générale est publiée conformément à l'article 46 de ces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is published in such official means of</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statuts, étant entendu que la date de publication ne doit</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publication,  it  being  understood  that  the  date  of</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pas  être  calculée  dans  la  période  de  préavis.  Les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publication shall not be computed in the notice period.</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actionnaires inscrits peuvent en outre être informés de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of record may in addition be informed of</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l'assemblée générale par courrier ordinaire ou par e-mail.</w:t>
            </w:r>
          </w:p>
        </w:tc>
      </w:tr>
      <w:tr>
        <w:trPr>
          <w:trHeight w:val="234"/>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General Meeting by ordinary mail or e-mail.</w:t>
            </w:r>
          </w:p>
        </w:tc>
        <w:tc>
          <w:tcPr>
            <w:tcW w:w="9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08"/>
        </w:trPr>
        <w:tc>
          <w:tcPr>
            <w:tcW w:w="4460" w:type="dxa"/>
            <w:vAlign w:val="bottom"/>
            <w:tcBorders>
              <w:bottom w:val="single" w:sz="8" w:color="auto"/>
            </w:tcBorders>
            <w:gridSpan w:val="2"/>
          </w:tcPr>
          <w:p>
            <w:pPr>
              <w:spacing w:after="0"/>
              <w:rPr>
                <w:sz w:val="9"/>
                <w:szCs w:val="9"/>
                <w:color w:val="auto"/>
              </w:rPr>
            </w:pPr>
          </w:p>
        </w:tc>
        <w:tc>
          <w:tcPr>
            <w:tcW w:w="4500" w:type="dxa"/>
            <w:vAlign w:val="bottom"/>
            <w:tcBorders>
              <w:bottom w:val="single" w:sz="8" w:color="auto"/>
            </w:tcBorders>
            <w:gridSpan w:val="2"/>
          </w:tcPr>
          <w:p>
            <w:pPr>
              <w:spacing w:after="0"/>
              <w:rPr>
                <w:sz w:val="9"/>
                <w:szCs w:val="9"/>
                <w:color w:val="auto"/>
              </w:rPr>
            </w:pPr>
          </w:p>
        </w:tc>
      </w:tr>
      <w:tr>
        <w:trPr>
          <w:trHeight w:val="299"/>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notice of a General Meeting shall specify (i) the</w:t>
            </w:r>
          </w:p>
        </w:tc>
        <w:tc>
          <w:tcPr>
            <w:tcW w:w="4500" w:type="dxa"/>
            <w:vAlign w:val="bottom"/>
            <w:gridSpan w:val="2"/>
          </w:tcPr>
          <w:p>
            <w:pPr>
              <w:ind w:left="2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 convocation à l'assemblée générale doit préciser (i)</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 the starting time, the form and the location of the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 date, l’heure, la forme et le lieu de l’assemblée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(ii) the items on the agenda,  (iii) the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générale  (ii)  les  objets  de  l'ordre  du  jour,  (iii)  les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proposals  of  the  Board  of  Directors  with  a  short</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propositions du conseil d'administration accompagnées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explanation for these proposals, (iv) if applicable, any</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d’une motivation succincte pour ces propositions, (iv) le</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proposals with a short explanation of each</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   échéant,   les   propositions   des   actionnaires,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 the name and the address of the independent proxy,</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accompagnées d’une motivation succincte, (v) le nom et</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 (vi), in the event of elections, the name(s) of the</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l’adresse du représentant indépendant, et (vi), dans le cas</w:t>
            </w:r>
          </w:p>
        </w:tc>
      </w:tr>
      <w:tr>
        <w:trPr>
          <w:trHeight w:val="216"/>
        </w:trPr>
        <w:tc>
          <w:tcPr>
            <w:tcW w:w="4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candidate(s) that has or have been put on the ballot for</w:t>
            </w: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d'élections, le/les nom(s) du/des candidat(s) qui a ou ont</w:t>
            </w:r>
          </w:p>
        </w:tc>
      </w:tr>
      <w:tr>
        <w:trPr>
          <w:trHeight w:val="234"/>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w:t>
            </w:r>
          </w:p>
        </w:tc>
        <w:tc>
          <w:tcPr>
            <w:tcW w:w="3600" w:type="dxa"/>
            <w:vAlign w:val="bottom"/>
          </w:tcPr>
          <w:p>
            <w:pPr>
              <w:spacing w:after="0"/>
              <w:rPr>
                <w:sz w:val="20"/>
                <w:szCs w:val="20"/>
                <w:color w:val="auto"/>
              </w:rPr>
            </w:pPr>
          </w:p>
        </w:tc>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été mis sur le bulletin de vote pour l'élection.</w:t>
            </w:r>
          </w:p>
        </w:tc>
      </w:tr>
      <w:tr>
        <w:trPr>
          <w:trHeight w:val="1100"/>
        </w:trPr>
        <w:tc>
          <w:tcPr>
            <w:tcW w:w="8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42" w:name="page43"/>
    <w:bookmarkEnd w:id="4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4"/>
                <w:szCs w:val="24"/>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Shareholders who represent an aggregate of at least 0.5</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Les actionnaires qui représentent un total d'au moins 0.5</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percent of the share capital or of the votes may demand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cent du capital-actions ou des voix peuvent exiger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that (i) an item be placed on the agenda of a General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l’inscription dans la convocation à l’assemblée générale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and (ii) proposals relating to items on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 d'un objet de l'ordre du jour et (ii) des propositions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agenda be included in the invitation to the General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concernant  des  objets  de  l’ordre  du  jour.  De  telles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Such  requests  must  be  made  in  writing,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demandes doivent être faites par écrit et remises ou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delivered to or mailed and received at the registered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envoyées et reçues au siège de la société au moins 60</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office of the Company at least 60 calendar days before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jours avant le premier anniversaire de la date de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first anniversary of the date that the Company's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convocation de la dernière assemblée générale ordinaire.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invitation notice was issued to shareholders in connection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actionnaires  peuvent  joindre  une  explication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  the  previous  year's  Ordinary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succincte à leur demande d’inscription d’un objet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may  submit  a  brief  explanation  when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l’ordre du jour ou à leur proposition qui sera retranscrite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requesting an item to be placed on the agenda or making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la  convocation  à  l’assemblée  générale.  Cette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proposal to be included in the invitation to the General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explication doit être brève, claire et concise.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Such statement shall be short, clear and concise.</w:t>
            </w:r>
          </w:p>
        </w:tc>
        <w:tc>
          <w:tcPr>
            <w:tcW w:w="22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r>
      <w:tr>
        <w:trPr>
          <w:trHeight w:val="324"/>
        </w:trPr>
        <w:tc>
          <w:tcPr>
            <w:tcW w:w="438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380" w:type="dxa"/>
            <w:vAlign w:val="bottom"/>
            <w:tcBorders>
              <w:bottom w:val="single" w:sz="8" w:color="auto"/>
              <w:right w:val="single" w:sz="8" w:color="auto"/>
            </w:tcBorders>
            <w:gridSpan w:val="2"/>
          </w:tcPr>
          <w:p>
            <w:pPr>
              <w:spacing w:after="0"/>
              <w:rPr>
                <w:sz w:val="24"/>
                <w:szCs w:val="24"/>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Each request for inclusion of an item on the agenda or</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Chaque demande d'inscription d'un objet à l'ordre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proposal concerning agenda items must include (i)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jour ou proposition relative à un objet à l’ordre du jour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name and address, as they appear on the Company's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doit inclure (i) le nom et l'adresse, tels qu'ils apparaissent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register  of  shareholders,  of  the  shareholder;  (ii)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le registre des actionnaires de la société, de l'/des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number of shares of the Company which are beneficially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actionnaire(s); (ii) le nombre d'actions de  la  société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owned by such shareholder; (iii) the dates upon which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effectivement détenues par (un) tel(s) actionnaire(s); (iii)</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shareholder  acquired  such  shares;  and  (iv)</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dates d’acquisition de ces actions; (iv) et la base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documentary  support  for  any  claim  of  beneficial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documentaire justifiant la propriété effective.</w:t>
            </w:r>
          </w:p>
        </w:tc>
      </w:tr>
      <w:tr>
        <w:trPr>
          <w:trHeight w:val="234"/>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ownership.</w:t>
            </w: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No resolution may be passed at a General Meeting</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Aucune  décision  ne  peut  être  adoptée  lors  d'une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concerning an item in relation to which due notice was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assemblée générale si un objet n'a pas été inscrit à l'ordre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  given  with  the  exception  of  requests  for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 jour dans le délai de préavis à l’exception des requêtes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convening of an Extraordinary General Meeting, for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convocation d’une assemblée générale extraordinaire,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initiation of a special investigation and for the election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d’institution d’un examen spécial ou de l’élection des</w:t>
            </w:r>
          </w:p>
        </w:tc>
      </w:tr>
      <w:tr>
        <w:trPr>
          <w:trHeight w:val="234"/>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Auditors.</w:t>
            </w: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réviseurs.</w:t>
            </w:r>
          </w:p>
        </w:tc>
        <w:tc>
          <w:tcPr>
            <w:tcW w:w="3520" w:type="dxa"/>
            <w:vAlign w:val="bottom"/>
            <w:tcBorders>
              <w:right w:val="single" w:sz="8" w:color="auto"/>
            </w:tcBorders>
          </w:tcPr>
          <w:p>
            <w:pPr>
              <w:spacing w:after="0"/>
              <w:rPr>
                <w:sz w:val="20"/>
                <w:szCs w:val="20"/>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No advance notice is required to propose motions on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Aucun  préavis  n'est  nécessaire  pour  proposer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duly notified agenda items or to debate items without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motions sur les objets inscrits à l'ordre du jour ou débattre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passing resolutions.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d’objets sans prendre de décisions.</w:t>
            </w: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318"/>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12</w:t>
            </w:r>
          </w:p>
        </w:tc>
        <w:tc>
          <w:tcPr>
            <w:tcW w:w="3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Documentation</w:t>
            </w:r>
          </w:p>
        </w:tc>
        <w:tc>
          <w:tcPr>
            <w:tcW w:w="220" w:type="dxa"/>
            <w:vAlign w:val="bottom"/>
            <w:tcBorders>
              <w:right w:val="single" w:sz="8" w:color="auto"/>
            </w:tcBorders>
          </w:tcPr>
          <w:p>
            <w:pPr>
              <w:spacing w:after="0"/>
              <w:rPr>
                <w:sz w:val="24"/>
                <w:szCs w:val="2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12</w:t>
            </w:r>
          </w:p>
        </w:tc>
        <w:tc>
          <w:tcPr>
            <w:tcW w:w="3520" w:type="dxa"/>
            <w:vAlign w:val="bottom"/>
            <w:tcBorders>
              <w:right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Documents</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annual business report, the compensation report,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rapport de gestion annuel, le rapport de rémunération,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Auditors'  report  and  any  other  reports  that  require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rapport des réviseurs et tout autre rapport nécessitant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  approval  shall  be  published  on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l’approbation des actionnaires doivent être publiés sur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Company's website at least 20 days prior to the date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site internet de la société au moins 20 jours avant la date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Ordinary General Meeting.</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l'assemblée générale ordinaire.</w:t>
            </w: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520" w:type="dxa"/>
            <w:vAlign w:val="bottom"/>
            <w:tcBorders>
              <w:bottom w:val="single" w:sz="8" w:color="auto"/>
              <w:right w:val="single" w:sz="8" w:color="auto"/>
            </w:tcBorders>
          </w:tcPr>
          <w:p>
            <w:pPr>
              <w:spacing w:after="0"/>
              <w:rPr>
                <w:sz w:val="9"/>
                <w:szCs w:val="9"/>
                <w:color w:val="auto"/>
              </w:rPr>
            </w:pPr>
          </w:p>
        </w:tc>
      </w:tr>
      <w:tr>
        <w:trPr>
          <w:trHeight w:val="1229"/>
        </w:trPr>
        <w:tc>
          <w:tcPr>
            <w:tcW w:w="9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43" w:name="page44"/>
    <w:bookmarkEnd w:id="4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40" w:type="dxa"/>
            <w:vAlign w:val="bottom"/>
          </w:tcPr>
          <w:p>
            <w:pPr>
              <w:ind w:left="3360"/>
              <w:spacing w:after="0"/>
              <w:rPr>
                <w:sz w:val="20"/>
                <w:szCs w:val="20"/>
                <w:color w:val="auto"/>
              </w:rPr>
            </w:pPr>
            <w:r>
              <w:rPr>
                <w:rFonts w:ascii="Times New Roman" w:cs="Times New Roman" w:eastAsia="Times New Roman" w:hAnsi="Times New Roman"/>
                <w:sz w:val="18"/>
                <w:szCs w:val="18"/>
                <w:color w:val="auto"/>
                <w:w w:val="77"/>
              </w:rPr>
              <w:t>11</w:t>
            </w:r>
          </w:p>
        </w:tc>
      </w:tr>
      <w:tr>
        <w:trPr>
          <w:trHeight w:val="473"/>
        </w:trPr>
        <w:tc>
          <w:tcPr>
            <w:tcW w:w="9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318"/>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13</w:t>
            </w:r>
          </w:p>
        </w:tc>
        <w:tc>
          <w:tcPr>
            <w:tcW w:w="3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Meeting of All Shareholders</w:t>
            </w: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13</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Assemblée universelle</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or their proxies representing all shares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propriétaires ou les représentants de la totalité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issued may hold a General Meeting without observing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actions peuvent, s'il n'y a pas d'opposition, tenir 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formalities required for calling a meeting, unless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assemblée générale sans observer les formes prévues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objection is raised. At such a meeting, discussions may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sa  convocation.  Aussi  longtemps  que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 held and resolutions passed on all matters within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propriétaires ou les représentants de la totalité des actions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scope of the powers of a General Meeting for so long 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sont présents, cette assemblée a le droit de délibérer et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shareholders or proxies representing all shares issued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statuer valablement sur tous les objets qui sont du ressort</w:t>
            </w:r>
          </w:p>
        </w:tc>
      </w:tr>
      <w:tr>
        <w:trPr>
          <w:trHeight w:val="234"/>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are present.</w:t>
            </w: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l'assemblée générale.</w:t>
            </w: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r>
      <w:tr>
        <w:trPr>
          <w:trHeight w:val="318"/>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14</w:t>
            </w:r>
          </w:p>
        </w:tc>
        <w:tc>
          <w:tcPr>
            <w:tcW w:w="3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Chairman and Scrutineers</w:t>
            </w: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14</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Président et scrutateurs</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Chairman of the Board of Directors shall preside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L'assemblée générale est présidée par le président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over the General Meeting. In his absence, a member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En cas d'empêchement, un autre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 or another Chairman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membre du conseil d'administration ou un président ad</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designated by the General Meeting shall preside.</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hoc nommé par l'assemblée générale préside celle-ci.</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Chairman  of  the  Meeting  shall  designate  a</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président  de  l'assemblée  générale  désigne  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Secretary  and  the  scrutineers  who  need  not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secrétaire  et  les  scrutateurs  qui  ne  doivent  pas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nécessairement être actionnaires.</w:t>
            </w: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r>
      <w:tr>
        <w:trPr>
          <w:trHeight w:val="318"/>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15</w:t>
            </w:r>
          </w:p>
        </w:tc>
        <w:tc>
          <w:tcPr>
            <w:tcW w:w="3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Minutes</w:t>
            </w: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15</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Procès-verbal</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Board of Directors is responsible for the keeping of</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conseil d'administration est responsable de la tenue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minutes of the Meeting, which shall state the number,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 procès-verbal de l'assemblée, qui doit indiquer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kind,  nominal  value  of  shares  represented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nombre,  le  type,  la  valeur  nominale  des  actions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by  the  corporate  bodies  and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représentées par les actionnaires, par les organes sociaux</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Proxy and gives information on resolutions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et  par  le  représentant  indépendant  et  donne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passed,  elections,  requests  for  information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informations sur les décisions adoptées, les élections,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as  well  as  declarations  given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demandes de renseignements et les informations ainsi que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The  minutes  shall  be  signed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déclarations faites par les actionnaires. Le procès-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Chairman and the Secretary.</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verbal est signé par le président et le secrétaire.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shareholders may request access to the minutes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actionnaires ont le droit de demander accès au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within 30 days from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procès-verbal dans les 30 jours suivants l’assemblée</w:t>
            </w:r>
          </w:p>
        </w:tc>
      </w:tr>
      <w:tr>
        <w:trPr>
          <w:trHeight w:val="234"/>
        </w:trPr>
        <w:tc>
          <w:tcPr>
            <w:tcW w:w="960" w:type="dxa"/>
            <w:vAlign w:val="bottom"/>
            <w:tcBorders>
              <w:lef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générale.</w:t>
            </w:r>
          </w:p>
        </w:tc>
        <w:tc>
          <w:tcPr>
            <w:tcW w:w="3540" w:type="dxa"/>
            <w:vAlign w:val="bottom"/>
            <w:tcBorders>
              <w:right w:val="single" w:sz="8" w:color="auto"/>
            </w:tcBorders>
          </w:tcPr>
          <w:p>
            <w:pPr>
              <w:spacing w:after="0"/>
              <w:rPr>
                <w:sz w:val="20"/>
                <w:szCs w:val="20"/>
                <w:color w:val="auto"/>
              </w:rPr>
            </w:pP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r>
      <w:tr>
        <w:trPr>
          <w:trHeight w:val="318"/>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16</w:t>
            </w:r>
          </w:p>
        </w:tc>
        <w:tc>
          <w:tcPr>
            <w:tcW w:w="34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Right to Vote</w:t>
            </w: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16</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Droit de vote</w:t>
            </w:r>
          </w:p>
        </w:tc>
      </w:tr>
      <w:tr>
        <w:trPr>
          <w:trHeight w:val="432"/>
        </w:trPr>
        <w:tc>
          <w:tcPr>
            <w:tcW w:w="438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Each share entitles to one vote.</w:t>
            </w:r>
          </w:p>
        </w:tc>
        <w:tc>
          <w:tcPr>
            <w:tcW w:w="220" w:type="dxa"/>
            <w:vAlign w:val="bottom"/>
            <w:tcBorders>
              <w:bottom w:val="single" w:sz="8" w:color="auto"/>
              <w:right w:val="single" w:sz="8" w:color="auto"/>
            </w:tcBorders>
          </w:tcPr>
          <w:p>
            <w:pPr>
              <w:spacing w:after="0"/>
              <w:rPr>
                <w:sz w:val="24"/>
                <w:szCs w:val="24"/>
                <w:color w:val="auto"/>
              </w:rPr>
            </w:pPr>
          </w:p>
        </w:tc>
        <w:tc>
          <w:tcPr>
            <w:tcW w:w="43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Chaque action donne droit à une voix.</w:t>
            </w: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Each shareholder may be represented at a General</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Chaque  actionnaire  peut  se  faire  représenter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by any person who is so authorized by a written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l'assemblée générale par toute personne qui est autorisée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proxy. A proxy need not be a shareholder.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 une procuration écrite. Le représentant ne doit pas</w:t>
            </w:r>
          </w:p>
        </w:tc>
      </w:tr>
      <w:tr>
        <w:trPr>
          <w:trHeight w:val="234"/>
        </w:trPr>
        <w:tc>
          <w:tcPr>
            <w:tcW w:w="960" w:type="dxa"/>
            <w:vAlign w:val="bottom"/>
            <w:tcBorders>
              <w:lef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nécessairement être un actionnaire.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Each  shareholder  may  be  represented  by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Chaque actionnaire peut se faire représenter par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Proxy. The requirements regarding proxies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représentant indépendant. Les exigences en matière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instructions  are  determined  by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procurations et les instructions sont déterminées par le</w:t>
            </w:r>
          </w:p>
        </w:tc>
      </w:tr>
      <w:tr>
        <w:trPr>
          <w:trHeight w:val="234"/>
        </w:trPr>
        <w:tc>
          <w:tcPr>
            <w:tcW w:w="9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342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w:t>
            </w:r>
          </w:p>
        </w:tc>
      </w:tr>
      <w:tr>
        <w:trPr>
          <w:trHeight w:val="108"/>
        </w:trPr>
        <w:tc>
          <w:tcPr>
            <w:tcW w:w="960" w:type="dxa"/>
            <w:vAlign w:val="bottom"/>
            <w:tcBorders>
              <w:left w:val="single" w:sz="8" w:color="auto"/>
              <w:bottom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40" w:type="dxa"/>
            <w:vAlign w:val="bottom"/>
            <w:tcBorders>
              <w:bottom w:val="single" w:sz="8" w:color="auto"/>
              <w:right w:val="single" w:sz="8" w:color="auto"/>
            </w:tcBorders>
          </w:tcPr>
          <w:p>
            <w:pPr>
              <w:spacing w:after="0"/>
              <w:rPr>
                <w:sz w:val="9"/>
                <w:szCs w:val="9"/>
                <w:color w:val="auto"/>
              </w:rPr>
            </w:pPr>
          </w:p>
        </w:tc>
      </w:tr>
      <w:tr>
        <w:trPr>
          <w:trHeight w:val="756"/>
        </w:trPr>
        <w:tc>
          <w:tcPr>
            <w:tcW w:w="9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44" w:name="page45"/>
    <w:bookmarkEnd w:id="4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73"/>
        </w:trPr>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17</w:t>
            </w:r>
          </w:p>
        </w:tc>
        <w:tc>
          <w:tcPr>
            <w:tcW w:w="28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Resolutions and Elections</w:t>
            </w:r>
          </w:p>
        </w:tc>
        <w:tc>
          <w:tcPr>
            <w:tcW w:w="4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17</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Décisions and élections</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380" w:type="dxa"/>
            <w:vAlign w:val="bottom"/>
            <w:tcBorders>
              <w:left w:val="single" w:sz="8" w:color="auto"/>
              <w:right w:val="single" w:sz="8" w:color="auto"/>
            </w:tcBorders>
            <w:gridSpan w:val="7"/>
          </w:tcPr>
          <w:p>
            <w:pPr>
              <w:ind w:left="100"/>
              <w:spacing w:after="0" w:line="26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All  voting  and  elections  are  held  openly  or</w:t>
            </w:r>
          </w:p>
        </w:tc>
        <w:tc>
          <w:tcPr>
            <w:tcW w:w="240" w:type="dxa"/>
            <w:vAlign w:val="bottom"/>
            <w:tcBorders>
              <w:right w:val="single" w:sz="8" w:color="auto"/>
            </w:tcBorders>
          </w:tcPr>
          <w:p>
            <w:pPr>
              <w:spacing w:after="0"/>
              <w:rPr>
                <w:sz w:val="23"/>
                <w:szCs w:val="23"/>
                <w:color w:val="auto"/>
              </w:rPr>
            </w:pPr>
          </w:p>
        </w:tc>
        <w:tc>
          <w:tcPr>
            <w:tcW w:w="4360" w:type="dxa"/>
            <w:vAlign w:val="bottom"/>
            <w:tcBorders>
              <w:right w:val="single" w:sz="8" w:color="auto"/>
            </w:tcBorders>
            <w:gridSpan w:val="9"/>
          </w:tcPr>
          <w:p>
            <w:pPr>
              <w:ind w:left="80"/>
              <w:spacing w:after="0" w:line="26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Tous votes et élections sont tenus ouvertement ou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electronically. A written voting or election shall be held</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voie électronique. Sur instruction du président ou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if instructed so by the Chairman or if decided by the</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l'assemblée générale, un vote ou une élection doit être</w:t>
            </w: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General Meeting.</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tenu par écrit.</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380" w:type="dxa"/>
            <w:vAlign w:val="bottom"/>
            <w:tcBorders>
              <w:left w:val="single" w:sz="8" w:color="auto"/>
              <w:bottom w:val="single" w:sz="8" w:color="auto"/>
              <w:right w:val="single" w:sz="8" w:color="auto"/>
            </w:tcBorders>
            <w:gridSpan w:val="7"/>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4360" w:type="dxa"/>
            <w:vAlign w:val="bottom"/>
            <w:tcBorders>
              <w:bottom w:val="single" w:sz="8" w:color="auto"/>
              <w:right w:val="single" w:sz="8" w:color="auto"/>
            </w:tcBorders>
            <w:gridSpan w:val="9"/>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4380" w:type="dxa"/>
            <w:vAlign w:val="bottom"/>
            <w:tcBorders>
              <w:left w:val="single" w:sz="8" w:color="auto"/>
              <w:right w:val="single" w:sz="8" w:color="auto"/>
            </w:tcBorders>
            <w:gridSpan w:val="7"/>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General Meeting shall pass its resolutions and carry</w:t>
            </w:r>
          </w:p>
        </w:tc>
        <w:tc>
          <w:tcPr>
            <w:tcW w:w="240" w:type="dxa"/>
            <w:vAlign w:val="bottom"/>
            <w:tcBorders>
              <w:right w:val="single" w:sz="8" w:color="auto"/>
            </w:tcBorders>
          </w:tcPr>
          <w:p>
            <w:pPr>
              <w:spacing w:after="0"/>
              <w:rPr>
                <w:sz w:val="22"/>
                <w:szCs w:val="22"/>
                <w:color w:val="auto"/>
              </w:rPr>
            </w:pPr>
          </w:p>
        </w:tc>
        <w:tc>
          <w:tcPr>
            <w:tcW w:w="4360" w:type="dxa"/>
            <w:vAlign w:val="bottom"/>
            <w:tcBorders>
              <w:right w:val="single" w:sz="8" w:color="auto"/>
            </w:tcBorders>
            <w:gridSpan w:val="9"/>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Sous réserve des dispositions impératives de la loi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out its elections with the simple majority of the votes cast</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des statuts, l'assemblée générale prend ses décisions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regardless of abstentions and empty or invalid votes,</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procède aux élections à la majorité simple des voix</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unless statutory law or the Articles of Association state</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émises sans tenir compte des abstentions, votes blancs ou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otherwise. In the event of tie votes, the proposal shall be</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non-valables, sauf dispositions contraires impératives de</w:t>
            </w:r>
          </w:p>
        </w:tc>
        <w:tc>
          <w:tcPr>
            <w:tcW w:w="0" w:type="dxa"/>
            <w:vAlign w:val="bottom"/>
          </w:tcPr>
          <w:p>
            <w:pPr>
              <w:spacing w:after="0"/>
              <w:rPr>
                <w:sz w:val="1"/>
                <w:szCs w:val="1"/>
                <w:color w:val="auto"/>
              </w:rPr>
            </w:pPr>
          </w:p>
        </w:tc>
      </w:tr>
      <w:tr>
        <w:trPr>
          <w:trHeight w:val="216"/>
        </w:trPr>
        <w:tc>
          <w:tcPr>
            <w:tcW w:w="4040" w:type="dxa"/>
            <w:vAlign w:val="bottom"/>
            <w:tcBorders>
              <w:lef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refused. The Chairman shall not have a casting vote.</w:t>
            </w:r>
          </w:p>
        </w:tc>
        <w:tc>
          <w:tcPr>
            <w:tcW w:w="34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la loi ou des statuts. En cas de partage égal des voix, la</w:t>
            </w: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proposition  sera  refusée.  Le  président  n'a  pas  voix</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prépondérante.</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380" w:type="dxa"/>
            <w:vAlign w:val="bottom"/>
            <w:tcBorders>
              <w:left w:val="single" w:sz="8" w:color="auto"/>
              <w:bottom w:val="single" w:sz="8" w:color="auto"/>
              <w:right w:val="single" w:sz="8" w:color="auto"/>
            </w:tcBorders>
            <w:gridSpan w:val="7"/>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360" w:type="dxa"/>
            <w:vAlign w:val="bottom"/>
            <w:tcBorders>
              <w:bottom w:val="single" w:sz="8" w:color="auto"/>
              <w:right w:val="single" w:sz="8" w:color="auto"/>
            </w:tcBorders>
            <w:gridSpan w:val="9"/>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4380" w:type="dxa"/>
            <w:vAlign w:val="bottom"/>
            <w:tcBorders>
              <w:left w:val="single" w:sz="8" w:color="auto"/>
              <w:right w:val="single" w:sz="8" w:color="auto"/>
            </w:tcBorders>
            <w:gridSpan w:val="7"/>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 resolution of the General Meeting passed by at least</w:t>
            </w:r>
          </w:p>
        </w:tc>
        <w:tc>
          <w:tcPr>
            <w:tcW w:w="240" w:type="dxa"/>
            <w:vAlign w:val="bottom"/>
            <w:tcBorders>
              <w:right w:val="single" w:sz="8" w:color="auto"/>
            </w:tcBorders>
          </w:tcPr>
          <w:p>
            <w:pPr>
              <w:spacing w:after="0"/>
              <w:rPr>
                <w:sz w:val="22"/>
                <w:szCs w:val="22"/>
                <w:color w:val="auto"/>
              </w:rPr>
            </w:pPr>
          </w:p>
        </w:tc>
        <w:tc>
          <w:tcPr>
            <w:tcW w:w="4360" w:type="dxa"/>
            <w:vAlign w:val="bottom"/>
            <w:tcBorders>
              <w:right w:val="single" w:sz="8" w:color="auto"/>
            </w:tcBorders>
            <w:gridSpan w:val="9"/>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Une décision de l'assemblée générale recueillant au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two thirds of the represented share votes and the absolute</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moins les deux tiers des voix attribuées aux 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majority of the represented shares par value is required</w:t>
            </w:r>
          </w:p>
        </w:tc>
        <w:tc>
          <w:tcPr>
            <w:tcW w:w="240" w:type="dxa"/>
            <w:vAlign w:val="bottom"/>
            <w:tcBorders>
              <w:right w:val="single" w:sz="8" w:color="auto"/>
            </w:tcBorders>
          </w:tcPr>
          <w:p>
            <w:pPr>
              <w:spacing w:after="0"/>
              <w:rPr>
                <w:sz w:val="18"/>
                <w:szCs w:val="18"/>
                <w:color w:val="auto"/>
              </w:rPr>
            </w:pPr>
          </w:p>
        </w:tc>
        <w:tc>
          <w:tcPr>
            <w:tcW w:w="436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représentées et la majorité absolue des valeurs nominales</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8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représentées est nécessaire pour:</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620" w:type="dxa"/>
            <w:vAlign w:val="bottom"/>
            <w:tcBorders>
              <w:lef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   The cases listed in art. 704 para. 1 CO, i.e.:</w:t>
            </w:r>
          </w:p>
        </w:tc>
        <w:tc>
          <w:tcPr>
            <w:tcW w:w="4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20" w:type="dxa"/>
            <w:vAlign w:val="bottom"/>
            <w:gridSpan w:val="8"/>
            <w:vMerge w:val="restart"/>
          </w:tcPr>
          <w:p>
            <w:pPr>
              <w:ind w:left="80"/>
              <w:spacing w:after="0"/>
              <w:rPr>
                <w:sz w:val="20"/>
                <w:szCs w:val="20"/>
                <w:color w:val="auto"/>
              </w:rPr>
            </w:pPr>
            <w:r>
              <w:rPr>
                <w:rFonts w:ascii="Times New Roman" w:cs="Times New Roman" w:eastAsia="Times New Roman" w:hAnsi="Times New Roman"/>
                <w:sz w:val="18"/>
                <w:szCs w:val="18"/>
                <w:color w:val="auto"/>
              </w:rPr>
              <w:t>a)   les cas énumérés dans l'art. 704 al. 1 CO, soit :</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20" w:type="dxa"/>
            <w:vAlign w:val="bottom"/>
            <w:tcBorders>
              <w:left w:val="single" w:sz="8" w:color="auto"/>
            </w:tcBorders>
            <w:gridSpan w:val="5"/>
            <w:vMerge w:val="restart"/>
          </w:tcPr>
          <w:p>
            <w:pPr>
              <w:ind w:left="500"/>
              <w:spacing w:after="0"/>
              <w:rPr>
                <w:sz w:val="20"/>
                <w:szCs w:val="20"/>
                <w:color w:val="auto"/>
              </w:rPr>
            </w:pPr>
            <w:r>
              <w:rPr>
                <w:rFonts w:ascii="Times New Roman" w:cs="Times New Roman" w:eastAsia="Times New Roman" w:hAnsi="Times New Roman"/>
                <w:sz w:val="18"/>
                <w:szCs w:val="18"/>
                <w:color w:val="auto"/>
              </w:rPr>
              <w:t>(i)  the change of the Company purpose;</w:t>
            </w:r>
          </w:p>
        </w:tc>
        <w:tc>
          <w:tcPr>
            <w:tcW w:w="4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4020" w:type="dxa"/>
            <w:vAlign w:val="bottom"/>
            <w:gridSpan w:val="8"/>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20" w:type="dxa"/>
            <w:vAlign w:val="bottom"/>
            <w:tcBorders>
              <w:left w:val="single" w:sz="8" w:color="auto"/>
            </w:tcBorders>
            <w:gridSpan w:val="5"/>
            <w:vMerge w:val="continue"/>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w:t>
            </w:r>
          </w:p>
        </w:tc>
        <w:tc>
          <w:tcPr>
            <w:tcW w:w="264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pour la modification du but social;</w:t>
            </w:r>
          </w:p>
        </w:tc>
        <w:tc>
          <w:tcPr>
            <w:tcW w:w="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380" w:type="dxa"/>
            <w:vAlign w:val="bottom"/>
            <w:tcBorders>
              <w:left w:val="single" w:sz="8" w:color="auto"/>
              <w:right w:val="single" w:sz="8" w:color="auto"/>
            </w:tcBorders>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(ii)  the consolidation of shares, unless the consent</w:t>
            </w:r>
          </w:p>
        </w:tc>
        <w:tc>
          <w:tcPr>
            <w:tcW w:w="240" w:type="dxa"/>
            <w:vAlign w:val="bottom"/>
            <w:tcBorders>
              <w:right w:val="single" w:sz="8" w:color="auto"/>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2640" w:type="dxa"/>
            <w:vAlign w:val="bottom"/>
            <w:gridSpan w:val="6"/>
            <w:vMerge w:val="continue"/>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380" w:type="dxa"/>
            <w:vAlign w:val="bottom"/>
            <w:tcBorders>
              <w:left w:val="single" w:sz="8" w:color="auto"/>
              <w:right w:val="single" w:sz="8" w:color="auto"/>
            </w:tcBorders>
            <w:gridSpan w:val="7"/>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(ii)</w:t>
            </w:r>
          </w:p>
        </w:tc>
        <w:tc>
          <w:tcPr>
            <w:tcW w:w="3580" w:type="dxa"/>
            <w:vAlign w:val="bottom"/>
            <w:tcBorders>
              <w:right w:val="single" w:sz="8" w:color="auto"/>
            </w:tcBorders>
            <w:gridSpan w:val="8"/>
            <w:vMerge w:val="restart"/>
          </w:tcPr>
          <w:p>
            <w:pPr>
              <w:ind w:left="60"/>
              <w:spacing w:after="0"/>
              <w:rPr>
                <w:sz w:val="20"/>
                <w:szCs w:val="20"/>
                <w:color w:val="auto"/>
              </w:rPr>
            </w:pPr>
            <w:r>
              <w:rPr>
                <w:rFonts w:ascii="Times New Roman" w:cs="Times New Roman" w:eastAsia="Times New Roman" w:hAnsi="Times New Roman"/>
                <w:sz w:val="18"/>
                <w:szCs w:val="18"/>
                <w:color w:val="auto"/>
              </w:rPr>
              <w:t>pour la réunion d’actions, pour autant que le</w:t>
            </w: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3560" w:type="dxa"/>
            <w:vAlign w:val="bottom"/>
            <w:tcBorders>
              <w:right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of all the shareholders concerned is required;</w:t>
            </w:r>
          </w:p>
        </w:tc>
        <w:tc>
          <w:tcPr>
            <w:tcW w:w="240" w:type="dxa"/>
            <w:vAlign w:val="bottom"/>
            <w:tcBorders>
              <w:right w:val="single" w:sz="8" w:color="auto"/>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3580" w:type="dxa"/>
            <w:vAlign w:val="bottom"/>
            <w:tcBorders>
              <w:right w:val="single" w:sz="8" w:color="auto"/>
            </w:tcBorders>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20" w:type="dxa"/>
            <w:vAlign w:val="bottom"/>
            <w:tcBorders>
              <w:left w:val="single" w:sz="8" w:color="auto"/>
            </w:tcBorders>
          </w:tcPr>
          <w:p>
            <w:pPr>
              <w:spacing w:after="0"/>
              <w:rPr>
                <w:sz w:val="8"/>
                <w:szCs w:val="8"/>
                <w:color w:val="auto"/>
              </w:rPr>
            </w:pPr>
          </w:p>
        </w:tc>
        <w:tc>
          <w:tcPr>
            <w:tcW w:w="3560" w:type="dxa"/>
            <w:vAlign w:val="bottom"/>
            <w:tcBorders>
              <w:right w:val="single" w:sz="8" w:color="auto"/>
            </w:tcBorders>
            <w:gridSpan w:val="6"/>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580" w:type="dxa"/>
            <w:vAlign w:val="bottom"/>
            <w:tcBorders>
              <w:right w:val="single" w:sz="8" w:color="auto"/>
            </w:tcBorders>
            <w:gridSpan w:val="8"/>
            <w:vMerge w:val="restart"/>
          </w:tcPr>
          <w:p>
            <w:pPr>
              <w:ind w:left="80"/>
              <w:spacing w:after="0"/>
              <w:rPr>
                <w:sz w:val="20"/>
                <w:szCs w:val="20"/>
                <w:color w:val="auto"/>
              </w:rPr>
            </w:pPr>
            <w:r>
              <w:rPr>
                <w:rFonts w:ascii="Times New Roman" w:cs="Times New Roman" w:eastAsia="Times New Roman" w:hAnsi="Times New Roman"/>
                <w:sz w:val="18"/>
                <w:szCs w:val="18"/>
                <w:color w:val="auto"/>
              </w:rPr>
              <w:t>consentement   de   tous   les   actionnaires</w:t>
            </w:r>
          </w:p>
        </w:tc>
        <w:tc>
          <w:tcPr>
            <w:tcW w:w="0" w:type="dxa"/>
            <w:vAlign w:val="bottom"/>
          </w:tcPr>
          <w:p>
            <w:pPr>
              <w:spacing w:after="0"/>
              <w:rPr>
                <w:sz w:val="1"/>
                <w:szCs w:val="1"/>
                <w:color w:val="auto"/>
              </w:rPr>
            </w:pPr>
          </w:p>
        </w:tc>
      </w:tr>
      <w:tr>
        <w:trPr>
          <w:trHeight w:val="117"/>
        </w:trPr>
        <w:tc>
          <w:tcPr>
            <w:tcW w:w="4380" w:type="dxa"/>
            <w:vAlign w:val="bottom"/>
            <w:tcBorders>
              <w:left w:val="single" w:sz="8" w:color="auto"/>
              <w:right w:val="single" w:sz="8" w:color="auto"/>
            </w:tcBorders>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(iii) a capital increase from equity capital, in return</w:t>
            </w:r>
          </w:p>
        </w:tc>
        <w:tc>
          <w:tcPr>
            <w:tcW w:w="24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3580" w:type="dxa"/>
            <w:vAlign w:val="bottom"/>
            <w:tcBorders>
              <w:right w:val="single" w:sz="8" w:color="auto"/>
            </w:tcBorders>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80" w:type="dxa"/>
            <w:vAlign w:val="bottom"/>
            <w:tcBorders>
              <w:left w:val="single" w:sz="8" w:color="auto"/>
              <w:right w:val="single" w:sz="8" w:color="auto"/>
            </w:tcBorders>
            <w:gridSpan w:val="7"/>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640" w:type="dxa"/>
            <w:vAlign w:val="bottom"/>
            <w:gridSpan w:val="6"/>
          </w:tcPr>
          <w:p>
            <w:pPr>
              <w:ind w:left="80"/>
              <w:spacing w:after="0" w:line="181" w:lineRule="exact"/>
              <w:rPr>
                <w:sz w:val="20"/>
                <w:szCs w:val="20"/>
                <w:color w:val="auto"/>
              </w:rPr>
            </w:pPr>
            <w:r>
              <w:rPr>
                <w:rFonts w:ascii="Times New Roman" w:cs="Times New Roman" w:eastAsia="Times New Roman" w:hAnsi="Times New Roman"/>
                <w:sz w:val="18"/>
                <w:szCs w:val="18"/>
                <w:color w:val="auto"/>
              </w:rPr>
              <w:t>concernés ne soit pas requis;</w:t>
            </w:r>
          </w:p>
        </w:tc>
        <w:tc>
          <w:tcPr>
            <w:tcW w:w="60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0" w:type="dxa"/>
            <w:vAlign w:val="bottom"/>
            <w:tcBorders>
              <w:left w:val="single" w:sz="8" w:color="auto"/>
            </w:tcBorders>
          </w:tcPr>
          <w:p>
            <w:pPr>
              <w:spacing w:after="0"/>
              <w:rPr>
                <w:sz w:val="17"/>
                <w:szCs w:val="17"/>
                <w:color w:val="auto"/>
              </w:rPr>
            </w:pPr>
          </w:p>
        </w:tc>
        <w:tc>
          <w:tcPr>
            <w:tcW w:w="3560" w:type="dxa"/>
            <w:vAlign w:val="bottom"/>
            <w:tcBorders>
              <w:right w:val="single" w:sz="8" w:color="auto"/>
            </w:tcBorders>
            <w:gridSpan w:val="6"/>
          </w:tcPr>
          <w:p>
            <w:pPr>
              <w:ind w:left="60"/>
              <w:spacing w:after="0" w:line="198" w:lineRule="exact"/>
              <w:rPr>
                <w:sz w:val="20"/>
                <w:szCs w:val="20"/>
                <w:color w:val="auto"/>
              </w:rPr>
            </w:pPr>
            <w:r>
              <w:rPr>
                <w:rFonts w:ascii="Times New Roman" w:cs="Times New Roman" w:eastAsia="Times New Roman" w:hAnsi="Times New Roman"/>
                <w:sz w:val="18"/>
                <w:szCs w:val="18"/>
                <w:color w:val="auto"/>
              </w:rPr>
              <w:t>for contributions in kind or by offset with a</w:t>
            </w:r>
          </w:p>
        </w:tc>
        <w:tc>
          <w:tcPr>
            <w:tcW w:w="240" w:type="dxa"/>
            <w:vAlign w:val="bottom"/>
            <w:tcBorders>
              <w:right w:val="single" w:sz="8" w:color="auto"/>
            </w:tcBorders>
          </w:tcPr>
          <w:p>
            <w:pPr>
              <w:spacing w:after="0"/>
              <w:rPr>
                <w:sz w:val="17"/>
                <w:szCs w:val="17"/>
                <w:color w:val="auto"/>
              </w:rPr>
            </w:pP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(iii)</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pour</w:t>
            </w:r>
          </w:p>
        </w:tc>
        <w:tc>
          <w:tcPr>
            <w:tcW w:w="15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l’augmentation  du</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capital-actions</w:t>
            </w: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au</w:t>
            </w: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3560" w:type="dxa"/>
            <w:vAlign w:val="bottom"/>
            <w:tcBorders>
              <w:right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claim, and the granting of special privileges;</w:t>
            </w:r>
          </w:p>
        </w:tc>
        <w:tc>
          <w:tcPr>
            <w:tcW w:w="240" w:type="dxa"/>
            <w:vAlign w:val="bottom"/>
            <w:tcBorders>
              <w:right w:val="single" w:sz="8" w:color="auto"/>
            </w:tcBorders>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820" w:type="dxa"/>
            <w:vAlign w:val="bottom"/>
            <w:tcBorders>
              <w:left w:val="single" w:sz="8" w:color="auto"/>
            </w:tcBorders>
          </w:tcPr>
          <w:p>
            <w:pPr>
              <w:spacing w:after="0"/>
              <w:rPr>
                <w:sz w:val="8"/>
                <w:szCs w:val="8"/>
                <w:color w:val="auto"/>
              </w:rPr>
            </w:pPr>
          </w:p>
        </w:tc>
        <w:tc>
          <w:tcPr>
            <w:tcW w:w="3560" w:type="dxa"/>
            <w:vAlign w:val="bottom"/>
            <w:tcBorders>
              <w:right w:val="single" w:sz="8" w:color="auto"/>
            </w:tcBorders>
            <w:gridSpan w:val="6"/>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moyen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1"/>
              </w:rPr>
              <w:t>des</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fonds</w:t>
            </w: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propres, contre</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apport</w:t>
            </w:r>
          </w:p>
        </w:tc>
        <w:tc>
          <w:tcPr>
            <w:tcW w:w="3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en</w:t>
            </w:r>
          </w:p>
        </w:tc>
        <w:tc>
          <w:tcPr>
            <w:tcW w:w="0" w:type="dxa"/>
            <w:vAlign w:val="bottom"/>
          </w:tcPr>
          <w:p>
            <w:pPr>
              <w:spacing w:after="0"/>
              <w:rPr>
                <w:sz w:val="1"/>
                <w:szCs w:val="1"/>
                <w:color w:val="auto"/>
              </w:rPr>
            </w:pPr>
          </w:p>
        </w:tc>
      </w:tr>
      <w:tr>
        <w:trPr>
          <w:trHeight w:val="117"/>
        </w:trPr>
        <w:tc>
          <w:tcPr>
            <w:tcW w:w="820" w:type="dxa"/>
            <w:vAlign w:val="bottom"/>
            <w:tcBorders>
              <w:lef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(iv)</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restriction</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or</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0"/>
              </w:rPr>
              <w:t>the</w:t>
            </w:r>
          </w:p>
        </w:tc>
        <w:tc>
          <w:tcPr>
            <w:tcW w:w="24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40" w:type="dxa"/>
            <w:vAlign w:val="bottom"/>
            <w:tcBorders>
              <w:righ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nature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ou</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par</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tcBorders>
              <w:right w:val="single" w:sz="8" w:color="auto"/>
            </w:tcBorders>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et  pour</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preemptive rights;</w:t>
            </w: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4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tcBorders>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2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l’attribution d’avantages particuliers;</w:t>
            </w: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(v)</w:t>
            </w:r>
          </w:p>
        </w:tc>
        <w:tc>
          <w:tcPr>
            <w:tcW w:w="3560" w:type="dxa"/>
            <w:vAlign w:val="bottom"/>
            <w:tcBorders>
              <w:right w:val="single" w:sz="8" w:color="auto"/>
            </w:tcBorders>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the introduction of conditional capital, or the</w:t>
            </w:r>
          </w:p>
        </w:tc>
        <w:tc>
          <w:tcPr>
            <w:tcW w:w="240" w:type="dxa"/>
            <w:vAlign w:val="bottom"/>
            <w:tcBorders>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3240" w:type="dxa"/>
            <w:vAlign w:val="bottom"/>
            <w:gridSpan w:val="7"/>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20" w:type="dxa"/>
            <w:vAlign w:val="bottom"/>
            <w:tcBorders>
              <w:left w:val="single" w:sz="8" w:color="auto"/>
            </w:tcBorders>
            <w:vMerge w:val="continue"/>
          </w:tcPr>
          <w:p>
            <w:pPr>
              <w:spacing w:after="0"/>
              <w:rPr>
                <w:sz w:val="17"/>
                <w:szCs w:val="17"/>
                <w:color w:val="auto"/>
              </w:rPr>
            </w:pPr>
          </w:p>
        </w:tc>
        <w:tc>
          <w:tcPr>
            <w:tcW w:w="3560" w:type="dxa"/>
            <w:vAlign w:val="bottom"/>
            <w:tcBorders>
              <w:right w:val="single" w:sz="8" w:color="auto"/>
            </w:tcBorders>
            <w:gridSpan w:val="6"/>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4360" w:type="dxa"/>
            <w:vAlign w:val="bottom"/>
            <w:tcBorders>
              <w:right w:val="single" w:sz="8" w:color="auto"/>
            </w:tcBorders>
            <w:gridSpan w:val="9"/>
            <w:vMerge w:val="restart"/>
          </w:tcPr>
          <w:p>
            <w:pPr>
              <w:ind w:left="460"/>
              <w:spacing w:after="0"/>
              <w:rPr>
                <w:sz w:val="20"/>
                <w:szCs w:val="20"/>
                <w:color w:val="auto"/>
              </w:rPr>
            </w:pPr>
            <w:r>
              <w:rPr>
                <w:rFonts w:ascii="Times New Roman" w:cs="Times New Roman" w:eastAsia="Times New Roman" w:hAnsi="Times New Roman"/>
                <w:sz w:val="18"/>
                <w:szCs w:val="18"/>
                <w:color w:val="auto"/>
              </w:rPr>
              <w:t>(iv)  pour la limitation ou la suppression du droit de</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2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introduction of a capital band;</w:t>
            </w:r>
          </w:p>
        </w:tc>
        <w:tc>
          <w:tcPr>
            <w:tcW w:w="4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4360" w:type="dxa"/>
            <w:vAlign w:val="bottom"/>
            <w:tcBorders>
              <w:right w:val="single" w:sz="8" w:color="auto"/>
            </w:tcBorders>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tcBorders>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souscription préférentiel;</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380" w:type="dxa"/>
            <w:vAlign w:val="bottom"/>
            <w:tcBorders>
              <w:left w:val="single" w:sz="8" w:color="auto"/>
              <w:right w:val="single" w:sz="8" w:color="auto"/>
            </w:tcBorders>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(vi)  the conversion of participation certificates into</w:t>
            </w:r>
          </w:p>
        </w:tc>
        <w:tc>
          <w:tcPr>
            <w:tcW w:w="240" w:type="dxa"/>
            <w:vAlign w:val="bottom"/>
            <w:tcBorders>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gridSpan w:val="7"/>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(v)</w:t>
            </w:r>
          </w:p>
        </w:tc>
        <w:tc>
          <w:tcPr>
            <w:tcW w:w="3580" w:type="dxa"/>
            <w:vAlign w:val="bottom"/>
            <w:tcBorders>
              <w:right w:val="single" w:sz="8" w:color="auto"/>
            </w:tcBorders>
            <w:gridSpan w:val="8"/>
            <w:vMerge w:val="restart"/>
          </w:tcPr>
          <w:p>
            <w:pPr>
              <w:ind w:left="60"/>
              <w:spacing w:after="0"/>
              <w:rPr>
                <w:sz w:val="20"/>
                <w:szCs w:val="20"/>
                <w:color w:val="auto"/>
              </w:rPr>
            </w:pPr>
            <w:r>
              <w:rPr>
                <w:rFonts w:ascii="Times New Roman" w:cs="Times New Roman" w:eastAsia="Times New Roman" w:hAnsi="Times New Roman"/>
                <w:sz w:val="18"/>
                <w:szCs w:val="18"/>
                <w:color w:val="auto"/>
              </w:rPr>
              <w:t>pour la création d’un capital conditionnel ou</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3580" w:type="dxa"/>
            <w:vAlign w:val="bottom"/>
            <w:tcBorders>
              <w:right w:val="single" w:sz="8" w:color="auto"/>
            </w:tcBorders>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820" w:type="dxa"/>
            <w:vAlign w:val="bottom"/>
            <w:tcBorders>
              <w:left w:val="single" w:sz="8" w:color="auto"/>
            </w:tcBorders>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3580" w:type="dxa"/>
            <w:vAlign w:val="bottom"/>
            <w:tcBorders>
              <w:right w:val="single" w:sz="8" w:color="auto"/>
            </w:tcBorders>
            <w:gridSpan w:val="8"/>
            <w:vMerge w:val="restart"/>
          </w:tcPr>
          <w:p>
            <w:pPr>
              <w:ind w:left="80"/>
              <w:spacing w:after="0"/>
              <w:rPr>
                <w:sz w:val="20"/>
                <w:szCs w:val="20"/>
                <w:color w:val="auto"/>
              </w:rPr>
            </w:pPr>
            <w:r>
              <w:rPr>
                <w:rFonts w:ascii="Times New Roman" w:cs="Times New Roman" w:eastAsia="Times New Roman" w:hAnsi="Times New Roman"/>
                <w:sz w:val="18"/>
                <w:szCs w:val="18"/>
                <w:color w:val="auto"/>
              </w:rPr>
              <w:t>l’institution d’une marge de fluctuation du</w:t>
            </w:r>
          </w:p>
        </w:tc>
        <w:tc>
          <w:tcPr>
            <w:tcW w:w="0" w:type="dxa"/>
            <w:vAlign w:val="bottom"/>
          </w:tcPr>
          <w:p>
            <w:pPr>
              <w:spacing w:after="0"/>
              <w:rPr>
                <w:sz w:val="1"/>
                <w:szCs w:val="1"/>
                <w:color w:val="auto"/>
              </w:rPr>
            </w:pPr>
          </w:p>
        </w:tc>
      </w:tr>
      <w:tr>
        <w:trPr>
          <w:trHeight w:val="49"/>
        </w:trPr>
        <w:tc>
          <w:tcPr>
            <w:tcW w:w="82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580" w:type="dxa"/>
            <w:vAlign w:val="bottom"/>
            <w:tcBorders>
              <w:right w:val="single" w:sz="8" w:color="auto"/>
            </w:tcBorders>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(vii) the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alleviation</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79"/>
              </w:rPr>
              <w:t>or</w:t>
            </w: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restriction</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0"/>
              </w:rPr>
              <w:t>the</w:t>
            </w:r>
          </w:p>
        </w:tc>
        <w:tc>
          <w:tcPr>
            <w:tcW w:w="24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capital;</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transferability of registered shares;</w:t>
            </w: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60" w:type="dxa"/>
            <w:vAlign w:val="bottom"/>
            <w:tcBorders>
              <w:right w:val="single" w:sz="8" w:color="auto"/>
            </w:tcBorders>
            <w:gridSpan w:val="9"/>
            <w:vMerge w:val="restart"/>
          </w:tcPr>
          <w:p>
            <w:pPr>
              <w:ind w:left="460"/>
              <w:spacing w:after="0"/>
              <w:rPr>
                <w:sz w:val="20"/>
                <w:szCs w:val="20"/>
                <w:color w:val="auto"/>
              </w:rPr>
            </w:pPr>
            <w:r>
              <w:rPr>
                <w:rFonts w:ascii="Times New Roman" w:cs="Times New Roman" w:eastAsia="Times New Roman" w:hAnsi="Times New Roman"/>
                <w:sz w:val="18"/>
                <w:szCs w:val="18"/>
                <w:color w:val="auto"/>
              </w:rPr>
              <w:t>(vi)  pour la transformation de bons de participation</w:t>
            </w:r>
          </w:p>
        </w:tc>
        <w:tc>
          <w:tcPr>
            <w:tcW w:w="0" w:type="dxa"/>
            <w:vAlign w:val="bottom"/>
          </w:tcPr>
          <w:p>
            <w:pPr>
              <w:spacing w:after="0"/>
              <w:rPr>
                <w:sz w:val="1"/>
                <w:szCs w:val="1"/>
                <w:color w:val="auto"/>
              </w:rPr>
            </w:pPr>
          </w:p>
        </w:tc>
      </w:tr>
      <w:tr>
        <w:trPr>
          <w:trHeight w:val="49"/>
        </w:trPr>
        <w:tc>
          <w:tcPr>
            <w:tcW w:w="82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4360" w:type="dxa"/>
            <w:vAlign w:val="bottom"/>
            <w:tcBorders>
              <w:right w:val="single" w:sz="8" w:color="auto"/>
            </w:tcBorders>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(viii)the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introduction</w:t>
            </w:r>
          </w:p>
        </w:tc>
        <w:tc>
          <w:tcPr>
            <w:tcW w:w="226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of shares with preferential</w:t>
            </w:r>
          </w:p>
        </w:tc>
        <w:tc>
          <w:tcPr>
            <w:tcW w:w="24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en actions;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right to vote;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(vii) pour</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l’atténuation</w:t>
            </w:r>
          </w:p>
        </w:tc>
        <w:tc>
          <w:tcPr>
            <w:tcW w:w="2080" w:type="dxa"/>
            <w:vAlign w:val="bottom"/>
            <w:tcBorders>
              <w:right w:val="single" w:sz="8" w:color="auto"/>
            </w:tcBorders>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ou  la  restriction  de  la</w:t>
            </w:r>
          </w:p>
        </w:tc>
        <w:tc>
          <w:tcPr>
            <w:tcW w:w="0" w:type="dxa"/>
            <w:vAlign w:val="bottom"/>
          </w:tcPr>
          <w:p>
            <w:pPr>
              <w:spacing w:after="0"/>
              <w:rPr>
                <w:sz w:val="1"/>
                <w:szCs w:val="1"/>
                <w:color w:val="auto"/>
              </w:rPr>
            </w:pPr>
          </w:p>
        </w:tc>
      </w:tr>
      <w:tr>
        <w:trPr>
          <w:trHeight w:val="49"/>
        </w:trPr>
        <w:tc>
          <w:tcPr>
            <w:tcW w:w="82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2080" w:type="dxa"/>
            <w:vAlign w:val="bottom"/>
            <w:tcBorders>
              <w:right w:val="single" w:sz="8" w:color="auto"/>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4040" w:type="dxa"/>
            <w:vAlign w:val="bottom"/>
            <w:tcBorders>
              <w:left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color w:val="auto"/>
              </w:rPr>
              <w:t>(ix)  change in the currency of the equity capital;</w:t>
            </w:r>
          </w:p>
        </w:tc>
        <w:tc>
          <w:tcPr>
            <w:tcW w:w="340" w:type="dxa"/>
            <w:vAlign w:val="bottom"/>
            <w:tcBorders>
              <w:righ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transmissibilité des actions nominatives;</w:t>
            </w: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380" w:type="dxa"/>
            <w:vAlign w:val="bottom"/>
            <w:tcBorders>
              <w:left w:val="single" w:sz="8" w:color="auto"/>
              <w:right w:val="single" w:sz="8" w:color="auto"/>
            </w:tcBorders>
            <w:gridSpan w:val="7"/>
          </w:tcPr>
          <w:p>
            <w:pPr>
              <w:ind w:left="500"/>
              <w:spacing w:after="0"/>
              <w:rPr>
                <w:sz w:val="20"/>
                <w:szCs w:val="20"/>
                <w:color w:val="auto"/>
              </w:rPr>
            </w:pPr>
            <w:r>
              <w:rPr>
                <w:rFonts w:ascii="Times New Roman" w:cs="Times New Roman" w:eastAsia="Times New Roman" w:hAnsi="Times New Roman"/>
                <w:sz w:val="18"/>
                <w:szCs w:val="18"/>
                <w:color w:val="auto"/>
              </w:rPr>
              <w:t>(x)  the introduction of a casting vote for the chair</w:t>
            </w:r>
          </w:p>
        </w:tc>
        <w:tc>
          <w:tcPr>
            <w:tcW w:w="240" w:type="dxa"/>
            <w:vAlign w:val="bottom"/>
            <w:tcBorders>
              <w:right w:val="single" w:sz="8" w:color="auto"/>
            </w:tcBorders>
          </w:tcPr>
          <w:p>
            <w:pPr>
              <w:spacing w:after="0"/>
              <w:rPr>
                <w:sz w:val="21"/>
                <w:szCs w:val="21"/>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(viii)pour</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l’introduction</w:t>
            </w:r>
          </w:p>
        </w:tc>
        <w:tc>
          <w:tcPr>
            <w:tcW w:w="2080" w:type="dxa"/>
            <w:vAlign w:val="bottom"/>
            <w:tcBorders>
              <w:right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d’actions à droit de vote</w:t>
            </w:r>
          </w:p>
        </w:tc>
        <w:tc>
          <w:tcPr>
            <w:tcW w:w="0" w:type="dxa"/>
            <w:vAlign w:val="bottom"/>
          </w:tcPr>
          <w:p>
            <w:pPr>
              <w:spacing w:after="0"/>
              <w:rPr>
                <w:sz w:val="1"/>
                <w:szCs w:val="1"/>
                <w:color w:val="auto"/>
              </w:rPr>
            </w:pPr>
          </w:p>
        </w:tc>
      </w:tr>
      <w:tr>
        <w:trPr>
          <w:trHeight w:val="248"/>
        </w:trPr>
        <w:tc>
          <w:tcPr>
            <w:tcW w:w="820" w:type="dxa"/>
            <w:vAlign w:val="bottom"/>
            <w:tcBorders>
              <w:left w:val="single" w:sz="8" w:color="auto"/>
            </w:tcBorders>
          </w:tcPr>
          <w:p>
            <w:pPr>
              <w:spacing w:after="0"/>
              <w:rPr>
                <w:sz w:val="21"/>
                <w:szCs w:val="21"/>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the General Meeting;</w:t>
            </w:r>
          </w:p>
        </w:tc>
        <w:tc>
          <w:tcPr>
            <w:tcW w:w="42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privilégié;</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20" w:type="dxa"/>
            <w:vAlign w:val="bottom"/>
            <w:tcBorders>
              <w:lef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(xi)</w:t>
            </w:r>
          </w:p>
        </w:tc>
        <w:tc>
          <w:tcPr>
            <w:tcW w:w="356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a provision of the Articles of Association on</w:t>
            </w:r>
          </w:p>
        </w:tc>
        <w:tc>
          <w:tcPr>
            <w:tcW w:w="240" w:type="dxa"/>
            <w:vAlign w:val="bottom"/>
            <w:tcBorders>
              <w:right w:val="single" w:sz="8" w:color="auto"/>
            </w:tcBorders>
          </w:tcPr>
          <w:p>
            <w:pPr>
              <w:spacing w:after="0"/>
              <w:rPr>
                <w:sz w:val="23"/>
                <w:szCs w:val="23"/>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(ix)</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pour</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le</w:t>
            </w: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changement  de</w:t>
            </w:r>
          </w:p>
        </w:tc>
        <w:tc>
          <w:tcPr>
            <w:tcW w:w="156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la  monnaie  dans</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2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holding the General Meeting abroad;</w:t>
            </w: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6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laquelle le capital-actions est fixé;</w:t>
            </w:r>
          </w:p>
        </w:tc>
        <w:tc>
          <w:tcPr>
            <w:tcW w:w="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40" w:type="dxa"/>
            <w:vAlign w:val="bottom"/>
            <w:tcBorders>
              <w:lef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(xii) the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delisting of</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 of</w:t>
            </w: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0"/>
              </w:rPr>
              <w:t>the</w:t>
            </w:r>
          </w:p>
        </w:tc>
        <w:tc>
          <w:tcPr>
            <w:tcW w:w="240" w:type="dxa"/>
            <w:vAlign w:val="bottom"/>
            <w:tcBorders>
              <w:right w:val="single" w:sz="8" w:color="auto"/>
            </w:tcBorders>
          </w:tcPr>
          <w:p>
            <w:pPr>
              <w:spacing w:after="0"/>
              <w:rPr>
                <w:sz w:val="23"/>
                <w:szCs w:val="23"/>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pour</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l’introduction</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 la</w:t>
            </w:r>
          </w:p>
        </w:tc>
        <w:tc>
          <w:tcPr>
            <w:tcW w:w="1560" w:type="dxa"/>
            <w:vAlign w:val="bottom"/>
            <w:tcBorders>
              <w:right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voix prépondérante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2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du président à l’assemblée générale;</w:t>
            </w: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Borders>
              <w:left w:val="single" w:sz="8" w:color="auto"/>
            </w:tcBorders>
            <w:gridSpan w:val="6"/>
          </w:tcPr>
          <w:p>
            <w:pPr>
              <w:ind w:left="500"/>
              <w:spacing w:after="0"/>
              <w:rPr>
                <w:sz w:val="20"/>
                <w:szCs w:val="20"/>
                <w:color w:val="auto"/>
              </w:rPr>
            </w:pPr>
            <w:r>
              <w:rPr>
                <w:rFonts w:ascii="Times New Roman" w:cs="Times New Roman" w:eastAsia="Times New Roman" w:hAnsi="Times New Roman"/>
                <w:sz w:val="18"/>
                <w:szCs w:val="18"/>
                <w:color w:val="auto"/>
                <w:w w:val="99"/>
              </w:rPr>
              <w:t>(xiii)the change of the domicile of the Company;</w:t>
            </w:r>
          </w:p>
        </w:tc>
        <w:tc>
          <w:tcPr>
            <w:tcW w:w="340" w:type="dxa"/>
            <w:vAlign w:val="bottom"/>
            <w:tcBorders>
              <w:righ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4360" w:type="dxa"/>
            <w:vAlign w:val="bottom"/>
            <w:tcBorders>
              <w:right w:val="single" w:sz="8" w:color="auto"/>
            </w:tcBorders>
            <w:gridSpan w:val="9"/>
          </w:tcPr>
          <w:p>
            <w:pPr>
              <w:ind w:left="460"/>
              <w:spacing w:after="0"/>
              <w:rPr>
                <w:sz w:val="20"/>
                <w:szCs w:val="20"/>
                <w:color w:val="auto"/>
              </w:rPr>
            </w:pPr>
            <w:r>
              <w:rPr>
                <w:rFonts w:ascii="Times New Roman" w:cs="Times New Roman" w:eastAsia="Times New Roman" w:hAnsi="Times New Roman"/>
                <w:sz w:val="18"/>
                <w:szCs w:val="18"/>
                <w:color w:val="auto"/>
              </w:rPr>
              <w:t>(xi)  pour l’introduction d’une disposition statutaire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7"/>
            <w:vMerge w:val="restart"/>
          </w:tcPr>
          <w:p>
            <w:pPr>
              <w:ind w:left="500"/>
              <w:spacing w:after="0"/>
              <w:rPr>
                <w:sz w:val="20"/>
                <w:szCs w:val="20"/>
                <w:color w:val="auto"/>
              </w:rPr>
            </w:pPr>
            <w:r>
              <w:rPr>
                <w:rFonts w:ascii="Times New Roman" w:cs="Times New Roman" w:eastAsia="Times New Roman" w:hAnsi="Times New Roman"/>
                <w:sz w:val="18"/>
                <w:szCs w:val="18"/>
                <w:color w:val="auto"/>
              </w:rPr>
              <w:t>(xiv) the introduction of an arbitration clause in the</w:t>
            </w:r>
          </w:p>
        </w:tc>
        <w:tc>
          <w:tcPr>
            <w:tcW w:w="240" w:type="dxa"/>
            <w:vAlign w:val="bottom"/>
            <w:tcBorders>
              <w:righ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color w:val="auto"/>
              </w:rPr>
              <w:t>prévoyant la tenue de l’assemblée générale à</w:t>
            </w:r>
          </w:p>
        </w:tc>
        <w:tc>
          <w:tcPr>
            <w:tcW w:w="0" w:type="dxa"/>
            <w:vAlign w:val="bottom"/>
          </w:tcPr>
          <w:p>
            <w:pPr>
              <w:spacing w:after="0"/>
              <w:rPr>
                <w:sz w:val="1"/>
                <w:szCs w:val="1"/>
                <w:color w:val="auto"/>
              </w:rPr>
            </w:pPr>
          </w:p>
        </w:tc>
      </w:tr>
      <w:tr>
        <w:trPr>
          <w:trHeight w:val="81"/>
        </w:trPr>
        <w:tc>
          <w:tcPr>
            <w:tcW w:w="4380" w:type="dxa"/>
            <w:vAlign w:val="bottom"/>
            <w:tcBorders>
              <w:left w:val="single" w:sz="8" w:color="auto"/>
              <w:right w:val="single" w:sz="8" w:color="auto"/>
            </w:tcBorders>
            <w:gridSpan w:val="7"/>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l’étranger;</w:t>
            </w: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20" w:type="dxa"/>
            <w:vAlign w:val="bottom"/>
            <w:tcBorders>
              <w:left w:val="single" w:sz="8" w:color="auto"/>
            </w:tcBorders>
          </w:tcPr>
          <w:p>
            <w:pPr>
              <w:spacing w:after="0"/>
              <w:rPr>
                <w:sz w:val="13"/>
                <w:szCs w:val="13"/>
                <w:color w:val="auto"/>
              </w:rPr>
            </w:pPr>
          </w:p>
        </w:tc>
        <w:tc>
          <w:tcPr>
            <w:tcW w:w="2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Articles of Association;</w:t>
            </w:r>
          </w:p>
        </w:tc>
        <w:tc>
          <w:tcPr>
            <w:tcW w:w="42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tcBorders>
          </w:tcPr>
          <w:p>
            <w:pPr>
              <w:spacing w:after="0"/>
              <w:rPr>
                <w:sz w:val="7"/>
                <w:szCs w:val="7"/>
                <w:color w:val="auto"/>
              </w:rPr>
            </w:pPr>
          </w:p>
        </w:tc>
        <w:tc>
          <w:tcPr>
            <w:tcW w:w="280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4360" w:type="dxa"/>
            <w:vAlign w:val="bottom"/>
            <w:tcBorders>
              <w:right w:val="single" w:sz="8" w:color="auto"/>
            </w:tcBorders>
            <w:gridSpan w:val="9"/>
            <w:vMerge w:val="restart"/>
          </w:tcPr>
          <w:p>
            <w:pPr>
              <w:ind w:left="460"/>
              <w:spacing w:after="0"/>
              <w:rPr>
                <w:sz w:val="20"/>
                <w:szCs w:val="20"/>
                <w:color w:val="auto"/>
              </w:rPr>
            </w:pPr>
            <w:r>
              <w:rPr>
                <w:rFonts w:ascii="Times New Roman" w:cs="Times New Roman" w:eastAsia="Times New Roman" w:hAnsi="Times New Roman"/>
                <w:sz w:val="18"/>
                <w:szCs w:val="18"/>
                <w:color w:val="auto"/>
              </w:rPr>
              <w:t>(xii) pour la décotation des titres de participation de</w:t>
            </w:r>
          </w:p>
        </w:tc>
        <w:tc>
          <w:tcPr>
            <w:tcW w:w="0" w:type="dxa"/>
            <w:vAlign w:val="bottom"/>
          </w:tcPr>
          <w:p>
            <w:pPr>
              <w:spacing w:after="0"/>
              <w:rPr>
                <w:sz w:val="1"/>
                <w:szCs w:val="1"/>
                <w:color w:val="auto"/>
              </w:rPr>
            </w:pPr>
          </w:p>
        </w:tc>
      </w:tr>
      <w:tr>
        <w:trPr>
          <w:trHeight w:val="184"/>
        </w:trPr>
        <w:tc>
          <w:tcPr>
            <w:tcW w:w="3620" w:type="dxa"/>
            <w:vAlign w:val="bottom"/>
            <w:tcBorders>
              <w:left w:val="single" w:sz="8" w:color="auto"/>
            </w:tcBorders>
            <w:gridSpan w:val="5"/>
            <w:vMerge w:val="restart"/>
          </w:tcPr>
          <w:p>
            <w:pPr>
              <w:ind w:left="500"/>
              <w:spacing w:after="0"/>
              <w:rPr>
                <w:sz w:val="20"/>
                <w:szCs w:val="20"/>
                <w:color w:val="auto"/>
              </w:rPr>
            </w:pPr>
            <w:r>
              <w:rPr>
                <w:rFonts w:ascii="Times New Roman" w:cs="Times New Roman" w:eastAsia="Times New Roman" w:hAnsi="Times New Roman"/>
                <w:sz w:val="18"/>
                <w:szCs w:val="18"/>
                <w:color w:val="auto"/>
              </w:rPr>
              <w:t>(xv) the dissolution of the Company;</w:t>
            </w:r>
          </w:p>
        </w:tc>
        <w:tc>
          <w:tcPr>
            <w:tcW w:w="4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360" w:type="dxa"/>
            <w:vAlign w:val="bottom"/>
            <w:tcBorders>
              <w:right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620" w:type="dxa"/>
            <w:vAlign w:val="bottom"/>
            <w:tcBorders>
              <w:left w:val="single" w:sz="8" w:color="auto"/>
            </w:tcBorders>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la société;</w:t>
            </w: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8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40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(xiii)pour le transfert du siège de la société;</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(xiv) pour</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l’introduction</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d’une</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clause</w:t>
            </w:r>
          </w:p>
        </w:tc>
        <w:tc>
          <w:tcPr>
            <w:tcW w:w="94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d’arbitrage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dans les statuts;</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42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(xv) pour la dissolution de la société ;</w:t>
            </w:r>
          </w:p>
        </w:tc>
        <w:tc>
          <w:tcPr>
            <w:tcW w:w="6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820" w:type="dxa"/>
            <w:vAlign w:val="bottom"/>
            <w:tcBorders>
              <w:left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6"/>
        </w:trPr>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45" w:name="page46"/>
    <w:bookmarkEnd w:id="4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  the merger, de-merger or conversion of the Company</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   la fusion, la scission ou la conversion de la société</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(subject to mandatory law);</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(sous réserve des dispositions impératives);</w:t>
            </w:r>
          </w:p>
        </w:tc>
        <w:tc>
          <w:tcPr>
            <w:tcW w:w="0" w:type="dxa"/>
            <w:vAlign w:val="bottom"/>
          </w:tcPr>
          <w:p>
            <w:pPr>
              <w:spacing w:after="0"/>
              <w:rPr>
                <w:sz w:val="1"/>
                <w:szCs w:val="1"/>
                <w:color w:val="auto"/>
              </w:rPr>
            </w:pPr>
          </w:p>
        </w:tc>
      </w:tr>
      <w:tr>
        <w:trPr>
          <w:trHeight w:val="306"/>
        </w:trPr>
        <w:tc>
          <w:tcPr>
            <w:tcW w:w="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the</w:t>
            </w: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  of  registered  shares  into  bearer</w:t>
            </w:r>
          </w:p>
        </w:tc>
        <w:tc>
          <w:tcPr>
            <w:tcW w:w="220" w:type="dxa"/>
            <w:vAlign w:val="bottom"/>
            <w:tcBorders>
              <w:right w:val="single" w:sz="8" w:color="auto"/>
            </w:tcBorders>
          </w:tcPr>
          <w:p>
            <w:pPr>
              <w:spacing w:after="0"/>
              <w:rPr>
                <w:sz w:val="24"/>
                <w:szCs w:val="2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   la</w:t>
            </w:r>
          </w:p>
        </w:tc>
        <w:tc>
          <w:tcPr>
            <w:tcW w:w="37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conversion d'actions nominatives en actions au</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shares and vice versa; and</w:t>
            </w:r>
          </w:p>
        </w:tc>
        <w:tc>
          <w:tcPr>
            <w:tcW w:w="220" w:type="dxa"/>
            <w:vAlign w:val="bottom"/>
            <w:tcBorders>
              <w:right w:val="single" w:sz="8" w:color="auto"/>
            </w:tcBorders>
          </w:tcPr>
          <w:p>
            <w:pPr>
              <w:spacing w:after="0"/>
              <w:rPr>
                <w:sz w:val="9"/>
                <w:szCs w:val="9"/>
                <w:color w:val="auto"/>
              </w:rPr>
            </w:pPr>
          </w:p>
        </w:tc>
        <w:tc>
          <w:tcPr>
            <w:tcW w:w="660" w:type="dxa"/>
            <w:vAlign w:val="bottom"/>
            <w:vMerge w:val="continue"/>
          </w:tcPr>
          <w:p>
            <w:pPr>
              <w:spacing w:after="0"/>
              <w:rPr>
                <w:sz w:val="9"/>
                <w:szCs w:val="9"/>
                <w:color w:val="auto"/>
              </w:rPr>
            </w:pPr>
          </w:p>
        </w:tc>
        <w:tc>
          <w:tcPr>
            <w:tcW w:w="3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80" w:type="dxa"/>
            <w:vAlign w:val="bottom"/>
            <w:tcBorders>
              <w:left w:val="single" w:sz="8" w:color="auto"/>
              <w:right w:val="single" w:sz="8" w:color="auto"/>
            </w:tcBorders>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porteur et vice versa; et</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   the amendment or elimination of the provisions of</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Article 4 and 29 of the Articles of Association 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   la modification ou la suppression des dispositions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well as those contained in this Article 17.</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des articles 4 et 29 des statuts ainsi que ceux</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contenues dans le présent article 17.</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18</w:t>
            </w:r>
          </w:p>
        </w:tc>
        <w:tc>
          <w:tcPr>
            <w:tcW w:w="360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Votes on Compensation</w:t>
            </w:r>
          </w:p>
        </w:tc>
        <w:tc>
          <w:tcPr>
            <w:tcW w:w="220" w:type="dxa"/>
            <w:vAlign w:val="bottom"/>
            <w:tcBorders>
              <w:right w:val="single" w:sz="8" w:color="auto"/>
            </w:tcBorders>
          </w:tcPr>
          <w:p>
            <w:pPr>
              <w:spacing w:after="0"/>
              <w:rPr>
                <w:sz w:val="24"/>
                <w:szCs w:val="2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18</w:t>
            </w:r>
          </w:p>
        </w:tc>
        <w:tc>
          <w:tcPr>
            <w:tcW w:w="3720" w:type="dxa"/>
            <w:vAlign w:val="bottom"/>
            <w:tcBorders>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Votes sur la rémunération</w:t>
            </w: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General  Meeting  shall  approve  annually  and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L'assemblée  générale  approuve  annuellement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separately the proposals of the Board of Directors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séparément les propositions du conseil d’administration</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relation to the maximum aggregate amount of:</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relatives au montant global maximal de:</w:t>
            </w: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compensation of the Board of Directors for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la rémunération du conseil d'administration pour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period until the next Ordinary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période allant jusqu'à l'assemblée générale ordinaire</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   compensation of the Executive Committee for the</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suivante;</w:t>
            </w:r>
          </w:p>
        </w:tc>
        <w:tc>
          <w:tcPr>
            <w:tcW w:w="0" w:type="dxa"/>
            <w:vAlign w:val="bottom"/>
          </w:tcPr>
          <w:p>
            <w:pPr>
              <w:spacing w:after="0"/>
              <w:rPr>
                <w:sz w:val="1"/>
                <w:szCs w:val="1"/>
                <w:color w:val="auto"/>
              </w:rPr>
            </w:pPr>
          </w:p>
        </w:tc>
      </w:tr>
      <w:tr>
        <w:trPr>
          <w:trHeight w:val="90"/>
        </w:trPr>
        <w:tc>
          <w:tcPr>
            <w:tcW w:w="4380" w:type="dxa"/>
            <w:vAlign w:val="bottom"/>
            <w:tcBorders>
              <w:left w:val="single" w:sz="8" w:color="auto"/>
              <w:right w:val="single" w:sz="8" w:color="auto"/>
            </w:tcBorders>
            <w:gridSpan w:val="2"/>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following financial year.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  la rémunération du comité exécutif pour l’exercice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annuel suivant.</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total  compensation  amount  for  the  Executive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montant total de rémunération du comité exécutif</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includes pension contributions for the benefit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comprend les cotisations de retraite professionnelle au</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members of the Executive Committee.</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profit des membres du comité exécutif.</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If the General Meeting refuses to approve a respective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Si  l'assemblée  générale  refuse  d'approuver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proposal  by  the  Board  of  Directors,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proposition soumise par le conseil d'administration, 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Directors may either submit a new proposal at the same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peut, soit présenter une nouvelle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meeting or determine a maximum total remuneration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proposition  à  la  même  séance  ou  déterminer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several maximum partial remunerations, subject to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rémunération maximale totale ou plusieurs rémunérations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relevant principles of the compensation, or submit a new</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maximales  partielles,  sous  réserve  des  principes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proposal to the next General Meeting for approval.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concernant la rémunération, soit soumettre une nouvelle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may pay remunerations within the framework</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proposition  à  la  prochaine  assemblée  générale  pour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maximum total or partial remuneration and subject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approbation. La société peut verser des rémunérations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the approval by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le cadre de la rémunération maximale totale ou</w:t>
            </w: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partielle et sous réserve de l'approbation par l'assemblée</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w:t>
            </w:r>
          </w:p>
        </w:tc>
        <w:tc>
          <w:tcPr>
            <w:tcW w:w="0" w:type="dxa"/>
            <w:vAlign w:val="bottom"/>
          </w:tcPr>
          <w:p>
            <w:pPr>
              <w:spacing w:after="0"/>
              <w:rPr>
                <w:sz w:val="1"/>
                <w:szCs w:val="1"/>
                <w:color w:val="auto"/>
              </w:rPr>
            </w:pPr>
          </w:p>
        </w:tc>
      </w:tr>
      <w:tr>
        <w:trPr>
          <w:trHeight w:val="108"/>
        </w:trPr>
        <w:tc>
          <w:tcPr>
            <w:tcW w:w="780" w:type="dxa"/>
            <w:vAlign w:val="bottom"/>
            <w:tcBorders>
              <w:left w:val="single" w:sz="8" w:color="auto"/>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46" w:name="page47"/>
    <w:bookmarkEnd w:id="4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60" w:type="dxa"/>
            <w:vAlign w:val="bottom"/>
          </w:tcPr>
          <w:p>
            <w:pPr>
              <w:ind w:left="3360"/>
              <w:spacing w:after="0"/>
              <w:rPr>
                <w:sz w:val="20"/>
                <w:szCs w:val="20"/>
                <w:color w:val="auto"/>
              </w:rPr>
            </w:pPr>
            <w:r>
              <w:rPr>
                <w:rFonts w:ascii="Times New Roman" w:cs="Times New Roman" w:eastAsia="Times New Roman" w:hAnsi="Times New Roman"/>
                <w:sz w:val="18"/>
                <w:szCs w:val="18"/>
                <w:color w:val="auto"/>
                <w:w w:val="88"/>
              </w:rPr>
              <w:t>14</w:t>
            </w: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4"/>
                <w:szCs w:val="24"/>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Board of Directors shall submit the compensation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Le  conseil  d'administration  soumet  le  rapport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report to an advisory vote of the General Meeting if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rémunération­  à  un  vote  consultatif  de  l'assemblée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variable remuneration is voted on prospectively.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en cas de vote prospectif sur une rémunération</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variable.</w:t>
            </w:r>
          </w:p>
        </w:tc>
        <w:tc>
          <w:tcPr>
            <w:tcW w:w="3560" w:type="dxa"/>
            <w:vAlign w:val="bottom"/>
            <w:tcBorders>
              <w:right w:val="single" w:sz="8" w:color="auto"/>
            </w:tcBorders>
          </w:tcPr>
          <w:p>
            <w:pPr>
              <w:spacing w:after="0"/>
              <w:rPr>
                <w:sz w:val="20"/>
                <w:szCs w:val="20"/>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19</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Independent Proxy</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19</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Représentant indépendant</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Independent Proxy shall be elected by the Ordinary</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représentant  indépendant  est  élu  par  l'assemblée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for a term of one year until the end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ordinaire pour une durée d'un an jusqu'à la fin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next  Ordinary  General  Meeting.  Re-election  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 prochaine assemblée générale ordinaire. Une réélection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permitted. The Independent Proxy informs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est possible. Le représentant indépendant informe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about  number,  type,  par  value  and  category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sur le nombre, le type, la valeur nominale et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represented shares. The Chairman of the Board discloses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catégorie  des  actions  représentées.  Le  président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information to the General Meeting. The other duties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communique ces informations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Independent  Proxy  are  determined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l'assemblée générale. Les autres fonctions du représentant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applicable statutory provisions.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indépendant  sont  déterminées  par  les  dispositions</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statutaires applicables.</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CONSEIL D'ADMINISTRATION</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20</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 Members, Term of Office</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20</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Nombre de membres, durée de la fonction</w:t>
            </w:r>
          </w:p>
        </w:tc>
      </w:tr>
      <w:tr>
        <w:trPr>
          <w:trHeight w:val="41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Board of Directors shall consist of at least 3 and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conseil d'administration se compose d'au minimum 3</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 more than 9 members. This maximum number may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et au maximum 9 membres. Ce nombre maximum pourra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 exceeded if it is necessary to satisfy nationality,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être  dépassé  s’il  est  nécessaire  de  satisfaire  à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residency and/or gender requirements under Swiss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conditions de nationalités, de résidences ou de genres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laws. The chairman and the members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selon le droit suisse ou étranger. Le président et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  are  individually  elected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membres   du   conseil   d'administration   sont   élus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for a term of one year until the end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individuellement  par  l'assemblée  générale  pour  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next Ordinary General Meeting, provided that he/she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mandat d'un an jusqu'à la fin de la prochaine assemblée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does not resign or is not replaced during his/her term.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ordinaire, à condition qu'il/elle ne démissionne</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pas ou ne soit pas remplacé(e) durant son mandat.</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members of the Board of Directors may be re-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membres du conseil d'administration peuvent être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elected without limitation. The maximum age limit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réélus sans limitation. La limite d’âge des membres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members of the Board shall be 75 years. When a member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est fixée à 75 ans. Lorsqu'un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Board of Directors reaches this age limit during his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membre du conseil d'administration atteint cette limite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term of office, such term shall automatically extend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d'âge   durant   son   mandat,   ledit   mandat   sera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next Ordinary General Meeting.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automatiquement   prolongé   jusqu'à   la   prochaine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resolve to grant an exception to the age limit.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assemblée générale ordinaire. L'assemblée générale peut</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décider d'accorder une dérogation à la limite d'âge.</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21</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Constitution</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21</w:t>
            </w:r>
          </w:p>
        </w:tc>
        <w:tc>
          <w:tcPr>
            <w:tcW w:w="35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Constitution</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Subject to the powers of the General Meeting, the Board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Sous réserve des pouvoirs de l'assemblée générale,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Directors determines its own organization. It may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détermine sa propre organisation.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appoint a Secretary who need not be a member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Il  peut  nommer  un  secrétaire  qui  ne  doit  pas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nécessairement   être   un   membre   du   conseil</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r>
      <w:tr>
        <w:trPr>
          <w:trHeight w:val="1229"/>
        </w:trPr>
        <w:tc>
          <w:tcPr>
            <w:tcW w:w="8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47" w:name="page48"/>
    <w:bookmarkEnd w:id="47"/>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59"/>
        </w:trPr>
        <w:tc>
          <w:tcPr>
            <w:tcW w:w="820" w:type="dxa"/>
            <w:vAlign w:val="bottom"/>
            <w:tcBorders>
              <w:bottom w:val="single" w:sz="8" w:color="auto"/>
            </w:tcBorders>
            <w:gridSpan w:val="2"/>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318"/>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22</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Function, Organization</w:t>
            </w:r>
          </w:p>
        </w:tc>
        <w:tc>
          <w:tcPr>
            <w:tcW w:w="200" w:type="dxa"/>
            <w:vAlign w:val="bottom"/>
            <w:tcBorders>
              <w:right w:val="single" w:sz="8" w:color="auto"/>
            </w:tcBorders>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22</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Fonction, organisation</w:t>
            </w: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It is the Board of Directors' duty to lead the Company</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conseil d'administration exerce la direction de la</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  to  supervise  the  management.  The  Board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société  et  en  supervise  la  gestion.  Le  conseil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Directors  represents  the  Company  and  may  take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d'administration représente la société et peut prendre les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decisions on all affairs which are not assigned to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décisions sur toutes les affaires qui ne sont pas attribuées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body of the Company by law, the Articles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à un autre organe de la société par la loi, les statuts ou le</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Association or the organizational regulations.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règlement d'organisation.</w:t>
            </w: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Board of Directors shall enact the organizational</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conseil  d'administration  édicte  le  règlement</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regulations and arrange for the appropriate contractual</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d'organisation et s'occupe des relations contractuelles</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relationships.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appropriées.</w:t>
            </w: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23</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Powers</w:t>
            </w:r>
          </w:p>
        </w:tc>
        <w:tc>
          <w:tcPr>
            <w:tcW w:w="200" w:type="dxa"/>
            <w:vAlign w:val="bottom"/>
            <w:tcBorders>
              <w:right w:val="single" w:sz="8" w:color="auto"/>
            </w:tcBorders>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23</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Pouvoirs</w:t>
            </w: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Board of Directors has the following non-delegable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conseil  d'administration  a  les  attributions</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 inalienable duties: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intransmissibles et inaliénables suivantes:</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overall management of the Company and the</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exercer la haute direction de la société et établir les</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issuing of all necessary directives;</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instructions nécessaires;</w:t>
            </w:r>
          </w:p>
        </w:tc>
      </w:tr>
      <w:tr>
        <w:trPr>
          <w:trHeight w:val="324"/>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determination of the Company's organisation;</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fixer l'organisation;</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organisation of the accounting, financial control</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fixer les principes de la comptabilité et du contrôle</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financial  planning  systems  as  required  for</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financier ainsi que le plan financier pour autant que</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management of the Company;</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celui-ci soit nécessaire à la gestion de la société;</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appointment and dismissal of persons entrusted</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nommer et révoquer les personnes chargées de la</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 managing and representing the Company;</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gestion et de la représentation;</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overall supervision of the persons entrusted with</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exercer  la  haute  surveillance  sur  les  personnes</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managing the Company, in particular with regard to</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chargées de la gestion pour s'assurer notamment</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compliance with the law, Articles of Association,</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qu'elles observent la loi, les statuts, les règlements et</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operational regulations and directives;</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 instructions données;</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compilation  of  the  annual  report  and  of  other</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établir le rapport de gestion et tous autres rapports</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reports that are subject to mandatory approval by</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soumis  à  l’approbation  obligatoire  du  conseil</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preparation   for   the   General   Meeting   and</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préparer  l'assemblée  générale  et  exécuter  ses</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implementation of its resolutions;</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décisions;</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preparation of the compensation report and to</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préparer le rapport de rémunération et demander</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request approval by the General Meeting regarding</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l'approbation par l'assemblée générale en ce qui</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of the Board of Directors and the</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concerne la rémunération du conseil d'administration</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and</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et du comité exécutif; et</w:t>
            </w: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application for a debt restructuring moratorium</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déposer une demande de sursis concordataire et</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the notification to the court in the event that the</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aviser le juge en cas de surendettement.</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is overindebted.</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Board of Directors may assign responsibility for</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conseil d'administration peut déléguer à un ou</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preparing and implementing its resolutions or monitoring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plusieurs membres, regroupés en comités, la charge de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transactions to committees or individual members. It</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préparer et d'exécuter ses décisions ou de surveiller</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must ensure appropriate reporting to its members.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certaines affaires. Il veille à ce que ses membres soient</w:t>
            </w:r>
          </w:p>
        </w:tc>
      </w:tr>
      <w:tr>
        <w:trPr>
          <w:trHeight w:val="234"/>
        </w:trPr>
        <w:tc>
          <w:tcPr>
            <w:tcW w:w="3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convenablement informés.</w:t>
            </w: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1229"/>
        </w:trPr>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48" w:name="page49"/>
    <w:bookmarkEnd w:id="4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ind w:left="3420"/>
              <w:spacing w:after="0"/>
              <w:rPr>
                <w:sz w:val="20"/>
                <w:szCs w:val="20"/>
                <w:color w:val="auto"/>
              </w:rPr>
            </w:pPr>
            <w:r>
              <w:rPr>
                <w:rFonts w:ascii="Times New Roman" w:cs="Times New Roman" w:eastAsia="Times New Roman" w:hAnsi="Times New Roman"/>
                <w:sz w:val="18"/>
                <w:szCs w:val="18"/>
                <w:color w:val="auto"/>
                <w:w w:val="77"/>
              </w:rPr>
              <w:t>16</w:t>
            </w:r>
          </w:p>
        </w:tc>
        <w:tc>
          <w:tcPr>
            <w:tcW w:w="0" w:type="dxa"/>
            <w:vAlign w:val="bottom"/>
          </w:tcPr>
          <w:p>
            <w:pPr>
              <w:spacing w:after="0"/>
              <w:rPr>
                <w:sz w:val="1"/>
                <w:szCs w:val="1"/>
                <w:color w:val="auto"/>
              </w:rPr>
            </w:pPr>
          </w:p>
        </w:tc>
      </w:tr>
      <w:tr>
        <w:trPr>
          <w:trHeight w:val="459"/>
        </w:trPr>
        <w:tc>
          <w:tcPr>
            <w:tcW w:w="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24</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Representation of the Company</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24</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Représentation de la société</w:t>
            </w: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 shall assign the persons with</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 conseil d'administration nomme les personnes pouvant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signatory  power  for  the  Company  and  the  kind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représenter la société ainsi que le mode de signature.</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signatory power.</w:t>
            </w:r>
          </w:p>
        </w:tc>
        <w:tc>
          <w:tcPr>
            <w:tcW w:w="20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25</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Delegation</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25</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Délégation</w:t>
            </w: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Moreover,  the  Board  of  Directors  is  authorized  to</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 outre, le conseil d'administration peut, dans les limites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delegate, in part or entirely, the management and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 la loi, déléguer, en partie ou entièrement, la gestion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 of the Company, within the limits of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  représentation  de  la  société  à  un  ou  plusieurs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law, to one or more individual directors (Delegates) or to</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administrateurs (délégués) ou à des tiers conformément</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third parties pursuant to organizational regulations.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 règlement d'organisation.</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26</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Meetings, Resolutions and Minutes</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26</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Réunions, décisions et procès-verbal</w:t>
            </w:r>
          </w:p>
        </w:tc>
        <w:tc>
          <w:tcPr>
            <w:tcW w:w="0" w:type="dxa"/>
            <w:vAlign w:val="bottom"/>
          </w:tcPr>
          <w:p>
            <w:pPr>
              <w:spacing w:after="0"/>
              <w:rPr>
                <w:sz w:val="1"/>
                <w:szCs w:val="1"/>
                <w:color w:val="auto"/>
              </w:rPr>
            </w:pPr>
          </w:p>
        </w:tc>
      </w:tr>
      <w:tr>
        <w:trPr>
          <w:trHeight w:val="41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organization of the meetings, the presence quorum</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L'organisation des réunions, le quorum de présence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the passing of resolutions of the Board of Directors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l'adoption de décisions du conseil d'administration sont</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is determined by the organizational regulations.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prévus dans le règlement d'organisation.</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Meetings may be held by telephone, videoconferences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réunions peuvent avoir lieu par téléphone,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 other electronic means. Resolutions may also be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vidéoconférence ou autres moyens électroniques.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passed by way of circulation, in written form or by other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décisions peuvent également être prises par voie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means of data communications, provided that no member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circulation, par voie écrite ou par autre transmission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requests oral deliberation. When resolutions are made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données, à condition qu'aucun membre ne demande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electronically, no signatures are required.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délibération orale. Lorsque des décisions sont prises par</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voie électronique, les signatures ne sont pas nécessaires.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Minutes are kept of the Board of Directors' discussions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Les délibérations et les décisions du conseil</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resolutions and signed by the chairman and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sont consignées dans un procès-verbal</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minute-taker.</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signé par le président et le rédacteur du procès-verbal.</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27</w:t>
            </w:r>
          </w:p>
        </w:tc>
        <w:tc>
          <w:tcPr>
            <w:tcW w:w="34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Right to information and inspection</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27</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Droit aux renseignements et à la</w:t>
            </w:r>
          </w:p>
        </w:tc>
        <w:tc>
          <w:tcPr>
            <w:tcW w:w="0" w:type="dxa"/>
            <w:vAlign w:val="bottom"/>
          </w:tcPr>
          <w:p>
            <w:pPr>
              <w:spacing w:after="0"/>
              <w:rPr>
                <w:sz w:val="1"/>
                <w:szCs w:val="1"/>
                <w:color w:val="auto"/>
              </w:rPr>
            </w:pPr>
          </w:p>
        </w:tc>
      </w:tr>
      <w:tr>
        <w:trPr>
          <w:trHeight w:val="23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Any member of the Board of Directors may request</w:t>
            </w:r>
          </w:p>
        </w:tc>
        <w:tc>
          <w:tcPr>
            <w:tcW w:w="20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consultation</w:t>
            </w:r>
          </w:p>
        </w:tc>
        <w:tc>
          <w:tcPr>
            <w:tcW w:w="0" w:type="dxa"/>
            <w:vAlign w:val="bottom"/>
          </w:tcPr>
          <w:p>
            <w:pPr>
              <w:spacing w:after="0"/>
              <w:rPr>
                <w:sz w:val="1"/>
                <w:szCs w:val="1"/>
                <w:color w:val="auto"/>
              </w:rPr>
            </w:pPr>
          </w:p>
        </w:tc>
      </w:tr>
      <w:tr>
        <w:trPr>
          <w:trHeight w:val="198"/>
        </w:trPr>
        <w:tc>
          <w:tcPr>
            <w:tcW w:w="4380" w:type="dxa"/>
            <w:vAlign w:val="bottom"/>
            <w:tcBorders>
              <w:left w:val="single" w:sz="8" w:color="auto"/>
              <w:right w:val="single" w:sz="8" w:color="auto"/>
            </w:tcBorders>
            <w:gridSpan w:val="2"/>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on any Company business.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Chaque membre du conseil d'administration a le droit</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344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d'obtenir des renseignements sur toutes les affaires de la</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société.</w:t>
            </w: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Outside  meetings,  any  member  may  request</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En dehors des séances, chaque membre du conseil</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information from the persons entrusted with managing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peut exiger des personnes chargées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Company's  business  concerning  the  Company's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gestion des renseignements sur la marche de l'entreprise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business  performance  and,  with  the  chairman's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et,  avec  l'autorisation  du  président,  sur  des  affaires</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authorisation, specific transactions.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déterminées.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Where required for the performance of his/her duties,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Dans  la  mesure  où  cela  est  nécessaire  à</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any member may request the chairman to have books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l'accomplissement de ses tâches, chaque membre du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account and documents made available to him/her for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conseil d'administration peut demander au président la</w:t>
            </w:r>
          </w:p>
        </w:tc>
        <w:tc>
          <w:tcPr>
            <w:tcW w:w="0" w:type="dxa"/>
            <w:vAlign w:val="bottom"/>
          </w:tcPr>
          <w:p>
            <w:pPr>
              <w:spacing w:after="0"/>
              <w:rPr>
                <w:sz w:val="1"/>
                <w:szCs w:val="1"/>
                <w:color w:val="auto"/>
              </w:rPr>
            </w:pPr>
          </w:p>
        </w:tc>
      </w:tr>
      <w:tr>
        <w:trPr>
          <w:trHeight w:val="234"/>
        </w:trPr>
        <w:tc>
          <w:tcPr>
            <w:tcW w:w="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inspection.</w:t>
            </w:r>
          </w:p>
        </w:tc>
        <w:tc>
          <w:tcPr>
            <w:tcW w:w="344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production des livres ou des dossiers.</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344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9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49" w:name="page50"/>
    <w:bookmarkEnd w:id="4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73"/>
        </w:trPr>
        <w:tc>
          <w:tcPr>
            <w:tcW w:w="4380" w:type="dxa"/>
            <w:vAlign w:val="bottom"/>
            <w:tcBorders>
              <w:bottom w:val="single" w:sz="8" w:color="auto"/>
            </w:tcBorders>
            <w:gridSpan w:val="5"/>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If the chairman refuses a request for information, a</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Si le président rejette une demande de renseignement,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request  to  be  heard  or  an  application  to  inspect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d'audition ou de consultation, le conseil d'administration</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documents, the Board of Directors rules on the matter.</w:t>
            </w:r>
          </w:p>
        </w:tc>
        <w:tc>
          <w:tcPr>
            <w:tcW w:w="220" w:type="dxa"/>
            <w:vAlign w:val="bottom"/>
            <w:tcBorders>
              <w:right w:val="single" w:sz="8" w:color="auto"/>
            </w:tcBorders>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tranche.</w:t>
            </w:r>
          </w:p>
        </w:tc>
        <w:tc>
          <w:tcPr>
            <w:tcW w:w="3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28</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Nomination</w:t>
            </w:r>
          </w:p>
        </w:tc>
        <w:tc>
          <w:tcPr>
            <w:tcW w:w="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and</w:t>
            </w:r>
          </w:p>
        </w:tc>
        <w:tc>
          <w:tcPr>
            <w:tcW w:w="220" w:type="dxa"/>
            <w:vAlign w:val="bottom"/>
            <w:tcBorders>
              <w:right w:val="single" w:sz="8" w:color="auto"/>
            </w:tcBorders>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28</w:t>
            </w:r>
          </w:p>
        </w:tc>
        <w:tc>
          <w:tcPr>
            <w:tcW w:w="35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Comité de rémunération, de nomination et</w:t>
            </w:r>
          </w:p>
        </w:tc>
        <w:tc>
          <w:tcPr>
            <w:tcW w:w="0" w:type="dxa"/>
            <w:vAlign w:val="bottom"/>
          </w:tcPr>
          <w:p>
            <w:pPr>
              <w:spacing w:after="0"/>
              <w:rPr>
                <w:sz w:val="1"/>
                <w:szCs w:val="1"/>
                <w:color w:val="auto"/>
              </w:rPr>
            </w:pPr>
          </w:p>
        </w:tc>
      </w:tr>
      <w:tr>
        <w:trPr>
          <w:trHeight w:val="238"/>
        </w:trPr>
        <w:tc>
          <w:tcPr>
            <w:tcW w:w="3820" w:type="dxa"/>
            <w:vAlign w:val="bottom"/>
            <w:tcBorders>
              <w:lef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 gouvernance d’entreprise</w:t>
            </w: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Compensation,  Nomination  and  Corporate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  comité  de  rémunération,  de  nomination  et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Governance  Committee  shall  comprise  at  least  2</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gouvernance  d’entreprise  se  compose  d'au  moins  2</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members.   The   members   of   the   Compensation,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Les membres du comité de rémunération,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Nomination and Corporate Governance Committee shall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nomination et de gouvernance d’entreprise sont élus par</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be individually elected by the Ordinary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ordinaire parmi les membres du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from among the members of the Board of Directors for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pour un mandat d'un an jusqu'à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term  of  one  year  until  the  next  Ordinary  General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prochaine assemblée générale ordinaire. Une réélection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Meeting. Re-election is permitted. The Compensation,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est possible. Le comité de rémunération, de nomination 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Nomination and Corporate Governance Committee has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gouvernance d’entreprise a les fonctions suivantes:</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following duties:</w:t>
            </w:r>
          </w:p>
        </w:tc>
        <w:tc>
          <w:tcPr>
            <w:tcW w:w="12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élaborer  des  principes  de  rémunération  des</w:t>
            </w:r>
          </w:p>
        </w:tc>
        <w:tc>
          <w:tcPr>
            <w:tcW w:w="0" w:type="dxa"/>
            <w:vAlign w:val="bottom"/>
          </w:tcPr>
          <w:p>
            <w:pPr>
              <w:spacing w:after="0"/>
              <w:rPr>
                <w:sz w:val="1"/>
                <w:szCs w:val="1"/>
                <w:color w:val="auto"/>
              </w:rPr>
            </w:pPr>
          </w:p>
        </w:tc>
      </w:tr>
      <w:tr>
        <w:trPr>
          <w:trHeight w:val="90"/>
        </w:trPr>
        <w:tc>
          <w:tcPr>
            <w:tcW w:w="3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40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draw up principles for compensation of members</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membres du conseil d'administration et du comité</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of  the  Board  of  Directors  and  the  Executive</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exécutif  et  de  les  soumettre  au  conseil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Committee and to submit them to the Board of</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d'administration pour approbation;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2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 for approval;</w:t>
            </w:r>
          </w:p>
        </w:tc>
        <w:tc>
          <w:tcPr>
            <w:tcW w:w="12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soumettre au conseil d'administration la proposition</w:t>
            </w:r>
          </w:p>
        </w:tc>
        <w:tc>
          <w:tcPr>
            <w:tcW w:w="0" w:type="dxa"/>
            <w:vAlign w:val="bottom"/>
          </w:tcPr>
          <w:p>
            <w:pPr>
              <w:spacing w:after="0"/>
              <w:rPr>
                <w:sz w:val="1"/>
                <w:szCs w:val="1"/>
                <w:color w:val="auto"/>
              </w:rPr>
            </w:pPr>
          </w:p>
        </w:tc>
      </w:tr>
      <w:tr>
        <w:trPr>
          <w:trHeight w:val="90"/>
        </w:trPr>
        <w:tc>
          <w:tcPr>
            <w:tcW w:w="3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40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submit to the Board of Directors the proposal to</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qui sera soumise à l'assemblée générale ordinaire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be submitted to the Ordinary General Meeting for</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pour la rémunération totale maximale du conseil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the maximum total compensation of the Board of</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d'administration et du comité exécutif;</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Directors and Executive Committee;</w:t>
            </w: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sous réserve et dans les limites de la rémunération</w:t>
            </w:r>
          </w:p>
        </w:tc>
        <w:tc>
          <w:tcPr>
            <w:tcW w:w="0" w:type="dxa"/>
            <w:vAlign w:val="bottom"/>
          </w:tcPr>
          <w:p>
            <w:pPr>
              <w:spacing w:after="0"/>
              <w:rPr>
                <w:sz w:val="1"/>
                <w:szCs w:val="1"/>
                <w:color w:val="auto"/>
              </w:rPr>
            </w:pPr>
          </w:p>
        </w:tc>
      </w:tr>
      <w:tr>
        <w:trPr>
          <w:trHeight w:val="90"/>
        </w:trPr>
        <w:tc>
          <w:tcPr>
            <w:tcW w:w="38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40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subject to and within the bounds of the maximum</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maximale  approuvée  par  l'assemblée  générale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compensation approved by the Ordinary General</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ordinaire,  demander  l'approbation  du  conseil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Meeting,  to  request  approval  by  the  Board  of</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d'administration quant aux paquets de rémunération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Directors of the individual remuneration packages</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individuels devant être versés aux membres du</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be paid to members of the Board of Directors and</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conseil d'administration et aux membres du comité</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of the Executive Committee;</w:t>
            </w: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exécutif;</w:t>
            </w:r>
          </w:p>
        </w:tc>
        <w:tc>
          <w:tcPr>
            <w:tcW w:w="0" w:type="dxa"/>
            <w:vAlign w:val="bottom"/>
          </w:tcPr>
          <w:p>
            <w:pPr>
              <w:spacing w:after="0"/>
              <w:rPr>
                <w:sz w:val="1"/>
                <w:szCs w:val="1"/>
                <w:color w:val="auto"/>
              </w:rPr>
            </w:pP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request  approval  by  the  Board  of  Directors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requérir l'approbation du conseil d'administration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regarding the determination of the compensation-</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sur la fixation d'objectifs liés à la rémunération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related targets for the Executive Committee;</w:t>
            </w: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pour le comité exécutif;</w:t>
            </w:r>
          </w:p>
        </w:tc>
        <w:tc>
          <w:tcPr>
            <w:tcW w:w="0" w:type="dxa"/>
            <w:vAlign w:val="bottom"/>
          </w:tcPr>
          <w:p>
            <w:pPr>
              <w:spacing w:after="0"/>
              <w:rPr>
                <w:sz w:val="1"/>
                <w:szCs w:val="1"/>
                <w:color w:val="auto"/>
              </w:rPr>
            </w:pP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request  approval  by  the  Board  of  Directors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requérir l'approbation du conseil d'administration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regarding  the  adjustments  to  the  Articles  of</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sur  les  adaptations  des  statuts  relatives  à  la</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Association relating to remuneration; and</w:t>
            </w: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rémunération; et</w:t>
            </w:r>
          </w:p>
        </w:tc>
        <w:tc>
          <w:tcPr>
            <w:tcW w:w="0" w:type="dxa"/>
            <w:vAlign w:val="bottom"/>
          </w:tcPr>
          <w:p>
            <w:pPr>
              <w:spacing w:after="0"/>
              <w:rPr>
                <w:sz w:val="1"/>
                <w:szCs w:val="1"/>
                <w:color w:val="auto"/>
              </w:rPr>
            </w:pPr>
          </w:p>
        </w:tc>
      </w:tr>
      <w:tr>
        <w:trPr>
          <w:trHeight w:val="306"/>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40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 prepare the Compensation Report and submit it to</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préparer le rapport de rémunération et le soumettre</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2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12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au conseil d'administration.</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5"/>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Board of Directors shall set out any further duties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 conseil d'administration fixe toutes autres fonctions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and  responsibilities  vested  on  the  Compensation,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et responsabilités dévolues au comité de rémunération,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Nomination and Corporate Governance Committee 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nomination  et  de  gouvernance  d’entreprise  dans  le</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Company's Organizational Rules.</w:t>
            </w:r>
          </w:p>
        </w:tc>
        <w:tc>
          <w:tcPr>
            <w:tcW w:w="126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règlement d'organisation de la société.</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50" w:name="page51"/>
    <w:bookmarkEnd w:id="5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4"/>
                <w:szCs w:val="24"/>
                <w:color w:val="auto"/>
              </w:rPr>
            </w:pPr>
          </w:p>
        </w:tc>
      </w:tr>
      <w:tr>
        <w:trPr>
          <w:trHeight w:val="245"/>
        </w:trPr>
        <w:tc>
          <w:tcPr>
            <w:tcW w:w="4380" w:type="dxa"/>
            <w:vAlign w:val="bottom"/>
            <w:tcBorders>
              <w:left w:val="single" w:sz="8" w:color="auto"/>
              <w:right w:val="single" w:sz="8" w:color="auto"/>
            </w:tcBorders>
            <w:gridSpan w:val="2"/>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If there are vacancies on the Compensation, Nomination</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2"/>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S'il y a des postes vacants au sein du comité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Corporate Governance Committee,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rémunération,­  de  nomination  et  de  gouvernance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Directors  may  appoint  substitutes  from  amongst  its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d’entreprise, le conseil d'administration peut désigner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members for the remaining term of office.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substituts parmi ses membres pour la durée restante du</w:t>
            </w:r>
          </w:p>
        </w:tc>
      </w:tr>
      <w:tr>
        <w:trPr>
          <w:trHeight w:val="234"/>
        </w:trPr>
        <w:tc>
          <w:tcPr>
            <w:tcW w:w="980" w:type="dxa"/>
            <w:vAlign w:val="bottom"/>
            <w:tcBorders>
              <w:lef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terme de fonction.</w:t>
            </w:r>
          </w:p>
        </w:tc>
      </w:tr>
      <w:tr>
        <w:trPr>
          <w:trHeight w:val="68"/>
        </w:trPr>
        <w:tc>
          <w:tcPr>
            <w:tcW w:w="438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gridSpan w:val="2"/>
          </w:tcPr>
          <w:p>
            <w:pPr>
              <w:spacing w:after="0"/>
              <w:rPr>
                <w:sz w:val="5"/>
                <w:szCs w:val="5"/>
                <w:color w:val="auto"/>
              </w:rPr>
            </w:pPr>
          </w:p>
        </w:tc>
      </w:tr>
      <w:tr>
        <w:trPr>
          <w:trHeight w:val="245"/>
        </w:trPr>
        <w:tc>
          <w:tcPr>
            <w:tcW w:w="4380" w:type="dxa"/>
            <w:vAlign w:val="bottom"/>
            <w:tcBorders>
              <w:left w:val="single" w:sz="8" w:color="auto"/>
              <w:right w:val="single" w:sz="8" w:color="auto"/>
            </w:tcBorders>
            <w:gridSpan w:val="2"/>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Board of Directors shall elect a chairman of the</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2"/>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Le conseil d'administration élit un président du comité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Nomination and Corporate Governance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rémunération,  de  nomination  et  de  gouvernance</w:t>
            </w:r>
          </w:p>
        </w:tc>
      </w:tr>
      <w:tr>
        <w:trPr>
          <w:trHeight w:val="234"/>
        </w:trPr>
        <w:tc>
          <w:tcPr>
            <w:tcW w:w="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34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d’entreprise.</w:t>
            </w:r>
          </w:p>
        </w:tc>
      </w:tr>
      <w:tr>
        <w:trPr>
          <w:trHeight w:val="68"/>
        </w:trPr>
        <w:tc>
          <w:tcPr>
            <w:tcW w:w="980" w:type="dxa"/>
            <w:vAlign w:val="bottom"/>
            <w:tcBorders>
              <w:left w:val="single" w:sz="8" w:color="auto"/>
              <w:bottom w:val="single" w:sz="8" w:color="auto"/>
            </w:tcBorders>
          </w:tcPr>
          <w:p>
            <w:pPr>
              <w:spacing w:after="0"/>
              <w:rPr>
                <w:sz w:val="5"/>
                <w:szCs w:val="5"/>
                <w:color w:val="auto"/>
              </w:rPr>
            </w:pPr>
          </w:p>
        </w:tc>
        <w:tc>
          <w:tcPr>
            <w:tcW w:w="34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r>
        <w:trPr>
          <w:trHeight w:val="264"/>
        </w:trPr>
        <w:tc>
          <w:tcPr>
            <w:tcW w:w="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29</w:t>
            </w:r>
          </w:p>
        </w:tc>
        <w:tc>
          <w:tcPr>
            <w:tcW w:w="3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220" w:type="dxa"/>
            <w:vAlign w:val="bottom"/>
            <w:tcBorders>
              <w:right w:val="single" w:sz="8" w:color="auto"/>
            </w:tcBorders>
          </w:tcPr>
          <w:p>
            <w:pPr>
              <w:spacing w:after="0"/>
              <w:rPr>
                <w:sz w:val="22"/>
                <w:szCs w:val="22"/>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29</w:t>
            </w:r>
          </w:p>
        </w:tc>
        <w:tc>
          <w:tcPr>
            <w:tcW w:w="3600" w:type="dxa"/>
            <w:vAlign w:val="bottom"/>
            <w:tcBorders>
              <w:right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Indemnisation</w:t>
            </w:r>
          </w:p>
        </w:tc>
      </w:tr>
      <w:tr>
        <w:trPr>
          <w:trHeight w:val="67"/>
        </w:trPr>
        <w:tc>
          <w:tcPr>
            <w:tcW w:w="438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gridSpan w:val="2"/>
          </w:tcPr>
          <w:p>
            <w:pPr>
              <w:spacing w:after="0"/>
              <w:rPr>
                <w:sz w:val="5"/>
                <w:szCs w:val="5"/>
                <w:color w:val="auto"/>
              </w:rPr>
            </w:pPr>
          </w:p>
        </w:tc>
      </w:tr>
      <w:tr>
        <w:trPr>
          <w:trHeight w:val="245"/>
        </w:trPr>
        <w:tc>
          <w:tcPr>
            <w:tcW w:w="4380" w:type="dxa"/>
            <w:vAlign w:val="bottom"/>
            <w:tcBorders>
              <w:left w:val="single" w:sz="8" w:color="auto"/>
              <w:right w:val="single" w:sz="8" w:color="auto"/>
            </w:tcBorders>
            <w:gridSpan w:val="2"/>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far as is permissible under applicable law, the</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2"/>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Dans la mesure permise par la loi applicable, la société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shall indemnify any current or former member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indemnisera tout membre actuel ou ancien du conseil</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Board of Directors, current and former members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les membres actuels et anciens membres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Executive Committee, or any person who is serving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 comité exécutif, ou toute personne qui sert ou a servi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 has served at the request of the Company as a member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 demande de la société en tant que membre du conseil</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Board of Directors or member of the Executive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ou membre du comité exécutif (chacun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Committee  (each  individually,  a  "Covered  Person"),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individuellement, une "Personne Couverte"), pour toutes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against  any  expenses,  including  attorneys'  fees,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dépenses,  y  compris  les  honoraires  d'avocat,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judgments, fines, and amounts paid in settlement actually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jugements, amendes, et montants versés effectivement et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reasonably incurred by him or her in connection with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raisonnablement à titre de règlement dans le cadre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any threatened, pending, or completed action, suit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toute action, poursuite ou procédure imminente, pendante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proceeding, whether civil, criminal or administrative,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terminée, qu'elle soit civile, pénale ou administrative,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which he or she was, is, or is threatened to be made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à laquelle il ou elle a été, est, ou est menacé d'être partie,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party, or is otherwise involved (a "Proceeding"). This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est impliqué de toute autre manière (une "Procédure").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provision  shall  not  indemnify  any  Covered  Person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Cette disposition ne doit pas indemniser une Personne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against any liability arising out of (a) any fraud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contre une responsabilité découlant de (a) 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dishonesty in the performance of such Covered Person's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fraude ou une malhonnêteté de cette Personne Couverte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duty  to  the  Company,  or  (b)  such  Covered  Party's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l'exercice de ses fonctions vis-à-vis de la société, ou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conscious, intentional or willful or grossly negligent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 une violation consciente, intentionnelle ou volontaire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breach of the obligation to act honestly and in good faith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gravement négligente de l'obligation de cette Personne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  a  view  to  the  best  interests  of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d'agir avec honnêteté en tenant compte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Notwithstanding  the  preceding  sentence,  this  section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meilleur intérêt de la société. Nonobstant ce qui précède,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shall not extend to any person holding the office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cette  disposition  ne  s'étend  pas  aux  personnes  qui</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Auditor or special auditor of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occupent le poste de réviseur ou de réviseur spécial de la</w:t>
            </w:r>
          </w:p>
        </w:tc>
      </w:tr>
      <w:tr>
        <w:trPr>
          <w:trHeight w:val="234"/>
        </w:trPr>
        <w:tc>
          <w:tcPr>
            <w:tcW w:w="980" w:type="dxa"/>
            <w:vAlign w:val="bottom"/>
            <w:tcBorders>
              <w:lef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société.</w:t>
            </w:r>
          </w:p>
        </w:tc>
        <w:tc>
          <w:tcPr>
            <w:tcW w:w="3600" w:type="dxa"/>
            <w:vAlign w:val="bottom"/>
            <w:tcBorders>
              <w:right w:val="single" w:sz="8" w:color="auto"/>
            </w:tcBorders>
          </w:tcPr>
          <w:p>
            <w:pPr>
              <w:spacing w:after="0"/>
              <w:rPr>
                <w:sz w:val="20"/>
                <w:szCs w:val="20"/>
                <w:color w:val="auto"/>
              </w:rPr>
            </w:pPr>
          </w:p>
        </w:tc>
      </w:tr>
      <w:tr>
        <w:trPr>
          <w:trHeight w:val="68"/>
        </w:trPr>
        <w:tc>
          <w:tcPr>
            <w:tcW w:w="4380" w:type="dxa"/>
            <w:vAlign w:val="bottom"/>
            <w:tcBorders>
              <w:left w:val="single" w:sz="8" w:color="auto"/>
              <w:bottom w:val="single" w:sz="8" w:color="auto"/>
              <w:right w:val="single" w:sz="8" w:color="auto"/>
            </w:tcBorders>
            <w:gridSpan w:val="2"/>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380" w:type="dxa"/>
            <w:vAlign w:val="bottom"/>
            <w:tcBorders>
              <w:bottom w:val="single" w:sz="8" w:color="auto"/>
              <w:right w:val="single" w:sz="8" w:color="auto"/>
            </w:tcBorders>
            <w:gridSpan w:val="2"/>
          </w:tcPr>
          <w:p>
            <w:pPr>
              <w:spacing w:after="0"/>
              <w:rPr>
                <w:sz w:val="5"/>
                <w:szCs w:val="5"/>
                <w:color w:val="auto"/>
              </w:rPr>
            </w:pPr>
          </w:p>
        </w:tc>
      </w:tr>
      <w:tr>
        <w:trPr>
          <w:trHeight w:val="245"/>
        </w:trPr>
        <w:tc>
          <w:tcPr>
            <w:tcW w:w="4380" w:type="dxa"/>
            <w:vAlign w:val="bottom"/>
            <w:tcBorders>
              <w:left w:val="single" w:sz="8" w:color="auto"/>
              <w:right w:val="single" w:sz="8" w:color="auto"/>
            </w:tcBorders>
            <w:gridSpan w:val="2"/>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the case of any Proceeding by or in the name of the</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2"/>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Dans le cas de toute Procédure intentée par ou au nom</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the Company shall indemnify each Covered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 société, la société doit indemniser chaque Personne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Person  against  expenses,  including  attorneys'  fees,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pour les dépenses, y compris les honoraires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actually and reasonably incurred in connection with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d'avocat, effectivement et raisonnablement encourus dans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defense  or  settlement  thereof,  except  that  no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cadre de la défense ou du règlement dans le cadre de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indemnification shall be made in respect of any claim,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Procédure. Aucune indemnisation ne sera octroyée pour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issue or matter as to which a Covered Person shall have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une réclamation, problème ou affaire pour laquelle 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been adjudged to be liable for fraud or dishonesty 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Personne Couverte est tenue responsable à la suite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of his or her duty to the Company, or for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fraude  ou  de  malhonnêteté  dans  l'exercice  de  ses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conscious, intentional or willful or grossly negligent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fonctions  vis-à-vis  de  la  société,  ou  à  cause  d'une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breach of his or her obligation to act honestly and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violation  consciente,  intentionnelle  ou  volontaire  ou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good faith with a view to the best interests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gravement  négligente  de  l'obligation  de  la  Personne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unless and only to the extent that a court in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Couverte d'agir avec honnêteté en tenant compte du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which such action or suit was brought shall determine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meilleur intérêt de la société, sauf et uniquement si 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upon application that despite the adjudication of liability,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tribunal auquel une telle action ou poursuite a été porté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but in view of all the circumstances of the case, such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détermine  que,  malgré  la  reconnaissance  de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Covered  Person  is  fairly  and  reasonably  entitled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responsabilité,  mais  compte  tenu  de  toutes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indemnity for such expenses as the court shall deem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circonstances du cas d'espèce, cette Personne Couverte 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proper.  Notwithstanding  the  preceding  sentence,  this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équitablement   et   raisonnablement   droit   à   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section shall not extend to any person holding the office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indemnisation  de  ces  dépenses,  mais  uniquement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Auditor or special auditor of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hauteur du montant que le tribunal jugera convenable.</w:t>
            </w:r>
          </w:p>
        </w:tc>
      </w:tr>
      <w:tr>
        <w:trPr>
          <w:trHeight w:val="216"/>
        </w:trPr>
        <w:tc>
          <w:tcPr>
            <w:tcW w:w="98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Nonobstant la phrase précédente, cette disposition ne</w:t>
            </w:r>
          </w:p>
        </w:tc>
      </w:tr>
      <w:tr>
        <w:trPr>
          <w:trHeight w:val="216"/>
        </w:trPr>
        <w:tc>
          <w:tcPr>
            <w:tcW w:w="98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s'étend pas aux personnes qui occupent le poste de</w:t>
            </w:r>
          </w:p>
        </w:tc>
      </w:tr>
      <w:tr>
        <w:trPr>
          <w:trHeight w:val="234"/>
        </w:trPr>
        <w:tc>
          <w:tcPr>
            <w:tcW w:w="980" w:type="dxa"/>
            <w:vAlign w:val="bottom"/>
            <w:tcBorders>
              <w:left w:val="single" w:sz="8" w:color="auto"/>
            </w:tcBorders>
          </w:tcPr>
          <w:p>
            <w:pPr>
              <w:spacing w:after="0"/>
              <w:rPr>
                <w:sz w:val="20"/>
                <w:szCs w:val="20"/>
                <w:color w:val="auto"/>
              </w:rPr>
            </w:pPr>
          </w:p>
        </w:tc>
        <w:tc>
          <w:tcPr>
            <w:tcW w:w="34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réviseur ou de réviseur spécial de la société.</w:t>
            </w:r>
          </w:p>
        </w:tc>
      </w:tr>
      <w:tr>
        <w:trPr>
          <w:trHeight w:val="68"/>
        </w:trPr>
        <w:tc>
          <w:tcPr>
            <w:tcW w:w="980" w:type="dxa"/>
            <w:vAlign w:val="bottom"/>
            <w:tcBorders>
              <w:left w:val="single" w:sz="8" w:color="auto"/>
              <w:bottom w:val="single" w:sz="8" w:color="auto"/>
            </w:tcBorders>
          </w:tcPr>
          <w:p>
            <w:pPr>
              <w:spacing w:after="0"/>
              <w:rPr>
                <w:sz w:val="5"/>
                <w:szCs w:val="5"/>
                <w:color w:val="auto"/>
              </w:rPr>
            </w:pPr>
          </w:p>
        </w:tc>
        <w:tc>
          <w:tcPr>
            <w:tcW w:w="340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1" w:name="page52"/>
    <w:bookmarkEnd w:id="5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tcPr>
          <w:p>
            <w:pPr>
              <w:ind w:left="4200"/>
              <w:spacing w:after="0"/>
              <w:rPr>
                <w:sz w:val="20"/>
                <w:szCs w:val="20"/>
                <w:color w:val="auto"/>
              </w:rPr>
            </w:pPr>
            <w:r>
              <w:rPr>
                <w:rFonts w:ascii="Times New Roman" w:cs="Times New Roman" w:eastAsia="Times New Roman" w:hAnsi="Times New Roman"/>
                <w:sz w:val="18"/>
                <w:szCs w:val="18"/>
                <w:color w:val="auto"/>
                <w:w w:val="77"/>
              </w:rPr>
              <w:t>19</w:t>
            </w:r>
          </w:p>
        </w:tc>
      </w:tr>
      <w:tr>
        <w:trPr>
          <w:trHeight w:val="459"/>
        </w:trPr>
        <w:tc>
          <w:tcPr>
            <w:tcW w:w="4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r>
        <w:trPr>
          <w:trHeight w:val="299"/>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Any indemnification under this Article 29 (unless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Toute indemnisation en vertu du présent article 29 (sauf</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ordered by a court) shall be made by the Company only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 ordonnée par un tribunal) doit être octroyée par la</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authorized in the specific case upon a determination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société dans chaque cas dans les limites de l'autorisation</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that indemnification of the Covered Person is proper in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sur la base d'une détermination que l'indemnisation de la</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circumstances  because  such  person  has  met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Personne Couverte est appropriée dans les circonstances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applicable standard of conduct set forth in this Article 29.</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parce  que  cette  personne  a  satisfait  au  standard  de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Such determination shall be made, with respect to a</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conduite applicable énoncé dans le présent article 29.</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Covered Person (a) by a majority vote of the members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Une telle décision concernant une Personne Couverte doit</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Board of Directors who are not parties to such</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être prise (a) par la majorité des votes des membres du</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proceeding  (referred  to  in  this  paragraph  as  "Non-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conseil d'administration qui ne sont pas parties à cette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Involved Members"), irrespective of a lack of a quorum;</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procédure (définis dans cet alinéa comme « Membres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 by a committee of Non-Involved Members designated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Non-concernés »), même si le quorum requis n'est pas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a majority vote of the Non-Involved Members ,</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réuni; (b) par un comité de Membres Non-concernés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irrespective of a lack of a quorum; (c) if there is no such</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désignés par une majorité des votes des Membres Non-</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Non-Involved Member, by independent legal counsel in a</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concernés , même si le quorum requis n'est pas réuni; (c)</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written opinion; or (d) by the General Meeting. To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s'il n'y a pas de Membre Non-concerné, par un conseiller</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extent, however, that any Covered Person has been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juridique indépendant dans un avis écrit; ou (d) par</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successful on the merits or otherwise in defense of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l'assemblée générale. Dans la mesure, cependant, où une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proceeding, or in defense of any claim, issue or matter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Personne Couverte a gagné sur le fond ou autrement dans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therein,  such  Covered  Person  shall  be  indemnified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 défense d'une procédure, ou dans la défense de toute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against expenses (including attorneys' fees) actually and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réclamation, problème ou affaire dans cette procédure,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reasonably  incurred  by  such  person  in  connection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cette Personne Couverte doit être indemnisée pour les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therewith, without the necessity of authorization in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dépenses   (y   compris   les   honoraires   d'avocat)</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specific case.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effectivement et raisonnablement encourus dans le cadre</w:t>
            </w:r>
          </w:p>
        </w:tc>
      </w:tr>
      <w:tr>
        <w:trPr>
          <w:trHeight w:val="216"/>
        </w:trPr>
        <w:tc>
          <w:tcPr>
            <w:tcW w:w="438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 l'affaire en question sans qu'il soit nécessaire d'avoir</w:t>
            </w:r>
          </w:p>
        </w:tc>
      </w:tr>
      <w:tr>
        <w:trPr>
          <w:trHeight w:val="234"/>
        </w:trPr>
        <w:tc>
          <w:tcPr>
            <w:tcW w:w="4380" w:type="dxa"/>
            <w:vAlign w:val="bottom"/>
            <w:tcBorders>
              <w:left w:val="single" w:sz="8" w:color="auto"/>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une autorisation dans le cas spécifique.</w:t>
            </w:r>
          </w:p>
        </w:tc>
      </w:tr>
      <w:tr>
        <w:trPr>
          <w:trHeight w:val="108"/>
        </w:trPr>
        <w:tc>
          <w:tcPr>
            <w:tcW w:w="438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tcPr>
          <w:p>
            <w:pPr>
              <w:spacing w:after="0"/>
              <w:rPr>
                <w:sz w:val="9"/>
                <w:szCs w:val="9"/>
                <w:color w:val="auto"/>
              </w:rPr>
            </w:pPr>
          </w:p>
        </w:tc>
      </w:tr>
      <w:tr>
        <w:trPr>
          <w:trHeight w:val="299"/>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As far as is permissible under applicable law, expenses,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Dans la mesure permise par la loi applicable, les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attorneys'  fees,  incurred  in  defending  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dépenses, y compris les honoraires d'avocats, encourus</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proceeding  for  which  indemnification  is  permitted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dans  la  défense  de  toute  procédure  pour  laquelle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this Article 29 shall be paid by the Company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l'indemnisation est permise en vertu du présent article 29,</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advance of the final disposition of such proceeding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doivent être payées par la société avant la décision finale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upon receipt by the Board of Directors of an undertaking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dans  cette  procédure  à  réception  par  le  conseil</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or on behalf of the Covered Person to repay such</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d'administration d'une promesse faite par ou au nom de la</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 if it shall ultimately be determined that he or she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Personne Couverte de rembourser ce montant s'il s'avère</w:t>
            </w:r>
          </w:p>
        </w:tc>
      </w:tr>
      <w:tr>
        <w:trPr>
          <w:trHeight w:val="216"/>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 not entitled to be indemnified by the Company under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finalement que cette Personne Couverte n'a pas droit à</w:t>
            </w:r>
          </w:p>
        </w:tc>
      </w:tr>
      <w:tr>
        <w:trPr>
          <w:trHeight w:val="234"/>
        </w:trPr>
        <w:tc>
          <w:tcPr>
            <w:tcW w:w="4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these Articles of Association.</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l'indemnisation par la société en vertu de ces statuts.</w:t>
            </w:r>
          </w:p>
        </w:tc>
      </w:tr>
      <w:tr>
        <w:trPr>
          <w:trHeight w:val="108"/>
        </w:trPr>
        <w:tc>
          <w:tcPr>
            <w:tcW w:w="438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tcPr>
          <w:p>
            <w:pPr>
              <w:spacing w:after="0"/>
              <w:rPr>
                <w:sz w:val="9"/>
                <w:szCs w:val="9"/>
                <w:color w:val="auto"/>
              </w:rPr>
            </w:pPr>
          </w:p>
        </w:tc>
      </w:tr>
      <w:tr>
        <w:trPr>
          <w:trHeight w:val="756"/>
        </w:trPr>
        <w:tc>
          <w:tcPr>
            <w:tcW w:w="4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2" w:name="page53"/>
    <w:bookmarkEnd w:id="5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73"/>
        </w:trPr>
        <w:tc>
          <w:tcPr>
            <w:tcW w:w="4380" w:type="dxa"/>
            <w:vAlign w:val="bottom"/>
            <w:tcBorders>
              <w:bottom w:val="single" w:sz="8" w:color="auto"/>
            </w:tcBorders>
            <w:gridSpan w:val="6"/>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It being the policy of the Company that indemnification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La politique de la société prévoit que l'indemnisation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of the persons specified in this Article 29 shall be made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des personnes visées au présent article 29 doit être payée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to  the  fullest  extent  permitted  by  law  and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dans toute la mesure autorisée par la loi et l'indemnisation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indemnification provided by this Article 29 shall not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prévue par cet article 29 ne sera pas considérée comme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deemed exclusive (a) of any other rights to which those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exclusive  (a)  d'autres  droits  auxquels  les  personnes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seeking indemnification or advancement of expenses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demandant  une  indemnisation  ou  une  avance  des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may be entitled under these Articles of Association, 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dépenses ont droit en vertu de ces statuts, d'un accord,</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agreement, any insurance purchased by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d'une  assurance  souscrite  par  la  société,  d'un  vote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vote  of  shareholders  or  members  of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d'actionnaires ou de membres du conseil d'administration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Directors without a direct interest in the matter,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n'ayant pas d'intérêt direct en la matière, ou en vertu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pursuant to the decision of any court of competent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d'une décision d'un tribunal compétent, ou autrement, soit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jurisdiction, or otherwise, both as to action in his or her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à l'égard d'actions faites en sa capacité officielle, soit à</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official capacity and as to action in another capacity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l'égard d'actions faites à un autre titre tout en ayant une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while holding such office, or (b) of the power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telle  fonction,  ou  (b)  du  pouvoir  de  la  société</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Company to indemnify any person who is or was an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d'indemniser toute personne qui est ou était un employé</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employee  or  agent  of  the  Company  or  of  another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ou un mandataire de la société ou d'une autre société,</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corporation, joint venture, trust or other enterprise which</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d'une joint venture, d'une fiducie ou d'une autre entreprise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he or she is serving or has served at the request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laquelle il ou elle travaille ou a travaillé à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Company, to the same extent and in the same situations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demande de la société, dans la même mesure et dans les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and  subject  to  the  same  determinations  as  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mêmes situations et sous réserve des mêmes principes</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hereinabove set forth with respect to a Covered Person.</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concernant une Personne Couverte évoquées ci-dessus.</w:t>
            </w:r>
          </w:p>
        </w:tc>
        <w:tc>
          <w:tcPr>
            <w:tcW w:w="0" w:type="dxa"/>
            <w:vAlign w:val="bottom"/>
          </w:tcPr>
          <w:p>
            <w:pPr>
              <w:spacing w:after="0"/>
              <w:rPr>
                <w:sz w:val="1"/>
                <w:szCs w:val="1"/>
                <w:color w:val="auto"/>
              </w:rPr>
            </w:pPr>
          </w:p>
        </w:tc>
      </w:tr>
      <w:tr>
        <w:trPr>
          <w:trHeight w:val="306"/>
        </w:trPr>
        <w:tc>
          <w:tcPr>
            <w:tcW w:w="68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Tel qu'utilisé dans le présent article 29, les références à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As used in this Article 29, references to the "Company"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comprennent toutes les sociétés ayant fait l'objet</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include all constituent corporations in a consolidation or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d'un  regroupement  ou  d'une  fusion  dans  laquelle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merger in which the Company or a predecessor to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ou un prédécesseur à la société a été impliqué.</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Company by consolidation or merger was involved.</w:t>
            </w:r>
          </w:p>
        </w:tc>
        <w:tc>
          <w:tcPr>
            <w:tcW w:w="22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6"/>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The indemnification provided by this Article 29 shall</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L'indemnisation prévue par cet article 29 est maintenue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continue as to a person who has ceased to be a member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à l'égard d'une personne qui a cessé d'être un membre du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of the Board of Directors or the Executive Committee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ou du comité exécutif et sera en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and shall inure to the benefit of their heirs, executors,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vigueur  au  bénéfice  de  ses  héritiers,  exécuteurs  et</w:t>
            </w:r>
          </w:p>
        </w:tc>
        <w:tc>
          <w:tcPr>
            <w:tcW w:w="0" w:type="dxa"/>
            <w:vAlign w:val="bottom"/>
          </w:tcPr>
          <w:p>
            <w:pPr>
              <w:spacing w:after="0"/>
              <w:rPr>
                <w:sz w:val="1"/>
                <w:szCs w:val="1"/>
                <w:color w:val="auto"/>
              </w:rPr>
            </w:pPr>
          </w:p>
        </w:tc>
      </w:tr>
      <w:tr>
        <w:trPr>
          <w:trHeight w:val="234"/>
        </w:trPr>
        <w:tc>
          <w:tcPr>
            <w:tcW w:w="18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administrators.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administrateurs.</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bottom w:val="single" w:sz="8" w:color="auto"/>
            </w:tcBorders>
          </w:tcPr>
          <w:p>
            <w:pPr>
              <w:spacing w:after="0"/>
              <w:rPr>
                <w:sz w:val="9"/>
                <w:szCs w:val="9"/>
                <w:color w:val="auto"/>
              </w:rPr>
            </w:pPr>
          </w:p>
        </w:tc>
        <w:tc>
          <w:tcPr>
            <w:tcW w:w="162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VI.</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AUDITORS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VI.</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ORGANE DE RÉVISION</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bottom w:val="single" w:sz="8" w:color="auto"/>
            </w:tcBorders>
          </w:tcPr>
          <w:p>
            <w:pPr>
              <w:spacing w:after="0"/>
              <w:rPr>
                <w:sz w:val="9"/>
                <w:szCs w:val="9"/>
                <w:color w:val="auto"/>
              </w:rPr>
            </w:pPr>
          </w:p>
        </w:tc>
        <w:tc>
          <w:tcPr>
            <w:tcW w:w="162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30</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Election, Term</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30</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Élection, durée</w:t>
            </w:r>
          </w:p>
        </w:tc>
        <w:tc>
          <w:tcPr>
            <w:tcW w:w="0" w:type="dxa"/>
            <w:vAlign w:val="bottom"/>
          </w:tcPr>
          <w:p>
            <w:pPr>
              <w:spacing w:after="0"/>
              <w:rPr>
                <w:sz w:val="1"/>
                <w:szCs w:val="1"/>
                <w:color w:val="auto"/>
              </w:rPr>
            </w:pPr>
          </w:p>
        </w:tc>
      </w:tr>
      <w:tr>
        <w:trPr>
          <w:trHeight w:val="306"/>
        </w:trPr>
        <w:tc>
          <w:tcPr>
            <w:tcW w:w="6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w:t>
            </w: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General  Meeting  shall</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elect,  every</w:t>
            </w:r>
          </w:p>
        </w:tc>
        <w:tc>
          <w:tcPr>
            <w:tcW w:w="7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year,  an</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L'assemblée  générale  nomme  chaque  année  une</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personne physique ou morale qui remplit les conditions</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individual or corporate</w:t>
            </w: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body</w:t>
            </w: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that satisfies the</w:t>
            </w:r>
          </w:p>
        </w:tc>
        <w:tc>
          <w:tcPr>
            <w:tcW w:w="7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relevant</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tcBorders>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légales pour fonctionner comme organe de révision selon</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legal  requirements  to</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act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as</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its  statutory</w:t>
            </w:r>
          </w:p>
        </w:tc>
        <w:tc>
          <w:tcPr>
            <w:tcW w:w="7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auditors</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880" w:type="dxa"/>
            <w:vAlign w:val="bottom"/>
            <w:tcBorders>
              <w:left w:val="single" w:sz="8" w:color="auto"/>
            </w:tcBorders>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les articles 727 ss. CO avec les droits et les obligations</w:t>
            </w:r>
          </w:p>
        </w:tc>
        <w:tc>
          <w:tcPr>
            <w:tcW w:w="0" w:type="dxa"/>
            <w:vAlign w:val="bottom"/>
          </w:tcPr>
          <w:p>
            <w:pPr>
              <w:spacing w:after="0"/>
              <w:rPr>
                <w:sz w:val="1"/>
                <w:szCs w:val="1"/>
                <w:color w:val="auto"/>
              </w:rPr>
            </w:pPr>
          </w:p>
        </w:tc>
      </w:tr>
      <w:tr>
        <w:trPr>
          <w:trHeight w:val="110"/>
        </w:trPr>
        <w:tc>
          <w:tcPr>
            <w:tcW w:w="4380" w:type="dxa"/>
            <w:vAlign w:val="bottom"/>
            <w:tcBorders>
              <w:left w:val="single" w:sz="8" w:color="auto"/>
              <w:right w:val="single" w:sz="8" w:color="auto"/>
            </w:tcBorders>
            <w:gridSpan w:val="6"/>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(Auditors) in accordance with Articles 727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CO,</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6"/>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prévus par la loi.</w:t>
            </w:r>
          </w:p>
        </w:tc>
        <w:tc>
          <w:tcPr>
            <w:tcW w:w="0" w:type="dxa"/>
            <w:vAlign w:val="bottom"/>
          </w:tcPr>
          <w:p>
            <w:pPr>
              <w:spacing w:after="0"/>
              <w:rPr>
                <w:sz w:val="1"/>
                <w:szCs w:val="1"/>
                <w:color w:val="auto"/>
              </w:rPr>
            </w:pPr>
          </w:p>
        </w:tc>
      </w:tr>
      <w:tr>
        <w:trPr>
          <w:trHeight w:val="126"/>
        </w:trPr>
        <w:tc>
          <w:tcPr>
            <w:tcW w:w="3600" w:type="dxa"/>
            <w:vAlign w:val="bottom"/>
            <w:tcBorders>
              <w:left w:val="single" w:sz="8" w:color="auto"/>
            </w:tcBorders>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with the rights and duties determined by law.</w:t>
            </w:r>
          </w:p>
        </w:tc>
        <w:tc>
          <w:tcPr>
            <w:tcW w:w="78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tcBorders>
            <w:gridSpan w:val="5"/>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6"/>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General Meeting may appoint special auditors for a</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L'assemblée  générale  peut  nommer  des  réviseurs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term of up to three years who provide the attestations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spéciaux pour une durée de trois ans au maximum qui</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required for changes in the share capital.</w:t>
            </w:r>
          </w:p>
        </w:tc>
        <w:tc>
          <w:tcPr>
            <w:tcW w:w="7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fournissent   les   attestations   requises   pour   les</w:t>
            </w:r>
          </w:p>
        </w:tc>
        <w:tc>
          <w:tcPr>
            <w:tcW w:w="0" w:type="dxa"/>
            <w:vAlign w:val="bottom"/>
          </w:tcPr>
          <w:p>
            <w:pPr>
              <w:spacing w:after="0"/>
              <w:rPr>
                <w:sz w:val="1"/>
                <w:szCs w:val="1"/>
                <w:color w:val="auto"/>
              </w:rPr>
            </w:pPr>
          </w:p>
        </w:tc>
      </w:tr>
      <w:tr>
        <w:trPr>
          <w:trHeight w:val="234"/>
        </w:trPr>
        <w:tc>
          <w:tcPr>
            <w:tcW w:w="68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modifications du capital-actions.</w:t>
            </w:r>
          </w:p>
        </w:tc>
        <w:tc>
          <w:tcPr>
            <w:tcW w:w="0" w:type="dxa"/>
            <w:vAlign w:val="bottom"/>
          </w:tcPr>
          <w:p>
            <w:pPr>
              <w:spacing w:after="0"/>
              <w:rPr>
                <w:sz w:val="1"/>
                <w:szCs w:val="1"/>
                <w:color w:val="auto"/>
              </w:rPr>
            </w:pPr>
          </w:p>
        </w:tc>
      </w:tr>
      <w:tr>
        <w:trPr>
          <w:trHeight w:val="108"/>
        </w:trPr>
        <w:tc>
          <w:tcPr>
            <w:tcW w:w="680" w:type="dxa"/>
            <w:vAlign w:val="bottom"/>
            <w:tcBorders>
              <w:left w:val="single" w:sz="8" w:color="auto"/>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53" w:name="page54"/>
    <w:bookmarkEnd w:id="5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0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77"/>
              </w:rPr>
              <w:t>21</w:t>
            </w:r>
          </w:p>
        </w:tc>
      </w:tr>
      <w:tr>
        <w:trPr>
          <w:trHeight w:val="459"/>
        </w:trPr>
        <w:tc>
          <w:tcPr>
            <w:tcW w:w="820" w:type="dxa"/>
            <w:vAlign w:val="bottom"/>
            <w:tcBorders>
              <w:bottom w:val="single" w:sz="8" w:color="auto"/>
            </w:tcBorders>
            <w:gridSpan w:val="2"/>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r>
        <w:trPr>
          <w:trHeight w:val="318"/>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31</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Duties</w:t>
            </w:r>
          </w:p>
        </w:tc>
        <w:tc>
          <w:tcPr>
            <w:tcW w:w="200" w:type="dxa"/>
            <w:vAlign w:val="bottom"/>
            <w:tcBorders>
              <w:right w:val="single" w:sz="8" w:color="auto"/>
            </w:tcBorders>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31</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Fonctions</w:t>
            </w: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Auditors shall perform their duties to audit and</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L'organe de révision vérifie et rapporte si la comptabilité,</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report whether the accounting, the annual accounts and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  comptes  annuels  et  la  proposition  relative  à  la</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proposal  regarding  allocation  of  profits  are  in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répartition des bénéfices sont en conformité avec la loi et</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accordance with law and the Articles of Association.</w:t>
            </w:r>
          </w:p>
        </w:tc>
        <w:tc>
          <w:tcPr>
            <w:tcW w:w="200" w:type="dxa"/>
            <w:vAlign w:val="bottom"/>
            <w:tcBorders>
              <w:right w:val="single" w:sz="8" w:color="auto"/>
            </w:tcBorders>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 statuts.</w:t>
            </w:r>
          </w:p>
        </w:tc>
        <w:tc>
          <w:tcPr>
            <w:tcW w:w="3500" w:type="dxa"/>
            <w:vAlign w:val="bottom"/>
            <w:tcBorders>
              <w:right w:val="single" w:sz="8" w:color="auto"/>
            </w:tcBorders>
          </w:tcPr>
          <w:p>
            <w:pPr>
              <w:spacing w:after="0"/>
              <w:rPr>
                <w:sz w:val="20"/>
                <w:szCs w:val="20"/>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r>
      <w:tr>
        <w:trPr>
          <w:trHeight w:val="295"/>
        </w:trPr>
        <w:tc>
          <w:tcPr>
            <w:tcW w:w="4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VII.</w:t>
            </w:r>
          </w:p>
        </w:tc>
        <w:tc>
          <w:tcPr>
            <w:tcW w:w="340" w:type="dxa"/>
            <w:vAlign w:val="bottom"/>
          </w:tcPr>
          <w:p>
            <w:pPr>
              <w:spacing w:after="0"/>
              <w:rPr>
                <w:sz w:val="24"/>
                <w:szCs w:val="24"/>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AND RELATED</w:t>
            </w:r>
          </w:p>
        </w:tc>
        <w:tc>
          <w:tcPr>
            <w:tcW w:w="200" w:type="dxa"/>
            <w:vAlign w:val="bottom"/>
            <w:tcBorders>
              <w:right w:val="single" w:sz="8" w:color="auto"/>
            </w:tcBorders>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VII.</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RÉMUNÉRATION ET DISPOSITIONS</w:t>
            </w:r>
          </w:p>
        </w:tc>
      </w:tr>
      <w:tr>
        <w:trPr>
          <w:trHeight w:val="238"/>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200" w:type="dxa"/>
            <w:vAlign w:val="bottom"/>
            <w:tcBorders>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ANALOGUES</w:t>
            </w:r>
          </w:p>
        </w:tc>
      </w:tr>
      <w:tr>
        <w:trPr>
          <w:trHeight w:val="108"/>
        </w:trPr>
        <w:tc>
          <w:tcPr>
            <w:tcW w:w="820" w:type="dxa"/>
            <w:vAlign w:val="bottom"/>
            <w:tcBorders>
              <w:left w:val="single" w:sz="8" w:color="auto"/>
              <w:bottom w:val="single" w:sz="8" w:color="auto"/>
            </w:tcBorders>
            <w:gridSpan w:val="2"/>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r>
      <w:tr>
        <w:trPr>
          <w:trHeight w:val="295"/>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32</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Principles of the Compensation of the</w:t>
            </w:r>
          </w:p>
        </w:tc>
        <w:tc>
          <w:tcPr>
            <w:tcW w:w="200" w:type="dxa"/>
            <w:vAlign w:val="bottom"/>
            <w:tcBorders>
              <w:right w:val="single" w:sz="8" w:color="auto"/>
            </w:tcBorders>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32</w:t>
            </w: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Principes de rémunération du conseil</w:t>
            </w:r>
          </w:p>
        </w:tc>
      </w:tr>
      <w:tr>
        <w:trPr>
          <w:trHeight w:val="238"/>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200" w:type="dxa"/>
            <w:vAlign w:val="bottom"/>
            <w:tcBorders>
              <w:right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3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d'administration</w:t>
            </w:r>
          </w:p>
        </w:tc>
      </w:tr>
      <w:tr>
        <w:trPr>
          <w:trHeight w:val="41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compensation payable to the members of the Board</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   rémunération   des   membres   du   conseil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Directors comprises, subject to and within the bounds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comprend,  sous  réserve  et  dans  les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of the approval by the General Meeting of the total</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limites de l'approbation de la rémunération totale par</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compensation, the following elements: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l'assemblée générale, les éléments suivants:</w:t>
            </w:r>
          </w:p>
        </w:tc>
      </w:tr>
      <w:tr>
        <w:trPr>
          <w:trHeight w:val="324"/>
        </w:trPr>
        <w:tc>
          <w:tcPr>
            <w:tcW w:w="4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fixed basic remuneration;</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une rémunération fixe de base;</w:t>
            </w:r>
          </w:p>
        </w:tc>
      </w:tr>
      <w:tr>
        <w:trPr>
          <w:trHeight w:val="306"/>
        </w:trPr>
        <w:tc>
          <w:tcPr>
            <w:tcW w:w="4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fixed committee fee for work in a committee of</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  des frais de commission fixes pour le travail dans un</w:t>
            </w:r>
          </w:p>
        </w:tc>
      </w:tr>
      <w:tr>
        <w:trPr>
          <w:trHeight w:val="234"/>
        </w:trPr>
        <w:tc>
          <w:tcPr>
            <w:tcW w:w="480" w:type="dxa"/>
            <w:vAlign w:val="bottom"/>
            <w:tcBorders>
              <w:left w:val="single" w:sz="8" w:color="auto"/>
            </w:tcBorders>
          </w:tcPr>
          <w:p>
            <w:pPr>
              <w:spacing w:after="0"/>
              <w:rPr>
                <w:sz w:val="20"/>
                <w:szCs w:val="20"/>
                <w:color w:val="auto"/>
              </w:rPr>
            </w:pP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Board of Directors;</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comité du conseil d'administration;</w:t>
            </w:r>
          </w:p>
        </w:tc>
      </w:tr>
      <w:tr>
        <w:trPr>
          <w:trHeight w:val="324"/>
        </w:trPr>
        <w:tc>
          <w:tcPr>
            <w:tcW w:w="4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lump sum compensation for expenses;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  une compensation forfaitaire pour les dépenses;</w:t>
            </w:r>
          </w:p>
        </w:tc>
      </w:tr>
      <w:tr>
        <w:trPr>
          <w:trHeight w:val="306"/>
        </w:trPr>
        <w:tc>
          <w:tcPr>
            <w:tcW w:w="4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 number of options or shares in the Company, as</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  un nombre d'actions ou d'options dans la société,</w:t>
            </w:r>
          </w:p>
        </w:tc>
      </w:tr>
      <w:tr>
        <w:trPr>
          <w:trHeight w:val="234"/>
        </w:trPr>
        <w:tc>
          <w:tcPr>
            <w:tcW w:w="480" w:type="dxa"/>
            <w:vAlign w:val="bottom"/>
            <w:tcBorders>
              <w:left w:val="single" w:sz="8" w:color="auto"/>
            </w:tcBorders>
          </w:tcPr>
          <w:p>
            <w:pPr>
              <w:spacing w:after="0"/>
              <w:rPr>
                <w:sz w:val="20"/>
                <w:szCs w:val="20"/>
                <w:color w:val="auto"/>
              </w:rPr>
            </w:pPr>
          </w:p>
        </w:tc>
        <w:tc>
          <w:tcPr>
            <w:tcW w:w="39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further outlined in Art. 41.</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comme détaillée à l'art. 41.</w:t>
            </w: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compensation is paid in cash and in form of</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 rémunération est versée en espèces et sous forme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options  or  shares  in  the  Company.  The  Board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d'options  ou  d'actions  de  la  société.  Le  conseil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Directors  or,  to  the  extent  delegated  to  it,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ou, en cas de délégation des fonctions, le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Compensation, Nomination and Corporate Governance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comité  de  rémunération,  de  nomination  et  de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Committee shall determine grant, exercise and forfeiture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gouvernance d’entreprise doit fixer les conditions de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conditions.  In  particular,  they  may  provide  for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l'octroi, de l'exercice et de la péremption. En particulier, 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continuation, acceleration or removal of vesting, exercise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peut prévoir la poursuite, l'accélération ou la suppression</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and  forfeiture  conditions,  for  payment  or  grant  of</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des conditions d'acquisition, d'exercice et de péremption,</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compensation based upon assumed target achievement,</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pour le paiement ou l'octroi d'une rémunération basée sur</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or for forfeiture, in each case in the event of pre-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  réalisation  des  objectifs  supposés,  ou  pour  la</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determined  events  such  as  a  change-of-control  or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péremption, dans chaque cas, dans le cas d'événements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termination of an employment or mandate agreement.</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prédéterminés tels qu'un changement de contrôle ou la</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Company may procure the required shares through</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résiliation d'un contrat de travail ou d'un mandat. La</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purchases in the market, from treasury shares or by using</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société peut fournir les actions nécessaires par des achats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conditional capital or the capital band.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sur le marché, par ses actions propres ou en utilisant du</w:t>
            </w:r>
          </w:p>
        </w:tc>
      </w:tr>
      <w:tr>
        <w:trPr>
          <w:trHeight w:val="234"/>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capital conditionnel ou la marge de fluctuation du capital.</w:t>
            </w:r>
          </w:p>
        </w:tc>
      </w:tr>
      <w:tr>
        <w:trPr>
          <w:trHeight w:val="108"/>
        </w:trPr>
        <w:tc>
          <w:tcPr>
            <w:tcW w:w="4380" w:type="dxa"/>
            <w:vAlign w:val="bottom"/>
            <w:tcBorders>
              <w:left w:val="single" w:sz="8" w:color="auto"/>
              <w:bottom w:val="single" w:sz="8" w:color="auto"/>
              <w:right w:val="single" w:sz="8" w:color="auto"/>
            </w:tcBorders>
            <w:gridSpan w:val="3"/>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Subject to the approval by the General Meeting, the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Sous réserve de l'approbation par l'assemblée générale,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members  of  the  Board  of  Directors  may  receive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les membres du conseil d'administration peuvent recevoir</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remuneration  in  cash  at  customary  conditions  for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une  rémunération  en  espèces  dans  les  conditions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advisory  services  rendered  outside  their  capacity  as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habituelles  pour  des  services  consultatifs  rendus  en-</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Board  member  for  the  benefit  of  the  Company  or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dehors de leur qualité de membre du conseil pour le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companies under its control. The General Meeting may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bénéfice de la société ou des sociétés sous son contrôle.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approve an additional bonus for the members of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L'assemblée  générale  peut  approuver  un  bonus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Board of Directors in exceptional cases.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supplémentaire   pour   les   membres   du   conseil</w:t>
            </w:r>
          </w:p>
        </w:tc>
      </w:tr>
      <w:tr>
        <w:trPr>
          <w:trHeight w:val="234"/>
        </w:trPr>
        <w:tc>
          <w:tcPr>
            <w:tcW w:w="48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dans des cas exceptionnels.</w:t>
            </w: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r>
      <w:tr>
        <w:trPr>
          <w:trHeight w:val="756"/>
        </w:trPr>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4" w:name="page55"/>
    <w:bookmarkEnd w:id="5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Pr>
          <w:p>
            <w:pPr>
              <w:ind w:left="3380"/>
              <w:spacing w:after="0"/>
              <w:rPr>
                <w:sz w:val="20"/>
                <w:szCs w:val="20"/>
                <w:color w:val="auto"/>
              </w:rPr>
            </w:pPr>
            <w:r>
              <w:rPr>
                <w:rFonts w:ascii="Times New Roman" w:cs="Times New Roman" w:eastAsia="Times New Roman" w:hAnsi="Times New Roman"/>
                <w:sz w:val="18"/>
                <w:szCs w:val="18"/>
                <w:color w:val="auto"/>
                <w:w w:val="88"/>
              </w:rPr>
              <w:t>22</w:t>
            </w: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spacing w:after="0"/>
              <w:rPr>
                <w:sz w:val="24"/>
                <w:szCs w:val="24"/>
                <w:color w:val="auto"/>
              </w:rPr>
            </w:pPr>
          </w:p>
        </w:tc>
      </w:tr>
      <w:tr>
        <w:trPr>
          <w:trHeight w:val="259"/>
        </w:trPr>
        <w:tc>
          <w:tcPr>
            <w:tcW w:w="4380" w:type="dxa"/>
            <w:vAlign w:val="bottom"/>
            <w:tcBorders>
              <w:left w:val="single" w:sz="8" w:color="auto"/>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compensation may also be paid for activities in</w:t>
            </w:r>
          </w:p>
        </w:tc>
        <w:tc>
          <w:tcPr>
            <w:tcW w:w="220" w:type="dxa"/>
            <w:vAlign w:val="bottom"/>
            <w:tcBorders>
              <w:right w:val="single" w:sz="8" w:color="auto"/>
            </w:tcBorders>
          </w:tcPr>
          <w:p>
            <w:pPr>
              <w:spacing w:after="0"/>
              <w:rPr>
                <w:sz w:val="22"/>
                <w:szCs w:val="22"/>
                <w:color w:val="auto"/>
              </w:rPr>
            </w:pPr>
          </w:p>
        </w:tc>
        <w:tc>
          <w:tcPr>
            <w:tcW w:w="4380" w:type="dxa"/>
            <w:vAlign w:val="bottom"/>
            <w:tcBorders>
              <w:right w:val="single" w:sz="8" w:color="auto"/>
            </w:tcBorders>
            <w:gridSpan w:val="3"/>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La rémunération peut également être accordée pour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companies that are directly or indirectly controlled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activités  dans  des  entreprises  qui  sont  contrôlées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and may be paid by the Company or by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directement ou indirectement par la société et peuvent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controlled by it.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être versées par la société ou par une société contrôlée</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 elle.</w:t>
            </w:r>
          </w:p>
        </w:tc>
        <w:tc>
          <w:tcPr>
            <w:tcW w:w="3580" w:type="dxa"/>
            <w:vAlign w:val="bottom"/>
            <w:tcBorders>
              <w:right w:val="single" w:sz="8" w:color="auto"/>
            </w:tcBorders>
          </w:tcPr>
          <w:p>
            <w:pPr>
              <w:spacing w:after="0"/>
              <w:rPr>
                <w:sz w:val="20"/>
                <w:szCs w:val="20"/>
                <w:color w:val="auto"/>
              </w:rPr>
            </w:pPr>
          </w:p>
        </w:tc>
      </w:tr>
      <w:tr>
        <w:trPr>
          <w:trHeight w:val="81"/>
        </w:trPr>
        <w:tc>
          <w:tcPr>
            <w:tcW w:w="820" w:type="dxa"/>
            <w:vAlign w:val="bottom"/>
            <w:tcBorders>
              <w:left w:val="single" w:sz="8" w:color="auto"/>
              <w:bottom w:val="single" w:sz="8" w:color="auto"/>
            </w:tcBorders>
          </w:tcPr>
          <w:p>
            <w:pPr>
              <w:spacing w:after="0"/>
              <w:rPr>
                <w:sz w:val="7"/>
                <w:szCs w:val="7"/>
                <w:color w:val="auto"/>
              </w:rPr>
            </w:pPr>
          </w:p>
        </w:tc>
        <w:tc>
          <w:tcPr>
            <w:tcW w:w="35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r>
      <w:tr>
        <w:trPr>
          <w:trHeight w:val="255"/>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33</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Principles of the Compensation of the</w:t>
            </w:r>
          </w:p>
        </w:tc>
        <w:tc>
          <w:tcPr>
            <w:tcW w:w="220" w:type="dxa"/>
            <w:vAlign w:val="bottom"/>
            <w:tcBorders>
              <w:right w:val="single" w:sz="8" w:color="auto"/>
            </w:tcBorders>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33</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Principe de rémunération du comité</w:t>
            </w:r>
          </w:p>
        </w:tc>
      </w:tr>
      <w:tr>
        <w:trPr>
          <w:trHeight w:val="238"/>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exécutif</w:t>
            </w:r>
          </w:p>
        </w:tc>
      </w:tr>
      <w:tr>
        <w:trPr>
          <w:trHeight w:val="34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compensation payable to the members of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 rémunération des membres du comité exécutif est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is subject to the approval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soumise  à  l’approbation  de  l'assemblée  générale  et</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and comprises the following elements: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comprend les éléments suivants</w:t>
            </w:r>
          </w:p>
        </w:tc>
      </w:tr>
      <w:tr>
        <w:trPr>
          <w:trHeight w:val="283"/>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a fixed remuneration payable in cash;</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une rémunération fixe payable en espèces;</w:t>
            </w:r>
          </w:p>
        </w:tc>
      </w:tr>
      <w:tr>
        <w:trPr>
          <w:trHeight w:val="27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   a performance-related remuneration payable in cash</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une rémunération liée à la performance payable en</w:t>
            </w:r>
          </w:p>
        </w:tc>
      </w:tr>
      <w:tr>
        <w:trPr>
          <w:trHeight w:val="234"/>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(variable);</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espèces (variable);</w:t>
            </w:r>
          </w:p>
        </w:tc>
      </w:tr>
      <w:tr>
        <w:trPr>
          <w:trHeight w:val="265"/>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   a number of options or shares in the Company, as</w:t>
            </w:r>
          </w:p>
        </w:tc>
        <w:tc>
          <w:tcPr>
            <w:tcW w:w="220" w:type="dxa"/>
            <w:vAlign w:val="bottom"/>
            <w:tcBorders>
              <w:right w:val="single" w:sz="8" w:color="auto"/>
            </w:tcBorders>
          </w:tcPr>
          <w:p>
            <w:pPr>
              <w:spacing w:after="0"/>
              <w:rPr>
                <w:sz w:val="23"/>
                <w:szCs w:val="2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 nombre d'actions ou d'options dans la société,</w:t>
            </w:r>
          </w:p>
        </w:tc>
      </w:tr>
      <w:tr>
        <w:trPr>
          <w:trHeight w:val="234"/>
        </w:trPr>
        <w:tc>
          <w:tcPr>
            <w:tcW w:w="4380" w:type="dxa"/>
            <w:vAlign w:val="bottom"/>
            <w:tcBorders>
              <w:left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further outlined in Art. 41.</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00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comme détaillé à l'art. 41.</w:t>
            </w:r>
          </w:p>
        </w:tc>
      </w:tr>
      <w:tr>
        <w:trPr>
          <w:trHeight w:val="81"/>
        </w:trPr>
        <w:tc>
          <w:tcPr>
            <w:tcW w:w="4380" w:type="dxa"/>
            <w:vAlign w:val="bottom"/>
            <w:tcBorders>
              <w:left w:val="single" w:sz="8" w:color="auto"/>
              <w:bottom w:val="single" w:sz="8" w:color="auto"/>
              <w:right w:val="single" w:sz="8" w:color="auto"/>
            </w:tcBorders>
            <w:gridSpan w:val="2"/>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gridSpan w:val="3"/>
          </w:tcPr>
          <w:p>
            <w:pPr>
              <w:spacing w:after="0"/>
              <w:rPr>
                <w:sz w:val="7"/>
                <w:szCs w:val="7"/>
                <w:color w:val="auto"/>
              </w:rPr>
            </w:pPr>
          </w:p>
        </w:tc>
      </w:tr>
      <w:tr>
        <w:trPr>
          <w:trHeight w:val="259"/>
        </w:trPr>
        <w:tc>
          <w:tcPr>
            <w:tcW w:w="4380" w:type="dxa"/>
            <w:vAlign w:val="bottom"/>
            <w:tcBorders>
              <w:left w:val="single" w:sz="8" w:color="auto"/>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performance-related remuneration depends on the</w:t>
            </w:r>
          </w:p>
        </w:tc>
        <w:tc>
          <w:tcPr>
            <w:tcW w:w="220" w:type="dxa"/>
            <w:vAlign w:val="bottom"/>
            <w:tcBorders>
              <w:right w:val="single" w:sz="8" w:color="auto"/>
            </w:tcBorders>
          </w:tcPr>
          <w:p>
            <w:pPr>
              <w:spacing w:after="0"/>
              <w:rPr>
                <w:sz w:val="22"/>
                <w:szCs w:val="22"/>
                <w:color w:val="auto"/>
              </w:rPr>
            </w:pPr>
          </w:p>
        </w:tc>
        <w:tc>
          <w:tcPr>
            <w:tcW w:w="4380" w:type="dxa"/>
            <w:vAlign w:val="bottom"/>
            <w:tcBorders>
              <w:right w:val="single" w:sz="8" w:color="auto"/>
            </w:tcBorders>
            <w:gridSpan w:val="3"/>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 rémunération liée à la performance dépend de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Company's  business  success  and  the  individual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réussite économique de la société et de la performance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 of the member of the Executive Committee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individuelle du membre du comité exécutif sur la base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based  on  the  achievement  of  pre-determined  targets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 réalisation des objectifs prédéterminés au cours d'une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during  a  business  year.  The  Board  of  Directors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année d'activité. Le conseil d'administration détermine au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determines annually at the beginning of each relevant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début de chaque exercice les objectifs décisifs et leur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business year the decisive targets and their weighting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pondération sur proposition du comité de rémunération,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upon proposal by the Compensation, Nomination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nomination  et  de  gouvernance  d’entreprise.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Governance Committee. The amount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montant de la rémunération liée à la performance pour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performance-related remuneration for each member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chaque membre du comité exécutif est déterminé par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Executive Committee is determined by the Board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conseil d'administration et ne peut dépasser 100 pour cent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Directors  and  may  not  exceed  100  percent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 la rémunération fixe individuelle respective pour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respective individual fixed remuneration for the same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même année.</w:t>
            </w:r>
          </w:p>
        </w:tc>
      </w:tr>
      <w:tr>
        <w:trPr>
          <w:trHeight w:val="234"/>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w:t>
            </w: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r>
      <w:tr>
        <w:trPr>
          <w:trHeight w:val="81"/>
        </w:trPr>
        <w:tc>
          <w:tcPr>
            <w:tcW w:w="4380" w:type="dxa"/>
            <w:vAlign w:val="bottom"/>
            <w:tcBorders>
              <w:left w:val="single" w:sz="8" w:color="auto"/>
              <w:bottom w:val="single" w:sz="8" w:color="auto"/>
              <w:right w:val="single" w:sz="8" w:color="auto"/>
            </w:tcBorders>
            <w:gridSpan w:val="2"/>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gridSpan w:val="3"/>
          </w:tcPr>
          <w:p>
            <w:pPr>
              <w:spacing w:after="0"/>
              <w:rPr>
                <w:sz w:val="7"/>
                <w:szCs w:val="7"/>
                <w:color w:val="auto"/>
              </w:rPr>
            </w:pPr>
          </w:p>
        </w:tc>
      </w:tr>
      <w:tr>
        <w:trPr>
          <w:trHeight w:val="259"/>
        </w:trPr>
        <w:tc>
          <w:tcPr>
            <w:tcW w:w="4380" w:type="dxa"/>
            <w:vAlign w:val="bottom"/>
            <w:tcBorders>
              <w:left w:val="single" w:sz="8" w:color="auto"/>
              <w:right w:val="single" w:sz="8" w:color="auto"/>
            </w:tcBorders>
            <w:gridSpan w:val="2"/>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The compensation may also be paid for activities in</w:t>
            </w:r>
          </w:p>
        </w:tc>
        <w:tc>
          <w:tcPr>
            <w:tcW w:w="220" w:type="dxa"/>
            <w:vAlign w:val="bottom"/>
            <w:tcBorders>
              <w:right w:val="single" w:sz="8" w:color="auto"/>
            </w:tcBorders>
          </w:tcPr>
          <w:p>
            <w:pPr>
              <w:spacing w:after="0"/>
              <w:rPr>
                <w:sz w:val="22"/>
                <w:szCs w:val="22"/>
                <w:color w:val="auto"/>
              </w:rPr>
            </w:pPr>
          </w:p>
        </w:tc>
        <w:tc>
          <w:tcPr>
            <w:tcW w:w="4380" w:type="dxa"/>
            <w:vAlign w:val="bottom"/>
            <w:tcBorders>
              <w:right w:val="single" w:sz="8" w:color="auto"/>
            </w:tcBorders>
            <w:gridSpan w:val="3"/>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La rémunération peut également être versée pour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companies that are directly or indirectly controlled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activités  dans  des  entreprises  qui  sont  contrôlées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and may be paid by the Company or by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directement ou indirectement par la société et peut être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 controlled by it.</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versée par la société ou par une société contrôlée par elle.</w:t>
            </w:r>
          </w:p>
        </w:tc>
      </w:tr>
      <w:tr>
        <w:trPr>
          <w:trHeight w:val="81"/>
        </w:trPr>
        <w:tc>
          <w:tcPr>
            <w:tcW w:w="820" w:type="dxa"/>
            <w:vAlign w:val="bottom"/>
            <w:tcBorders>
              <w:left w:val="single" w:sz="8" w:color="auto"/>
              <w:bottom w:val="single" w:sz="8" w:color="auto"/>
            </w:tcBorders>
          </w:tcPr>
          <w:p>
            <w:pPr>
              <w:spacing w:after="0"/>
              <w:rPr>
                <w:sz w:val="7"/>
                <w:szCs w:val="7"/>
                <w:color w:val="auto"/>
              </w:rPr>
            </w:pPr>
          </w:p>
        </w:tc>
        <w:tc>
          <w:tcPr>
            <w:tcW w:w="356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gridSpan w:val="2"/>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r>
      <w:tr>
        <w:trPr>
          <w:trHeight w:val="255"/>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34</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for new Members of the</w:t>
            </w:r>
          </w:p>
        </w:tc>
        <w:tc>
          <w:tcPr>
            <w:tcW w:w="220" w:type="dxa"/>
            <w:vAlign w:val="bottom"/>
            <w:tcBorders>
              <w:right w:val="single" w:sz="8" w:color="auto"/>
            </w:tcBorders>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34</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Rémunération pour les nouveaux membres</w:t>
            </w:r>
          </w:p>
        </w:tc>
      </w:tr>
      <w:tr>
        <w:trPr>
          <w:trHeight w:val="238"/>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Committee</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du comité exécutif</w:t>
            </w:r>
          </w:p>
        </w:tc>
      </w:tr>
      <w:tr>
        <w:trPr>
          <w:trHeight w:val="333"/>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If new members of the Executive Committee are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Si de nouveaux membres du comité exécutif sont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appointed and take up their position in the Company after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nommés et prennent leur position dans la société après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General Meeting has approved the maximum total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que l'assemblée générale a approuvé la rémunération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for members of the Executive Committee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totale maximale pour les membres du comité exécutif</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 the year in question, the new members may be paid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pour l'année en question, les nouveaux membres peuvent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  additional  amount  for  the  period  until  the  next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être payés au moyen d'un montant additionnel pour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Ordinary Meeting of Shareholder. The additional amount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période allant jusqu'à la prochaine assemblée ordinaire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payable to all new members of the Executive Committee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des actionnaires. Le montant additionnel payable à tous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not  exceed  50  percent  of  the  respective  total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 nouveaux membres du comité exécutif ne peut pas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already approved by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dépasser  50  pour  cent  de  la  rémunération  totale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additional compensation may only be paid if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respective déjà approuvé par l'assemblée générale.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 compensation amount that has been approved by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rémunération additionnelle ne peut être versée que si 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for the compensation of the members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montant total de la rémunération qui a été approuvé par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Executive Committee is insufficient to compensate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l'assemblée générale pour la rémunération des membres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newly appointed members. The General Meeting 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du comité exécutif est insuffisant pour rémunérer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 required to vote on this additional amount.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membres nouvellement nommés. L'assemblée générale</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 pas à se prononcer sur ce montant supplémentaire.</w:t>
            </w:r>
          </w:p>
        </w:tc>
      </w:tr>
      <w:tr>
        <w:trPr>
          <w:trHeight w:val="68"/>
        </w:trPr>
        <w:tc>
          <w:tcPr>
            <w:tcW w:w="820" w:type="dxa"/>
            <w:vAlign w:val="bottom"/>
            <w:tcBorders>
              <w:left w:val="single" w:sz="8" w:color="auto"/>
              <w:bottom w:val="single" w:sz="8" w:color="auto"/>
            </w:tcBorders>
          </w:tcPr>
          <w:p>
            <w:pPr>
              <w:spacing w:after="0"/>
              <w:rPr>
                <w:sz w:val="5"/>
                <w:szCs w:val="5"/>
                <w:color w:val="auto"/>
              </w:rPr>
            </w:pPr>
          </w:p>
        </w:tc>
        <w:tc>
          <w:tcPr>
            <w:tcW w:w="356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580" w:type="dxa"/>
            <w:vAlign w:val="bottom"/>
            <w:tcBorders>
              <w:bottom w:val="single" w:sz="8" w:color="auto"/>
              <w:right w:val="single" w:sz="8" w:color="auto"/>
            </w:tcBorders>
          </w:tcPr>
          <w:p>
            <w:pPr>
              <w:spacing w:after="0"/>
              <w:rPr>
                <w:sz w:val="5"/>
                <w:szCs w:val="5"/>
                <w:color w:val="auto"/>
              </w:rPr>
            </w:pPr>
          </w:p>
        </w:tc>
      </w:tr>
      <w:tr>
        <w:trPr>
          <w:trHeight w:val="756"/>
        </w:trPr>
        <w:tc>
          <w:tcPr>
            <w:tcW w:w="8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5" w:name="page56"/>
    <w:bookmarkEnd w:id="5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73"/>
        </w:trPr>
        <w:tc>
          <w:tcPr>
            <w:tcW w:w="438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This additional overall compensation is understood to</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Cette rémunération additionnelle globale est sensée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include any settlements for any disadvantage suffered 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comprendre tous les règlements pour tout inconvénient</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 result of the change of job.</w:t>
            </w:r>
          </w:p>
        </w:tc>
        <w:tc>
          <w:tcPr>
            <w:tcW w:w="220" w:type="dxa"/>
            <w:vAlign w:val="bottom"/>
            <w:tcBorders>
              <w:right w:val="single" w:sz="8" w:color="auto"/>
            </w:tcBorders>
          </w:tcPr>
          <w:p>
            <w:pPr>
              <w:spacing w:after="0"/>
              <w:rPr>
                <w:sz w:val="20"/>
                <w:szCs w:val="20"/>
                <w:color w:val="auto"/>
              </w:rPr>
            </w:pPr>
          </w:p>
        </w:tc>
        <w:tc>
          <w:tcPr>
            <w:tcW w:w="35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subi à la suite du changement de travail.</w:t>
            </w: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35</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35</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Dépenses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Expenses  which  are  not  covered  by  the  lump  sum</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Les dépenses qui ne sont pas couvertes par l'indemnité</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pursuant  to  the  Company's  expense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forfaitaire conformément aux règlements de frais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regulations shall be reimbursed following presentation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société sont remboursées à la suite de la présentation des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supporting receipts. This additional remuneration 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reçus correspondants. Cette rémunération additionnelle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 subject to a separate vote by the General Meeting.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n'est  pas  soumise  à  un  vote  séparé  par  l'assemblée</w:t>
            </w: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générale.</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4"/>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36</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 Agreements</w:t>
            </w:r>
          </w:p>
        </w:tc>
        <w:tc>
          <w:tcPr>
            <w:tcW w:w="2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36</w:t>
            </w:r>
          </w:p>
        </w:tc>
        <w:tc>
          <w:tcPr>
            <w:tcW w:w="28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Accords sur la rémunération</w:t>
            </w:r>
          </w:p>
        </w:tc>
        <w:tc>
          <w:tcPr>
            <w:tcW w:w="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Agreements on compensation with members of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Les accords sur la rémunération des membres du conseil</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d'administration</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  peuvent</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pas  excéder</w:t>
            </w:r>
          </w:p>
        </w:tc>
        <w:tc>
          <w:tcPr>
            <w:tcW w:w="840" w:type="dxa"/>
            <w:vAlign w:val="bottom"/>
            <w:tcBorders>
              <w:right w:val="single" w:sz="8" w:color="auto"/>
            </w:tcBorders>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la  durée</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Board of Directors may not exceed the term of maximal</w:t>
            </w:r>
          </w:p>
        </w:tc>
        <w:tc>
          <w:tcPr>
            <w:tcW w:w="220" w:type="dxa"/>
            <w:vAlign w:val="bottom"/>
            <w:tcBorders>
              <w:right w:val="single" w:sz="8" w:color="auto"/>
            </w:tcBorders>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maximale d'une année.</w:t>
            </w: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one year.</w:t>
            </w:r>
          </w:p>
        </w:tc>
        <w:tc>
          <w:tcPr>
            <w:tcW w:w="3560" w:type="dxa"/>
            <w:vAlign w:val="bottom"/>
            <w:tcBorders>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vMerge w:val="continue"/>
          </w:tcPr>
          <w:p>
            <w:pPr>
              <w:spacing w:after="0"/>
              <w:rPr>
                <w:sz w:val="9"/>
                <w:szCs w:val="9"/>
                <w:color w:val="auto"/>
              </w:rPr>
            </w:pPr>
          </w:p>
        </w:tc>
        <w:tc>
          <w:tcPr>
            <w:tcW w:w="356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7"/>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Employment  agreements  of  the  members  of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contrats de travail des membres du comité exécutif</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are principally concluded for an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sont principalement conclus pour une durée indéterminée.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indefinite period of time whereas a notice period may not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Un délai de préavis ne peut pas excéder 12 mois. Si un</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exceed  12  months.  If  an  employment  agreement  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accord de travail est conclu pour une durée déterminée,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concluded for a fixed term such term may not exceed one</w:t>
            </w:r>
          </w:p>
        </w:tc>
        <w:tc>
          <w:tcPr>
            <w:tcW w:w="220" w:type="dxa"/>
            <w:vAlign w:val="bottom"/>
            <w:tcBorders>
              <w:right w:val="single" w:sz="8" w:color="auto"/>
            </w:tcBorders>
          </w:tcPr>
          <w:p>
            <w:pPr>
              <w:spacing w:after="0"/>
              <w:rPr>
                <w:sz w:val="18"/>
                <w:szCs w:val="18"/>
                <w:color w:val="auto"/>
              </w:rPr>
            </w:pPr>
          </w:p>
        </w:tc>
        <w:tc>
          <w:tcPr>
            <w:tcW w:w="35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telle durée ne peut pas excéder un an.</w:t>
            </w:r>
          </w:p>
        </w:tc>
        <w:tc>
          <w:tcPr>
            <w:tcW w:w="4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year.</w:t>
            </w: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gridSpan w:val="4"/>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37</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Mandates of a Member of the Board of</w:t>
            </w:r>
          </w:p>
        </w:tc>
        <w:tc>
          <w:tcPr>
            <w:tcW w:w="220" w:type="dxa"/>
            <w:vAlign w:val="bottom"/>
            <w:tcBorders>
              <w:right w:val="single" w:sz="8" w:color="auto"/>
            </w:tcBorders>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37</w:t>
            </w:r>
          </w:p>
        </w:tc>
        <w:tc>
          <w:tcPr>
            <w:tcW w:w="28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Mandats d'un membre du conseil</w:t>
            </w:r>
          </w:p>
        </w:tc>
        <w:tc>
          <w:tcPr>
            <w:tcW w:w="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Directors outside the Company</w:t>
            </w:r>
          </w:p>
        </w:tc>
        <w:tc>
          <w:tcPr>
            <w:tcW w:w="220" w:type="dxa"/>
            <w:vAlign w:val="bottom"/>
            <w:tcBorders>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d'administration de la société</w:t>
            </w: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 member of the Board of Directors may cumulatively</w:t>
            </w:r>
          </w:p>
        </w:tc>
        <w:tc>
          <w:tcPr>
            <w:tcW w:w="220" w:type="dxa"/>
            <w:vAlign w:val="bottom"/>
            <w:tcBorders>
              <w:right w:val="single" w:sz="8" w:color="auto"/>
            </w:tcBorders>
          </w:tcPr>
          <w:p>
            <w:pPr>
              <w:spacing w:after="0"/>
              <w:rPr>
                <w:sz w:val="24"/>
                <w:szCs w:val="24"/>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Un membre du</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conseil</w:t>
            </w: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d'administration ne</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peut</w:t>
            </w:r>
          </w:p>
        </w:tc>
        <w:tc>
          <w:tcPr>
            <w:tcW w:w="4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pas</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assume not more than the following number of mandates</w:t>
            </w:r>
          </w:p>
        </w:tc>
        <w:tc>
          <w:tcPr>
            <w:tcW w:w="220" w:type="dxa"/>
            <w:vAlign w:val="bottom"/>
            <w:tcBorders>
              <w:right w:val="single" w:sz="8" w:color="auto"/>
            </w:tcBorders>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cumuler plus que le nombre suivant de mandats dans un</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 the board of directors, the executive management or an</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conseil</w:t>
            </w: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d'administration,</w:t>
            </w: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une</w:t>
            </w: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direction  exécutive</w:t>
            </w:r>
          </w:p>
        </w:tc>
        <w:tc>
          <w:tcPr>
            <w:tcW w:w="4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un</w:t>
            </w: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advisory</w:t>
            </w:r>
          </w:p>
        </w:tc>
        <w:tc>
          <w:tcPr>
            <w:tcW w:w="35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board,  or  any  comparable  function  under</w:t>
            </w:r>
          </w:p>
        </w:tc>
        <w:tc>
          <w:tcPr>
            <w:tcW w:w="220" w:type="dxa"/>
            <w:vAlign w:val="bottom"/>
            <w:tcBorders>
              <w:right w:val="single" w:sz="8" w:color="auto"/>
            </w:tcBorders>
          </w:tcPr>
          <w:p>
            <w:pPr>
              <w:spacing w:after="0"/>
              <w:rPr>
                <w:sz w:val="9"/>
                <w:szCs w:val="9"/>
                <w:color w:val="auto"/>
              </w:rPr>
            </w:pPr>
          </w:p>
        </w:tc>
        <w:tc>
          <w:tcPr>
            <w:tcW w:w="680" w:type="dxa"/>
            <w:vAlign w:val="bottom"/>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tcBorders>
            <w:vMerge w:val="continue"/>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conseil consultatif ou toute fonction comparable selon le</w:t>
            </w:r>
          </w:p>
        </w:tc>
        <w:tc>
          <w:tcPr>
            <w:tcW w:w="0" w:type="dxa"/>
            <w:vAlign w:val="bottom"/>
          </w:tcPr>
          <w:p>
            <w:pPr>
              <w:spacing w:after="0"/>
              <w:rPr>
                <w:sz w:val="1"/>
                <w:szCs w:val="1"/>
                <w:color w:val="auto"/>
              </w:rPr>
            </w:pPr>
          </w:p>
        </w:tc>
      </w:tr>
      <w:tr>
        <w:trPr>
          <w:trHeight w:val="108"/>
        </w:trPr>
        <w:tc>
          <w:tcPr>
            <w:tcW w:w="4380" w:type="dxa"/>
            <w:vAlign w:val="bottom"/>
            <w:tcBorders>
              <w:left w:val="single" w:sz="8" w:color="auto"/>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foreign law, of a legal entity with an economic purpose:</w:t>
            </w:r>
          </w:p>
        </w:tc>
        <w:tc>
          <w:tcPr>
            <w:tcW w:w="220" w:type="dxa"/>
            <w:vAlign w:val="bottom"/>
            <w:tcBorders>
              <w:right w:val="single" w:sz="8" w:color="auto"/>
            </w:tcBorders>
          </w:tcPr>
          <w:p>
            <w:pPr>
              <w:spacing w:after="0"/>
              <w:rPr>
                <w:sz w:val="9"/>
                <w:szCs w:val="9"/>
                <w:color w:val="auto"/>
              </w:rPr>
            </w:pPr>
          </w:p>
        </w:tc>
        <w:tc>
          <w:tcPr>
            <w:tcW w:w="4380" w:type="dxa"/>
            <w:vAlign w:val="bottom"/>
            <w:tcBorders>
              <w:right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80" w:type="dxa"/>
            <w:vAlign w:val="bottom"/>
            <w:tcBorders>
              <w:left w:val="single" w:sz="8" w:color="auto"/>
              <w:right w:val="single" w:sz="8" w:color="auto"/>
            </w:tcBorders>
            <w:gridSpan w:val="2"/>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380" w:type="dxa"/>
            <w:vAlign w:val="bottom"/>
            <w:tcBorders>
              <w:righ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droit étranger, d'une personne morale poursuivant un but</w:t>
            </w:r>
          </w:p>
        </w:tc>
        <w:tc>
          <w:tcPr>
            <w:tcW w:w="0" w:type="dxa"/>
            <w:vAlign w:val="bottom"/>
          </w:tcPr>
          <w:p>
            <w:pPr>
              <w:spacing w:after="0"/>
              <w:rPr>
                <w:sz w:val="1"/>
                <w:szCs w:val="1"/>
                <w:color w:val="auto"/>
              </w:rPr>
            </w:pPr>
          </w:p>
        </w:tc>
      </w:tr>
      <w:tr>
        <w:trPr>
          <w:trHeight w:val="90"/>
        </w:trPr>
        <w:tc>
          <w:tcPr>
            <w:tcW w:w="820" w:type="dxa"/>
            <w:vAlign w:val="bottom"/>
            <w:tcBorders>
              <w:left w:val="single" w:sz="8" w:color="auto"/>
            </w:tcBorders>
          </w:tcPr>
          <w:p>
            <w:pPr>
              <w:spacing w:after="0"/>
              <w:rPr>
                <w:sz w:val="7"/>
                <w:szCs w:val="7"/>
                <w:color w:val="auto"/>
              </w:rPr>
            </w:pPr>
          </w:p>
        </w:tc>
        <w:tc>
          <w:tcPr>
            <w:tcW w:w="356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4380" w:type="dxa"/>
            <w:vAlign w:val="bottom"/>
            <w:tcBorders>
              <w:right w:val="single" w:sz="8" w:color="auto"/>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économique:</w:t>
            </w: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9"/>
        </w:trPr>
        <w:tc>
          <w:tcPr>
            <w:tcW w:w="8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56" w:name="page57"/>
    <w:bookmarkEnd w:id="56"/>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73"/>
        </w:trPr>
        <w:tc>
          <w:tcPr>
            <w:tcW w:w="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45"/>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7 mandates for publicly traded companies pursuant</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mandats pour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 entreprises</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cotées</w:t>
            </w: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en bourse</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art. 727 para. 1 number 1 CO; and</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selon l'art. 727 al. 1 chiffre 1 CO; et</w:t>
            </w:r>
          </w:p>
        </w:tc>
        <w:tc>
          <w:tcPr>
            <w:tcW w:w="920" w:type="dxa"/>
            <w:vAlign w:val="bottom"/>
            <w:tcBorders>
              <w:right w:val="single" w:sz="8" w:color="auto"/>
            </w:tcBorders>
          </w:tcPr>
          <w:p>
            <w:pPr>
              <w:spacing w:after="0"/>
              <w:rPr>
                <w:sz w:val="20"/>
                <w:szCs w:val="20"/>
                <w:color w:val="auto"/>
              </w:rPr>
            </w:pP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8 mandates for companies pursuant to art. 727 para.</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b)   8 mandats pour des entreprises selon l'art. 727 al. 1</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 number 2 CO; and</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chiffre 2 CO; et</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 mandates for companies which do not fulfil the</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5 mandats pour les entreprises qui ne remplissent</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criteria under a) and b) above.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pas les critères sous a) et b) ci-dessus.</w:t>
            </w:r>
          </w:p>
        </w:tc>
        <w:tc>
          <w:tcPr>
            <w:tcW w:w="920" w:type="dxa"/>
            <w:vAlign w:val="bottom"/>
            <w:tcBorders>
              <w:right w:val="single" w:sz="8" w:color="auto"/>
            </w:tcBorders>
          </w:tcPr>
          <w:p>
            <w:pPr>
              <w:spacing w:after="0"/>
              <w:rPr>
                <w:sz w:val="20"/>
                <w:szCs w:val="20"/>
                <w:color w:val="auto"/>
              </w:rPr>
            </w:pPr>
          </w:p>
        </w:tc>
      </w:tr>
      <w:tr>
        <w:trPr>
          <w:trHeight w:val="54"/>
        </w:trPr>
        <w:tc>
          <w:tcPr>
            <w:tcW w:w="4380" w:type="dxa"/>
            <w:vAlign w:val="bottom"/>
            <w:tcBorders>
              <w:left w:val="single" w:sz="8" w:color="auto"/>
              <w:bottom w:val="single" w:sz="8" w:color="auto"/>
              <w:right w:val="single" w:sz="8" w:color="auto"/>
            </w:tcBorders>
            <w:gridSpan w:val="3"/>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gridSpan w:val="6"/>
          </w:tcPr>
          <w:p>
            <w:pPr>
              <w:spacing w:after="0"/>
              <w:rPr>
                <w:sz w:val="4"/>
                <w:szCs w:val="4"/>
                <w:color w:val="auto"/>
              </w:rPr>
            </w:pPr>
          </w:p>
        </w:tc>
      </w:tr>
      <w:tr>
        <w:trPr>
          <w:trHeight w:val="245"/>
        </w:trPr>
        <w:tc>
          <w:tcPr>
            <w:tcW w:w="4380" w:type="dxa"/>
            <w:vAlign w:val="bottom"/>
            <w:tcBorders>
              <w:left w:val="single" w:sz="8" w:color="auto"/>
              <w:right w:val="single" w:sz="8" w:color="auto"/>
            </w:tcBorders>
            <w:gridSpan w:val="3"/>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Mandates held in several legal entities each operating</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6"/>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mandats exercés dans plusieurs personnes morales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under the same management or same beneficial owner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opérant chacune sous la même direction ou le même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(Group), or at the request of a legal entity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bénéficiaire effectif (groupe), ou à la demande d’une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respective Group in a legal entity outside this Group</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personne  morale  du  groupe  en  question,  dans  une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(including pension funds and joint ventures) are deemed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personne morale externe au groupe (y compris dans des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 be a single mandate.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fonds de pension et joint-ventures) sont réputés être un</w:t>
            </w:r>
          </w:p>
        </w:tc>
      </w:tr>
      <w:tr>
        <w:trPr>
          <w:trHeight w:val="234"/>
        </w:trPr>
        <w:tc>
          <w:tcPr>
            <w:tcW w:w="3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seul mandat.</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54"/>
        </w:trPr>
        <w:tc>
          <w:tcPr>
            <w:tcW w:w="4380" w:type="dxa"/>
            <w:vAlign w:val="bottom"/>
            <w:tcBorders>
              <w:left w:val="single" w:sz="8" w:color="auto"/>
              <w:bottom w:val="single" w:sz="8" w:color="auto"/>
              <w:right w:val="single" w:sz="8" w:color="auto"/>
            </w:tcBorders>
            <w:gridSpan w:val="3"/>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gridSpan w:val="6"/>
          </w:tcPr>
          <w:p>
            <w:pPr>
              <w:spacing w:after="0"/>
              <w:rPr>
                <w:sz w:val="4"/>
                <w:szCs w:val="4"/>
                <w:color w:val="auto"/>
              </w:rPr>
            </w:pPr>
          </w:p>
        </w:tc>
      </w:tr>
      <w:tr>
        <w:trPr>
          <w:trHeight w:val="245"/>
        </w:trPr>
        <w:tc>
          <w:tcPr>
            <w:tcW w:w="4380" w:type="dxa"/>
            <w:vAlign w:val="bottom"/>
            <w:tcBorders>
              <w:left w:val="single" w:sz="8" w:color="auto"/>
              <w:right w:val="single" w:sz="8" w:color="auto"/>
            </w:tcBorders>
            <w:gridSpan w:val="3"/>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If a legal entity fulfills several of the above mentioned</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6"/>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Si une personne morale remplit plusieurs des critères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criteria, it can be freely counted towards any category.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mentionnés ci-dessus, elle peut être librement attribuée à</w:t>
            </w:r>
          </w:p>
        </w:tc>
      </w:tr>
      <w:tr>
        <w:trPr>
          <w:trHeight w:val="234"/>
        </w:trPr>
        <w:tc>
          <w:tcPr>
            <w:tcW w:w="3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9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l’une des catégories quelconques.</w:t>
            </w: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54"/>
        </w:trPr>
        <w:tc>
          <w:tcPr>
            <w:tcW w:w="4380" w:type="dxa"/>
            <w:vAlign w:val="bottom"/>
            <w:tcBorders>
              <w:left w:val="single" w:sz="8" w:color="auto"/>
              <w:bottom w:val="single" w:sz="8" w:color="auto"/>
              <w:right w:val="single" w:sz="8" w:color="auto"/>
            </w:tcBorders>
            <w:gridSpan w:val="3"/>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gridSpan w:val="6"/>
          </w:tcPr>
          <w:p>
            <w:pPr>
              <w:spacing w:after="0"/>
              <w:rPr>
                <w:sz w:val="4"/>
                <w:szCs w:val="4"/>
                <w:color w:val="auto"/>
              </w:rPr>
            </w:pPr>
          </w:p>
        </w:tc>
      </w:tr>
      <w:tr>
        <w:trPr>
          <w:trHeight w:val="245"/>
        </w:trPr>
        <w:tc>
          <w:tcPr>
            <w:tcW w:w="4380" w:type="dxa"/>
            <w:vAlign w:val="bottom"/>
            <w:tcBorders>
              <w:left w:val="single" w:sz="8" w:color="auto"/>
              <w:right w:val="single" w:sz="8" w:color="auto"/>
            </w:tcBorders>
            <w:gridSpan w:val="3"/>
          </w:tcPr>
          <w:p>
            <w:pPr>
              <w:ind w:left="100"/>
              <w:spacing w:after="0" w:line="245"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following  mandates  are  not  subject  to  the</w:t>
            </w:r>
          </w:p>
        </w:tc>
        <w:tc>
          <w:tcPr>
            <w:tcW w:w="220" w:type="dxa"/>
            <w:vAlign w:val="bottom"/>
            <w:tcBorders>
              <w:right w:val="single" w:sz="8" w:color="auto"/>
            </w:tcBorders>
          </w:tcPr>
          <w:p>
            <w:pPr>
              <w:spacing w:after="0"/>
              <w:rPr>
                <w:sz w:val="21"/>
                <w:szCs w:val="21"/>
                <w:color w:val="auto"/>
              </w:rPr>
            </w:pPr>
          </w:p>
        </w:tc>
        <w:tc>
          <w:tcPr>
            <w:tcW w:w="4380" w:type="dxa"/>
            <w:vAlign w:val="bottom"/>
            <w:tcBorders>
              <w:right w:val="single" w:sz="8" w:color="auto"/>
            </w:tcBorders>
            <w:gridSpan w:val="6"/>
          </w:tcPr>
          <w:p>
            <w:pPr>
              <w:ind w:left="80"/>
              <w:spacing w:after="0" w:line="245" w:lineRule="exact"/>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Les mandats suivants ne sont pas soumis aux limites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limitations set forth in para. 1; instead, the separate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prévues à l'alinéa 1 ; au lieu de quoi, les limites suivantes</w:t>
            </w: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limitations hereinafter shall apply:</w:t>
            </w:r>
          </w:p>
        </w:tc>
        <w:tc>
          <w:tcPr>
            <w:tcW w:w="220" w:type="dxa"/>
            <w:vAlign w:val="bottom"/>
            <w:tcBorders>
              <w:right w:val="single" w:sz="8" w:color="auto"/>
            </w:tcBorders>
          </w:tcPr>
          <w:p>
            <w:pPr>
              <w:spacing w:after="0"/>
              <w:rPr>
                <w:sz w:val="20"/>
                <w:szCs w:val="20"/>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seront applicables:</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mandates in legal entities which are controlled by</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les mandats dans des personnes morales qui sont</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or  which  control  the  Company:</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contrôlées  par  la  société  ou  qui  contrôlent  la</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unlimited;</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société : illimité;</w:t>
            </w: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mandates held at the request of the Company, or</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8"/>
                <w:szCs w:val="18"/>
                <w:color w:val="auto"/>
              </w:rPr>
              <w:t>les mandats tenus à la demande de la société ou de</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companies controlled by it, for a legal entity not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sociétés contrôlées par celle-ci, dans une personne</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affiliated with the Group (including in pension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morale non-affiliée au groupe (y compris pour des</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funds or joint ventures): 5 mandates;</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fonds de pension ou joint-ventures) : 5 mandats ;</w:t>
            </w: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the  extent  these  are  undertakings  with  an</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dans la mesure où il s’agit d’entreprise poursuivant</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economic   purpose,   mandates   in   non-profit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un  but  économique,  les  mandats  dans  des</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organizations, associations, professional or trade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organisations  sans  but  lucratif,  associations,</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organizations, foundations, or pension foundations,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organisations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professionnelles</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w:t>
            </w:r>
          </w:p>
        </w:tc>
        <w:tc>
          <w:tcPr>
            <w:tcW w:w="9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syndicats,</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educational institutions and similar organizations: 5</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fondations ou fonds de pension, institutions de</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mandates;</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formation et organisations similaires : 5 mandats ;</w:t>
            </w:r>
          </w:p>
        </w:tc>
      </w:tr>
      <w:tr>
        <w:trPr>
          <w:trHeight w:val="252"/>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mandates in structures managing the personal or</w:t>
            </w:r>
          </w:p>
        </w:tc>
        <w:tc>
          <w:tcPr>
            <w:tcW w:w="220" w:type="dxa"/>
            <w:vAlign w:val="bottom"/>
            <w:tcBorders>
              <w:right w:val="single" w:sz="8" w:color="auto"/>
            </w:tcBorders>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les mandats dans des structures gérant les actifs de</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family's  assets  of  members  of  the  Board  of</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membres du conseil d’administration ou du conseil</w:t>
            </w: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Directors or the Executive Committee and/or their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exécutif et/ou de personnes affiliées ou de leurs</w:t>
            </w:r>
          </w:p>
        </w:tc>
      </w:tr>
      <w:tr>
        <w:trPr>
          <w:trHeight w:val="234"/>
        </w:trPr>
        <w:tc>
          <w:tcPr>
            <w:tcW w:w="380" w:type="dxa"/>
            <w:vAlign w:val="bottom"/>
            <w:tcBorders>
              <w:left w:val="single" w:sz="8" w:color="auto"/>
            </w:tcBorders>
          </w:tcPr>
          <w:p>
            <w:pPr>
              <w:spacing w:after="0"/>
              <w:rPr>
                <w:sz w:val="20"/>
                <w:szCs w:val="20"/>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related persons: 3 mandates.</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familles : 3 mandats.</w:t>
            </w: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54"/>
        </w:trPr>
        <w:tc>
          <w:tcPr>
            <w:tcW w:w="820" w:type="dxa"/>
            <w:vAlign w:val="bottom"/>
            <w:tcBorders>
              <w:left w:val="single" w:sz="8" w:color="auto"/>
              <w:bottom w:val="single" w:sz="8" w:color="auto"/>
            </w:tcBorders>
            <w:gridSpan w:val="2"/>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3740" w:type="dxa"/>
            <w:vAlign w:val="bottom"/>
            <w:tcBorders>
              <w:bottom w:val="single" w:sz="8" w:color="auto"/>
              <w:right w:val="single" w:sz="8" w:color="auto"/>
            </w:tcBorders>
            <w:gridSpan w:val="4"/>
          </w:tcPr>
          <w:p>
            <w:pPr>
              <w:spacing w:after="0"/>
              <w:rPr>
                <w:sz w:val="4"/>
                <w:szCs w:val="4"/>
                <w:color w:val="auto"/>
              </w:rPr>
            </w:pPr>
          </w:p>
        </w:tc>
      </w:tr>
      <w:tr>
        <w:trPr>
          <w:trHeight w:val="241"/>
        </w:trPr>
        <w:tc>
          <w:tcPr>
            <w:tcW w:w="82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38</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Mandates of a Member of the Executive</w:t>
            </w:r>
          </w:p>
        </w:tc>
        <w:tc>
          <w:tcPr>
            <w:tcW w:w="220" w:type="dxa"/>
            <w:vAlign w:val="bottom"/>
            <w:tcBorders>
              <w:right w:val="single" w:sz="8" w:color="auto"/>
            </w:tcBorders>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Art. 38</w:t>
            </w:r>
          </w:p>
        </w:tc>
        <w:tc>
          <w:tcPr>
            <w:tcW w:w="3740" w:type="dxa"/>
            <w:vAlign w:val="bottom"/>
            <w:tcBorders>
              <w:right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Mandats d'un membre du comité exécutif</w:t>
            </w:r>
          </w:p>
        </w:tc>
      </w:tr>
      <w:tr>
        <w:trPr>
          <w:trHeight w:val="238"/>
        </w:trPr>
        <w:tc>
          <w:tcPr>
            <w:tcW w:w="3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outside the Company</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en-dehors de la société</w:t>
            </w: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30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Each member of the Executive Committee may, with</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Chaque  membre  du  comité  exécutif  peut,  avec</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approval of the Board of Directors, cumulatively assume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l'approbation du conseil d'administration, cumuler pas</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not more than the following number of mandates in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plus que le nombre suivant de mandats dans un conseil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board of directors, the executive management or advisory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d'administration,  une  direction  exécutive,  un  conseil</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board, or any comparable function under foreign law, of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consultatif, ou toute fonction comparable dans selon le</w:t>
            </w: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legal entity with an economic purpose: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droit étranger d'une personne morale poursuivant un but</w:t>
            </w:r>
          </w:p>
        </w:tc>
      </w:tr>
      <w:tr>
        <w:trPr>
          <w:trHeight w:val="270"/>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2 mandates for publicly traded companies pursuant</w:t>
            </w:r>
          </w:p>
        </w:tc>
        <w:tc>
          <w:tcPr>
            <w:tcW w:w="220" w:type="dxa"/>
            <w:vAlign w:val="bottom"/>
            <w:tcBorders>
              <w:right w:val="single" w:sz="8" w:color="auto"/>
            </w:tcBorders>
          </w:tcPr>
          <w:p>
            <w:pPr>
              <w:spacing w:after="0"/>
              <w:rPr>
                <w:sz w:val="23"/>
                <w:szCs w:val="23"/>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économique:</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Art. 727 para. 1 number 1 CO;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  2 mandats pour les entreprises cotées en bourse selon</w:t>
            </w:r>
          </w:p>
        </w:tc>
      </w:tr>
      <w:tr>
        <w:trPr>
          <w:trHeight w:val="270"/>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3 mandates for companies pursuant to Art. 727 para.</w:t>
            </w:r>
          </w:p>
        </w:tc>
        <w:tc>
          <w:tcPr>
            <w:tcW w:w="2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l'art. 727 al. 1 chiffre 1 CO; et</w:t>
            </w:r>
          </w:p>
        </w:tc>
        <w:tc>
          <w:tcPr>
            <w:tcW w:w="54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 number 2 CO; and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b)  3 mandats pour des entreprises selon l'art. 727 al. 1</w:t>
            </w:r>
          </w:p>
        </w:tc>
      </w:tr>
      <w:tr>
        <w:trPr>
          <w:trHeight w:val="270"/>
        </w:trPr>
        <w:tc>
          <w:tcPr>
            <w:tcW w:w="3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 mandates for companies which do not fulfil the</w:t>
            </w:r>
          </w:p>
        </w:tc>
        <w:tc>
          <w:tcPr>
            <w:tcW w:w="220" w:type="dxa"/>
            <w:vAlign w:val="bottom"/>
            <w:tcBorders>
              <w:right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chiffre 2 CO; et</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criteria under litera a) and b) above.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c)  5 mandats pour les entreprises qui ne remplissent pas</w:t>
            </w:r>
          </w:p>
        </w:tc>
      </w:tr>
      <w:tr>
        <w:trPr>
          <w:trHeight w:val="234"/>
        </w:trPr>
        <w:tc>
          <w:tcPr>
            <w:tcW w:w="3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les critères sous a) et b) ci-dessus.</w:t>
            </w:r>
          </w:p>
        </w:tc>
        <w:tc>
          <w:tcPr>
            <w:tcW w:w="54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r>
      <w:tr>
        <w:trPr>
          <w:trHeight w:val="54"/>
        </w:trPr>
        <w:tc>
          <w:tcPr>
            <w:tcW w:w="380" w:type="dxa"/>
            <w:vAlign w:val="bottom"/>
            <w:tcBorders>
              <w:left w:val="single" w:sz="8" w:color="auto"/>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5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r>
        <w:trPr>
          <w:trHeight w:val="756"/>
        </w:trPr>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7" w:name="page58"/>
    <w:bookmarkEnd w:id="57"/>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59"/>
        </w:trPr>
        <w:tc>
          <w:tcPr>
            <w:tcW w:w="438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4"/>
          </w:tcPr>
          <w:p>
            <w:pPr>
              <w:spacing w:after="0"/>
              <w:rPr>
                <w:sz w:val="24"/>
                <w:szCs w:val="24"/>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Mandates held in several legal entities each operating</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mandats exercés dans plusieurs personnes morales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under the same management or same beneficial owner</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opérant  chacune  sous  la  même  direction  ou  même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(Group), or at the request of a legal entity of the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bénéficiaire effectif (groupe), ou à la demande d’une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respective Group in a legal entity outside this Group</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personne  morale  du  groupe  en  question,  dans  une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(including pension funds and joint ventures) are deemed</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personne morale externe au groupe (y compris dans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be a single mandate.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fonds de pension et joint-ventures), sont réputés être un</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seul mandat.</w:t>
            </w:r>
          </w:p>
        </w:tc>
        <w:tc>
          <w:tcPr>
            <w:tcW w:w="6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If a legal entity fulfills several of the above mentioned</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Si une personne morale remplit plusieurs des critères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criteria, it can be freely counted towards any category.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mentionnés ci-dessus, elle peut être librement attribuée à</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l’une des catégories quelconques.</w:t>
            </w:r>
          </w:p>
        </w:tc>
        <w:tc>
          <w:tcPr>
            <w:tcW w:w="6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4"/>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The  following  mandates  are  not  subject  to  the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Les mandats suivants ne sont pas soumis aux limites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limitations set forth in para. 1; instead, the separate</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prévues à l'alinéa 1 ; au lieu de quoi, les limites suivantes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limitations hereinafter shall apply:</w:t>
            </w:r>
          </w:p>
        </w:tc>
        <w:tc>
          <w:tcPr>
            <w:tcW w:w="200" w:type="dxa"/>
            <w:vAlign w:val="bottom"/>
            <w:tcBorders>
              <w:right w:val="single" w:sz="8" w:color="auto"/>
            </w:tcBorders>
          </w:tcPr>
          <w:p>
            <w:pPr>
              <w:spacing w:after="0"/>
              <w:rPr>
                <w:sz w:val="20"/>
                <w:szCs w:val="20"/>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seront applicables:</w:t>
            </w:r>
          </w:p>
        </w:tc>
        <w:tc>
          <w:tcPr>
            <w:tcW w:w="6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r>
      <w:tr>
        <w:trPr>
          <w:trHeight w:val="306"/>
        </w:trPr>
        <w:tc>
          <w:tcPr>
            <w:tcW w:w="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mandates in legal entities which are controlled by</w:t>
            </w:r>
          </w:p>
        </w:tc>
        <w:tc>
          <w:tcPr>
            <w:tcW w:w="200" w:type="dxa"/>
            <w:vAlign w:val="bottom"/>
            <w:tcBorders>
              <w:right w:val="single" w:sz="8" w:color="auto"/>
            </w:tcBorders>
          </w:tcPr>
          <w:p>
            <w:pPr>
              <w:spacing w:after="0"/>
              <w:rPr>
                <w:sz w:val="24"/>
                <w:szCs w:val="24"/>
                <w:color w:val="auto"/>
              </w:rPr>
            </w:pPr>
          </w:p>
        </w:tc>
        <w:tc>
          <w:tcPr>
            <w:tcW w:w="2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  les mandats dans des personnes</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morales</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qui sont</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Company  or  which  control  the  Company:</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contrôlées par la société ou qui contrôlent la société :</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unlimited;</w:t>
            </w:r>
          </w:p>
        </w:tc>
        <w:tc>
          <w:tcPr>
            <w:tcW w:w="2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illimité;</w:t>
            </w:r>
          </w:p>
        </w:tc>
        <w:tc>
          <w:tcPr>
            <w:tcW w:w="6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r>
      <w:tr>
        <w:trPr>
          <w:trHeight w:val="306"/>
        </w:trPr>
        <w:tc>
          <w:tcPr>
            <w:tcW w:w="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mandates held at the request of the Company, or</w:t>
            </w:r>
          </w:p>
        </w:tc>
        <w:tc>
          <w:tcPr>
            <w:tcW w:w="200" w:type="dxa"/>
            <w:vAlign w:val="bottom"/>
            <w:tcBorders>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les mandats tenus à la demande de la société ou de</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companies controlled by it, for a legal entity not</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sociétés contrôlées par celle-ci, dans une personne</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affiliated with the Group (including in pension</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morale non-affiliée au groupe (y compris pour des</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funds or joint ventures): 5 mandates;</w:t>
            </w:r>
          </w:p>
        </w:tc>
        <w:tc>
          <w:tcPr>
            <w:tcW w:w="2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fonds de pension ou joint-ventures) : 5 mandats;</w:t>
            </w:r>
          </w:p>
        </w:tc>
      </w:tr>
      <w:tr>
        <w:trPr>
          <w:trHeight w:val="306"/>
        </w:trPr>
        <w:tc>
          <w:tcPr>
            <w:tcW w:w="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the  extent  these  are  undertakings  with  an</w:t>
            </w:r>
          </w:p>
        </w:tc>
        <w:tc>
          <w:tcPr>
            <w:tcW w:w="200" w:type="dxa"/>
            <w:vAlign w:val="bottom"/>
            <w:tcBorders>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dans la mesure où il s’agit d’entreprise poursuivant</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economic   purpose,   mandates   in   non-profit</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un  but  économique,  les  mandats  dans  des</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organizations, associations, professional or trade</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organisations  sans  but  lucratif,  associations,</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organizations, foundations, or pension foundations,</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organisations   professionnelles</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w:t>
            </w:r>
          </w:p>
        </w:tc>
        <w:tc>
          <w:tcPr>
            <w:tcW w:w="8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syndicats,</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educational institutions and similar organizations: 5</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fondations  ou  fonds  de  pension,  institutions  de</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mandates;</w:t>
            </w:r>
          </w:p>
        </w:tc>
        <w:tc>
          <w:tcPr>
            <w:tcW w:w="2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formation et organisations similaires : 5 mandats;</w:t>
            </w:r>
          </w:p>
        </w:tc>
      </w:tr>
      <w:tr>
        <w:trPr>
          <w:trHeight w:val="306"/>
        </w:trPr>
        <w:tc>
          <w:tcPr>
            <w:tcW w:w="3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mandates in structures managing the personal or</w:t>
            </w:r>
          </w:p>
        </w:tc>
        <w:tc>
          <w:tcPr>
            <w:tcW w:w="200" w:type="dxa"/>
            <w:vAlign w:val="bottom"/>
            <w:tcBorders>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les mandats dans des structures gérant les actifs de</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family's  assets  of  members  of  the  Board  of</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membres du conseil d’administration ou du conseil</w:t>
            </w:r>
          </w:p>
        </w:tc>
      </w:tr>
      <w:tr>
        <w:trPr>
          <w:trHeight w:val="216"/>
        </w:trPr>
        <w:tc>
          <w:tcPr>
            <w:tcW w:w="36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or the Executive Committee and/or their</w:t>
            </w:r>
          </w:p>
        </w:tc>
        <w:tc>
          <w:tcPr>
            <w:tcW w:w="2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exécutif et/ou de personnes affiliées ou de leurs</w:t>
            </w:r>
          </w:p>
        </w:tc>
      </w:tr>
      <w:tr>
        <w:trPr>
          <w:trHeight w:val="234"/>
        </w:trPr>
        <w:tc>
          <w:tcPr>
            <w:tcW w:w="36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related persons: 3 mandates.</w:t>
            </w:r>
          </w:p>
        </w:tc>
        <w:tc>
          <w:tcPr>
            <w:tcW w:w="20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familles : 3 mandats.</w:t>
            </w:r>
          </w:p>
        </w:tc>
        <w:tc>
          <w:tcPr>
            <w:tcW w:w="60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r>
      <w:tr>
        <w:trPr>
          <w:trHeight w:val="108"/>
        </w:trPr>
        <w:tc>
          <w:tcPr>
            <w:tcW w:w="360" w:type="dxa"/>
            <w:vAlign w:val="bottom"/>
            <w:tcBorders>
              <w:left w:val="single" w:sz="8" w:color="auto"/>
              <w:bottom w:val="single" w:sz="8" w:color="auto"/>
            </w:tcBorders>
          </w:tcPr>
          <w:p>
            <w:pPr>
              <w:spacing w:after="0"/>
              <w:rPr>
                <w:sz w:val="9"/>
                <w:szCs w:val="9"/>
                <w:color w:val="auto"/>
              </w:rPr>
            </w:pPr>
          </w:p>
        </w:tc>
        <w:tc>
          <w:tcPr>
            <w:tcW w:w="402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r>
      <w:tr>
        <w:trPr>
          <w:trHeight w:val="757"/>
        </w:trPr>
        <w:tc>
          <w:tcPr>
            <w:tcW w:w="3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8" w:name="page59"/>
    <w:bookmarkEnd w:id="5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73"/>
        </w:trPr>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318"/>
        </w:trPr>
        <w:tc>
          <w:tcPr>
            <w:tcW w:w="8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39</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Loans and Credits</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39</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Prêts et crédits</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members  of  the  Board  of  Directors  and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membres du conseil d'administration et du comité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may not be granted any loans,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exécutif ne peuvent pas obtenir des prêts, des crédits ou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credits or collateral from the Company. Excepted from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des sûretés de la société. Sont exceptées les avances d'un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above are advances in the maximum amount of CHF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montant maximum de CHF 500'000 par personne pour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500'000 per person for attorneys' fees, court and other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les frais d'avocat, des coûts de tribunaux et d'autres coûts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similar costs required for the defence of third-party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similaires  nécessaires  à  la  défense  d’actions  en</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liability claims permitted by Article 29.</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responsabilité civile autorisés par l'article 29.</w:t>
            </w:r>
          </w:p>
        </w:tc>
      </w:tr>
      <w:tr>
        <w:trPr>
          <w:trHeight w:val="108"/>
        </w:trPr>
        <w:tc>
          <w:tcPr>
            <w:tcW w:w="88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8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40</w:t>
            </w:r>
          </w:p>
        </w:tc>
        <w:tc>
          <w:tcPr>
            <w:tcW w:w="3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Pension Funds</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40</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Fonds de pension</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Company shall remunerate members of the Board</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La société ne doit rémunérer les membres du conseil</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Directors only in respect of the employer's mandatory</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d'administration  que  du  montant  dû  au  titre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contributions to social insurance. Above and beyond this,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contributions obligatoires de l'employeur à l'assurance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Company shall not make any contributions to pension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sociale. Au-delà de ce montant, la société ne doit pas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funds or other such pension plans. In exceptional cases,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verser de cotisations à des institutions de prévoyance ou à</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contributions such as these may be made subject to a</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d'autres régimes de retraite. Dans des cas exceptionnels,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request by the Compensation, Nomination and Corporate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des contributions comme celles-ci peuvent être faites sur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Governance Committee and the approval of the General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demande au comité de rémunération, de nomination et de</w:t>
            </w:r>
          </w:p>
        </w:tc>
      </w:tr>
      <w:tr>
        <w:trPr>
          <w:trHeight w:val="216"/>
        </w:trPr>
        <w:tc>
          <w:tcPr>
            <w:tcW w:w="8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35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gouvernance d’entreprise, et sous réserve de l'approbation</w:t>
            </w:r>
          </w:p>
        </w:tc>
      </w:tr>
      <w:tr>
        <w:trPr>
          <w:trHeight w:val="234"/>
        </w:trPr>
        <w:tc>
          <w:tcPr>
            <w:tcW w:w="880" w:type="dxa"/>
            <w:vAlign w:val="bottom"/>
            <w:tcBorders>
              <w:left w:val="single" w:sz="8" w:color="auto"/>
            </w:tcBorders>
          </w:tcPr>
          <w:p>
            <w:pPr>
              <w:spacing w:after="0"/>
              <w:rPr>
                <w:sz w:val="20"/>
                <w:szCs w:val="20"/>
                <w:color w:val="auto"/>
              </w:rPr>
            </w:pPr>
          </w:p>
        </w:tc>
        <w:tc>
          <w:tcPr>
            <w:tcW w:w="35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l'assemblée générale.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Members of the Executive Committee participate in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membres  du  comité  exécutif  participent  aux</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Company's pension plans (the Company's pension fund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régimes de retraite de la société (le fond de pension de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the management pension plan). The pension plans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société et le régime de retraite du management). 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conform to the legal requirements. For members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régimes de retraite sont conformes aux exigences légales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the insured income is defined as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(LPP). Pour les membres du comité exécutif, le revenu</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fixed remuneration plus 50 percent of the target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assuré est défini comme la rémunération fixe plus les 50</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performance-related  remuneration,  up  to  the  legal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cent de la rémunération liée à la performance,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maximum. Equity-linked income components are not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jusqu'au maximum légal. Les composantes du revenu</w:t>
            </w:r>
          </w:p>
        </w:tc>
      </w:tr>
      <w:tr>
        <w:trPr>
          <w:trHeight w:val="234"/>
        </w:trPr>
        <w:tc>
          <w:tcPr>
            <w:tcW w:w="8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included.</w:t>
            </w:r>
          </w:p>
        </w:tc>
        <w:tc>
          <w:tcPr>
            <w:tcW w:w="35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liées au capital propre ne sont pas inclus.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Within  the  overall  compensation  approved  by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Dans la rémunération globale approuvée par l'assemblée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Meeting, the Company may make additional</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  la  société  pourra  effectuer  des  paiements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payments into the Company's pension funds for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supplémentaires dans les caisses de retraite de la société</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benefit of members of the Executive Committee in order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le bénéfice des membres du comité exécutif afin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cover any disadvantage suffered as a result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couvrir tout désavantage subi par suite de la modification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change  of  jobs  or  to  purchase  additional  pension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  l'emploi  ou  pour  acheter  des  droits  de  pension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entitlements. In this context the Company may conclude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supplémentaires.  Dans  ce  contexte,  la  société  peut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life insurance policies on behalf of members of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conclure  des  contrats  d'assurance-vie  au  nom  des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Executive Committee and pay the insurance premiums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membres du comité exécutif et payer en totalité ou en</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either fully or in part.</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partie les primes d'assurance.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Upon retirement, the Company may also grant members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À la retraite, la société peut également accorder aux</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Executive Committee a bridging pension to cover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membres du comité exécutif, une pension de transition</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period  between  early  retirement  at  62  and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pour couvrir la période entre la retraite anticipée à 62 ans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ordinary age of retirement, if such bridging pension does</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et l'âge ordinaire de la retraite, si cette rente transitoire ne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not exceed 100 percent of the total annual compensation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dépasse pas 100 pour cent du dernier montant de la</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 the respective member last paid.</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rémunération annuelle totale payée au membre respectif.</w:t>
            </w:r>
          </w:p>
        </w:tc>
      </w:tr>
      <w:tr>
        <w:trPr>
          <w:trHeight w:val="108"/>
        </w:trPr>
        <w:tc>
          <w:tcPr>
            <w:tcW w:w="880" w:type="dxa"/>
            <w:vAlign w:val="bottom"/>
            <w:tcBorders>
              <w:left w:val="single" w:sz="8" w:color="auto"/>
              <w:bottom w:val="single" w:sz="8" w:color="auto"/>
            </w:tcBorders>
          </w:tcPr>
          <w:p>
            <w:pPr>
              <w:spacing w:after="0"/>
              <w:rPr>
                <w:sz w:val="9"/>
                <w:szCs w:val="9"/>
                <w:color w:val="auto"/>
              </w:rPr>
            </w:pPr>
          </w:p>
        </w:tc>
        <w:tc>
          <w:tcPr>
            <w:tcW w:w="350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1229"/>
        </w:trPr>
        <w:tc>
          <w:tcPr>
            <w:tcW w:w="8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59" w:name="page60"/>
    <w:bookmarkEnd w:id="5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73"/>
        </w:trPr>
        <w:tc>
          <w:tcPr>
            <w:tcW w:w="68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gridSpan w:val="4"/>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Art. 41</w:t>
            </w:r>
          </w:p>
        </w:tc>
        <w:tc>
          <w:tcPr>
            <w:tcW w:w="37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Option and Share Plans</w:t>
            </w:r>
          </w:p>
        </w:tc>
        <w:tc>
          <w:tcPr>
            <w:tcW w:w="220" w:type="dxa"/>
            <w:vAlign w:val="bottom"/>
            <w:tcBorders>
              <w:right w:val="single" w:sz="8" w:color="auto"/>
            </w:tcBorders>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Art. 41</w:t>
            </w:r>
          </w:p>
        </w:tc>
        <w:tc>
          <w:tcPr>
            <w:tcW w:w="2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Options et plan d'actions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380" w:type="dxa"/>
            <w:vAlign w:val="bottom"/>
            <w:tcBorders>
              <w:left w:val="single" w:sz="8" w:color="auto"/>
              <w:right w:val="single" w:sz="8" w:color="auto"/>
            </w:tcBorders>
            <w:gridSpan w:val="3"/>
          </w:tcPr>
          <w:p>
            <w:pPr>
              <w:ind w:left="100"/>
              <w:spacing w:after="0" w:line="26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Under the Company's Long Term Incentive Plan, the</w:t>
            </w:r>
          </w:p>
        </w:tc>
        <w:tc>
          <w:tcPr>
            <w:tcW w:w="220" w:type="dxa"/>
            <w:vAlign w:val="bottom"/>
            <w:tcBorders>
              <w:right w:val="single" w:sz="8" w:color="auto"/>
            </w:tcBorders>
          </w:tcPr>
          <w:p>
            <w:pPr>
              <w:spacing w:after="0"/>
              <w:rPr>
                <w:sz w:val="23"/>
                <w:szCs w:val="23"/>
                <w:color w:val="auto"/>
              </w:rPr>
            </w:pPr>
          </w:p>
        </w:tc>
        <w:tc>
          <w:tcPr>
            <w:tcW w:w="4380" w:type="dxa"/>
            <w:vAlign w:val="bottom"/>
            <w:tcBorders>
              <w:right w:val="single" w:sz="8" w:color="auto"/>
            </w:tcBorders>
            <w:gridSpan w:val="9"/>
          </w:tcPr>
          <w:p>
            <w:pPr>
              <w:ind w:left="80"/>
              <w:spacing w:after="0" w:line="265" w:lineRule="exact"/>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En vertu du plan d’intéressement à long terme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Board of Directors, upon proposal of the Compensation,</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société, le conseil d'administration, sur proposition du</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comité  de  rémunération,  de  nomination  et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allocates the participating members of the Executive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gouvernance   d’entreprise,   attribue   aux   membres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Committee and the Board of Directors a fixed number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participants   du   comité   exécutif   et   du   conseil</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options or shares with a vesting or a blocking period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d'administration un nombre fixe d'options ou d'actions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vesting period). In the case of stock options, at the end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avec une période de vesting ou de blocage (la "Période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vesting  period,  participants  in  the  Long  Term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Vesting "). Dans le cas d’options, à la fin de la Période de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Incentive Plan are entitled to exercise the options granted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Vesting, les participants au plan d’intéressement à long</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against payment of the strike price. These options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terme sont habilités à exercer les options attribuées contre</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acquire shares in the Company or allocated shares are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paiement du prix d'exercice. Ces options d'achat d'actions</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subject to the basic principles set out in the following:</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de la société ou d'actions attribuées sont soumises aux</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 is the sole discretion of the Board of Directors to</w:t>
            </w:r>
          </w:p>
        </w:tc>
        <w:tc>
          <w:tcPr>
            <w:tcW w:w="220" w:type="dxa"/>
            <w:vAlign w:val="bottom"/>
            <w:tcBorders>
              <w:right w:val="single" w:sz="8" w:color="auto"/>
            </w:tcBorders>
          </w:tcPr>
          <w:p>
            <w:pPr>
              <w:spacing w:after="0"/>
              <w:rPr>
                <w:sz w:val="20"/>
                <w:szCs w:val="20"/>
                <w:color w:val="auto"/>
              </w:rPr>
            </w:pPr>
          </w:p>
        </w:tc>
        <w:tc>
          <w:tcPr>
            <w:tcW w:w="22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principes de base suivants:</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80" w:type="dxa"/>
            <w:vAlign w:val="bottom"/>
            <w:tcBorders>
              <w:left w:val="single" w:sz="8" w:color="auto"/>
            </w:tcBorders>
            <w:vMerge w:val="continue"/>
          </w:tcPr>
          <w:p>
            <w:pPr>
              <w:spacing w:after="0"/>
              <w:rPr>
                <w:sz w:val="5"/>
                <w:szCs w:val="5"/>
                <w:color w:val="auto"/>
              </w:rPr>
            </w:pPr>
          </w:p>
        </w:tc>
        <w:tc>
          <w:tcPr>
            <w:tcW w:w="400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decide whether to allocate options or shares and to</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il  relève  de  la  libre  appréciation  du  conseil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whom  and  to  determine  the  valuation  of  each</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d'administration de décider si des options ou actions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compensation element on the basis of the principles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sont attribuées et à qui et de déterminer l'évaluation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that apply to the establishment of the compensation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de chaque élément de rémunération sur la base des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report;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principes  qui  s'appliquent  à  l'établissement  du</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each year, the Board of Directors, upon proposal of</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rapport de rémunération;</w:t>
            </w: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380" w:type="dxa"/>
            <w:vAlign w:val="bottom"/>
            <w:tcBorders>
              <w:left w:val="single" w:sz="8" w:color="auto"/>
            </w:tcBorders>
            <w:vMerge w:val="continue"/>
          </w:tcPr>
          <w:p>
            <w:pPr>
              <w:spacing w:after="0"/>
              <w:rPr>
                <w:sz w:val="4"/>
                <w:szCs w:val="4"/>
                <w:color w:val="auto"/>
              </w:rPr>
            </w:pPr>
          </w:p>
        </w:tc>
        <w:tc>
          <w:tcPr>
            <w:tcW w:w="4000" w:type="dxa"/>
            <w:vAlign w:val="bottom"/>
            <w:tcBorders>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Compensation,  Nomination  and  Corporate</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chaque  année,  le  conseil  d'administration,  sur</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Governance Committee, stipulates the number of</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proposition  du  comité  de  rémunération,  de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options and shares to be allocated, the date of</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nomination et de gouvernance d’entreprise, fixe le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allocation and the strike price;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nombre d'options et d'actions à attribuer, la date</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each option incorporates a non-transferable, pre-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d'attribution et le prix d'exercice;</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380" w:type="dxa"/>
            <w:vAlign w:val="bottom"/>
            <w:tcBorders>
              <w:left w:val="single" w:sz="8" w:color="auto"/>
            </w:tcBorders>
            <w:vMerge w:val="continue"/>
          </w:tcPr>
          <w:p>
            <w:pPr>
              <w:spacing w:after="0"/>
              <w:rPr>
                <w:sz w:val="4"/>
                <w:szCs w:val="4"/>
                <w:color w:val="auto"/>
              </w:rPr>
            </w:pPr>
          </w:p>
        </w:tc>
        <w:tc>
          <w:tcPr>
            <w:tcW w:w="4000" w:type="dxa"/>
            <w:vAlign w:val="bottom"/>
            <w:tcBorders>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emptive, and contingent right to acquire a certain</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chaque option comporte un droit non transférable,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number of Company's shares;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de souscription préférentielle et optionnel d'acquérir</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 the case of a change of control (as defined in the</w:t>
            </w: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un certain nombre d'actions de la société;</w:t>
            </w: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380" w:type="dxa"/>
            <w:vAlign w:val="bottom"/>
            <w:tcBorders>
              <w:left w:val="single" w:sz="8" w:color="auto"/>
            </w:tcBorders>
            <w:vMerge w:val="continue"/>
          </w:tcPr>
          <w:p>
            <w:pPr>
              <w:spacing w:after="0"/>
              <w:rPr>
                <w:sz w:val="5"/>
                <w:szCs w:val="5"/>
                <w:color w:val="auto"/>
              </w:rPr>
            </w:pPr>
          </w:p>
        </w:tc>
        <w:tc>
          <w:tcPr>
            <w:tcW w:w="400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Long  Term  Incentive  Plan)  or  delisting  of  the</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dans le cas d'un changement de contrôle (tel que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Company's shares, the vesting period shall end</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défini dans le plan d’intéressement à long terme) ou</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(accelerated vesting) and the participant shall be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la radiation des actions de la société, la Période de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entitled to exercise the options on a pro rata basis 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Vesting prend fin (vesting accéléré) et le participant</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day the transaction that led to the change of</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est en droit d'exercer les options sur une base pro</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control or delisting was executed. It is at the sole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rata, le jour de la transaction qui a conduit à un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discretion of the Board of Directors to decide upon</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changement de contrôle ou le jour où la radiation a</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proposal of the Compensation, Nomination and</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été exécutée. Il relève de la libre appréciation du</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Governance  Committee  whether  the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conseil d'administration de décider, sur proposition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financial objectives have been met;</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du comité de rémunération, de nomination et de</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the individual members of the Executive Committee</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gouvernance d’entreprise, si les objectifs financiers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vMerge w:val="continue"/>
          </w:tcPr>
          <w:p>
            <w:pPr>
              <w:spacing w:after="0"/>
              <w:rPr>
                <w:sz w:val="5"/>
                <w:szCs w:val="5"/>
                <w:color w:val="auto"/>
              </w:rPr>
            </w:pPr>
          </w:p>
        </w:tc>
        <w:tc>
          <w:tcPr>
            <w:tcW w:w="400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ont été atteints;</w:t>
            </w: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spacing w:after="0"/>
              <w:rPr>
                <w:sz w:val="14"/>
                <w:szCs w:val="14"/>
                <w:color w:val="auto"/>
              </w:rPr>
            </w:pP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or the Board of Directors participating in the Long</w:t>
            </w:r>
          </w:p>
        </w:tc>
        <w:tc>
          <w:tcPr>
            <w:tcW w:w="2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80" w:type="dxa"/>
            <w:vAlign w:val="bottom"/>
            <w:tcBorders>
              <w:left w:val="single" w:sz="8" w:color="auto"/>
            </w:tcBorders>
          </w:tcPr>
          <w:p>
            <w:pPr>
              <w:spacing w:after="0"/>
              <w:rPr>
                <w:sz w:val="4"/>
                <w:szCs w:val="4"/>
                <w:color w:val="auto"/>
              </w:rPr>
            </w:pPr>
          </w:p>
        </w:tc>
        <w:tc>
          <w:tcPr>
            <w:tcW w:w="4000" w:type="dxa"/>
            <w:vAlign w:val="bottom"/>
            <w:tcBorders>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Term Incentive Plan are responsible for paying any</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les membres individuels du comité exécutif ou du</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taxes  or  social  security  contributions  and  for</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conseil  d'administration  qui  participent  au  plan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declaring income correctly to the authorities;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d’intéressement à long terme sont responsables du</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it is at the sole discretion of the Board of Directors</w:t>
            </w: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paiement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  tous</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impôts  ou</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cotisations</w:t>
            </w: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vMerge w:val="continue"/>
          </w:tcPr>
          <w:p>
            <w:pPr>
              <w:spacing w:after="0"/>
              <w:rPr>
                <w:sz w:val="5"/>
                <w:szCs w:val="5"/>
                <w:color w:val="auto"/>
              </w:rPr>
            </w:pPr>
          </w:p>
        </w:tc>
        <w:tc>
          <w:tcPr>
            <w:tcW w:w="4000" w:type="dxa"/>
            <w:vAlign w:val="bottom"/>
            <w:tcBorders>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sécurité</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sociale  et</w:t>
            </w: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w:t>
            </w:r>
          </w:p>
        </w:tc>
        <w:tc>
          <w:tcPr>
            <w:tcW w:w="1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déclarer  correctement</w:t>
            </w: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le</w:t>
            </w:r>
          </w:p>
        </w:tc>
        <w:tc>
          <w:tcPr>
            <w:tcW w:w="0" w:type="dxa"/>
            <w:vAlign w:val="bottom"/>
          </w:tcPr>
          <w:p>
            <w:pPr>
              <w:spacing w:after="0"/>
              <w:rPr>
                <w:sz w:val="1"/>
                <w:szCs w:val="1"/>
                <w:color w:val="auto"/>
              </w:rPr>
            </w:pPr>
          </w:p>
        </w:tc>
      </w:tr>
      <w:tr>
        <w:trPr>
          <w:trHeight w:val="148"/>
        </w:trPr>
        <w:tc>
          <w:tcPr>
            <w:tcW w:w="380" w:type="dxa"/>
            <w:vAlign w:val="bottom"/>
            <w:tcBorders>
              <w:left w:val="single" w:sz="8" w:color="auto"/>
            </w:tcBorders>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37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decide whether to supplement the Long Term</w:t>
            </w:r>
          </w:p>
        </w:tc>
        <w:tc>
          <w:tcPr>
            <w:tcW w:w="2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300" w:type="dxa"/>
            <w:vAlign w:val="bottom"/>
            <w:vMerge w:val="continue"/>
          </w:tcPr>
          <w:p>
            <w:pPr>
              <w:spacing w:after="0"/>
              <w:rPr>
                <w:sz w:val="5"/>
                <w:szCs w:val="5"/>
                <w:color w:val="auto"/>
              </w:rPr>
            </w:pPr>
          </w:p>
        </w:tc>
        <w:tc>
          <w:tcPr>
            <w:tcW w:w="37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9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revenu aux autorités;</w:t>
            </w: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80" w:type="dxa"/>
            <w:vAlign w:val="bottom"/>
            <w:tcBorders>
              <w:left w:val="single" w:sz="8" w:color="auto"/>
            </w:tcBorders>
          </w:tcPr>
          <w:p>
            <w:pPr>
              <w:spacing w:after="0"/>
              <w:rPr>
                <w:sz w:val="14"/>
                <w:szCs w:val="14"/>
                <w:color w:val="auto"/>
              </w:rPr>
            </w:pPr>
          </w:p>
        </w:tc>
        <w:tc>
          <w:tcPr>
            <w:tcW w:w="400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Incentive Plan within the bounds of the principles</w:t>
            </w:r>
          </w:p>
        </w:tc>
        <w:tc>
          <w:tcPr>
            <w:tcW w:w="2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80" w:type="dxa"/>
            <w:vAlign w:val="bottom"/>
            <w:tcBorders>
              <w:left w:val="single" w:sz="8" w:color="auto"/>
            </w:tcBorders>
          </w:tcPr>
          <w:p>
            <w:pPr>
              <w:spacing w:after="0"/>
              <w:rPr>
                <w:sz w:val="4"/>
                <w:szCs w:val="4"/>
                <w:color w:val="auto"/>
              </w:rPr>
            </w:pPr>
          </w:p>
        </w:tc>
        <w:tc>
          <w:tcPr>
            <w:tcW w:w="4000" w:type="dxa"/>
            <w:vAlign w:val="bottom"/>
            <w:tcBorders>
              <w:right w:val="single" w:sz="8" w:color="auto"/>
            </w:tcBorders>
            <w:gridSpan w:val="2"/>
            <w:vMerge w:val="continue"/>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400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set out above or to discontinue it.</w:t>
            </w:r>
          </w:p>
        </w:tc>
        <w:tc>
          <w:tcPr>
            <w:tcW w:w="220" w:type="dxa"/>
            <w:vAlign w:val="bottom"/>
            <w:tcBorders>
              <w:right w:val="single" w:sz="8" w:color="auto"/>
            </w:tcBorders>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w:t>
            </w: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il  relève  de  la  libre  appréciation  du  conseil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d'administration</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de</w:t>
            </w:r>
          </w:p>
        </w:tc>
        <w:tc>
          <w:tcPr>
            <w:tcW w:w="9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compléter</w:t>
            </w: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w:t>
            </w:r>
          </w:p>
        </w:tc>
        <w:tc>
          <w:tcPr>
            <w:tcW w:w="46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plan</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40" w:type="dxa"/>
            <w:vAlign w:val="bottom"/>
            <w:tcBorders>
              <w:right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color w:val="auto"/>
              </w:rPr>
              <w:t>d’intéressement à long terme dans les limites des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5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9"/>
              </w:rPr>
              <w:t>principes énoncés ci-dessus ou de l'interrompre.</w:t>
            </w: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380" w:type="dxa"/>
            <w:vAlign w:val="bottom"/>
            <w:tcBorders>
              <w:left w:val="single" w:sz="8" w:color="auto"/>
              <w:bottom w:val="single" w:sz="8" w:color="auto"/>
              <w:right w:val="single" w:sz="8" w:color="auto"/>
            </w:tcBorders>
            <w:gridSpan w:val="3"/>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gridSpan w:val="9"/>
          </w:tcPr>
          <w:p>
            <w:pPr>
              <w:spacing w:after="0"/>
              <w:rPr>
                <w:sz w:val="7"/>
                <w:szCs w:val="7"/>
                <w:color w:val="auto"/>
              </w:rPr>
            </w:pPr>
          </w:p>
        </w:tc>
        <w:tc>
          <w:tcPr>
            <w:tcW w:w="0" w:type="dxa"/>
            <w:vAlign w:val="bottom"/>
          </w:tcPr>
          <w:p>
            <w:pPr>
              <w:spacing w:after="0"/>
              <w:rPr>
                <w:sz w:val="1"/>
                <w:szCs w:val="1"/>
                <w:color w:val="auto"/>
              </w:rPr>
            </w:pPr>
          </w:p>
        </w:tc>
      </w:tr>
      <w:tr>
        <w:trPr>
          <w:trHeight w:val="259"/>
        </w:trPr>
        <w:tc>
          <w:tcPr>
            <w:tcW w:w="4380" w:type="dxa"/>
            <w:vAlign w:val="bottom"/>
            <w:tcBorders>
              <w:left w:val="single" w:sz="8" w:color="auto"/>
              <w:right w:val="single" w:sz="8" w:color="auto"/>
            </w:tcBorders>
            <w:gridSpan w:val="3"/>
          </w:tcPr>
          <w:p>
            <w:pPr>
              <w:ind w:left="10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The Company may periodically offer shares in the</w:t>
            </w:r>
          </w:p>
        </w:tc>
        <w:tc>
          <w:tcPr>
            <w:tcW w:w="220" w:type="dxa"/>
            <w:vAlign w:val="bottom"/>
            <w:tcBorders>
              <w:right w:val="single" w:sz="8" w:color="auto"/>
            </w:tcBorders>
          </w:tcPr>
          <w:p>
            <w:pPr>
              <w:spacing w:after="0"/>
              <w:rPr>
                <w:sz w:val="22"/>
                <w:szCs w:val="22"/>
                <w:color w:val="auto"/>
              </w:rPr>
            </w:pPr>
          </w:p>
        </w:tc>
        <w:tc>
          <w:tcPr>
            <w:tcW w:w="4380" w:type="dxa"/>
            <w:vAlign w:val="bottom"/>
            <w:tcBorders>
              <w:right w:val="single" w:sz="8" w:color="auto"/>
            </w:tcBorders>
            <w:gridSpan w:val="9"/>
          </w:tcPr>
          <w:p>
            <w:pPr>
              <w:ind w:left="80"/>
              <w:spacing w:after="0" w:line="258" w:lineRule="exact"/>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La société peut périodiquement offrir des actions de la</w:t>
            </w: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Company  to  employees  as  part  of  the  Long  Term</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9"/>
          </w:tcPr>
          <w:p>
            <w:pPr>
              <w:ind w:left="80"/>
              <w:spacing w:after="0"/>
              <w:rPr>
                <w:sz w:val="20"/>
                <w:szCs w:val="20"/>
                <w:color w:val="auto"/>
              </w:rPr>
            </w:pPr>
            <w:r>
              <w:rPr>
                <w:rFonts w:ascii="Times New Roman" w:cs="Times New Roman" w:eastAsia="Times New Roman" w:hAnsi="Times New Roman"/>
                <w:sz w:val="18"/>
                <w:szCs w:val="18"/>
                <w:color w:val="auto"/>
              </w:rPr>
              <w:t>société aux salariés au titre du plan d’intéressement à</w:t>
            </w: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Incentive Plan.</w:t>
            </w:r>
          </w:p>
        </w:tc>
        <w:tc>
          <w:tcPr>
            <w:tcW w:w="220" w:type="dxa"/>
            <w:vAlign w:val="bottom"/>
            <w:tcBorders>
              <w:right w:val="single" w:sz="8" w:color="auto"/>
            </w:tcBorders>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long terme.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56"/>
        </w:trPr>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40" w:top="472" w:right="1279" w:bottom="1440" w:gutter="0" w:footer="0" w:header="0"/>
        </w:sectPr>
      </w:pPr>
    </w:p>
    <w:bookmarkStart w:id="60" w:name="page61"/>
    <w:bookmarkEnd w:id="6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ind w:left="3400"/>
              <w:spacing w:after="0"/>
              <w:rPr>
                <w:sz w:val="20"/>
                <w:szCs w:val="20"/>
                <w:color w:val="auto"/>
              </w:rPr>
            </w:pPr>
            <w:r>
              <w:rPr>
                <w:rFonts w:ascii="Times New Roman" w:cs="Times New Roman" w:eastAsia="Times New Roman" w:hAnsi="Times New Roman"/>
                <w:sz w:val="18"/>
                <w:szCs w:val="18"/>
                <w:color w:val="auto"/>
                <w:w w:val="88"/>
              </w:rPr>
              <w:t>28</w:t>
            </w:r>
          </w:p>
        </w:tc>
      </w:tr>
      <w:tr>
        <w:trPr>
          <w:trHeight w:val="473"/>
        </w:trPr>
        <w:tc>
          <w:tcPr>
            <w:tcW w:w="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95"/>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VIII.</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YEAR, ACCOUNTING,</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VIII.</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EXERCICE, COMPTABILITÉ,</w:t>
            </w:r>
          </w:p>
        </w:tc>
      </w:tr>
      <w:tr>
        <w:trPr>
          <w:trHeight w:val="238"/>
        </w:trPr>
        <w:tc>
          <w:tcPr>
            <w:tcW w:w="900" w:type="dxa"/>
            <w:vAlign w:val="bottom"/>
            <w:tcBorders>
              <w:left w:val="single" w:sz="8" w:color="auto"/>
            </w:tcBorders>
          </w:tcPr>
          <w:p>
            <w:pPr>
              <w:spacing w:after="0"/>
              <w:rPr>
                <w:sz w:val="20"/>
                <w:szCs w:val="20"/>
                <w:color w:val="auto"/>
              </w:rPr>
            </w:pP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 OF PROFITS</w:t>
            </w:r>
          </w:p>
        </w:tc>
        <w:tc>
          <w:tcPr>
            <w:tcW w:w="220" w:type="dxa"/>
            <w:vAlign w:val="bottom"/>
            <w:tcBorders>
              <w:righ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RÉPARTITION DES BÉNÉFICES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42</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Business Year</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42</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Exercice</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Board of Directors shall determine the start and the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conseil d'administration détermine le début et la fin de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 of the Company's business year.</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l'exercice de la société.</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43</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43</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Comptabilité</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annual accounts consist of the profit and loss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Les comptes annuels se composent du compte de profits</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statement, the balance sheet, the cash flow statement,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et pertes, du bilan, du tableau des flux de trésorerie,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annex and the management report, and shall be drawn up</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l'annexe  et  du  rapport  de  gestion,  et  sont  établis</w:t>
            </w:r>
          </w:p>
        </w:tc>
      </w:tr>
      <w:tr>
        <w:trPr>
          <w:trHeight w:val="21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pursuant to the provisions of the CO, particularly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conformément aux dispositions du CO, en particulier des</w:t>
            </w:r>
          </w:p>
        </w:tc>
      </w:tr>
      <w:tr>
        <w:trPr>
          <w:trHeight w:val="218"/>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Articles 958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CO, and the generally accepted</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articles  958  ss.  CO,  et  aux  principes  commerciaux</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commercial  principles  and  customary  rules  in  that</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généralement reconnus et aux règles coutumières dans ce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business area.</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secteur d'activité.</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If required by law, the consolidated financial statements</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Si requis par la loi, les états financiers consolidés sont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shall be drawn up in accordance with the provisions of</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établis en conformité avec les dispositions de l'article 962</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Article 962 CO.</w:t>
            </w:r>
          </w:p>
        </w:tc>
        <w:tc>
          <w:tcPr>
            <w:tcW w:w="220" w:type="dxa"/>
            <w:vAlign w:val="bottom"/>
            <w:tcBorders>
              <w:right w:val="single" w:sz="8" w:color="auto"/>
            </w:tcBorders>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3600" w:type="dxa"/>
            <w:vAlign w:val="bottom"/>
            <w:tcBorders>
              <w:right w:val="single" w:sz="8" w:color="auto"/>
            </w:tcBorders>
          </w:tcPr>
          <w:p>
            <w:pPr>
              <w:spacing w:after="0"/>
              <w:rPr>
                <w:sz w:val="20"/>
                <w:szCs w:val="20"/>
                <w:color w:val="auto"/>
              </w:rPr>
            </w:pP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44</w:t>
            </w:r>
          </w:p>
        </w:tc>
        <w:tc>
          <w:tcPr>
            <w:tcW w:w="34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Allocation of Profits</w:t>
            </w:r>
          </w:p>
        </w:tc>
        <w:tc>
          <w:tcPr>
            <w:tcW w:w="220" w:type="dxa"/>
            <w:vAlign w:val="bottom"/>
            <w:tcBorders>
              <w:right w:val="single" w:sz="8" w:color="auto"/>
            </w:tcBorders>
          </w:tcPr>
          <w:p>
            <w:pPr>
              <w:spacing w:after="0"/>
              <w:rPr>
                <w:sz w:val="24"/>
                <w:szCs w:val="2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Art. 44</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Répartition des bénéfices</w:t>
            </w:r>
          </w:p>
        </w:tc>
      </w:tr>
      <w:tr>
        <w:trPr>
          <w:trHeight w:val="30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Subject to the legal provisions regarding distribution of</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Sous réserve des dispositions légales en matière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profits, the profit as shown on the balance sheet shall be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répartition des bénéfices, le bénéfice comme indiqué sur</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allocated by the General Meeting at its discretion after</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le  bilan  doit  être  alloué  à  la  libre  appréciation  de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receipt of the proposals of the Board of Directors and the</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l'assemblée générale après réception des propositions du</w:t>
            </w:r>
          </w:p>
        </w:tc>
      </w:tr>
      <w:tr>
        <w:trPr>
          <w:trHeight w:val="234"/>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Auditors.</w:t>
            </w:r>
          </w:p>
        </w:tc>
        <w:tc>
          <w:tcPr>
            <w:tcW w:w="348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conseil d'administration et de l'organe de révision.</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In addition to the legal reserves, the General Meeting</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En plus des réserves légales, l'assemblée générale peut</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may create supplemental reserves.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créer des réserves supplémentaires.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Dividends not claimed within five years after the due</w:t>
            </w:r>
          </w:p>
        </w:tc>
        <w:tc>
          <w:tcPr>
            <w:tcW w:w="22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Les dividendes non réclamés dans les cinq ans après la</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shall remain with the Company and be allocated to</w:t>
            </w:r>
          </w:p>
        </w:tc>
        <w:tc>
          <w:tcPr>
            <w:tcW w:w="22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date d'échéance restent avec la société et sont attribués</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general reserves.</w:t>
            </w:r>
          </w:p>
        </w:tc>
        <w:tc>
          <w:tcPr>
            <w:tcW w:w="22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aux réserves générales.</w:t>
            </w:r>
          </w:p>
        </w:tc>
      </w:tr>
      <w:tr>
        <w:trPr>
          <w:trHeight w:val="108"/>
        </w:trPr>
        <w:tc>
          <w:tcPr>
            <w:tcW w:w="900" w:type="dxa"/>
            <w:vAlign w:val="bottom"/>
            <w:tcBorders>
              <w:left w:val="single" w:sz="8" w:color="auto"/>
              <w:bottom w:val="single" w:sz="8" w:color="auto"/>
            </w:tcBorders>
          </w:tcPr>
          <w:p>
            <w:pPr>
              <w:spacing w:after="0"/>
              <w:rPr>
                <w:sz w:val="9"/>
                <w:szCs w:val="9"/>
                <w:color w:val="auto"/>
              </w:rPr>
            </w:pPr>
          </w:p>
        </w:tc>
        <w:tc>
          <w:tcPr>
            <w:tcW w:w="3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756"/>
        </w:trPr>
        <w:tc>
          <w:tcPr>
            <w:tcW w:w="9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440" w:top="472" w:right="1279" w:bottom="1440" w:gutter="0" w:footer="0" w:header="0"/>
        </w:sectPr>
      </w:pPr>
    </w:p>
    <w:bookmarkStart w:id="61" w:name="page62"/>
    <w:bookmarkEnd w:id="6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0" w:type="dxa"/>
            <w:vAlign w:val="bottom"/>
          </w:tcPr>
          <w:p>
            <w:pPr>
              <w:ind w:left="3420"/>
              <w:spacing w:after="0"/>
              <w:rPr>
                <w:sz w:val="20"/>
                <w:szCs w:val="20"/>
                <w:color w:val="auto"/>
              </w:rPr>
            </w:pPr>
            <w:r>
              <w:rPr>
                <w:rFonts w:ascii="Times New Roman" w:cs="Times New Roman" w:eastAsia="Times New Roman" w:hAnsi="Times New Roman"/>
                <w:sz w:val="18"/>
                <w:szCs w:val="18"/>
                <w:color w:val="auto"/>
                <w:w w:val="77"/>
              </w:rPr>
              <w:t>29</w:t>
            </w:r>
          </w:p>
        </w:tc>
      </w:tr>
      <w:tr>
        <w:trPr>
          <w:trHeight w:val="459"/>
        </w:trPr>
        <w:tc>
          <w:tcPr>
            <w:tcW w:w="8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IX.</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IX.</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DISSOLUTION ET LIQUIDATION</w:t>
            </w:r>
          </w:p>
        </w:tc>
      </w:tr>
      <w:tr>
        <w:trPr>
          <w:trHeight w:val="135"/>
        </w:trPr>
        <w:tc>
          <w:tcPr>
            <w:tcW w:w="820" w:type="dxa"/>
            <w:vAlign w:val="bottom"/>
            <w:tcBorders>
              <w:left w:val="single" w:sz="8" w:color="auto"/>
              <w:bottom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45</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45</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Dissolution et Liquidation</w:t>
            </w:r>
          </w:p>
        </w:tc>
      </w:tr>
      <w:tr>
        <w:trPr>
          <w:trHeight w:val="333"/>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dissolution and liquidation of the Company shall</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La dissolution et la liquidation de la société ont lieu en</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take place in accordance with the provisions of the CO.</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conformité avec les dispositions du CO.</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X.</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NOTICES AND PUBLICATIONS</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X.</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AVIS ET PUBLICATIONS</w:t>
            </w:r>
          </w:p>
        </w:tc>
      </w:tr>
      <w:tr>
        <w:trPr>
          <w:trHeight w:val="135"/>
        </w:trPr>
        <w:tc>
          <w:tcPr>
            <w:tcW w:w="820" w:type="dxa"/>
            <w:vAlign w:val="bottom"/>
            <w:tcBorders>
              <w:left w:val="single" w:sz="8" w:color="auto"/>
              <w:bottom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0" w:type="dxa"/>
            <w:vAlign w:val="bottom"/>
            <w:tcBorders>
              <w:bottom w:val="single" w:sz="8" w:color="auto"/>
              <w:right w:val="single" w:sz="8" w:color="auto"/>
            </w:tcBorders>
          </w:tcPr>
          <w:p>
            <w:pPr>
              <w:spacing w:after="0"/>
              <w:rPr>
                <w:sz w:val="11"/>
                <w:szCs w:val="11"/>
                <w:color w:val="auto"/>
              </w:rPr>
            </w:pPr>
          </w:p>
        </w:tc>
      </w:tr>
      <w:tr>
        <w:trPr>
          <w:trHeight w:val="318"/>
        </w:trPr>
        <w:tc>
          <w:tcPr>
            <w:tcW w:w="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Art. 46</w:t>
            </w:r>
          </w:p>
        </w:tc>
        <w:tc>
          <w:tcPr>
            <w:tcW w:w="3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Notices and Publications</w:t>
            </w:r>
          </w:p>
        </w:tc>
        <w:tc>
          <w:tcPr>
            <w:tcW w:w="200" w:type="dxa"/>
            <w:vAlign w:val="bottom"/>
            <w:tcBorders>
              <w:right w:val="single" w:sz="8" w:color="auto"/>
            </w:tcBorders>
          </w:tcPr>
          <w:p>
            <w:pPr>
              <w:spacing w:after="0"/>
              <w:rPr>
                <w:sz w:val="24"/>
                <w:szCs w:val="2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Art. 46</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Avis et Publications</w:t>
            </w:r>
          </w:p>
        </w:tc>
      </w:tr>
      <w:tr>
        <w:trPr>
          <w:trHeight w:val="333"/>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Swiss Official Gazette of Commerce is the official</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L'organe de publication légal est la Feuille officielle</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publication medium.</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suisse du commerce.</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Shareholder  communications  and  notices  to  the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Les  communications  et  avis  aux  actionnaires  sont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shareholders shall be made by publication in the Swiss</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effectués par publication dans la Feuille officielle suisse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Official Gazette of Commerce or sent by mail or e-mail</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du commerce ou envoyés par courrier ou e-mail aux</w:t>
            </w:r>
          </w:p>
        </w:tc>
      </w:tr>
      <w:tr>
        <w:trPr>
          <w:trHeight w:val="234"/>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 the contacts registered in the share register.</w:t>
            </w: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coordonnées enregistrées dans le registre des actions.</w:t>
            </w:r>
          </w:p>
        </w:tc>
      </w:tr>
      <w:tr>
        <w:trPr>
          <w:trHeight w:val="108"/>
        </w:trPr>
        <w:tc>
          <w:tcPr>
            <w:tcW w:w="43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4380" w:type="dxa"/>
            <w:vAlign w:val="bottom"/>
            <w:tcBorders>
              <w:bottom w:val="single" w:sz="8" w:color="auto"/>
              <w:right w:val="single" w:sz="8" w:color="auto"/>
            </w:tcBorders>
            <w:gridSpan w:val="2"/>
          </w:tcPr>
          <w:p>
            <w:pPr>
              <w:spacing w:after="0"/>
              <w:rPr>
                <w:sz w:val="9"/>
                <w:szCs w:val="9"/>
                <w:color w:val="auto"/>
              </w:rPr>
            </w:pPr>
          </w:p>
        </w:tc>
      </w:tr>
      <w:tr>
        <w:trPr>
          <w:trHeight w:val="299"/>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Unless the law provides otherwise, notices shall be</w:t>
            </w:r>
          </w:p>
        </w:tc>
        <w:tc>
          <w:tcPr>
            <w:tcW w:w="20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Sauf si la loi en dispose autrement, les avis seront</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given to creditors by publication in the Swiss Official</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envoyés aux créanciers par publication dans la Feuille</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Gazette of Commerce. The Board of Directors may</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officielle   suisse   du   commerce.   Le   conseil</w:t>
            </w:r>
          </w:p>
        </w:tc>
      </w:tr>
      <w:tr>
        <w:trPr>
          <w:trHeight w:val="216"/>
        </w:trPr>
        <w:tc>
          <w:tcPr>
            <w:tcW w:w="43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assign further means of communication.</w:t>
            </w:r>
          </w:p>
        </w:tc>
        <w:tc>
          <w:tcPr>
            <w:tcW w:w="20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d'administration  peut  prévoir  d'autres  moyens  de</w:t>
            </w:r>
          </w:p>
        </w:tc>
      </w:tr>
      <w:tr>
        <w:trPr>
          <w:trHeight w:val="234"/>
        </w:trPr>
        <w:tc>
          <w:tcPr>
            <w:tcW w:w="82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communication.</w:t>
            </w:r>
          </w:p>
        </w:tc>
      </w:tr>
      <w:tr>
        <w:trPr>
          <w:trHeight w:val="108"/>
        </w:trPr>
        <w:tc>
          <w:tcPr>
            <w:tcW w:w="820" w:type="dxa"/>
            <w:vAlign w:val="bottom"/>
            <w:tcBorders>
              <w:left w:val="single" w:sz="8" w:color="auto"/>
              <w:bottom w:val="single" w:sz="8" w:color="auto"/>
            </w:tcBorders>
          </w:tcPr>
          <w:p>
            <w:pPr>
              <w:spacing w:after="0"/>
              <w:rPr>
                <w:sz w:val="9"/>
                <w:szCs w:val="9"/>
                <w:color w:val="auto"/>
              </w:rPr>
            </w:pPr>
          </w:p>
        </w:tc>
        <w:tc>
          <w:tcPr>
            <w:tcW w:w="356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r>
    </w:tbl>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Statuts modifiés lors de la séance du conseil d’administration du 4 mars 2025.</w:t>
      </w: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Copie conforme électronique des statuts de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AC Immune SA (AC Immune AG) (AC Immune Ltd),</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360045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sectPr>
      <w:pgSz w:w="11900" w:h="16838" w:orient="portrait"/>
      <w:cols w:equalWidth="0" w:num="1">
        <w:col w:w="9180"/>
      </w:cols>
      <w:pgMar w:left="1440" w:top="472"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5"/>
    </w:lvl>
  </w:abstractNum>
  <w:abstractNum w:abstractNumId="4">
    <w:nsid w:val="4E6AFB66"/>
    <w:multiLevelType w:val="hybridMultilevel"/>
    <w:lvl w:ilvl="0">
      <w:lvlJc w:val="left"/>
      <w:lvlText w:val="%1."/>
      <w:numFmt w:val="decimal"/>
      <w:start w:val="6"/>
    </w:lvl>
  </w:abstractNum>
  <w:abstractNum w:abstractNumId="5">
    <w:nsid w:val="25E45D32"/>
    <w:multiLevelType w:val="hybridMultilevel"/>
    <w:lvl w:ilvl="0">
      <w:lvlJc w:val="left"/>
      <w:lvlText w:val="%1."/>
      <w:numFmt w:val="decimal"/>
      <w:start w:val="8"/>
    </w:lvl>
  </w:abstractNum>
  <w:abstractNum w:abstractNumId="6">
    <w:nsid w:val="519B500D"/>
    <w:multiLevelType w:val="hybridMultilevel"/>
    <w:lvl w:ilvl="0">
      <w:lvlJc w:val="left"/>
      <w:lvlText w:val="%1."/>
      <w:numFmt w:val="decimal"/>
      <w:start w:val="9"/>
    </w:lvl>
  </w:abstractNum>
  <w:abstractNum w:abstractNumId="7">
    <w:nsid w:val="431BD7B7"/>
    <w:multiLevelType w:val="hybridMultilevel"/>
    <w:lvl w:ilvl="0">
      <w:lvlJc w:val="left"/>
      <w:lvlText w:val="%1."/>
      <w:numFmt w:val="decimal"/>
      <w:start w:val="12"/>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lvl w:ilvl="1">
      <w:lvlJc w:val="left"/>
      <w:lvlText w:val="o"/>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2"/>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2"/>
      <w:numFmt w:val="bullet"/>
      <w:start w:val="1"/>
    </w:lvl>
  </w:abstractNum>
  <w:abstractNum w:abstractNumId="19">
    <w:nsid w:val="75A2A8D4"/>
    <w:multiLevelType w:val="hybridMultilevel"/>
    <w:lvl w:ilvl="0">
      <w:lvlJc w:val="left"/>
      <w:lvlText w:val="(%1)"/>
      <w:numFmt w:val="lowerRoman"/>
      <w:start w:val="5"/>
    </w:lvl>
  </w:abstractNum>
  <w:abstractNum w:abstractNumId="20">
    <w:nsid w:val="8EDBDAB"/>
    <w:multiLevelType w:val="hybridMultilevel"/>
    <w:lvl w:ilvl="0">
      <w:lvlJc w:val="left"/>
      <w:lvlText w:val="(%1)"/>
      <w:numFmt w:val="lowerRoman"/>
      <w:start w:val="2"/>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lvl w:ilvl="1">
      <w:lvlJc w:val="left"/>
      <w:lvlText w:val="o"/>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2025-04-30T06:20:58Z</dcterms:created>
  <dcterms:modified xsi:type="dcterms:W3CDTF">2025-04-30T06:20:58Z</dcterms:modified>
</cp:coreProperties>
</file>