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___)*</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Issuer)</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(Title of Class of Securities)</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H00263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4"/>
          <w:szCs w:val="14"/>
          <w:color w:val="auto"/>
        </w:rPr>
        <w:t>(CUSIP Number)</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4"/>
          <w:szCs w:val="24"/>
          <w:color w:val="auto"/>
        </w:rPr>
      </w:pPr>
    </w:p>
    <w:p>
      <w:pPr>
        <w:ind w:firstLine="332"/>
        <w:spacing w:after="0" w:line="261"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103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gridSpan w:val="5"/>
          </w:tcPr>
          <w:p>
            <w:pPr>
              <w:jc w:val="right"/>
              <w:ind w:right="472"/>
              <w:spacing w:after="0"/>
              <w:rPr>
                <w:sz w:val="20"/>
                <w:szCs w:val="20"/>
                <w:color w:val="auto"/>
              </w:rPr>
            </w:pPr>
            <w:r>
              <w:rPr>
                <w:rFonts w:ascii="Arial" w:cs="Arial" w:eastAsia="Arial" w:hAnsi="Arial"/>
                <w:sz w:val="22"/>
                <w:szCs w:val="22"/>
                <w:b w:val="1"/>
                <w:bCs w:val="1"/>
                <w:color w:val="auto"/>
                <w:w w:val="91"/>
              </w:rPr>
              <w:t>CUSIP No. H00263 105</w:t>
            </w:r>
          </w:p>
        </w:tc>
        <w:tc>
          <w:tcPr>
            <w:tcW w:w="290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25"/>
                <w:szCs w:val="25"/>
                <w:b w:val="1"/>
                <w:bCs w:val="1"/>
                <w:color w:val="auto"/>
              </w:rPr>
              <w:t>13G</w:t>
            </w: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3"/>
          </w:tcPr>
          <w:p>
            <w:pPr>
              <w:spacing w:after="0"/>
              <w:rPr>
                <w:sz w:val="18"/>
                <w:szCs w:val="18"/>
                <w:color w:val="auto"/>
              </w:rPr>
            </w:pPr>
          </w:p>
        </w:tc>
        <w:tc>
          <w:tcPr>
            <w:tcW w:w="5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6"/>
              </w:rPr>
              <w:t>1.</w:t>
            </w:r>
          </w:p>
        </w:tc>
        <w:tc>
          <w:tcPr>
            <w:tcW w:w="140" w:type="dxa"/>
            <w:vAlign w:val="bottom"/>
            <w:tcBorders>
              <w:right w:val="single" w:sz="8" w:color="auto"/>
            </w:tcBorders>
          </w:tcPr>
          <w:p>
            <w:pPr>
              <w:spacing w:after="0"/>
              <w:rPr>
                <w:sz w:val="22"/>
                <w:szCs w:val="22"/>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5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Andrea Pfeifer</w:t>
            </w:r>
          </w:p>
        </w:tc>
        <w:tc>
          <w:tcPr>
            <w:tcW w:w="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gridSpan w:val="3"/>
          </w:tcPr>
          <w:p>
            <w:pPr>
              <w:spacing w:after="0"/>
              <w:rPr>
                <w:sz w:val="5"/>
                <w:szCs w:val="5"/>
                <w:color w:val="auto"/>
              </w:rPr>
            </w:pPr>
          </w:p>
        </w:tc>
        <w:tc>
          <w:tcPr>
            <w:tcW w:w="5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6"/>
              </w:rPr>
              <w:t>2.</w:t>
            </w:r>
          </w:p>
        </w:tc>
        <w:tc>
          <w:tcPr>
            <w:tcW w:w="140" w:type="dxa"/>
            <w:vAlign w:val="bottom"/>
            <w:tcBorders>
              <w:right w:val="single" w:sz="8" w:color="auto"/>
            </w:tcBorders>
          </w:tcPr>
          <w:p>
            <w:pPr>
              <w:spacing w:after="0"/>
              <w:rPr>
                <w:sz w:val="24"/>
                <w:szCs w:val="24"/>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w w:val="95"/>
              </w:rPr>
              <w:t>CHECK THE APPROPRIATE BOX IF A MEMBER OF A GROUP</w:t>
            </w:r>
          </w:p>
        </w:tc>
        <w:tc>
          <w:tcPr>
            <w:tcW w:w="5760" w:type="dxa"/>
            <w:vAlign w:val="bottom"/>
            <w:tcBorders>
              <w:right w:val="single" w:sz="8" w:color="auto"/>
            </w:tcBorders>
          </w:tcPr>
          <w:p>
            <w:pPr>
              <w:ind w:left="4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ind w:left="4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5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6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6"/>
              </w:rPr>
              <w:t>3.</w:t>
            </w: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gridSpan w:val="3"/>
          </w:tcPr>
          <w:p>
            <w:pPr>
              <w:spacing w:after="0"/>
              <w:rPr>
                <w:sz w:val="5"/>
                <w:szCs w:val="5"/>
                <w:color w:val="auto"/>
              </w:rPr>
            </w:pPr>
          </w:p>
        </w:tc>
        <w:tc>
          <w:tcPr>
            <w:tcW w:w="5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6"/>
              </w:rPr>
              <w:t>4.</w:t>
            </w:r>
          </w:p>
        </w:tc>
        <w:tc>
          <w:tcPr>
            <w:tcW w:w="140" w:type="dxa"/>
            <w:vAlign w:val="bottom"/>
            <w:tcBorders>
              <w:right w:val="single" w:sz="8" w:color="auto"/>
            </w:tcBorders>
          </w:tcPr>
          <w:p>
            <w:pPr>
              <w:spacing w:after="0"/>
              <w:rPr>
                <w:sz w:val="24"/>
                <w:szCs w:val="24"/>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German</w:t>
            </w: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97"/>
              </w:rPr>
              <w:t>5.</w:t>
            </w:r>
          </w:p>
        </w:tc>
        <w:tc>
          <w:tcPr>
            <w:tcW w:w="2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5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3,076,500 (1)</w:t>
            </w:r>
          </w:p>
        </w:tc>
        <w:tc>
          <w:tcPr>
            <w:tcW w:w="5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8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5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5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5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tcBorders>
          </w:tcPr>
          <w:p>
            <w:pPr>
              <w:spacing w:after="0"/>
              <w:rPr>
                <w:sz w:val="12"/>
                <w:szCs w:val="12"/>
                <w:color w:val="auto"/>
              </w:rPr>
            </w:pPr>
          </w:p>
        </w:tc>
        <w:tc>
          <w:tcPr>
            <w:tcW w:w="128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4"/>
              </w:rPr>
              <w:t>SHARES</w:t>
            </w:r>
          </w:p>
        </w:tc>
        <w:tc>
          <w:tcPr>
            <w:tcW w:w="38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332"/>
              <w:spacing w:after="0" w:line="217" w:lineRule="exact"/>
              <w:rPr>
                <w:sz w:val="20"/>
                <w:szCs w:val="20"/>
                <w:color w:val="auto"/>
              </w:rPr>
            </w:pPr>
            <w:r>
              <w:rPr>
                <w:rFonts w:ascii="Arial" w:cs="Arial" w:eastAsia="Arial" w:hAnsi="Arial"/>
                <w:sz w:val="22"/>
                <w:szCs w:val="22"/>
                <w:b w:val="1"/>
                <w:bCs w:val="1"/>
                <w:color w:val="auto"/>
                <w:w w:val="97"/>
              </w:rPr>
              <w:t>6.</w:t>
            </w:r>
          </w:p>
        </w:tc>
        <w:tc>
          <w:tcPr>
            <w:tcW w:w="2900" w:type="dxa"/>
            <w:vAlign w:val="bottom"/>
            <w:vMerge w:val="continue"/>
          </w:tcPr>
          <w:p>
            <w:pPr>
              <w:spacing w:after="0"/>
              <w:rPr>
                <w:sz w:val="12"/>
                <w:szCs w:val="12"/>
                <w:color w:val="auto"/>
              </w:rPr>
            </w:pPr>
          </w:p>
        </w:tc>
        <w:tc>
          <w:tcPr>
            <w:tcW w:w="5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1280" w:type="dxa"/>
            <w:vAlign w:val="bottom"/>
            <w:tcBorders>
              <w:right w:val="single" w:sz="8" w:color="auto"/>
            </w:tcBorders>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5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900" w:type="dxa"/>
            <w:vAlign w:val="bottom"/>
            <w:vMerge w:val="continue"/>
          </w:tcPr>
          <w:p>
            <w:pPr>
              <w:spacing w:after="0"/>
              <w:rPr>
                <w:sz w:val="14"/>
                <w:szCs w:val="14"/>
                <w:color w:val="auto"/>
              </w:rPr>
            </w:pPr>
          </w:p>
        </w:tc>
        <w:tc>
          <w:tcPr>
            <w:tcW w:w="5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5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380" w:type="dxa"/>
            <w:vAlign w:val="bottom"/>
          </w:tcPr>
          <w:p>
            <w:pPr>
              <w:spacing w:after="0"/>
              <w:rPr>
                <w:sz w:val="15"/>
                <w:szCs w:val="15"/>
                <w:color w:val="auto"/>
              </w:rPr>
            </w:pPr>
          </w:p>
        </w:tc>
        <w:tc>
          <w:tcPr>
            <w:tcW w:w="64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97"/>
              </w:rPr>
              <w:t>7.</w:t>
            </w: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5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5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3,076,500 (1)</w:t>
            </w:r>
          </w:p>
        </w:tc>
        <w:tc>
          <w:tcPr>
            <w:tcW w:w="5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gridSpan w:val="3"/>
            <w:vMerge w:val="restart"/>
          </w:tcPr>
          <w:p>
            <w:pPr>
              <w:jc w:val="center"/>
              <w:spacing w:after="0" w:line="157" w:lineRule="exact"/>
              <w:rPr>
                <w:sz w:val="20"/>
                <w:szCs w:val="20"/>
                <w:color w:val="auto"/>
              </w:rPr>
            </w:pPr>
            <w:r>
              <w:rPr>
                <w:rFonts w:ascii="Arial" w:cs="Arial" w:eastAsia="Arial" w:hAnsi="Arial"/>
                <w:sz w:val="18"/>
                <w:szCs w:val="18"/>
                <w:color w:val="auto"/>
                <w:w w:val="94"/>
              </w:rPr>
              <w:t>PERSON WITH</w:t>
            </w:r>
          </w:p>
        </w:tc>
        <w:tc>
          <w:tcPr>
            <w:tcW w:w="38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5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5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97"/>
              </w:rPr>
              <w:t>8.</w:t>
            </w:r>
          </w:p>
        </w:tc>
        <w:tc>
          <w:tcPr>
            <w:tcW w:w="2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5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5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6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5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bottom w:val="single" w:sz="8" w:color="auto"/>
              <w:right w:val="single" w:sz="8" w:color="auto"/>
            </w:tcBorders>
            <w:gridSpan w:val="3"/>
          </w:tcPr>
          <w:p>
            <w:pPr>
              <w:spacing w:after="0"/>
              <w:rPr>
                <w:sz w:val="5"/>
                <w:szCs w:val="5"/>
                <w:color w:val="auto"/>
              </w:rPr>
            </w:pPr>
          </w:p>
        </w:tc>
        <w:tc>
          <w:tcPr>
            <w:tcW w:w="1020" w:type="dxa"/>
            <w:vAlign w:val="bottom"/>
            <w:tcBorders>
              <w:bottom w:val="single" w:sz="8" w:color="auto"/>
              <w:right w:val="single" w:sz="8" w:color="auto"/>
            </w:tcBorders>
            <w:gridSpan w:val="2"/>
          </w:tcPr>
          <w:p>
            <w:pPr>
              <w:spacing w:after="0"/>
              <w:rPr>
                <w:sz w:val="5"/>
                <w:szCs w:val="5"/>
                <w:color w:val="auto"/>
              </w:rPr>
            </w:pPr>
          </w:p>
        </w:tc>
        <w:tc>
          <w:tcPr>
            <w:tcW w:w="86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6"/>
              </w:rPr>
              <w:t>9.</w:t>
            </w:r>
          </w:p>
        </w:tc>
        <w:tc>
          <w:tcPr>
            <w:tcW w:w="216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86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36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3,076,500 (1)</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108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22"/>
                <w:szCs w:val="22"/>
                <w:b w:val="1"/>
                <w:bCs w:val="1"/>
                <w:color w:val="auto"/>
                <w:w w:val="84"/>
              </w:rPr>
              <w:t>10.</w:t>
            </w:r>
          </w:p>
        </w:tc>
        <w:tc>
          <w:tcPr>
            <w:tcW w:w="10820" w:type="dxa"/>
            <w:vAlign w:val="bottom"/>
            <w:tcBorders>
              <w:right w:val="single" w:sz="8" w:color="auto"/>
            </w:tcBorders>
            <w:gridSpan w:val="5"/>
          </w:tcPr>
          <w:p>
            <w:pPr>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520" w:type="dxa"/>
            <w:vAlign w:val="bottom"/>
            <w:gridSpan w:val="2"/>
          </w:tcPr>
          <w:p>
            <w:pPr>
              <w:spacing w:after="0" w:line="183" w:lineRule="exact"/>
              <w:rPr>
                <w:sz w:val="20"/>
                <w:szCs w:val="20"/>
                <w:color w:val="auto"/>
              </w:rPr>
            </w:pPr>
            <w:r>
              <w:rPr>
                <w:rFonts w:ascii="Arial" w:cs="Arial" w:eastAsia="Arial" w:hAnsi="Arial"/>
                <w:sz w:val="18"/>
                <w:szCs w:val="18"/>
                <w:color w:val="auto"/>
                <w:w w:val="94"/>
              </w:rPr>
              <w:t>CERTAIN SHARES</w:t>
            </w:r>
          </w:p>
        </w:tc>
        <w:tc>
          <w:tcPr>
            <w:tcW w:w="6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52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5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4"/>
              </w:rPr>
              <w:t>11.</w:t>
            </w:r>
          </w:p>
        </w:tc>
        <w:tc>
          <w:tcPr>
            <w:tcW w:w="5060" w:type="dxa"/>
            <w:vAlign w:val="bottom"/>
            <w:gridSpan w:val="4"/>
          </w:tcPr>
          <w:p>
            <w:pPr>
              <w:spacing w:after="0"/>
              <w:rPr>
                <w:sz w:val="20"/>
                <w:szCs w:val="20"/>
                <w:color w:val="auto"/>
              </w:rPr>
            </w:pPr>
            <w:r>
              <w:rPr>
                <w:rFonts w:ascii="Arial" w:cs="Arial" w:eastAsia="Arial" w:hAnsi="Arial"/>
                <w:sz w:val="18"/>
                <w:szCs w:val="18"/>
                <w:color w:val="auto"/>
                <w:w w:val="94"/>
              </w:rPr>
              <w:t>PERCENT OF CLASS REPRESENTED BY AMOUNT IN ROW (9)</w:t>
            </w:r>
          </w:p>
        </w:tc>
        <w:tc>
          <w:tcPr>
            <w:tcW w:w="5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5.46% (2)</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5060" w:type="dxa"/>
            <w:vAlign w:val="bottom"/>
            <w:tcBorders>
              <w:bottom w:val="single" w:sz="8" w:color="auto"/>
            </w:tcBorders>
            <w:gridSpan w:val="4"/>
          </w:tcPr>
          <w:p>
            <w:pPr>
              <w:spacing w:after="0"/>
              <w:rPr>
                <w:sz w:val="18"/>
                <w:szCs w:val="18"/>
                <w:color w:val="auto"/>
              </w:rPr>
            </w:pPr>
          </w:p>
        </w:tc>
        <w:tc>
          <w:tcPr>
            <w:tcW w:w="5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4"/>
              </w:rPr>
              <w:t>12.</w:t>
            </w:r>
          </w:p>
        </w:tc>
        <w:tc>
          <w:tcPr>
            <w:tcW w:w="506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5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IN</w:t>
            </w: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5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2,908,500 common shares held by the reporting person and options to purchase 168,000 common shares exercisable within 60 days of December 31,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56,296,042 common shares outstanding as of September 30,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Andrea Pfeifer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German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H00263 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37" w:lineRule="exact"/>
        <w:rPr>
          <w:sz w:val="20"/>
          <w:szCs w:val="20"/>
          <w:color w:val="auto"/>
        </w:rPr>
      </w:pPr>
    </w:p>
    <w:p>
      <w:pPr>
        <w:ind w:left="980" w:hanging="648"/>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3,076,500 common shares, consisting of 2,908,500 common shares held by the reporting person and options to purchase 168,000 common shares exercisable within 60 days of December 31, 2016.</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5.46%, based on 56,296,042 common shares outstanding as of September 30, 2016</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00" w:hanging="317"/>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3,076,500</w:t>
      </w:r>
    </w:p>
    <w:p>
      <w:pPr>
        <w:spacing w:after="0" w:line="225" w:lineRule="exact"/>
        <w:rPr>
          <w:rFonts w:ascii="Arial" w:cs="Arial" w:eastAsia="Arial" w:hAnsi="Arial"/>
          <w:sz w:val="18"/>
          <w:szCs w:val="18"/>
          <w:color w:val="auto"/>
        </w:rPr>
      </w:pPr>
    </w:p>
    <w:p>
      <w:pPr>
        <w:ind w:left="1500" w:hanging="317"/>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500" w:hanging="317"/>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3,076,500</w:t>
      </w:r>
    </w:p>
    <w:p>
      <w:pPr>
        <w:spacing w:after="0" w:line="225" w:lineRule="exact"/>
        <w:rPr>
          <w:rFonts w:ascii="Arial" w:cs="Arial" w:eastAsia="Arial" w:hAnsi="Arial"/>
          <w:sz w:val="18"/>
          <w:szCs w:val="18"/>
          <w:color w:val="auto"/>
        </w:rPr>
      </w:pPr>
    </w:p>
    <w:p>
      <w:pPr>
        <w:ind w:left="1500" w:hanging="317"/>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580"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580" w:right="899" w:bottom="1440" w:gutter="0" w:footer="0" w:header="0"/>
        </w:sectPr>
      </w:pPr>
    </w:p>
    <w:bookmarkStart w:id="4" w:name="page5"/>
    <w:bookmarkEnd w:id="4"/>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(Date)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(Signature)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389890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2019-12-08T03:40:18Z</dcterms:created>
  <dcterms:modified xsi:type="dcterms:W3CDTF">2019-12-08T03:40:18Z</dcterms:modified>
</cp:coreProperties>
</file>