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16020_6k.htm"/>
      <w:bookmarkStart w:id="1" w:name="ksdp216020_6k"/>
      <w:bookmarkEnd w:id="0"/>
      <w:bookmarkEnd w:id="1"/>
      <w:r>
        <w:rPr/>
        <w:t> </w:t>
      </w:r>
    </w:p>
    <w:p>
      <w:pPr>
        <w:pStyle w:val="TextBody"/>
        <w:bidi w:val="0"/>
        <w:ind w:left="0" w:right="0" w:hanging="0"/>
        <w:jc w:val="left"/>
        <w:rPr/>
      </w:pPr>
      <w:r>
        <w:rPr/>
        <w:t>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UNITED STATES</w:t>
        <w:b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6"/>
        </w:rPr>
      </w:pPr>
      <w:r>
        <w:rPr>
          <w:rFonts w:ascii="Times New Roman;Times;Serif" w:hAnsi="Times New Roman;Times;Serif"/>
          <w:b w:val="false"/>
          <w:i w:val="false"/>
          <w:caps w:val="false"/>
          <w:smallCaps w:val="false"/>
          <w:sz w:val="26"/>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REPORT OF FOREIGN PRIVATE ISSUER PURSUANT TO RULE 13a-16 OR</w:t>
        <w:br/>
        <w:t>15d-16 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For the month of August,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Commission file number: 001-37891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AC IMMUNE SA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EPFL Innovation Park</w:t>
        <w:br/>
        <w:t>Building B</w:t>
        <w:br/>
        <w:t>1015 Lausanne, Switzerland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2024, AC Immune SA (the “Company”), entered into an Open Market Sales Agreement (the “Open Market Sales Agreement”) with Jefferies LLC (the “Agent”) to replace its existing "at the market" program with the Agent. Pursuant to the terms of the Open Market Sales Agreement, the Company may sell from time to time through or to the Agent, as the Company’s sales agent, shares of the Company’s common shares, nominal value CHF 0.02, having the same aggregate offering price as the Company's existing "at the market" program, of up to $80,000,000 (the “Shares”). The sales, if any, of the Shares under the Open Market Sales Agreement will be made by any method permitted by law deemed to be an “at the market offering” as defined in Rule 415 promulgated under the Securities Act of 1933, as amended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sales of Shares through the Agent, as the Company’s sales agent, the Company will pay the Agent a commission at a mutually agreed rate up to 3.0% of the gross sales price per Share. In addition, the Company has agreed to pay certain expenses incurred by the Agent in connection with the offering. The Company may also sell Shares to the Agent as principal for such Agent’s own account at a price agreed upon at the time of sale. The Company has no obligation to sell any shares under the Open Market Sales Agreement, and may at any time suspend the offering of shares under the Open Market Sales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 Market Sales Agreement contains customary representations and warranties of the parties and indemnification and contribution provisions under which the Company and the Agent have agreed to indemnify each other against certain liabilities, including liabilities under the Securities Act. The Company expects to use the net proceeds from sales, if any, under the Open Market Sales Agreement of the Shares, for research and clinical development of current and/or additional pipeline candidates, our technology platforms, working capital, capital expenditures and general corporate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warranties and covenants contained in the Open Market Sales Agreement were made only for purposes of that agreement and as of specific dates, were solely for the benefit of the parties to the Open Market Sales Agreement and may be subject to limitations agreed upon by the parties, including being qualified by confidential disclosures made by each contracting party to the other as a way of allocating contractual risk between them that differ from those applicable to investors. Moreover, the subject matter of the representations and warranties are subject to more recent developments. Accordingly, investors should be aware that these representations, warranties and covenants or any description thereof alone may not describe the actual state of affairs of the Company or its subsidiaries, affiliates, businesses or shareholders as of the date they were made or at any other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will be issued pursuant to the Company’s shelf registration statement on Form F-3 (File No. 333-277940). The Company filed a prospectus supplement, dated August 6, 2024, with the Securities and Exchange Commission in connection with the offer and sale of the Shares pursuant to the Open Market Sales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Open Market Sales Agreement is not complete and is qualified in its entirety by reference to the full text of such agreement, a copy of which is filed herewith as Exhibit 1.1 to this Current Report on Form 6-K and is incorporated herein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opinion of Bär &amp; Karrer Ltd. relating to the common shares being offered is filed as Exhibit 5.1 to this Current Report on Form 6-K.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1400"/>
        <w:gridCol w:w="8330"/>
      </w:tblGrid>
      <w:tr>
        <w:trPr/>
        <w:tc>
          <w:tcPr>
            <w:tcW w:w="140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833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400" w:type="dxa"/>
            <w:tcBorders/>
            <w:vAlign w:val="center"/>
          </w:tcPr>
          <w:p>
            <w:pPr>
              <w:pStyle w:val="TableContents"/>
              <w:bidi w:val="0"/>
              <w:spacing w:before="0" w:after="283"/>
              <w:jc w:val="center"/>
              <w:rPr/>
            </w:pPr>
            <w:hyperlink w:anchor="dp216020_ex0101.htm">
              <w:r>
                <w:rPr>
                  <w:rStyle w:val="InternetLink"/>
                  <w:rFonts w:ascii="Times New Roman;Times;Serif" w:hAnsi="Times New Roman;Times;Serif"/>
                  <w:b w:val="false"/>
                  <w:sz w:val="20"/>
                </w:rPr>
                <w:t>1.1</w:t>
              </w:r>
            </w:hyperlink>
          </w:p>
        </w:tc>
        <w:tc>
          <w:tcPr>
            <w:tcW w:w="8330" w:type="dxa"/>
            <w:tcBorders/>
            <w:vAlign w:val="center"/>
          </w:tcPr>
          <w:p>
            <w:pPr>
              <w:pStyle w:val="TableContents"/>
              <w:bidi w:val="0"/>
              <w:spacing w:before="0" w:after="283"/>
              <w:jc w:val="left"/>
              <w:rPr/>
            </w:pPr>
            <w:hyperlink w:anchor="dp216020_ex0101.htm">
              <w:r>
                <w:rPr>
                  <w:rStyle w:val="InternetLink"/>
                  <w:rFonts w:ascii="Times New Roman;Times;Serif" w:hAnsi="Times New Roman;Times;Serif"/>
                  <w:sz w:val="20"/>
                </w:rPr>
                <w:t>Open Market Sales Agreement, dated as of August 6, 2024, between AC Immune SA and Jefferies LLC.</w:t>
              </w:r>
            </w:hyperlink>
          </w:p>
        </w:tc>
      </w:tr>
      <w:tr>
        <w:trPr/>
        <w:tc>
          <w:tcPr>
            <w:tcW w:w="1400" w:type="dxa"/>
            <w:tcBorders/>
            <w:vAlign w:val="center"/>
          </w:tcPr>
          <w:p>
            <w:pPr>
              <w:pStyle w:val="TableContents"/>
              <w:bidi w:val="0"/>
              <w:spacing w:before="0" w:after="283"/>
              <w:jc w:val="center"/>
              <w:rPr/>
            </w:pPr>
            <w:r>
              <w:rPr/>
              <w:t> </w:t>
            </w:r>
          </w:p>
        </w:tc>
        <w:tc>
          <w:tcPr>
            <w:tcW w:w="833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center"/>
              <w:rPr/>
            </w:pPr>
            <w:hyperlink w:anchor="dp216020_ex0501.htm">
              <w:r>
                <w:rPr>
                  <w:rStyle w:val="InternetLink"/>
                  <w:rFonts w:ascii="Times New Roman;Times;Serif" w:hAnsi="Times New Roman;Times;Serif"/>
                  <w:b w:val="false"/>
                  <w:sz w:val="20"/>
                </w:rPr>
                <w:t>5.1</w:t>
              </w:r>
            </w:hyperlink>
          </w:p>
        </w:tc>
        <w:tc>
          <w:tcPr>
            <w:tcW w:w="8330" w:type="dxa"/>
            <w:tcBorders/>
            <w:vAlign w:val="center"/>
          </w:tcPr>
          <w:p>
            <w:pPr>
              <w:pStyle w:val="TableContents"/>
              <w:bidi w:val="0"/>
              <w:spacing w:before="0" w:after="283"/>
              <w:jc w:val="left"/>
              <w:rPr/>
            </w:pPr>
            <w:hyperlink w:anchor="dp216020_ex0501.htm">
              <w:r>
                <w:rPr>
                  <w:rStyle w:val="InternetLink"/>
                  <w:rFonts w:ascii="Times New Roman;Times;Serif" w:hAnsi="Times New Roman;Times;Serif"/>
                  <w:sz w:val="20"/>
                </w:rPr>
                <w:t>Opinion of Bär &amp; Karrer Ltd.</w:t>
              </w:r>
            </w:hyperlink>
          </w:p>
        </w:tc>
      </w:tr>
      <w:tr>
        <w:trPr/>
        <w:tc>
          <w:tcPr>
            <w:tcW w:w="1400" w:type="dxa"/>
            <w:tcBorders/>
            <w:vAlign w:val="center"/>
          </w:tcPr>
          <w:p>
            <w:pPr>
              <w:pStyle w:val="TableContents"/>
              <w:bidi w:val="0"/>
              <w:spacing w:before="0" w:after="283"/>
              <w:jc w:val="center"/>
              <w:rPr/>
            </w:pPr>
            <w:r>
              <w:rPr/>
              <w:t> </w:t>
            </w:r>
          </w:p>
        </w:tc>
        <w:tc>
          <w:tcPr>
            <w:tcW w:w="833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center"/>
              <w:rPr/>
            </w:pPr>
            <w:hyperlink w:anchor="dp216020_ex0501.htm">
              <w:r>
                <w:rPr>
                  <w:rStyle w:val="InternetLink"/>
                  <w:rFonts w:ascii="Times New Roman;Times;Serif" w:hAnsi="Times New Roman;Times;Serif"/>
                  <w:b w:val="false"/>
                  <w:sz w:val="20"/>
                </w:rPr>
                <w:t>23.1</w:t>
              </w:r>
            </w:hyperlink>
          </w:p>
        </w:tc>
        <w:tc>
          <w:tcPr>
            <w:tcW w:w="8330" w:type="dxa"/>
            <w:tcBorders/>
            <w:vAlign w:val="center"/>
          </w:tcPr>
          <w:p>
            <w:pPr>
              <w:pStyle w:val="TableContents"/>
              <w:bidi w:val="0"/>
              <w:spacing w:before="0" w:after="283"/>
              <w:jc w:val="left"/>
              <w:rPr/>
            </w:pPr>
            <w:hyperlink w:anchor="dp216020_ex0501.htm">
              <w:r>
                <w:rPr>
                  <w:rStyle w:val="InternetLink"/>
                  <w:rFonts w:ascii="Times New Roman;Times;Serif" w:hAnsi="Times New Roman;Times;Serif"/>
                  <w:b w:val="false"/>
                  <w:sz w:val="20"/>
                </w:rPr>
                <w:t>Consent of Bär &amp; Karrer Ltd. (included in Exhibit 5.1).</w:t>
              </w:r>
            </w:hyperlink>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2895" w:type="dxa"/>
        <w:jc w:val="left"/>
        <w:tblInd w:w="0" w:type="dxa"/>
        <w:tblLayout w:type="fixed"/>
        <w:tblCellMar>
          <w:top w:w="0" w:type="dxa"/>
          <w:left w:w="0" w:type="dxa"/>
          <w:bottom w:w="0" w:type="dxa"/>
          <w:right w:w="0" w:type="dxa"/>
        </w:tblCellMar>
      </w:tblPr>
      <w:tblGrid>
        <w:gridCol w:w="75"/>
        <w:gridCol w:w="320"/>
        <w:gridCol w:w="545"/>
        <w:gridCol w:w="1955"/>
      </w:tblGrid>
      <w:tr>
        <w:trPr/>
        <w:tc>
          <w:tcPr>
            <w:tcW w:w="75" w:type="dxa"/>
            <w:tcBorders/>
            <w:vAlign w:val="center"/>
          </w:tcPr>
          <w:p>
            <w:pPr>
              <w:pStyle w:val="TableContents"/>
              <w:bidi w:val="0"/>
              <w:spacing w:before="0" w:after="283"/>
              <w:jc w:val="left"/>
              <w:rPr/>
            </w:pPr>
            <w:r>
              <w:rPr/>
              <w:t> </w:t>
            </w:r>
          </w:p>
        </w:tc>
        <w:tc>
          <w:tcPr>
            <w:tcW w:w="2820" w:type="dxa"/>
            <w:gridSpan w:val="3"/>
            <w:tcBorders/>
            <w:vAlign w:val="center"/>
          </w:tcPr>
          <w:p>
            <w:pPr>
              <w:pStyle w:val="TableContents"/>
              <w:bidi w:val="0"/>
              <w:spacing w:before="0" w:after="283"/>
              <w:jc w:val="left"/>
              <w:rPr>
                <w:b/>
                <w:sz w:val="20"/>
              </w:rPr>
            </w:pPr>
            <w:r>
              <w:rPr>
                <w:b/>
                <w:sz w:val="20"/>
              </w:rPr>
              <w:t>AC IMMUNE SA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Andrea Pfeifer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pPr>
            <w:r>
              <w:rPr/>
              <w:t> </w:t>
            </w:r>
            <w:r>
              <w:rPr>
                <w:sz w:val="20"/>
              </w:rPr>
              <w:t>Andrea Pfeifer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Christopher Roberts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pPr>
            <w:r>
              <w:rPr/>
              <w:t> </w:t>
            </w:r>
            <w:r>
              <w:rPr>
                <w:sz w:val="20"/>
              </w:rPr>
              <w:t>Christopher Roberts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right"/>
        <w:rPr>
          <w:b/>
        </w:rPr>
      </w:pPr>
      <w:bookmarkStart w:id="2" w:name="dp216020_ex0101.htm"/>
      <w:bookmarkStart w:id="3" w:name="ksdp216020_ex0101"/>
      <w:bookmarkEnd w:id="2"/>
      <w:bookmarkEnd w:id="3"/>
      <w:r>
        <w:rPr>
          <w:b/>
        </w:rPr>
        <w:t>Exhibit 1.1</w:t>
      </w:r>
      <w:r>
        <w:br w:type="page"/>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OPEN MARKET SALE AGREEMENT</w:t>
      </w:r>
      <w:r>
        <w:rPr>
          <w:rFonts w:ascii="Times New Roman;Times;Serif" w:hAnsi="Times New Roman;Times;Serif"/>
          <w:b/>
          <w:i w:val="false"/>
          <w:caps w:val="false"/>
          <w:smallCaps w:val="false"/>
          <w:position w:val="7"/>
          <w:sz w:val="16"/>
          <w:sz w:val="20"/>
        </w:rPr>
        <w:t>SM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br/>
        <w:t>520 Madison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r>
        <w:rPr>
          <w:rFonts w:ascii="Times New Roman;Times;Serif" w:hAnsi="Times New Roman;Times;Serif"/>
          <w:b/>
          <w:i w:val="false"/>
          <w:caps w:val="false"/>
          <w:smallCaps w:val="false"/>
          <w:sz w:val="20"/>
        </w:rPr>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SA, a company limited by shares (</w:t>
      </w:r>
      <w:r>
        <w:rPr>
          <w:rFonts w:ascii="Times New Roman;Times;Serif" w:hAnsi="Times New Roman;Times;Serif"/>
          <w:b w:val="false"/>
          <w:i/>
          <w:caps w:val="false"/>
          <w:smallCaps w:val="false"/>
          <w:sz w:val="20"/>
        </w:rPr>
        <w:t>Aktiengesellschaft</w:t>
      </w:r>
      <w:r>
        <w:rPr>
          <w:rFonts w:ascii="Times New Roman;Times;Serif" w:hAnsi="Times New Roman;Times;Serif"/>
          <w:b w:val="false"/>
          <w:i w:val="false"/>
          <w:caps w:val="false"/>
          <w:smallCaps w:val="false"/>
          <w:sz w:val="20"/>
        </w:rPr>
        <w:t>) incorporated under the laws of Switzerland, with registered seat in Ecublens (VD), Switzerland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proposes, subject to the conditions stated herein, to sell from time to time through Jefferies LLC, as sales agent and/or principal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the Company’s common shares, nominal value CHF 0.02 per share (the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having an aggregate offering price of up to $80.0 million on the terms set forth in this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Execution of this Agreement will supersede and replace the existing open market sale agreement (the “</w:t>
      </w:r>
      <w:r>
        <w:rPr>
          <w:rFonts w:ascii="Times New Roman;Times;Serif" w:hAnsi="Times New Roman;Times;Serif"/>
          <w:b/>
          <w:i w:val="false"/>
          <w:caps w:val="false"/>
          <w:smallCaps w:val="false"/>
          <w:sz w:val="20"/>
        </w:rPr>
        <w:t>Existing Agreement</w:t>
      </w:r>
      <w:r>
        <w:rPr>
          <w:rFonts w:ascii="Times New Roman;Times;Serif" w:hAnsi="Times New Roman;Times;Serif"/>
          <w:b w:val="false"/>
          <w:i w:val="false"/>
          <w:caps w:val="false"/>
          <w:smallCaps w:val="false"/>
          <w:sz w:val="20"/>
        </w:rPr>
        <w:t>”) between the Company and the Agent, dated May 5, 2021, with both parties acknowledging that the Existing Agreement has been terminated as of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Agreement, capitalized terms used herein and not otherwise defined shall have the following respective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Agency Period</w:t>
      </w:r>
      <w:r>
        <w:rPr>
          <w:rFonts w:ascii="Times New Roman;Times;Serif" w:hAnsi="Times New Roman;Times;Serif"/>
          <w:b w:val="false"/>
          <w:i w:val="false"/>
          <w:caps w:val="false"/>
          <w:smallCaps w:val="false"/>
          <w:sz w:val="20"/>
        </w:rPr>
        <w:t>”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Fiduciary</w:t>
      </w:r>
      <w:r>
        <w:rPr>
          <w:rFonts w:ascii="Times New Roman;Times;Serif" w:hAnsi="Times New Roman;Times;Serif"/>
          <w:b w:val="false"/>
          <w:i w:val="false"/>
          <w:caps w:val="false"/>
          <w:smallCaps w:val="false"/>
          <w:sz w:val="20"/>
        </w:rPr>
        <w:t>” means Treuco AG, Claridenstrasse 25, 8002 Zurich, Switzerland.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xml:space="preserve"> “Open Market Sale Agreement” is a service mark of Jefferies LLC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Floor Price</w:t>
      </w:r>
      <w:r>
        <w:rPr>
          <w:rFonts w:ascii="Times New Roman;Times;Serif" w:hAnsi="Times New Roman;Times;Serif"/>
          <w:b w:val="false"/>
          <w:i w:val="false"/>
          <w:caps w:val="false"/>
          <w:smallCaps w:val="false"/>
          <w:sz w:val="20"/>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Amount</w:t>
      </w:r>
      <w:r>
        <w:rPr>
          <w:rFonts w:ascii="Times New Roman;Times;Serif" w:hAnsi="Times New Roman;Times;Serif"/>
          <w:b w:val="false"/>
          <w:i w:val="false"/>
          <w:caps w:val="false"/>
          <w:smallCaps w:val="false"/>
          <w:sz w:val="20"/>
        </w:rPr>
        <w:t>” means the aggregate Sales Price of the Shares to be sold by the Agent pursuant to any Issuance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Notice</w:t>
      </w:r>
      <w:r>
        <w:rPr>
          <w:rFonts w:ascii="Times New Roman;Times;Serif" w:hAnsi="Times New Roman;Times;Serif"/>
          <w:b w:val="false"/>
          <w:i w:val="false"/>
          <w:caps w:val="false"/>
          <w:smallCaps w:val="false"/>
          <w:sz w:val="20"/>
        </w:rPr>
        <w:t xml:space="preserve">” means a written notice delivered to the Agent by the Company in accordance with this Agreement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that is executed by its Chief Executive Officer or Chief Financial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Notice Date</w:t>
      </w:r>
      <w:r>
        <w:rPr>
          <w:rFonts w:ascii="Times New Roman;Times;Serif" w:hAnsi="Times New Roman;Times;Serif"/>
          <w:b w:val="false"/>
          <w:i w:val="false"/>
          <w:caps w:val="false"/>
          <w:smallCaps w:val="false"/>
          <w:sz w:val="20"/>
        </w:rPr>
        <w:t xml:space="preserve">” means any Trading Day during the Agency Period that an Issuance Notice is delivered pursuant to </w:t>
      </w:r>
      <w:r>
        <w:rPr>
          <w:rFonts w:ascii="Times New Roman;Times;Serif" w:hAnsi="Times New Roman;Times;Serif"/>
          <w:b w:val="false"/>
          <w:i w:val="false"/>
          <w:caps w:val="false"/>
          <w:smallCaps w:val="false"/>
          <w:sz w:val="20"/>
          <w:u w:val="single"/>
        </w:rPr>
        <w:t>Section 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Price</w:t>
      </w:r>
      <w:r>
        <w:rPr>
          <w:rFonts w:ascii="Times New Roman;Times;Serif" w:hAnsi="Times New Roman;Times;Serif"/>
          <w:b w:val="false"/>
          <w:i w:val="false"/>
          <w:caps w:val="false"/>
          <w:smallCaps w:val="false"/>
          <w:sz w:val="20"/>
        </w:rPr>
        <w:t>” means the Sales Price less the Selling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Program Amount</w:t>
      </w:r>
      <w:r>
        <w:rPr>
          <w:rFonts w:ascii="Times New Roman;Times;Serif" w:hAnsi="Times New Roman;Times;Serif"/>
          <w:b w:val="false"/>
          <w:i w:val="false"/>
          <w:caps w:val="false"/>
          <w:smallCaps w:val="false"/>
          <w:sz w:val="20"/>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share capital), (c) the number or dollar amount of Common Shares permitted to be sold under Form F-3 (including General Instruction I.B.5 thereof, if applicable), or (d) the number or dollar amount of Common Shares for which the Company has filed a Prospectus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a corporation, partnership, limited liability company, trust, incorporated or unincorporated association, joint venture, joint stock company, governmental authority or other entity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Nasdaq Global Market or such other national securities exchange on which the Common Shares, including any Shares, are then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Sales Price</w:t>
      </w:r>
      <w:r>
        <w:rPr>
          <w:rFonts w:ascii="Times New Roman;Times;Serif" w:hAnsi="Times New Roman;Times;Serif"/>
          <w:b w:val="false"/>
          <w:i w:val="false"/>
          <w:caps w:val="false"/>
          <w:smallCaps w:val="false"/>
          <w:sz w:val="20"/>
        </w:rPr>
        <w:t>” means the actual sale execution price of each Share placed by the Agent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Selling Commission</w:t>
      </w:r>
      <w:r>
        <w:rPr>
          <w:rFonts w:ascii="Times New Roman;Times;Serif" w:hAnsi="Times New Roman;Times;Serif"/>
          <w:b w:val="false"/>
          <w:i w:val="false"/>
          <w:caps w:val="false"/>
          <w:smallCaps w:val="false"/>
          <w:sz w:val="20"/>
        </w:rPr>
        <w:t>” means up to three percent (3%) of the gross proceeds of Shares sold pursuant to this Agreement, or as otherwise agreed between the Company and the Agent with respect to any Shares sold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Date</w:t>
      </w:r>
      <w:r>
        <w:rPr>
          <w:rFonts w:ascii="Times New Roman;Times;Serif" w:hAnsi="Times New Roman;Times;Serif"/>
          <w:b w:val="false"/>
          <w:i w:val="false"/>
          <w:caps w:val="false"/>
          <w:smallCaps w:val="false"/>
          <w:sz w:val="20"/>
        </w:rPr>
        <w:t>” means the next business day following each Trading Day during the period set forth in the Issuance Notice on which Shares are sold pursuant to this Agreement, when the Company or any third party designated by the Company shall deliver to the Agent the amount of Shares sold on such Trading Day and the Agent shall deliver to the Company the Issuance Price received on such sales.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shall mean the Company’s Common Shares to be delivered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the Principal Market is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and agrees with, the Agent that as of (1) the date of this Agreement, (2) each Issuance Notice Date, (3) each Settlement Date, (4) each Triggering Event Date and (5) as of each Time of Sale (as defined below) (each of the times referenced above is referred to herein as a “</w:t>
      </w:r>
      <w:r>
        <w:rPr>
          <w:rFonts w:ascii="Times New Roman;Times;Serif" w:hAnsi="Times New Roman;Times;Serif"/>
          <w:b/>
          <w:i w:val="false"/>
          <w:caps w:val="false"/>
          <w:smallCaps w:val="false"/>
          <w:sz w:val="20"/>
        </w:rPr>
        <w:t>Representation Date</w:t>
      </w:r>
      <w:r>
        <w:rPr>
          <w:rFonts w:ascii="Times New Roman;Times;Serif" w:hAnsi="Times New Roman;Times;Serif"/>
          <w:b w:val="false"/>
          <w:i w:val="false"/>
          <w:caps w:val="false"/>
          <w:smallCaps w:val="false"/>
          <w:sz w:val="20"/>
        </w:rPr>
        <w:t>”), except as may be disclosed in the Prospectus (including any documents incorporated by reference therein and any supplements thereto) on or before a Representation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has prepared and filed with the Commission a shelf registration statement on Form F-3 (File No. 333-277940), as amended, that contains a base prospectus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as amended, including any information deemed to be a part thereof pursuant to Rule 430B under the Securities Act, including all financial statements, exhibits and schedules thereto and all documents incorporated or deemed to be incorporated therein by reference pursuant to Item 6 of Form F-3 under the Securities Act as from time to time amended or supplemented, is herein referred to as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6 of Form F-3 under the Securities Act, in each case, as from time to time amended or supplemented, is referred to herein as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shall refer to such revised prospectus from and after the time it is first provided to the Agent for such use. The Registration Statement at the time it originally became effective is herein called the “</w:t>
      </w:r>
      <w:r>
        <w:rPr>
          <w:rFonts w:ascii="Times New Roman;Times;Serif" w:hAnsi="Times New Roman;Times;Serif"/>
          <w:b/>
          <w:i w:val="false"/>
          <w:caps w:val="false"/>
          <w:smallCaps w:val="false"/>
          <w:sz w:val="20"/>
        </w:rPr>
        <w:t>Original Registration Statement</w:t>
      </w:r>
      <w:r>
        <w:rPr>
          <w:rFonts w:ascii="Times New Roman;Times;Serif" w:hAnsi="Times New Roman;Times;Serif"/>
          <w:b w:val="false"/>
          <w:i w:val="false"/>
          <w:caps w:val="false"/>
          <w:smallCaps w:val="false"/>
          <w:sz w:val="20"/>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the Registration Statement was or will be originally declared effective and at the time the Company’s most recent annual report on Form 20-F was filed with the Commission, if later, the Company met the then-applicable requirements for use of Form F-3 under the Securities Act. During the Agency Period, each time the Company files an annual report on Form 20-F the Company will meet the then-applicable requirements for use of Form F-3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Compliance with Registration Requirements</w:t>
      </w:r>
      <w:r>
        <w:rPr>
          <w:rFonts w:ascii="Times New Roman;Times;Serif" w:hAnsi="Times New Roman;Times;Serif"/>
          <w:b w:val="false"/>
          <w:i w:val="false"/>
          <w:caps w:val="false"/>
          <w:smallCaps w:val="false"/>
          <w:sz w:val="20"/>
        </w:rPr>
        <w:t>. The Original Registration Statement and any Rule 462(b) Registration Statement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when filed complied in all material respects with the Securities Act and, if filed with the Commission through its Electronic Data Gathering, Analysis and Retrieval system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(except as may be permitted by Regulation S-T under the Securities Act), was identical to the copy thereof delivered to the Agent for use in connection with the sale of the Shares at each Settlement Date. Each of the Registration Statement, any Rule 462(b)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Times;Serif" w:hAnsi="Times New Roman;Times;Serif"/>
          <w:b/>
          <w:i w:val="false"/>
          <w:caps w:val="false"/>
          <w:smallCaps w:val="false"/>
          <w:sz w:val="20"/>
        </w:rPr>
        <w:t>Time of Sale Information</w:t>
      </w:r>
      <w:r>
        <w:rPr>
          <w:rFonts w:ascii="Times New Roman;Times;Serif" w:hAnsi="Times New Roman;Times;Serif"/>
          <w:b w:val="false"/>
          <w:i w:val="false"/>
          <w:caps w:val="false"/>
          <w:smallCaps w:val="false"/>
          <w:sz w:val="20"/>
        </w:rPr>
        <w:t>”) did not contain any untrue statement of a material fact or omit to state a material fact necessary to make the statements therein, in the light of the circumstances under which they were made, not misleading. The Prospectus, as amended or supplemented, as of its date, did not and, at each Settlement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understood and agreed that the only such information furnished by the Agent to the Company consists of the information described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Ineligible Issuer Status</w:t>
      </w:r>
      <w:r>
        <w:rPr>
          <w:rFonts w:ascii="Times New Roman;Times;Serif" w:hAnsi="Times New Roman;Times;Serif"/>
          <w:b w:val="false"/>
          <w:i w:val="false"/>
          <w:caps w:val="false"/>
          <w:smallCaps w:val="false"/>
          <w:sz w:val="20"/>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each Settlement Date,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consent, prepare, use or refer to, or any Free Writing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Exchange Act Compliance</w:t>
      </w:r>
      <w:r>
        <w:rPr>
          <w:rFonts w:ascii="Times New Roman;Times;Serif" w:hAnsi="Times New Roman;Times;Serif"/>
          <w:b w:val="false"/>
          <w:i w:val="false"/>
          <w:caps w:val="false"/>
          <w:smallCaps w:val="false"/>
          <w:sz w:val="20"/>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The Agreement</w:t>
      </w:r>
      <w:r>
        <w:rPr>
          <w:rFonts w:ascii="Times New Roman;Times;Serif" w:hAnsi="Times New Roman;Times;Serif"/>
          <w:b w:val="false"/>
          <w:i w:val="false"/>
          <w:caps w:val="false"/>
          <w:smallCaps w:val="false"/>
          <w:sz w:val="20"/>
        </w:rPr>
        <w:t>. This Agreement has been duly authorized, executed and delivered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Authorization of the Shares</w:t>
      </w:r>
      <w:r>
        <w:rPr>
          <w:rFonts w:ascii="Times New Roman;Times;Serif" w:hAnsi="Times New Roman;Times;Serif"/>
          <w:b w:val="false"/>
          <w:i w:val="false"/>
          <w:caps w:val="false"/>
          <w:smallCaps w:val="false"/>
          <w:sz w:val="20"/>
        </w:rPr>
        <w:t>. The Company has sufficient authorized capital to issue shares to fulfill its delivery obligations under this Agreement and the Shares, when an Issuance Notice is delivered to the Agent, will have been duly authorized for sale pursuant to this Agreement and, when registered with the Commercial Register and issued and delivered by the Company or any third party designated by the Company against payment therefor pursuant to this Agreement, will be validly issued, fully paid and nonassessable, and, other than as expressly set forth in this Agreement or the Prospectus, the issuance and sale of the Shares is not subject to any preemptive rights, rights of first refusal or other similar rights to subscribe for or purchase the Shares that will not have been validly waived or excluded.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Applicable Registration Rights or Similar Rights</w:t>
      </w:r>
      <w:r>
        <w:rPr>
          <w:rFonts w:ascii="Times New Roman;Times;Serif" w:hAnsi="Times New Roman;Times;Serif"/>
          <w:b w:val="false"/>
          <w:i w:val="false"/>
          <w:caps w:val="false"/>
          <w:smallCaps w:val="false"/>
          <w:sz w:val="20"/>
        </w:rPr>
        <w:t>. Except as disclosed in the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Except as disclosed in the Registration Statement and the Prospectus, since the end of the period covered by the latest audited financial statements included in the Registration Statement and the Prospectus, (i) there has been no change in the condition (financial or otherwise), results of operations, business, properties or prospects of the Company that is material and adverse, (ii) there has been no dividend or distribution of any kind declared, paid or made by the Company on any class of its share capital and (iii) there has been no material adverse change in the share capital, short-term indebtedness, long-term indebtedness, net current assets or net assets of the Company (any such change being referred to herein as a “</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Independent Accountants</w:t>
      </w:r>
      <w:r>
        <w:rPr>
          <w:rFonts w:ascii="Times New Roman;Times;Serif" w:hAnsi="Times New Roman;Times;Serif"/>
          <w:b w:val="false"/>
          <w:i w:val="false"/>
          <w:caps w:val="false"/>
          <w:smallCaps w:val="false"/>
          <w:sz w:val="20"/>
        </w:rPr>
        <w:t>. PricewaterhouseCoopers SA, which has expressed its opinion with respect to certain financial statements (which term as used in this Agreement includes the related notes thereto) filed with the Commission as a part of the Registration Statement and the Prospectus, was, at the time of expressing such opinion, (i) an independent registered public accounting firm as required by the Securities Act, the Exchange Act, and the rules of the Public Company Accounting Oversight Board (“PCAOB”), (ii) in compliance with the applicable requirements relating to the qualification of accountants under Rule 2-01 of Regulation S-X under the Securities Act, (iii) a registered public accounting firm as defined by the PCAOB whose registration has not been suspended or revoked and who has not requested such registration to be withdrawn and (iv) an independent qualified public accountant qualified under the applicable provisions of the CO, the Swiss Audit Supervision Act (</w:t>
      </w:r>
      <w:r>
        <w:rPr>
          <w:rFonts w:ascii="Times New Roman;Times;Serif" w:hAnsi="Times New Roman;Times;Serif"/>
          <w:b w:val="false"/>
          <w:i/>
          <w:caps w:val="false"/>
          <w:smallCaps w:val="false"/>
          <w:sz w:val="20"/>
        </w:rPr>
        <w:t>Revisionsaufsichtsgesetz</w:t>
      </w:r>
      <w:r>
        <w:rPr>
          <w:rFonts w:ascii="Times New Roman;Times;Serif" w:hAnsi="Times New Roman;Times;Serif"/>
          <w:b w:val="false"/>
          <w:i w:val="false"/>
          <w:caps w:val="false"/>
          <w:smallCaps w:val="false"/>
          <w:sz w:val="20"/>
        </w:rPr>
        <w:t>) and any ordinances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consolidated financial statements included or incorporated by reference in each Registration Statement and the Prospectus present fairly in all material respects the consolidated financial position of the Company and its subsidiaries as of the dates shown and consolidated results of operations and cash flows for the periods shown, and such consolidated financial statements have been prepared in conformity with International Financial Reporting Standards (“</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as issued by the International Accounting Standards Board (the “</w:t>
      </w:r>
      <w:r>
        <w:rPr>
          <w:rFonts w:ascii="Times New Roman;Times;Serif" w:hAnsi="Times New Roman;Times;Serif"/>
          <w:b/>
          <w:i w:val="false"/>
          <w:caps w:val="false"/>
          <w:smallCaps w:val="false"/>
          <w:sz w:val="20"/>
        </w:rPr>
        <w:t>IASB</w:t>
      </w:r>
      <w:r>
        <w:rPr>
          <w:rFonts w:ascii="Times New Roman;Times;Serif" w:hAnsi="Times New Roman;Times;Serif"/>
          <w:b w:val="false"/>
          <w:i w:val="false"/>
          <w:caps w:val="false"/>
          <w:smallCaps w:val="false"/>
          <w:sz w:val="20"/>
        </w:rPr>
        <w:t>”) applied on a consistent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Company’s Accounting System</w:t>
      </w:r>
      <w:r>
        <w:rPr>
          <w:rFonts w:ascii="Times New Roman;Times;Serif" w:hAnsi="Times New Roman;Times;Serif"/>
          <w:b w:val="false"/>
          <w:i w:val="false"/>
          <w:caps w:val="false"/>
          <w:smallCaps w:val="false"/>
          <w:sz w:val="20"/>
        </w:rPr>
        <w:t>. The Company and the Company’s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are in compliance with the applicable provisions of Sarbanes-Oxley Act of 2002 (“</w:t>
      </w:r>
      <w:r>
        <w:rPr>
          <w:rFonts w:ascii="Times New Roman;Times;Serif" w:hAnsi="Times New Roman;Times;Serif"/>
          <w:b/>
          <w:i w:val="false"/>
          <w:caps w:val="false"/>
          <w:smallCaps w:val="false"/>
          <w:sz w:val="20"/>
        </w:rPr>
        <w:t>Sarbanes-Oxley</w:t>
      </w:r>
      <w:r>
        <w:rPr>
          <w:rFonts w:ascii="Times New Roman;Times;Serif" w:hAnsi="Times New Roman;Times;Serif"/>
          <w:b w:val="false"/>
          <w:i w:val="false"/>
          <w:caps w:val="false"/>
          <w:smallCaps w:val="false"/>
          <w:sz w:val="20"/>
        </w:rPr>
        <w:t>”) and the Exchange Act.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Times New Roman;Times;Serif" w:hAnsi="Times New Roman;Times;Serif"/>
          <w:b/>
          <w:i w:val="false"/>
          <w:caps w:val="false"/>
          <w:smallCaps w:val="false"/>
          <w:sz w:val="20"/>
        </w:rPr>
        <w:t>Internal Controls</w:t>
      </w:r>
      <w:r>
        <w:rPr>
          <w:rFonts w:ascii="Times New Roman;Times;Serif" w:hAnsi="Times New Roman;Times;Serif"/>
          <w:b w:val="false"/>
          <w:i w:val="false"/>
          <w:caps w:val="false"/>
          <w:smallCaps w:val="false"/>
          <w:sz w:val="20"/>
        </w:rPr>
        <w:t>”) that are designed to provide reasonable assurances that (i) transactions are executed in accordance with management’s general or specific authorization, (ii) transactions are recorded as necessary to permit preparation of financial statements in conformity with IFRS as issued by the ISAB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the eXtensible Business Reporting Language included or incorporated by reference in the Registration Statement and the Prospectus fairly presents the information called for in all material respects and is prepared in accordance with the Commission’s rules and guidelines thereto. The Internal Controls are overseen by the Audit &amp; Finance Committee (the “</w:t>
      </w:r>
      <w:r>
        <w:rPr>
          <w:rFonts w:ascii="Times New Roman;Times;Serif" w:hAnsi="Times New Roman;Times;Serif"/>
          <w:b/>
          <w:i w:val="false"/>
          <w:caps w:val="false"/>
          <w:smallCaps w:val="false"/>
          <w:sz w:val="20"/>
        </w:rPr>
        <w:t>Audit &amp; Finance Committee</w:t>
      </w:r>
      <w:r>
        <w:rPr>
          <w:rFonts w:ascii="Times New Roman;Times;Serif" w:hAnsi="Times New Roman;Times;Serif"/>
          <w:b w:val="false"/>
          <w:i w:val="false"/>
          <w:caps w:val="false"/>
          <w:smallCaps w:val="false"/>
          <w:sz w:val="20"/>
        </w:rPr>
        <w:t>”) of the Board in accordance with Exchange Act. Except as disclosed in the Prospectus, the Company has not publicly disclosed or reported to the Audit &amp; Finance Committee or the Board, and within the next 135 days the Company does not reasonably expect to publicly disclose or report to the Audit &amp; Finance Committee or the Board, a significant deficiency, material weakness, adverse change in Internal Controls or fraud involving management or other employees who have a significant role in Internal Controls, any violation of, or failure to comply with, Sarbanes-Oxley, the Exchange Act and the rules of the Principal Market, or any matter which, if determined adversely, would have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Incorporation and Good Standing of the Company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Company has been duly incorporated and is duly organized and validly existing under the laws of Switzerland, with full power and authority (corporate and other) to own its properties and conduct its business as described in the Registration Statement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The Company’s only subsidiary (as defined in Rule 405 under the Securities Act) is AC Immune USA,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Capitalization and Other Capital Stock Matters</w:t>
      </w:r>
      <w:r>
        <w:rPr>
          <w:rFonts w:ascii="Times New Roman;Times;Serif" w:hAnsi="Times New Roman;Times;Serif"/>
          <w:b w:val="false"/>
          <w:i w:val="false"/>
          <w:caps w:val="false"/>
          <w:smallCaps w:val="false"/>
          <w:sz w:val="20"/>
        </w:rPr>
        <w:t>. The issued and outstanding share capital and the authorized share capital as well as the conditional share capital of the Company are as set forth in the Registration Statement and the Prospectus under the caption “Description of Share Capital and Articles of Incorporation” (other than for subsequent issuances, if any, pursuant to employee benefit plans, or upon the exercise of outstanding options or warrants, in each case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federal and state securities laws and the Federal Act on the Amendment of the Swiss Civil Code Part Five: The Code of Obligations (the “</w:t>
      </w:r>
      <w:r>
        <w:rPr>
          <w:rFonts w:ascii="Times New Roman;Times;Serif" w:hAnsi="Times New Roman;Times;Serif"/>
          <w:b/>
          <w:i w:val="false"/>
          <w:caps w:val="false"/>
          <w:smallCaps w:val="false"/>
          <w:sz w:val="20"/>
        </w:rPr>
        <w:t>CO</w:t>
      </w:r>
      <w:r>
        <w:rPr>
          <w:rFonts w:ascii="Times New Roman;Times;Serif" w:hAnsi="Times New Roman;Times;Serif"/>
          <w:b w:val="false"/>
          <w:i w:val="false"/>
          <w:caps w:val="false"/>
          <w:smallCaps w:val="false"/>
          <w:sz w:val="20"/>
        </w:rPr>
        <w:t>”). None of the outstanding Common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or other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into or exchangeable or exercisable for, any capital stock of the Company other than those described in the Registration Statement and the Prospectus. The descriptions of the Company’s stock option, stock bonus and other stock plans or similar arrangements, and the options or other rights granted thereunder, set forth in the Registration Statement and the Prospectus accurately and fairly presents the information required to be shown with respect to such plans, arrangements, options and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Stock Exchange Listing</w:t>
      </w:r>
      <w:r>
        <w:rPr>
          <w:rFonts w:ascii="Times New Roman;Times;Serif" w:hAnsi="Times New Roman;Times;Serif"/>
          <w:b w:val="false"/>
          <w:i w:val="false"/>
          <w:caps w:val="false"/>
          <w:smallCaps w:val="false"/>
          <w:sz w:val="20"/>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Absence of Further Requirements</w:t>
      </w:r>
      <w:r>
        <w:rPr>
          <w:rFonts w:ascii="Times New Roman;Times;Serif" w:hAnsi="Times New Roman;Times;Serif"/>
          <w:b w:val="false"/>
          <w:i w:val="false"/>
          <w:caps w:val="false"/>
          <w:smallCaps w:val="false"/>
          <w:sz w:val="20"/>
        </w:rPr>
        <w:t>. Other than (a) the issuance of the Shares to the Fiduciary in one or more installments and the registration of the Shares with the commercial register of the Canton of Vaud, the registration of the Fiduciary in the Company’s book of uncertificated securities (</w:t>
      </w:r>
      <w:r>
        <w:rPr>
          <w:rFonts w:ascii="Times New Roman;Times;Serif" w:hAnsi="Times New Roman;Times;Serif"/>
          <w:b w:val="false"/>
          <w:i/>
          <w:caps w:val="false"/>
          <w:smallCaps w:val="false"/>
          <w:sz w:val="20"/>
        </w:rPr>
        <w:t>Wertrechtebuch</w:t>
      </w:r>
      <w:r>
        <w:rPr>
          <w:rFonts w:ascii="Times New Roman;Times;Serif" w:hAnsi="Times New Roman;Times;Serif"/>
          <w:b w:val="false"/>
          <w:i w:val="false"/>
          <w:caps w:val="false"/>
          <w:smallCaps w:val="false"/>
          <w:sz w:val="20"/>
        </w:rPr>
        <w:t>) as first holder of the Shares and in the Company's share register and the subsequent assignment and transfer of the Shares from the Fiduciary to the Agent and the registration of the Agent in the Company’s share register, and (b) the implementing and declaratory resolutions (</w:t>
      </w:r>
      <w:r>
        <w:rPr>
          <w:rFonts w:ascii="Times New Roman;Times;Serif" w:hAnsi="Times New Roman;Times;Serif"/>
          <w:b w:val="false"/>
          <w:i/>
          <w:caps w:val="false"/>
          <w:smallCaps w:val="false"/>
          <w:sz w:val="20"/>
        </w:rPr>
        <w:t>Durchführungs- und Feststellungsbeschlüsse</w:t>
      </w:r>
      <w:r>
        <w:rPr>
          <w:rFonts w:ascii="Times New Roman;Times;Serif" w:hAnsi="Times New Roman;Times;Serif"/>
          <w:b w:val="false"/>
          <w:i w:val="false"/>
          <w:caps w:val="false"/>
          <w:smallCaps w:val="false"/>
          <w:sz w:val="20"/>
        </w:rPr>
        <w:t>) of the Board required in connection with the authorized capital increase(s) of the Company in order to create the Shares, no consent, approval, authorization, or order of, or filing or registration with, any person (including any governmental agency or body or any court) is required for the consummation of the transactions contemplated by this Agreement in connection with the offering, issuance and sale of the Shares by the Company, except such as have been obtained or made or will be obtained or made at the Settlement Date and such as may be required under state securities laws or except such as would not reasonably be expected to result in a material adverse effect on the condition (financial or otherwise), results of operations, business, properties or prospects of the Company (a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Non-Contravention of Existing Instruments</w:t>
      </w:r>
      <w:r>
        <w:rPr>
          <w:rFonts w:ascii="Times New Roman;Times;Serif" w:hAnsi="Times New Roman;Times;Serif"/>
          <w:b w:val="false"/>
          <w:i w:val="false"/>
          <w:caps w:val="false"/>
          <w:smallCaps w:val="false"/>
          <w:sz w:val="20"/>
        </w:rPr>
        <w:t>. Neither the issue and sale of the Shares nor the consummation of any other of the transactions herein contemplated nor the fulfillment of the terms hereof will conflict with, result in a breach or violation of, or imposition of any lien, charge or encumbrance upon any property or assets of the Company pursuant to, (i) the Articles of Association of the Company, (ii) the terms of any indenture, contract, lease, mortgage, deed of trust, note agreement, loan agreement or other agreement, obligation, condition, covenant or instrument to which the Company is a party or bound or to which its property is subject, or (iii) any statute, rule, regulation or order of any governmental agency or body or any court, domestic or foreign, having jurisdiction over the Company or any of its properties, except in the cases of clauses (ii) and (iii) for such breach, violation or imposition as would not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Absence of Existing Defaults and Conflicts</w:t>
      </w:r>
      <w:r>
        <w:rPr>
          <w:rFonts w:ascii="Times New Roman;Times;Serif" w:hAnsi="Times New Roman;Times;Serif"/>
          <w:b w:val="false"/>
          <w:i w:val="false"/>
          <w:caps w:val="false"/>
          <w:smallCaps w:val="false"/>
          <w:sz w:val="20"/>
        </w:rPr>
        <w:t>. The Company is not in violation of its articles of association or similar organizational documents or in default (or with the giving of notice or lapse of time would be in default) under any existing obligation, agreement, covenant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 contained in any indenture, loan agreement, mortgage, lease or other agreement or instrument to which it is a party or by it is bound or to which any its properties is subject, except such defaults that would not, individually or in the aggregate,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has been and is in compliance with all applicable laws, rules and regulations, except where failure to be so in compliance could not be expected, individually or in the aggregate,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disclosed in the Registration Statement or the Prospectus, there are no pending actions, suits or proceedings (including any inquiries made to the Company or, to the Company’s knowledge, investigations by any court or governmental agency or body, domestic or foreign) against or affecting the Company or any of its properties that, if determined adversely to the Company, would individually or in the aggregate have a Material Adverse Effect, or would materially and adversely affect the ability of the Company to perform its obligations under this Agreement, or which are otherwise material in the context of the sale of the Shares; and no such actions, suits or proceedings (including any inquiries or investigations by any court or governmental agency or body, domestic or foreign) are, to the Company’s knowledge, threatened or contemplated.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Absence of Labor Disputes</w:t>
      </w:r>
      <w:r>
        <w:rPr>
          <w:rFonts w:ascii="Times New Roman;Times;Serif" w:hAnsi="Times New Roman;Times;Serif"/>
          <w:b w:val="false"/>
          <w:i w:val="false"/>
          <w:caps w:val="false"/>
          <w:smallCaps w:val="false"/>
          <w:sz w:val="20"/>
        </w:rPr>
        <w:t>. No labor dispute with the employees of the Company exists or, to the knowledge of the Company, is imminent that would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The Company owns, possesses or can acquire on reasonable terms all trademarks, trade names, patent rights, copyrights, domain names, licenses, trade secrets, inventions, technology, know-how and other intellectual property and similar proprietary rights, including registrations and applications for registration thereof (collectively,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described in the Prospectus and, to the knowledge of the Company and except as disclosed in the Prospectus, owns all Intellectual Property Rights necessary or material to the conduct of the business now conducted or proposed in the Prospectus to be conducted by it. Except in the case of clauses (i)–(iv) below as would not, individually or in the aggregate, reasonably be expected to have a Material Adverse Effect, (i) there is no pending or, to the knowledge of the Company, threatened action, suit, proceeding or claim by any third party against the Company challenging the Company’s rights in or to any of the Company’s Intellectual Property Rights, and the Company is unaware of any facts which would form a reasonable basis for any such claim; (ii) there is no pending or, to the knowledge of the Company, threatened action, suit, proceeding or claim by others against the Company challenging the validity, enforceability or scope of any Intellectual Property Rights owned by the Company, and the Company is unaware of any facts which would form a reasonable basis for any such claim; (iii) there is no pending or, to the Company’s knowledge, threatened action, suit, proceeding or claim against the Company by any third party that the Company infringes, misappropriates or otherwise violates any Intellectual Property Rights or other proprietary rights of such third party and the Company is unaware of any other fact which would form a reasonable basis for any such claim; and (iv) all assignments of intellectual property from the Company’s employees and consultants to the Company are valid, binding and enforceable and, to the Company’s knowledge, have appropriately vested ownership in the Company of any work product, developments or the like that is subject to such assignments.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All Necessary Permits, etc</w:t>
      </w:r>
      <w:r>
        <w:rPr>
          <w:rFonts w:ascii="Times New Roman;Times;Serif" w:hAnsi="Times New Roman;Times;Serif"/>
          <w:b w:val="false"/>
          <w:i w:val="false"/>
          <w:caps w:val="false"/>
          <w:smallCaps w:val="false"/>
          <w:sz w:val="20"/>
        </w:rPr>
        <w:t>. The Company possesses, and is in compliance with the terms of, all adequate certificates, authorizations, franchises, licenses and permits, including, without limitation, from the U.S. Food and Drug Administration (“</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and equivalent foreign regulatory authorities (“</w:t>
      </w:r>
      <w:r>
        <w:rPr>
          <w:rFonts w:ascii="Times New Roman;Times;Serif" w:hAnsi="Times New Roman;Times;Serif"/>
          <w:b/>
          <w:i w:val="false"/>
          <w:caps w:val="false"/>
          <w:smallCaps w:val="false"/>
          <w:sz w:val="20"/>
        </w:rPr>
        <w:t>Licenses</w:t>
      </w:r>
      <w:r>
        <w:rPr>
          <w:rFonts w:ascii="Times New Roman;Times;Serif" w:hAnsi="Times New Roman;Times;Serif"/>
          <w:b w:val="false"/>
          <w:i w:val="false"/>
          <w:caps w:val="false"/>
          <w:smallCaps w:val="false"/>
          <w:sz w:val="20"/>
        </w:rPr>
        <w:t>”) necessary or material to the conduct of the business now conducted or proposed in the Registration Statement or the Prospectus to be conducted by it and has not received any notice of proceedings or other correspondence relating to the revocation or modification of any Licenses that, if determined adversely to the Company, would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 The Company does not own any real property. Except as disclosed in the Registration Statement or the Prospectus, the Company has good and marketable title to all other material properties and assets owned by it, in each case free from liens, charges, encumbrances and defects that would reasonably be expected to have a Material Adverse Effect and, except as disclosed in the Registration Statement or the Prospectus, the Company holds any leased real or personal property under valid and enforceable leases with no terms or provisions that would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Tax Law Compliance</w:t>
      </w:r>
      <w:r>
        <w:rPr>
          <w:rFonts w:ascii="Times New Roman;Times;Serif" w:hAnsi="Times New Roman;Times;Serif"/>
          <w:b w:val="false"/>
          <w:i w:val="false"/>
          <w:caps w:val="false"/>
          <w:smallCaps w:val="false"/>
          <w:sz w:val="20"/>
        </w:rPr>
        <w:t>. The Company has filed all federal, state, local and non-U.S. tax returns that are required to be filed by it or has requested extensions thereof (except in any case in which the failure so to file would not have a Material Adverse Effect); and except as disclosed in the Prospectus, the Company has paid all taxes (including any assessments, fines or penalties) shown as due thereon, except for any such taxes, assessments, fines or penalties currently being contested in good faith or as would not, individually or in the aggregate,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is insured by insurers with appropriately rated claims paying abilities against such losses and risks and in such amounts as the Company reasonably considers prudent and customary for the businesses in which it is engaged; all material policies of insurance and fidelity or surety bonds insuring the Company or its business, asset, employees, officers and directors are in full force and effect; the Company is in compliance with the terms of such policies and instruments in all material respects; and there are no claims by the Company under any such policy or instrument as to which any insurance company is denying liability or defending under a reservation of rights clause; the Company has not been refused any material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Compliance with Environmental Laws</w:t>
      </w:r>
      <w:r>
        <w:rPr>
          <w:rFonts w:ascii="Times New Roman;Times;Serif" w:hAnsi="Times New Roman;Times;Serif"/>
          <w:b w:val="false"/>
          <w:i w:val="false"/>
          <w:caps w:val="false"/>
          <w:smallCaps w:val="false"/>
          <w:sz w:val="20"/>
        </w:rPr>
        <w:t>. Except as disclosed in the Prospectus, the Company is not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Times;Serif" w:hAnsi="Times New Roman;Times;Serif"/>
          <w:b/>
          <w:i w:val="false"/>
          <w:caps w:val="false"/>
          <w:smallCaps w:val="false"/>
          <w:sz w:val="20"/>
        </w:rPr>
        <w:t xml:space="preserve">environmental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laws</w:t>
      </w:r>
      <w:r>
        <w:rPr>
          <w:rFonts w:ascii="Times New Roman;Times;Serif" w:hAnsi="Times New Roman;Times;Serif"/>
          <w:b w:val="false"/>
          <w:i w:val="false"/>
          <w:caps w:val="false"/>
          <w:smallCaps w:val="false"/>
          <w:sz w:val="20"/>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reasonably be expected to have a Material Adverse Effect; and the Company is not aware of any pending investigation which might lead to such a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Company Not an “Investment Company.”</w:t>
      </w:r>
      <w:r>
        <w:rPr>
          <w:rFonts w:ascii="Times New Roman;Times;Serif" w:hAnsi="Times New Roman;Times;Serif"/>
          <w:b w:val="false"/>
          <w:i w:val="false"/>
          <w:caps w:val="false"/>
          <w:smallCaps w:val="false"/>
          <w:sz w:val="20"/>
        </w:rPr>
        <w:t xml:space="preserve"> The Company is not and, after giving effect to the offering and sale of the Shares and the application of the proceeds thereof as described in the Registration Statement or the Prospectus, will not be an “investment company” as defined in the Investment Company Act of 1940, as amended (the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Absence of Manipulation</w:t>
      </w:r>
      <w:r>
        <w:rPr>
          <w:rFonts w:ascii="Times New Roman;Times;Serif" w:hAnsi="Times New Roman;Times;Serif"/>
          <w:b w:val="false"/>
          <w:i w:val="false"/>
          <w:caps w:val="false"/>
          <w:smallCaps w:val="false"/>
          <w:sz w:val="20"/>
        </w:rPr>
        <w:t>. The Company has not taken, directly or indirectly, any action that is designed to or that has constituted or that would reasonably be expected to cause or result in the stabilization or manipulation of the price of any security of the Company to facilitate the sale or resale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Absence of Market Abuse</w:t>
      </w:r>
      <w:r>
        <w:rPr>
          <w:rFonts w:ascii="Times New Roman;Times;Serif" w:hAnsi="Times New Roman;Times;Serif"/>
          <w:b w:val="false"/>
          <w:i w:val="false"/>
          <w:caps w:val="false"/>
          <w:smallCaps w:val="false"/>
          <w:sz w:val="20"/>
        </w:rPr>
        <w:t>. The Company has not taken, directly or indirectly, in relation to the offering of the Shares or otherwise, any action or engaged in any course of conduct in breach of, and has taken adequate measures and has adequate procedures in place in order to ensure compliance with, and none of the issue of the Share, the sale of the Shares and the consummation of the transactions contemplated by this Agreement will constitute a violation by the Company of, any applicable European Union, Swiss, United States or any other relevant jurisdiction “insider dealing,” “insider trading” or similar legislation and, so far as the Company is aware, no person acting on its behalf has breached or is in breach of any relevant market abuse or insider trading law or regulation, including any reporting obligations to the Commission or any other authority. Neither the Company nor any person acting on its or their behalf (which, for the avoidance of doubt, shall not include the Agent or its affiliates or persons acting on their behalf, as to whom no representation, warranty or undertaking is given), has taken or omitted to take any action nor will take any action or omit to take any action which may result in the loss by any of the Agent of the ability to rely on any stabilization safe harbor.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There are no business relationships or related-party transactions involving the Company or any other person required to be described in the Registration Statement or the Prospectus which have not been described as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FINRA Matters</w:t>
      </w:r>
      <w:r>
        <w:rPr>
          <w:rFonts w:ascii="Times New Roman;Times;Serif" w:hAnsi="Times New Roman;Times;Serif"/>
          <w:b w:val="false"/>
          <w:i w:val="false"/>
          <w:caps w:val="false"/>
          <w:smallCaps w:val="false"/>
          <w:sz w:val="20"/>
        </w:rPr>
        <w:t>. All of the information provided to the Agent or to counsel for the Agent by the Company and, to the Company’s knowledge, its officers and directors and the holders of any securities (debt or equity) of the Company or options to acquire any securities of the Company in connection with the offering of the Shares is true, complete, correct and compliant with Financial Industry Regulatory Authority, Inc.’s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rules and any letters, filings or other supplemental information provided to FINRA pursuant to FINRA Rules or NASD Conduct Rules is true, complete and correct.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Statistical and Market Related Data</w:t>
      </w:r>
      <w:r>
        <w:rPr>
          <w:rFonts w:ascii="Times New Roman;Times;Serif" w:hAnsi="Times New Roman;Times;Serif"/>
          <w:b w:val="false"/>
          <w:i w:val="false"/>
          <w:caps w:val="false"/>
          <w:smallCaps w:val="false"/>
          <w:sz w:val="20"/>
        </w:rPr>
        <w:t>. Any third-party statistical and market-related data included in the Registration Statement or the Prospectus or any written testing-the-waters communication are based on or derived from sources that the Company believes to be reliable and 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 Unlawful Contributions or Other Payments</w:t>
      </w:r>
      <w:r>
        <w:rPr>
          <w:rFonts w:ascii="Times New Roman;Times;Serif" w:hAnsi="Times New Roman;Times;Serif"/>
          <w:b w:val="false"/>
          <w:i w:val="false"/>
          <w:caps w:val="false"/>
          <w:smallCaps w:val="false"/>
          <w:sz w:val="20"/>
        </w:rPr>
        <w:t>. Neither the Company nor, to the best of the Company’s knowledge, any employee or agent of the Company, has made any contribution or other payment to any official of, or candidate for, any federal, state or foreign office in violation of any law or of the character required to be disclosed in the Registration Statement or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Foreign Corrupt Practices Act</w:t>
      </w:r>
      <w:r>
        <w:rPr>
          <w:rFonts w:ascii="Times New Roman;Times;Serif" w:hAnsi="Times New Roman;Times;Serif"/>
          <w:b w:val="false"/>
          <w:i w:val="false"/>
          <w:caps w:val="false"/>
          <w:smallCaps w:val="false"/>
          <w:sz w:val="20"/>
        </w:rPr>
        <w:t>. Neither the Company nor, to the knowledge of the Company, any director, officer, agent, employee, affiliate or other person acting on behalf of the Company (which, for the avoidance of doubt, shall not include the Agent or its affiliates or persons acting on their behalf, as to whom no representation, warranty or undertaking is given) has, in the course of its actions for, or on behalf of, the Company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or employee from corporate funds; (iii) violated or is in violation of any provision of the FCPA or any applicable non-U.S. anti-bribery statute or regulation; or (iv) made any unlawful bribe, rebate, payoff, influence payment, kickback or other unlawful payment to any domestic government official, such foreign official or employee; and the Company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the Company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with respect to the Money Laundering Laws is pending or, to the best knowledge of the Company,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Neither the Company nor, to the knowledge of the Company, after due inquiry, any director, officer, agent, employee, affiliate or person acting on behalf of the Company is currently subject to any sanctions administered by the Office of Foreign Assets Control of the U.S. Treasury Department (“</w:t>
      </w:r>
      <w:r>
        <w:rPr>
          <w:rFonts w:ascii="Times New Roman;Times;Serif" w:hAnsi="Times New Roman;Times;Serif"/>
          <w:b/>
          <w:i w:val="false"/>
          <w:caps w:val="false"/>
          <w:smallCaps w:val="false"/>
          <w:sz w:val="20"/>
          <w:shd w:fill="FFFFFF" w:val="clear"/>
        </w:rPr>
        <w:t>OFAC</w:t>
      </w:r>
      <w:r>
        <w:rPr>
          <w:rFonts w:ascii="Times New Roman;Times;Serif" w:hAnsi="Times New Roman;Times;Serif"/>
          <w:b w:val="false"/>
          <w:i w:val="false"/>
          <w:caps w:val="false"/>
          <w:smallCaps w:val="false"/>
          <w:sz w:val="20"/>
          <w:shd w:fill="FFFFFF" w:val="clear"/>
        </w:rPr>
        <w:t>”) or the U.S. Department of State, the United Nations Security Council, the European Union, His Majesty’s Treasury of the United Kingdom, the State Secretariat for Economic Affairs of Switzerland or other relevant sanctions authority (collectively, “</w:t>
      </w:r>
      <w:r>
        <w:rPr>
          <w:rFonts w:ascii="Times New Roman;Times;Serif" w:hAnsi="Times New Roman;Times;Serif"/>
          <w:b/>
          <w:i w:val="false"/>
          <w:caps w:val="false"/>
          <w:smallCaps w:val="false"/>
          <w:sz w:val="20"/>
          <w:shd w:fill="FFFFFF" w:val="clear"/>
        </w:rPr>
        <w:t>Sanctions</w:t>
      </w:r>
      <w:r>
        <w:rPr>
          <w:rFonts w:ascii="Times New Roman;Times;Serif" w:hAnsi="Times New Roman;Times;Serif"/>
          <w:b w:val="false"/>
          <w:i w:val="false"/>
          <w:caps w:val="false"/>
          <w:smallCaps w:val="false"/>
          <w:sz w:val="20"/>
          <w:shd w:fill="FFFFFF" w:val="clear"/>
        </w:rPr>
        <w:t>”); and the Company will not directly or indirectly use the proceeds of this offering, or lend, contribute or otherwise make available such proceeds to any joint venture partner or other person or entity, for the purpose of financing the activities of or business with any person, or in any country or territory, that currently is the subject to any Sanctions or in any other manner that will result in a violation by any person (including any person participating in the transaction whether as underwriter, advisor, investor or otherwise) of Sanctions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Except as disclosed in the Registration Statement or the Prospectus, there are no contracts, agreements or understandings between the Company and any person that would give rise to a valid claim against the Company or the Agent for a brokerage commission, finder’s fee or other like payment as a result of any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PFIC Status</w:t>
      </w:r>
      <w:r>
        <w:rPr>
          <w:rFonts w:ascii="Times New Roman;Times;Serif" w:hAnsi="Times New Roman;Times;Serif"/>
          <w:b w:val="false"/>
          <w:i w:val="false"/>
          <w:caps w:val="false"/>
          <w:smallCaps w:val="false"/>
          <w:sz w:val="20"/>
        </w:rPr>
        <w:t>. The Company believes it is likely that it was not a “passive foreign investment company” (“</w:t>
      </w:r>
      <w:r>
        <w:rPr>
          <w:rFonts w:ascii="Times New Roman;Times;Serif" w:hAnsi="Times New Roman;Times;Serif"/>
          <w:b/>
          <w:i w:val="false"/>
          <w:caps w:val="false"/>
          <w:smallCaps w:val="false"/>
          <w:sz w:val="20"/>
        </w:rPr>
        <w:t>PFIC</w:t>
      </w:r>
      <w:r>
        <w:rPr>
          <w:rFonts w:ascii="Times New Roman;Times;Serif" w:hAnsi="Times New Roman;Times;Serif"/>
          <w:b w:val="false"/>
          <w:i w:val="false"/>
          <w:caps w:val="false"/>
          <w:smallCaps w:val="false"/>
          <w:sz w:val="20"/>
        </w:rPr>
        <w:t>”) as defined in Section 1297 of the United States Internal Revenue Code of 1986, as amended, for its most recently completed taxable year and the Company may or may not be classified as a PFIC in its current taxable year or one or more future taxable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Clinical Trials</w:t>
      </w:r>
      <w:r>
        <w:rPr>
          <w:rFonts w:ascii="Times New Roman;Times;Serif" w:hAnsi="Times New Roman;Times;Serif"/>
          <w:b w:val="false"/>
          <w:i w:val="false"/>
          <w:caps w:val="false"/>
          <w:smallCaps w:val="false"/>
          <w:sz w:val="20"/>
        </w:rPr>
        <w:t>. The preclinical and clinical studies conducted by the Company, and to the knowledge of the Company, the preclinical and clinical studies conducted on behalf of, or sponsored by, the Company, that are described in, or the results of which are referred to in, the Prospectus were and, if still pending, are being conducted in all material respects in accordance with protocols, procedures and controls filed with the appropriate regulatory authorities for each such test or study, as the case may be, and with standard medical and scientific research procedures, except in each case where failure to so conduct would not reasonably be expected to have a Material Adverse Effect; each description of the results of such studies contained in the Prospectus is accurate and complete in all material respects and fairly presents the data derived from such studies, and the Company has no knowledge of any other studies or tests the results of which are inconsistent with, or otherwise call into question, the results described or referred to in the Prospectus; the Company has not received any notices or other correspondence from the FDA or any committee thereof or from any other U.S. or foreign government or regulatory authority (collectively, the “</w:t>
      </w:r>
      <w:r>
        <w:rPr>
          <w:rFonts w:ascii="Times New Roman;Times;Serif" w:hAnsi="Times New Roman;Times;Serif"/>
          <w:b/>
          <w:i w:val="false"/>
          <w:caps w:val="false"/>
          <w:smallCaps w:val="false"/>
          <w:sz w:val="20"/>
        </w:rPr>
        <w:t>Regulatory Authorities</w:t>
      </w:r>
      <w:r>
        <w:rPr>
          <w:rFonts w:ascii="Times New Roman;Times;Serif" w:hAnsi="Times New Roman;Times;Serif"/>
          <w:b w:val="false"/>
          <w:i w:val="false"/>
          <w:caps w:val="false"/>
          <w:smallCaps w:val="false"/>
          <w:sz w:val="20"/>
        </w:rPr>
        <w:t>”) requiring the termination, suspension or material modification of any preclinical or clinical studies that are described or referred to in the Prospectus, other than ordinary course communications with respect to modifications in connection with the design and implementation of such studies; and the Company has operated and currently is in compliance in all respects with all applicable rules, regulations and policies of the Regulatory Authorities except as would not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z w:val="20"/>
          <w:u w:val="single"/>
        </w:rPr>
        <w:t>Healthcare Regulatory Compliance</w:t>
      </w:r>
      <w:r>
        <w:rPr>
          <w:rFonts w:ascii="Times New Roman;Times;Serif" w:hAnsi="Times New Roman;Times;Serif"/>
          <w:b w:val="false"/>
          <w:i w:val="false"/>
          <w:caps w:val="false"/>
          <w:smallCaps w:val="false"/>
          <w:sz w:val="20"/>
        </w:rPr>
        <w:t>. Except as would not reasonably be expected to have a Material Adverse Effect, the Company has operated and is currently in compliance with all applicable Health Care Laws (defined herein), and has not engaged in activities which are, as applicable, cause for false claims liability, civil penalties, or mandatory or permissive exclusion from Medicare, Medicaid, or any other state or federal health care program. For purposes of this Agreement, “</w:t>
      </w:r>
      <w:r>
        <w:rPr>
          <w:rFonts w:ascii="Times New Roman;Times;Serif" w:hAnsi="Times New Roman;Times;Serif"/>
          <w:b/>
          <w:i w:val="false"/>
          <w:caps w:val="false"/>
          <w:smallCaps w:val="false"/>
          <w:sz w:val="20"/>
        </w:rPr>
        <w:t>Health Care Laws</w:t>
      </w:r>
      <w:r>
        <w:rPr>
          <w:rFonts w:ascii="Times New Roman;Times;Serif" w:hAnsi="Times New Roman;Times;Serif"/>
          <w:b w:val="false"/>
          <w:i w:val="false"/>
          <w:caps w:val="false"/>
          <w:smallCaps w:val="false"/>
          <w:sz w:val="20"/>
        </w:rPr>
        <w:t>” shall mean the Federal Food, Drug, and Cosmetic Act (21 U.S.C. §§ 301 et seq.); the federal Anti-Kickback Statute (42 U.S.C. § 1320a-7b(b)); the civil False Claims Act (31 U.S.C. §§ 3729 et seq.); the criminal False Claims Act (42 U.S.C. § 1320a-7b(a)); all criminal laws relating to health care fraud and abuse, including but not limited to 18 U.S.C. Sections 286, 287, 1035, 1347 and 1349, and the health care fraud criminal provisions under the Health Insurance Portability and Accountability Act of 1996 (42 U.S.C. § 1320d et seq.) (“</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the exclusion laws (42 U.S.C. § 1320a-7); the civil monetary penalties law (42 U.S.C. § 1320a-7a); the Physician Payment Sunshine Act (42 U.S.C. § 1320a-7h); HIPAA, as amended by the Health Information Technology for Economic and Clinical Health Act (42 U.S.C. §§ 17921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 seq.); the Medicare statute (Title XVIII of the Social Security Act); the Medicaid statute (Title XIX of the Social Security Act); the regulations promulgated pursuant to such laws and any other similar local, state or federal law and regulations. The Company has not received any U.S. Food and Drug Administration (“</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Form 483, notice of adverse finding, warning letter, untitled letter or other correspondence, communication or notice from the U.S. Food and Drug Administration or any other governmental or regulatory authority alleging or asserting material noncompliance with any Health Care Laws, and, to the Company’s knowledge, no claim, action, suit, proceeding, hearing, enforcement, investigation, arbitration or other action is threatened. The Company is not a party to nor does it have any ongoing reporting obligations pursuant to any corporate integrity agreements, deferred prosecution agreements, monitoring agreements, consent decrees, settlement orders, plans of correction or similar agreements with or imposed by any governmental or regulatory authority. The Company, or any of its employees, officers, directors or agents has not been excluded, suspended or debarred from participation in any U.S. federal health care program or human clinical research, or, to the Company’s knowledge, is subject to a governmental inquiry, investigation, proceeding, or other similar action that would reasonably be expected to result in debarment, suspension or exclusion.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Healthcare Product Manufacturing</w:t>
      </w:r>
      <w:r>
        <w:rPr>
          <w:rFonts w:ascii="Times New Roman;Times;Serif" w:hAnsi="Times New Roman;Times;Serif"/>
          <w:b w:val="false"/>
          <w:i w:val="false"/>
          <w:caps w:val="false"/>
          <w:smallCaps w:val="false"/>
          <w:sz w:val="20"/>
        </w:rPr>
        <w:t>. The manufacture of the Company’s clinical products and product candidates by or on behalf of the Company is being conducted in compliance in all material respects with all applicable Good Manufacturing Practices standards, and to the extent of any US clinical trials on Company products, with all applicable Health Care Laws, including, without limitation, the FDA’s current good manufacturing practice regulations at 21 CFR Part 820, and, to the extent applicable to clinical trials on Company products outside of the United States, the respective counterparts thereof promulgated by governmental authorities in countries outside the United States. The Company has not had any manufacturing site (whether Company-owned or, to the Company’s knowledge, that of a third party manufacturer for the Company’s product candidates) subject to a governmental authority (including FDA or the European Medicines Agency “</w:t>
      </w:r>
      <w:r>
        <w:rPr>
          <w:rFonts w:ascii="Times New Roman;Times;Serif" w:hAnsi="Times New Roman;Times;Serif"/>
          <w:b/>
          <w:i w:val="false"/>
          <w:caps w:val="false"/>
          <w:smallCaps w:val="false"/>
          <w:sz w:val="20"/>
        </w:rPr>
        <w:t>EMA</w:t>
      </w:r>
      <w:r>
        <w:rPr>
          <w:rFonts w:ascii="Times New Roman;Times;Serif" w:hAnsi="Times New Roman;Times;Serif"/>
          <w:b w:val="false"/>
          <w:i w:val="false"/>
          <w:caps w:val="false"/>
          <w:smallCaps w:val="false"/>
          <w:sz w:val="20"/>
        </w:rPr>
        <w:t>”) shutdown or import or export prohibition, nor received any FDA, EMA or other governmental authority “warning letters,” or “untitled letters” alleging or asserting material noncompliance with any applicable Health Care Laws, requests to make material changes to the Company’s product candidates, processes or operations, or similar correspondence or notice from the FDA, EMA or other governmental authority alleging or asserting material noncompliance with any applicable Health Care Laws, other than those that have been satisfactorily addressed and/or closed with the FDA, EMA or other governmental authority. To the knowledge of the Company, neither the FDA, EMA or any other governmental authority is considering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No Imminent Insolvency, Overindebtedness or Capital Loss</w:t>
      </w:r>
      <w:r>
        <w:rPr>
          <w:rFonts w:ascii="Times New Roman;Times;Serif" w:hAnsi="Times New Roman;Times;Serif"/>
          <w:b w:val="false"/>
          <w:i w:val="false"/>
          <w:caps w:val="false"/>
          <w:smallCaps w:val="false"/>
          <w:sz w:val="20"/>
        </w:rPr>
        <w:t>. The Company is not subject to imminent insolvency within the meaning of article 725 CO and is not overindebted within the meaning of article 725b CO. The Company is not suffering from capital loss within the meaning of article 725a 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 xml:space="preserve">(ss)             </w:t>
      </w:r>
      <w:r>
        <w:rPr>
          <w:rFonts w:ascii="Times New Roman;Times;Serif" w:hAnsi="Times New Roman;Times;Serif"/>
          <w:b w:val="false"/>
          <w:i w:val="false"/>
          <w:caps w:val="false"/>
          <w:smallCaps w:val="false"/>
          <w:sz w:val="20"/>
          <w:u w:val="single"/>
        </w:rPr>
        <w:t>Commercial Registry</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On the date hereof, the Commercial Register has not been blocked and no challenge of the resolutions of the Company’s Board of Directors and no other action, complaint or dispute (each, an “</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xml:space="preserve">”) is pending and, to the best of the Company's knowledge, no Action has been publicly announced or credibly threatened, in each case against or in connection with the transactions contemplated under this Agreement or their consummation;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no laws or regulations and no decision, order, injunction or decree of any court, arbitral tribunal, authority or administrative or regulatory body or commission or exchange exists that has or may have the effect of making illegal or otherwise preventing or prohibiting, or that seeks to enjoin, restrain, impede or levy a substantial difficulty on the transactions contemplated under this Agreement or their consummation.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(tt)              </w:t>
      </w:r>
      <w:r>
        <w:rPr>
          <w:rFonts w:ascii="Times New Roman;Times;Serif" w:hAnsi="Times New Roman;Times;Serif"/>
          <w:b w:val="false"/>
          <w:i w:val="false"/>
          <w:caps w:val="false"/>
          <w:smallCaps w:val="false"/>
          <w:sz w:val="20"/>
          <w:u w:val="single"/>
        </w:rPr>
        <w:t>Duties, Transfer Taxes, Etc.</w:t>
      </w:r>
      <w:r>
        <w:rPr>
          <w:rFonts w:ascii="Times New Roman;Times;Serif" w:hAnsi="Times New Roman;Times;Serif"/>
          <w:b w:val="false"/>
          <w:i w:val="false"/>
          <w:caps w:val="false"/>
          <w:smallCaps w:val="false"/>
          <w:sz w:val="20"/>
        </w:rPr>
        <w:t xml:space="preserve"> No stamp or other issuance or transfer taxes or duties are payable by the Agent in the United States or any political subdivision or taxing authority thereof or therein in connection with the execution, delivery or performance of this Agreement by the Company or the sale and delivery by the Company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(uu)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Except as would not, individually or in the aggregate, reasonably be expected to have a Material Adverse Effect: (i) the Company’s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are adequate for, and operate and perform in all respects as required in connection with the operation of the business of the Company as currently conducted, to the Company’s knowledge, free and clear of all bugs, errors, defects, Trojan horses, time bombs, malware and other corruptants; (ii) the Company has implemented and maintained commercially reasonable physical, technical and administrative controls, policies, procedures, and safeguards to maintain and protect their confidential information and the integrity, continuous operation, redundancy and security of all IT Systems and data, including “Personal Data,” used in connection with their businesses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(A) a natural person’s name, street address, telephone number, e-mail address, photograph, social security number or tax identification number, driver’s license number, passport number, credit card number, bank information, or customer or account number; (B) any information which would qualify as “personally identifying information” under the Federal Trade Commission Act, as amended; (C) “personal data” as defined by the European Union General Data Protection Regulation 2016/679; or (D) any information which would qualify as “protected health information” under the Health Insurance Portability and Accountability Act of 1996, as amended by the Health Information Technology for Economic and Clinical Health Act; (iii) to the Company’s knowledge, there have been no breaches, violations, outages or unauthorized uses of or accesses to same, except for those that have been remedied without cost or liability or the duty to notify any other person, nor any incidents under internal review or investigations relating to the same; and (iv) the Company is presently in compliance with all applicable laws or statutes, including all applicable state and federal data privacy and security laws and regulations,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(vv)           </w:t>
      </w:r>
      <w:r>
        <w:rPr>
          <w:rFonts w:ascii="Times New Roman;Times;Serif" w:hAnsi="Times New Roman;Times;Serif"/>
          <w:b w:val="false"/>
          <w:i w:val="false"/>
          <w:caps w:val="false"/>
          <w:smallCaps w:val="false"/>
          <w:sz w:val="20"/>
          <w:u w:val="single"/>
        </w:rPr>
        <w:t>Other Underwriting Agreements</w:t>
      </w:r>
      <w:r>
        <w:rPr>
          <w:rFonts w:ascii="Times New Roman;Times;Serif" w:hAnsi="Times New Roman;Times;Serif"/>
          <w:b w:val="false"/>
          <w:i w:val="false"/>
          <w:caps w:val="false"/>
          <w:smallCaps w:val="false"/>
          <w:sz w:val="20"/>
        </w:rPr>
        <w:t>. The Company is not a party to any agreement with an agent or underwriter for any other “at the market” or continuous equity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any officer or representative of the Company and delivered to the Agent or counsel for the Agent in connection with the sale of Shares shall be deemed a representation and warranty by the Company to the Agent as to the matters covered thereby on the date of such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acknowledges that the Agent and, for purposes of the opinions to be delivered pursuant to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xml:space="preserve"> hereof, counsel to the Company and counsel to the Agent, will rely upon the accuracy and truthfulness of the foregoing representations and hereby consents to such reliance.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ISSUANCE AND SALE OF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Sale of Securities</w:t>
      </w:r>
      <w:r>
        <w:rPr>
          <w:rFonts w:ascii="Times New Roman;Times;Serif" w:hAnsi="Times New Roman;Times;Serif"/>
          <w:b w:val="false"/>
          <w:i w:val="false"/>
          <w:caps w:val="false"/>
          <w:smallCaps w:val="false"/>
          <w:sz w:val="20"/>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Mechanics of Issuances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Notice</w:t>
      </w:r>
      <w:r>
        <w:rPr>
          <w:rFonts w:ascii="Times New Roman;Times;Serif" w:hAnsi="Times New Roman;Times;Serif"/>
          <w:b w:val="false"/>
          <w:i w:val="false"/>
          <w:caps w:val="false"/>
          <w:smallCaps w:val="false"/>
          <w:sz w:val="20"/>
        </w:rPr>
        <w:t xml:space="preserve">. Upon the terms and subject to the conditions set forth herein, on any Trading Day during the Agency Period on which the conditions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xml:space="preserve"> shall have been satisfied, the Company may exercise its right to request a delivery of Shares by delivering to the Agent an Issuance Notice;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in no event may the Company deliver an Issuance Notice to the extent that (I) the sum of (x) the aggregate Sales Price of the requested Issuance Amount, plus (y) the aggregate Sales Price of all Shares delivered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Agent Efforts</w:t>
      </w:r>
      <w:r>
        <w:rPr>
          <w:rFonts w:ascii="Times New Roman;Times;Serif" w:hAnsi="Times New Roman;Times;Serif"/>
          <w:b w:val="false"/>
          <w:i w:val="false"/>
          <w:caps w:val="false"/>
          <w:smallCaps w:val="false"/>
          <w:sz w:val="20"/>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Method of Offer and Sale</w:t>
      </w:r>
      <w:r>
        <w:rPr>
          <w:rFonts w:ascii="Times New Roman;Times;Serif" w:hAnsi="Times New Roman;Times;Serif"/>
          <w:b w:val="false"/>
          <w:i w:val="false"/>
          <w:caps w:val="false"/>
          <w:smallCaps w:val="false"/>
          <w:sz w:val="20"/>
        </w:rPr>
        <w:t>. The Shares may be offered and sold (A) in privately negotiated transactions with the consent of the Company; (B) 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Confirmation to the Company</w:t>
      </w:r>
      <w:r>
        <w:rPr>
          <w:rFonts w:ascii="Times New Roman;Times;Serif" w:hAnsi="Times New Roman;Times;Serif"/>
          <w:b w:val="false"/>
          <w:i w:val="false"/>
          <w:caps w:val="false"/>
          <w:smallCaps w:val="false"/>
          <w:sz w:val="20"/>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Settlement</w:t>
      </w:r>
      <w:r>
        <w:rPr>
          <w:rFonts w:ascii="Times New Roman;Times;Serif" w:hAnsi="Times New Roman;Times;Serif"/>
          <w:b w:val="false"/>
          <w:i w:val="false"/>
          <w:caps w:val="false"/>
          <w:smallCaps w:val="false"/>
          <w:sz w:val="20"/>
        </w:rPr>
        <w:t xml:space="preserve">. Each delivery of Shares will be settled on the applicable Settlement Date for such Shares and, subject to the provisions of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on or before each Settlement Date, the Company will cause the Fiduciary to assign and transfer the Shares being sold to the Agent,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Times New Roman;Times;Serif" w:hAnsi="Times New Roman;Times;Serif"/>
          <w:b/>
          <w:i w:val="false"/>
          <w:caps w:val="false"/>
          <w:smallCaps w:val="false"/>
          <w:sz w:val="20"/>
        </w:rPr>
        <w:t>Time of Sale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Suspension or Termination of Sales</w:t>
      </w:r>
      <w:r>
        <w:rPr>
          <w:rFonts w:ascii="Times New Roman;Times;Serif" w:hAnsi="Times New Roman;Times;Serif"/>
          <w:b w:val="false"/>
          <w:i w:val="false"/>
          <w:caps w:val="false"/>
          <w:smallCaps w:val="false"/>
          <w:sz w:val="20"/>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Times;Serif" w:hAnsi="Times New Roman;Times;Serif"/>
          <w:b w:val="false"/>
          <w:i w:val="false"/>
          <w:caps w:val="false"/>
          <w:smallCaps w:val="false"/>
          <w:sz w:val="20"/>
          <w:u w:val="single"/>
        </w:rPr>
        <w:t>Section 3(b)(v)</w:t>
      </w:r>
      <w:r>
        <w:rPr>
          <w:rFonts w:ascii="Times New Roman;Times;Serif" w:hAnsi="Times New Roman;Times;Serif"/>
          <w:b w:val="false"/>
          <w:i w:val="false"/>
          <w:caps w:val="false"/>
          <w:smallCaps w:val="false"/>
          <w:sz w:val="20"/>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set forth in Schedule A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No Guarantee of Placement, Etc.</w:t>
      </w:r>
      <w:r>
        <w:rPr>
          <w:rFonts w:ascii="Times New Roman;Times;Serif" w:hAnsi="Times New Roman;Times;Serif"/>
          <w:b w:val="false"/>
          <w:i w:val="false"/>
          <w:caps w:val="false"/>
          <w:smallCaps w:val="false"/>
          <w:sz w:val="20"/>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Material Non-Public Information.</w:t>
      </w:r>
      <w:r>
        <w:rPr>
          <w:rFonts w:ascii="Times New Roman;Times;Serif" w:hAnsi="Times New Roman;Times;Serif"/>
          <w:b w:val="false"/>
          <w:i w:val="false"/>
          <w:caps w:val="false"/>
          <w:smallCaps w:val="false"/>
          <w:sz w:val="20"/>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Times;Serif" w:hAnsi="Times New Roman;Times;Serif"/>
          <w:b w:val="false"/>
          <w:i w:val="false"/>
          <w:caps w:val="false"/>
          <w:smallCaps w:val="false"/>
          <w:sz w:val="20"/>
          <w:u w:val="single"/>
        </w:rPr>
        <w:t>Section 3(b)(vi))</w:t>
      </w:r>
      <w:r>
        <w:rPr>
          <w:rFonts w:ascii="Times New Roman;Times;Serif" w:hAnsi="Times New Roman;Times;Serif"/>
          <w:b w:val="false"/>
          <w:i w:val="false"/>
          <w:caps w:val="false"/>
          <w:smallCaps w:val="false"/>
          <w:sz w:val="20"/>
        </w:rPr>
        <w:t xml:space="preserve"> by the Agent deducting the Selling Commission from the applicable Issuance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Times;Serif" w:hAnsi="Times New Roman;Times;Serif"/>
          <w:b/>
          <w:i w:val="false"/>
          <w:caps w:val="false"/>
          <w:smallCaps w:val="false"/>
          <w:sz w:val="20"/>
        </w:rPr>
        <w:t>Blue Sky Survey</w:t>
      </w:r>
      <w:r>
        <w:rPr>
          <w:rFonts w:ascii="Times New Roman;Times;Serif" w:hAnsi="Times New Roman;Times;Serif"/>
          <w:b w:val="false"/>
          <w:i w:val="false"/>
          <w:caps w:val="false"/>
          <w:smallCaps w:val="false"/>
          <w:sz w:val="20"/>
        </w:rPr>
        <w:t xml:space="preserve">”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$75,000 in connection with the execution of this Agreement, (B) $25,000 in connection with the first Triggering Event Date (as defined below) on which the Company is required to provide a certificate pursuant to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 xml:space="preserve">) subsequent to each filing of Form 20-F and (C) $15,000 in connection with any other Triggering Event Date (as defined below) on which the Company is required to provide a certificate pursuant to </w:t>
      </w:r>
      <w:r>
        <w:rPr>
          <w:rFonts w:ascii="Times New Roman;Times;Serif" w:hAnsi="Times New Roman;Times;Serif"/>
          <w:b w:val="false"/>
          <w:i w:val="false"/>
          <w:caps w:val="false"/>
          <w:smallCaps w:val="false"/>
          <w:sz w:val="20"/>
          <w:u w:val="single"/>
        </w:rPr>
        <w:t>Section 4(o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ADDITIONAL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with the Agent as follows, in addition to any other covenants and agreements made elsewhere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Exchange Act Compliance</w:t>
      </w:r>
      <w:r>
        <w:rPr>
          <w:rFonts w:ascii="Times New Roman;Times;Serif" w:hAnsi="Times New Roman;Times;Serif"/>
          <w:b w:val="false"/>
          <w:i w:val="false"/>
          <w:caps w:val="false"/>
          <w:smallCaps w:val="false"/>
          <w:sz w:val="20"/>
        </w:rPr>
        <w:t>. During the Agency Period, the Company shall (i) file, on a timely basis, with the Commission all reports and documents required to be filed under Section 13, 14 or 15 of the Exchange Act in the manner and within the time periods required 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Act; and (ii) either (A) include in its quarterly financial statements on Form 6-K and its annual reports on Form 20-F,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Times New Roman;Times;Serif" w:hAnsi="Times New Roman;Times;Serif"/>
          <w:b/>
          <w:i w:val="false"/>
          <w:caps w:val="false"/>
          <w:smallCaps w:val="false"/>
          <w:sz w:val="20"/>
        </w:rPr>
        <w:t>Interim Prospectus Supplement”)</w:t>
      </w:r>
      <w:r>
        <w:rPr>
          <w:rFonts w:ascii="Times New Roman;Times;Serif" w:hAnsi="Times New Roman;Times;Serif"/>
          <w:b w:val="false"/>
          <w:i w:val="false"/>
          <w:caps w:val="false"/>
          <w:smallCaps w:val="false"/>
          <w:sz w:val="20"/>
        </w:rPr>
        <w:t>, such summary information and, at least once a quarter and subject to this Section 4, file such Interim Prospectus Supplement pursuant to Rule 424(b) under the Securities Act (and within the time periods required by Rule 424(b) and Rule 430B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Securities Act Compliance</w:t>
      </w:r>
      <w:r>
        <w:rPr>
          <w:rFonts w:ascii="Times New Roman;Times;Serif" w:hAnsi="Times New Roman;Times;Serif"/>
          <w:b w:val="false"/>
          <w:i w:val="false"/>
          <w:caps w:val="false"/>
          <w:smallCaps w:val="false"/>
          <w:sz w:val="20"/>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commercially reasonable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Amendments and Supplements to the Prospectus and Other Securities Act Matters</w:t>
      </w:r>
      <w:r>
        <w:rPr>
          <w:rFonts w:ascii="Times New Roman;Times;Serif" w:hAnsi="Times New Roman;Times;Serif"/>
          <w:b w:val="false"/>
          <w:i w:val="false"/>
          <w:caps w:val="false"/>
          <w:smallCaps w:val="false"/>
          <w:sz w:val="20"/>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Sections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only remedy the Agent shall have with respect to the failure by the Company to make such filing (other than the Agent’s rights under Section 3(d) or Section 6 hereof) shall be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making sales under this Agreement until such amendment or supplement is filed. Notwithstanding the foregoing, the Company shall not be required to file such amendment or supplement if there is no pending Issuance Notice and the Company believes that it is in its best interest not to file such amendment or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Agent’s Review of Proposed Amendments and Supplements</w:t>
      </w:r>
      <w:r>
        <w:rPr>
          <w:rFonts w:ascii="Times New Roman;Times;Serif" w:hAnsi="Times New Roman;Times;Serif"/>
          <w:b w:val="false"/>
          <w:i w:val="false"/>
          <w:caps w:val="false"/>
          <w:smallCaps w:val="false"/>
          <w:sz w:val="20"/>
        </w:rPr>
        <w:t>. During any period in which an Issuance Notice is pending, prior to amending or supplementing the Registration Statement (including any registration statement filed under Rule 462(b) under the Securities Act) or the Prospectus (excluding any amendment or supplement through incorporation of any report filed under the Exchange Act), insofar as such proposed amendment or supplement relates to the Shares or the transactions contemplated hereby,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the Company shall file with the Commission within the applicable period specified in Rule 424(b) under the Securities Act any prospectus required to be filed pursuant to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Use of Free Writing Prospectus</w:t>
      </w:r>
      <w:r>
        <w:rPr>
          <w:rFonts w:ascii="Times New Roman;Times;Serif" w:hAnsi="Times New Roman;Times;Serif"/>
          <w:b w:val="false"/>
          <w:i w:val="false"/>
          <w:caps w:val="false"/>
          <w:smallCaps w:val="false"/>
          <w:sz w:val="20"/>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Free Writing Prospectuses</w:t>
      </w:r>
      <w:r>
        <w:rPr>
          <w:rFonts w:ascii="Times New Roman;Times;Serif" w:hAnsi="Times New Roman;Times;Serif"/>
          <w:b w:val="false"/>
          <w:i w:val="false"/>
          <w:caps w:val="false"/>
          <w:smallCaps w:val="false"/>
          <w:sz w:val="20"/>
        </w:rPr>
        <w:t xml:space="preserve">. During any period in which an Issuance Notice is pending,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insofar as such proposed amendment or supplement relates to the Shares or the transactions contemplated hereby,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insofar as such proposed amendment or supplement relates to the Shares or the transactions contemplated hereby,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Filing of Agent Free Writing Prospectuses</w:t>
      </w:r>
      <w:r>
        <w:rPr>
          <w:rFonts w:ascii="Times New Roman;Times;Serif" w:hAnsi="Times New Roman;Times;Serif"/>
          <w:b w:val="false"/>
          <w:i w:val="false"/>
          <w:caps w:val="false"/>
          <w:smallCaps w:val="false"/>
          <w:sz w:val="20"/>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Copies of Registration Statement and Prospectus</w:t>
      </w:r>
      <w:r>
        <w:rPr>
          <w:rFonts w:ascii="Times New Roman;Times;Serif" w:hAnsi="Times New Roman;Times;Serif"/>
          <w:b w:val="false"/>
          <w:i w:val="false"/>
          <w:caps w:val="false"/>
          <w:smallCaps w:val="false"/>
          <w:sz w:val="20"/>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(which may be electronic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Blue Sky Compliance</w:t>
      </w:r>
      <w:r>
        <w:rPr>
          <w:rFonts w:ascii="Times New Roman;Times;Serif" w:hAnsi="Times New Roman;Times;Serif"/>
          <w:b w:val="false"/>
          <w:i w:val="false"/>
          <w:caps w:val="false"/>
          <w:smallCaps w:val="false"/>
          <w:sz w:val="20"/>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 relating to) the Shares for offering, sale or trading in any jurisdiction or any initiation or threat of any proceeding for any such purpose, and in the event of the issuance of any order suspending such qualification, registration or exemption, the Company shall use its commercially reasonable efforts to obtain the withdrawal thereof as soon as practicable.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The Company will maintain the listing of the Shares on the Principal Market; and (b) the Company will at the time of each Issuance Notice, directly or through a fiduciary, keep available at all times Shares for the purpose of enabling the Company to satisfy its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The Company shall engage and maintain, at its expense, a registrar and transfer agent for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Due Diligence</w:t>
      </w:r>
      <w:r>
        <w:rPr>
          <w:rFonts w:ascii="Times New Roman;Times;Serif" w:hAnsi="Times New Roman;Times;Serif"/>
          <w:b w:val="false"/>
          <w:i w:val="false"/>
          <w:caps w:val="false"/>
          <w:smallCaps w:val="false"/>
          <w:sz w:val="20"/>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Deliverables at Triggering Event Dates; Certificates.</w:t>
      </w:r>
      <w:r>
        <w:rPr>
          <w:rFonts w:ascii="Times New Roman;Times;Serif" w:hAnsi="Times New Roman;Times;Serif"/>
          <w:b w:val="false"/>
          <w:i w:val="false"/>
          <w:caps w:val="false"/>
          <w:smallCaps w:val="false"/>
          <w:sz w:val="20"/>
        </w:rPr>
        <w:t xml:space="preserve"> The Company agrees that on or prior to the date of the first Issuance Notice and, during the term of this Agreement after the date of the first Issuance Notice, upon: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filing with the Commission of an annual report on Form 20-F or a quarterly report on Form 6-K (including any Form 20-F/A or Form 6-K/A containing amended financial information or a material amendment to the previously filed annual report on Form 20-F or quarterly report on Form 6-K), in each case, of the Company;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filing with the Commission of a Form 6-K of the Company containing amended financial information that is material to the offering of securities of the Company in the Agent’s reasonable discretion; (any such event, a “Triggering Event Date”), the Company shall furnish the Agent (but in the case of clause (C) above only if the Agent reasonably determines that the information contained in such Form 6-K of the Company is material to a holder of Common Shares and the Agent requests such certification after the filing of such amendment or Form 6-K with the Commission)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that the Company has performed all of its obligations hereunder to be performed on or prior to the date of such certificate and as to the matters set forth in Section 5(a)(iii) hereof, and (C) containing any other certification that the Agent shall reasonably request. The requirement to provide a certificate under this Section 4(o) shall be automatically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(i) a negative assurances letter and the written legal opinion of Davis Polk &amp; Wardwell LLP, U.S. counsel to the Company, (ii) a capacity opinion of Bär &amp; Karrer AG, Swiss counsel to the Company, regarding, inter alia, the execution of this agreement and a technical legal opinion confirming, inter alia, the valid issuance of a certain number of new shares required for such Issuance Notice, (iii) the written legal opinion of each of Boult Wade Tennant LLP, Ice Miller LLP, McNeill Baur PLLC, Johnson and Vossius &amp; Partner Patentanwaelte Rechtsanwaelte mbB, each intellectual property counsel to the Company and (iv) a negative assurances letter and the written legal opinion of Paul Hastings LLP, US counsel to the Agent,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PricewaterhouseCoopers SA,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Form 6-K containing material amended financial information of the Company, including the restatement of the Company’s financial statements. The Company shall be required to furnish no more than one comfort letter hereunder per calendar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Chief Financial Officer’s Certificate</w:t>
      </w:r>
      <w:r>
        <w:rPr>
          <w:rFonts w:ascii="Times New Roman;Times;Serif" w:hAnsi="Times New Roman;Times;Serif"/>
          <w:b w:val="false"/>
          <w:i w:val="false"/>
          <w:caps w:val="false"/>
          <w:smallCaps w:val="false"/>
          <w:sz w:val="20"/>
        </w:rPr>
        <w:t>. On or prior to the date of the first Issuance Notice and on or prior to each Triggering Event Date, the Company shall furnish the Agent a certificate executed by the Chief Financial Officer of the Company, signing in such capacity, dated the date of delivery, with respect to certain financial data contained in the Registration Statement and the Prospectus, providing “management comfort” with respect to such information, in form and substance reasonably satisfactory to the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Agent’s Own Account; Clients’ Account</w:t>
      </w:r>
      <w:r>
        <w:rPr>
          <w:rFonts w:ascii="Times New Roman;Times;Serif" w:hAnsi="Times New Roman;Times;Serif"/>
          <w:b w:val="false"/>
          <w:i w:val="false"/>
          <w:caps w:val="false"/>
          <w:smallCaps w:val="false"/>
          <w:sz w:val="20"/>
        </w:rPr>
        <w:t>. The Company consents to the Agent trading, in compliance with applicable law, in the Common Shares for the Agent’s own account and for the account of its clients at the same time as sales of the Shares occur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Investment Limitation</w:t>
      </w:r>
      <w:r>
        <w:rPr>
          <w:rFonts w:ascii="Times New Roman;Times;Serif" w:hAnsi="Times New Roman;Times;Serif"/>
          <w:b w:val="false"/>
          <w:i w:val="false"/>
          <w:caps w:val="false"/>
          <w:smallCaps w:val="false"/>
          <w:sz w:val="20"/>
        </w:rPr>
        <w:t>. The Company shall not invest, or otherwise use the proceeds received by the Company from its sale of the Shares in such a manner as would require the Company to register as an investment company under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Times;Serif" w:hAnsi="Times New Roman;Times;Serif"/>
          <w:b/>
          <w:i w:val="false"/>
          <w:caps w:val="false"/>
          <w:smallCaps w:val="false"/>
          <w:sz w:val="20"/>
        </w:rPr>
        <w:t>Rule 102</w:t>
      </w:r>
      <w:r>
        <w:rPr>
          <w:rFonts w:ascii="Times New Roman;Times;Serif" w:hAnsi="Times New Roman;Times;Serif"/>
          <w:b w:val="false"/>
          <w:i w:val="false"/>
          <w:caps w:val="false"/>
          <w:smallCaps w:val="false"/>
          <w:sz w:val="20"/>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Notice of Other Sale</w:t>
      </w:r>
      <w:r>
        <w:rPr>
          <w:rFonts w:ascii="Times New Roman;Times;Serif" w:hAnsi="Times New Roman;Times;Serif"/>
          <w:b w:val="false"/>
          <w:i w:val="false"/>
          <w:caps w:val="false"/>
          <w:smallCaps w:val="false"/>
          <w:sz w:val="20"/>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earlier of (x) the third Trading Day immediately following the Settlement Date with respect to Shares sold pursuant to such Issuance Notice and (y) the date the Company notifies the Agent of the withdrawal of such Issuance Notice if no Shares were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as in effect on the date of this Agreement, (ii) issuance or sale of Common Shares issuable upon exchange, conversion or redemption of securities or the exercise or vesting of warrants, options or other equity awards disclosed in filings by the Company available on EDGAR or otherwise in writing to the Agent, (iii) modification of any outstanding options, warrants of any rights to purchase or acquire Common Shares, and (iv) Common Shares or securities convertible into or exchangeable for Common Shares as consideration for mergers, acquisitions, other business combinations, collaboration agreements or strategic alliances occurring after the date of this Agreement which are not issued primarily for capital raising purposes, provided that the aggregate number of shares issued pursuant to clause (iv) above shall not exceed 5.0% of the total number of outstanding shares of Common Shares immediately following the issuance and sale of the Common Shares issued pursuant to clause (iv).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CONDITIONS TO DELIVERY OF ISSUANCE NOTICES AND TO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Conditions Precedent to the Right of the Company to Deliver an Issuance Notice and the Obligation of the Agent to Sell Shares</w:t>
      </w:r>
      <w:r>
        <w:rPr>
          <w:rFonts w:ascii="Times New Roman;Times;Serif" w:hAnsi="Times New Roman;Times;Serif"/>
          <w:b w:val="false"/>
          <w:i w:val="false"/>
          <w:caps w:val="false"/>
          <w:smallCaps w:val="false"/>
          <w:sz w:val="20"/>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10002" w:type="dxa"/>
            <w:tcBorders/>
            <w:vAlign w:val="center"/>
          </w:tcPr>
          <w:p>
            <w:pPr>
              <w:pStyle w:val="TableContents"/>
              <w:bidi w:val="0"/>
              <w:spacing w:before="0" w:after="283"/>
              <w:jc w:val="both"/>
              <w:rPr/>
            </w:pPr>
            <w:r>
              <w:rPr>
                <w:rFonts w:ascii="Times New Roman;Times;Serif" w:hAnsi="Times New Roman;Times;Serif"/>
                <w:u w:val="single"/>
              </w:rPr>
              <w:t>Accuracy of the Company’s Representations and Warranties; Performance by the Company</w:t>
            </w:r>
            <w:r>
              <w:rPr>
                <w:rFonts w:ascii="Times New Roman;Times;Serif" w:hAnsi="Times New Roman;Times;Serif"/>
              </w:rPr>
              <w:t xml:space="preserve">. The Company shall have delivered the certificate required to be delivered pursuant to </w:t>
            </w:r>
            <w:r>
              <w:rPr>
                <w:rFonts w:ascii="Times New Roman;Times;Serif" w:hAnsi="Times New Roman;Times;Serif"/>
                <w:u w:val="single"/>
              </w:rPr>
              <w:t>Section 4(o)</w:t>
            </w:r>
            <w:r>
              <w:rPr>
                <w:rFonts w:ascii="Times New Roman;Times;Serif" w:hAnsi="Times New Roman;Times;Serif"/>
              </w:rPr>
              <w:t xml:space="preserve"> on or before the date on which delivery of such certificate is required pursuant to </w:t>
            </w:r>
            <w:r>
              <w:rPr>
                <w:rFonts w:ascii="Times New Roman;Times;Serif" w:hAnsi="Times New Roman;Times;Serif"/>
                <w:u w:val="single"/>
              </w:rPr>
              <w:t>Section 4(o)</w:t>
            </w:r>
            <w:r>
              <w:rPr>
                <w:rFonts w:ascii="Times New Roman;Times;Serif" w:hAnsi="Times New Roman;Times;Serif"/>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u w:val="single"/>
              </w:rPr>
              <w:t>Section 4(m)</w:t>
            </w:r>
            <w:r>
              <w:rPr/>
              <w:t xml:space="preserve">, </w:t>
            </w:r>
            <w:r>
              <w:rPr>
                <w:u w:val="single"/>
              </w:rPr>
              <w:t>Section 4(q)</w:t>
            </w:r>
            <w:r>
              <w:rPr/>
              <w:t xml:space="preserve">, </w:t>
            </w:r>
            <w:r>
              <w:rPr>
                <w:u w:val="single"/>
              </w:rPr>
              <w:t>Section 4(r)</w:t>
            </w:r>
            <w:r>
              <w:rPr/>
              <w:t xml:space="preserve"> and </w:t>
            </w:r>
            <w:r>
              <w:rPr>
                <w:u w:val="single"/>
              </w:rPr>
              <w:t>Section 4(s)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(ii)</w:t>
            </w:r>
          </w:p>
        </w:tc>
        <w:tc>
          <w:tcPr>
            <w:tcW w:w="9942" w:type="dxa"/>
            <w:tcBorders/>
            <w:vAlign w:val="center"/>
          </w:tcPr>
          <w:p>
            <w:pPr>
              <w:pStyle w:val="TableContents"/>
              <w:bidi w:val="0"/>
              <w:spacing w:before="0" w:after="283"/>
              <w:jc w:val="both"/>
              <w:rPr/>
            </w:pPr>
            <w:r>
              <w:rPr>
                <w:u w:val="single"/>
              </w:rPr>
              <w:t>No Injunction</w:t>
            </w:r>
            <w:r>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(iii)</w:t>
            </w:r>
          </w:p>
        </w:tc>
        <w:tc>
          <w:tcPr>
            <w:tcW w:w="9882" w:type="dxa"/>
            <w:tcBorders/>
            <w:vAlign w:val="center"/>
          </w:tcPr>
          <w:p>
            <w:pPr>
              <w:pStyle w:val="TableContents"/>
              <w:bidi w:val="0"/>
              <w:spacing w:before="0" w:after="283"/>
              <w:jc w:val="both"/>
              <w:rPr/>
            </w:pPr>
            <w:r>
              <w:rPr>
                <w:u w:val="single"/>
              </w:rPr>
              <w:t>Material Adverse Changes</w:t>
            </w:r>
            <w:r>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by any “nationally recognized statistical rating organization” as such term is defined for purposes of Section 3(a)(62) of the Exchange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884" w:type="dxa"/>
            <w:tcBorders/>
            <w:vAlign w:val="center"/>
          </w:tcPr>
          <w:p>
            <w:pPr>
              <w:pStyle w:val="TableContents"/>
              <w:bidi w:val="0"/>
              <w:spacing w:before="0" w:after="283"/>
              <w:jc w:val="both"/>
              <w:rPr/>
            </w:pPr>
            <w:r>
              <w:rPr>
                <w:u w:val="single"/>
              </w:rPr>
              <w:t>No Suspension of Trading in or Delisting of Common Shares; Other Events</w:t>
            </w:r>
            <w:r>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Documents Required to be Delivered on each Issuance Notice Date</w:t>
      </w:r>
      <w:r>
        <w:rPr>
          <w:rFonts w:ascii="Times New Roman;Times;Serif" w:hAnsi="Times New Roman;Times;Serif"/>
          <w:b w:val="false"/>
          <w:i w:val="false"/>
          <w:caps w:val="false"/>
          <w:smallCaps w:val="false"/>
          <w:sz w:val="20"/>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Agent shall not have advised the Company that the Registration Statement, the Prospectus or the Times of Sales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INDEMNIFICATION AND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Indemnification of the Agent</w:t>
      </w:r>
      <w:r>
        <w:rPr>
          <w:rFonts w:ascii="Times New Roman;Times;Serif" w:hAnsi="Times New Roman;Times;Serif"/>
          <w:b w:val="false"/>
          <w:i w:val="false"/>
          <w:caps w:val="false"/>
          <w:smallCaps w:val="false"/>
          <w:sz w:val="20"/>
        </w:rPr>
        <w:t>. The Company agrees to indemnify and hold harmless the Agent, its affiliates, directors, officers, employees and agents, and each person, if any, who controls the Agent within the meaning of the Securities Act or the Exchange Act against any loss, claim, damage, liability or expense, as incurred, to which the Agent or such affiliate, director, officer, employee, agent or controlling person may become subject, under the Securities Act, the Exchange Act, other federal or state statutory law or regulation, or the laws or regulations of Switzerland or of foreign jurisdictions where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(ii) any untrue statement or alleged untrue statement of a material fact included in the Prospectus or any free writing prospectus that the Company has used, referred to or filed, or is required to file, pursuant to Rule 433(d) of the Securities Act (or any amendment or supplement to the foregoing), (iii)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 or failure to act or any alleged act or failure to act by the Agent in connection with, or relating in any manner to, the Shares or the offering contemplated hereby, and which is included as part of or referred to in any loss, claim, damage, liability or action arising out of or based upon any matter covered by clause (i) or (ii) above; or the omission or alleged omission to state therein a material fact necessary in order to make the statements, in the light of the circumstances under which they were made, not misleading; and to reimburse the Agent and its affiliates, directors, officers, employees, agents and controlling persons for any and all reasonable expenses (including the reasonable fees and disbursements of counsel) as such expenses are incurred by the Agent or any of its affiliates, directors, officers, employees, agents or controlling persons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the Agent furnished to representatives of the Company in writing expressly for use in the Registration Statement, the Prospectus or any such free writing prospectus (or any amendment or supplement thereto), it being understood and agreed that the only such information consists of the information described in Section 6(b) below. The indemnity agreement and the obligations and liabilities of the Company set forth in this Section 6(a) shall be in addition to any liabilities that the Company may otherwise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Indemnification of the Company, its Directors and Officers</w:t>
      </w:r>
      <w:r>
        <w:rPr>
          <w:rFonts w:ascii="Times New Roman;Times;Serif" w:hAnsi="Times New Roman;Times;Serif"/>
          <w:b w:val="false"/>
          <w:i w:val="false"/>
          <w:caps w:val="false"/>
          <w:smallCaps w:val="false"/>
          <w:sz w:val="20"/>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the Agent),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the Prospectus or any free writing prospectus that the Company has used, referred to or filed, or is required to file, pursuant to Rule 433 of the Securities Act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the Prospectus, or such free writing prospectus (or any such amendment or supplement), in reliance upon and in conformity with information relating to the Agent furnished to the Company in writing expressly for use therein; and to reimburse the Company, or any such director, officer or controlling person for any and all reasonable expenses (including the reasonable fees and disbursements of counsel) as such expenses are incurred by the Company, or any such director, officer or controlling person in connection with investigating, defending, settling, compromising or paying any such loss, claim, damage, liability, expense or action.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hereby acknowledges that the only information that the Agent has furnished to the Company expressly for use in the Registration Statement, Prospectus, or any free writing prospectus that the Company has filed, or is required to file, pursuant to Rule 433(d) of the Securities Act (or any amendment or supplement to the foregoing) are set forth in the tenth paragraph under the caption “Plan of Distribution”. The indemnity agreement set forth in this Section 6(b) shall be in addition to any liabilities that the Agent may otherwise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Notifications and Other Indemnification Procedures</w:t>
      </w:r>
      <w:r>
        <w:rPr>
          <w:rFonts w:ascii="Times New Roman;Times;Serif" w:hAnsi="Times New Roman;Times;Serif"/>
          <w:b w:val="false"/>
          <w:i w:val="false"/>
          <w:caps w:val="false"/>
          <w:smallCaps w:val="false"/>
          <w:sz w:val="20"/>
        </w:rPr>
        <w:t xml:space="preserve">. Promptly after receipt by an indemnified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notice of the commencement of any action, such indemnified party will, if a claim in respect thereof is to be made against an indemnifying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notify the indemnifying party in writing of the commencement thereof, but the omission so to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 xml:space="preserve"> above) or by the Company (in the case of counsel for the indemnified parties referred to in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reasonable fees and expenses of counsel shall be at the expense of the indemnifying party and shall be paid as they are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Settlements</w:t>
      </w:r>
      <w:r>
        <w:rPr>
          <w:rFonts w:ascii="Times New Roman;Times;Serif" w:hAnsi="Times New Roman;Times;Serif"/>
          <w:b w:val="false"/>
          <w:i w:val="false"/>
          <w:caps w:val="false"/>
          <w:smallCaps w:val="false"/>
          <w:sz w:val="20"/>
        </w:rPr>
        <w:t>. The indemnifying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provided for in ‎Section 6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proceeds from the offering of the Shares pursuant to this Agreement (before deducting expenses) received by the Company, and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paid or payable by a party as a result of the losses, claims, damages, liabilities and expenses referred to above shall be deemed to include, subject to the limitations set forth in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xml:space="preserve"> any reasonable and properly documented legal or other fees or expenses reasonably incurred by such party in connection with investigating or defending any action or claim. The provisions set forth in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xml:space="preserve"> with respect to notice of commencement of any action shall apply if a claim for contribution is to be made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provided, however, that no additional notice shall be required with respect to any action for which notice has been given under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xml:space="preserve"> for purposes of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Agent agree that it would not be just and equitable if contribution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were determined by pro rata allocation or by any other method of allocation which does not take account of the equitable considerations referred to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provisions of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xml:space="preserve">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TERMINATION &amp; SURVIVAL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Subject to the provisions of this ‎Section 7, the term of this Agreement shall continue from the date of this Agreement until the end of the Agency Period, unless earlier terminated by the parties to this Agreement pursuant to this ‎Section 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Termination; Survival Following 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10003" w:type="dxa"/>
            <w:tcBorders/>
            <w:vAlign w:val="center"/>
          </w:tcPr>
          <w:p>
            <w:pPr>
              <w:pStyle w:val="TableContents"/>
              <w:bidi w:val="0"/>
              <w:spacing w:before="0" w:after="283"/>
              <w:jc w:val="both"/>
              <w:rPr/>
            </w:pPr>
            <w:r>
              <w:rPr>
                <w:rFonts w:ascii="Times New Roman;Times;Serif" w:hAnsi="Times New Roman;Times;Serif"/>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u w:val="single"/>
              </w:rPr>
              <w:t>Section 3(b)(v)</w:t>
            </w:r>
            <w:r>
              <w:rPr/>
              <w:t xml:space="preserve"> with respect to such Shares and (B) </w:t>
            </w:r>
            <w:r>
              <w:rPr>
                <w:u w:val="single"/>
              </w:rPr>
              <w:t>Section 2</w:t>
            </w:r>
            <w:r>
              <w:rPr/>
              <w:t xml:space="preserve">, </w:t>
            </w:r>
            <w:r>
              <w:rPr>
                <w:u w:val="single"/>
              </w:rPr>
              <w:t>Section 6</w:t>
            </w:r>
            <w:r>
              <w:rPr/>
              <w:t xml:space="preserve">, ‎Section 7 and </w:t>
            </w:r>
            <w:r>
              <w:rPr>
                <w:u w:val="single"/>
              </w:rPr>
              <w:t>Section 8</w:t>
            </w:r>
            <w:r>
              <w:rPr/>
              <w:t xml:space="preserve"> shall survive termination of this Agreement. If termination shall occur prior to the Settlement Date for any sale of Shares, such sale shall nevertheless settle in accordance with the terms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addition to the survival provision of </w:t>
      </w:r>
      <w:r>
        <w:rPr>
          <w:rFonts w:ascii="Times New Roman;Times;Serif" w:hAnsi="Times New Roman;Times;Serif"/>
          <w:b w:val="false"/>
          <w:i w:val="false"/>
          <w:caps w:val="false"/>
          <w:smallCaps w:val="false"/>
          <w:sz w:val="20"/>
          <w:u w:val="single"/>
        </w:rPr>
        <w:t>Section 7(b)(i)</w:t>
      </w:r>
      <w:r>
        <w:rPr>
          <w:rFonts w:ascii="Times New Roman;Times;Serif" w:hAnsi="Times New Roman;Times;Serif"/>
          <w:b w:val="false"/>
          <w:i w:val="false"/>
          <w:caps w:val="false"/>
          <w:smallCaps w:val="false"/>
          <w:sz w:val="20"/>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Press Releases and Disclosure</w:t>
      </w:r>
      <w:r>
        <w:rPr>
          <w:rFonts w:ascii="Times New Roman;Times;Serif" w:hAnsi="Times New Roman;Times;Serif"/>
          <w:b w:val="false"/>
          <w:i w:val="false"/>
          <w:caps w:val="false"/>
          <w:smallCaps w:val="false"/>
          <w:sz w:val="20"/>
        </w:rPr>
        <w:t>. The Company may issue a press release describing the material terms of the transactions contemplated hereby as soon as practicable following the date of this Agreement, and may file with the Commission on Form 6-K, with this Agreement attached as an exhibit thereto, describing the material terms of the transactions contemplated hereby, and the Company shall consult with the Agent prior to making such disclosures, and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Advisory or Fiduciary Relationship</w:t>
      </w:r>
      <w:r>
        <w:rPr>
          <w:rFonts w:ascii="Times New Roman;Times;Serif" w:hAnsi="Times New Roman;Times;Serif"/>
          <w:b w:val="false"/>
          <w:i w:val="false"/>
          <w:caps w:val="false"/>
          <w:smallCaps w:val="false"/>
          <w:sz w:val="20"/>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Research Analyst Independence</w:t>
      </w:r>
      <w:r>
        <w:rPr>
          <w:rFonts w:ascii="Times New Roman;Times;Serif" w:hAnsi="Times New Roman;Times;Serif"/>
          <w:b w:val="false"/>
          <w:i w:val="false"/>
          <w:caps w:val="false"/>
          <w:smallCaps w:val="false"/>
          <w:sz w:val="20"/>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shall be in writing and shall be mailed, hand delivered or telecopied and confirmed to the parties hereto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Agent:</w:t>
      </w:r>
    </w:p>
    <w:p>
      <w:pPr>
        <w:pStyle w:val="TextBody"/>
        <w:bidi w:val="0"/>
        <w:spacing w:before="0" w:after="0"/>
        <w:ind w:left="1080" w:right="0" w:hanging="72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Jefferies LLC</w:t>
        <w:br/>
        <w:t>520 Madison Avenue</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New York, NY 10022</w:t>
        <w:br/>
        <w:t>Attention: General Counsel</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108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080" w:right="0" w:hanging="720"/>
        <w:jc w:val="left"/>
        <w:rPr>
          <w:caps w:val="false"/>
          <w:smallCaps w:val="false"/>
        </w:rPr>
      </w:pPr>
      <w:r>
        <w:rPr>
          <w:caps w:val="false"/>
          <w:smallCaps w:val="false"/>
        </w:rPr>
        <w:t> </w:t>
      </w:r>
    </w:p>
    <w:p>
      <w:pPr>
        <w:pStyle w:val="TextBody"/>
        <w:bidi w:val="0"/>
        <w:spacing w:before="0" w:after="0"/>
        <w:ind w:left="108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Hastings LLP</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Park Avenue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10166</w:t>
        <w:br/>
        <w:t>Attention: Seo Salimi and William A. Magioncalda</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SA</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EPFL Innovation Park Building B</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 Lausanne, Switzerland</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+41 21 345 91 20</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r>
    </w:p>
    <w:p>
      <w:pPr>
        <w:pStyle w:val="TextBody"/>
        <w:bidi w:val="0"/>
        <w:spacing w:before="0" w:after="0"/>
        <w:ind w:left="360" w:right="0" w:firstLine="72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w:t>
        <w:tab/>
        <w:t xml:space="preserve"> </w:t>
        <w:tab/>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Bär &amp; Karrer</w:t>
        <w:br/>
        <w:t>        Brandschenkestrasse 90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CH-8027 Zurich, Switzerland</w:t>
        <w:br/>
        <w:t>        Facsimile: +41 58 261 50 01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Prof. Dr. iur. Rolf Watter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 Lexington Avenue</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 701-5322</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Derek Dostal</w:t>
      </w:r>
    </w:p>
    <w:p>
      <w:pPr>
        <w:pStyle w:val="TextBody"/>
        <w:bidi w:val="0"/>
        <w:spacing w:before="0" w:after="0"/>
        <w:ind w:left="36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party hereto may change the address for receipt of communications by giving written notice to the others in accordance with this </w:t>
      </w:r>
      <w:r>
        <w:rPr>
          <w:rFonts w:ascii="Times New Roman;Times;Serif" w:hAnsi="Times New Roman;Times;Serif"/>
          <w:b w:val="false"/>
          <w:i w:val="false"/>
          <w:caps w:val="false"/>
          <w:smallCaps w:val="false"/>
          <w:sz w:val="20"/>
          <w:u w:val="single"/>
        </w:rPr>
        <w:t>Section 8(d)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xml:space="preserve">. This Agreement will inure to the benefit of and be binding upon the parties hereto, and to the benefit of the employees, officers and directors and controlling persons referred to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and in each case their respective successors, and no other person will have any right or obligation hereunder. The term “successors” shall not include any purchaser of the Shares as such from the Agent merely by reason of such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Partial Unenforceability</w:t>
      </w:r>
      <w:r>
        <w:rPr>
          <w:rFonts w:ascii="Times New Roman;Times;Serif" w:hAnsi="Times New Roman;Times;Serif"/>
          <w:b w:val="false"/>
          <w:i w:val="false"/>
          <w:caps w:val="false"/>
          <w:smallCaps w:val="false"/>
          <w:sz w:val="20"/>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Governing Law Provisions</w:t>
      </w:r>
      <w:r>
        <w:rPr>
          <w:rFonts w:ascii="Times New Roman;Times;Serif" w:hAnsi="Times New Roman;Times;Serif"/>
          <w:b w:val="false"/>
          <w:i w:val="false"/>
          <w:caps w:val="false"/>
          <w:smallCaps w:val="false"/>
          <w:sz w:val="20"/>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Times;Serif" w:hAnsi="Times New Roman;Times;Serif"/>
          <w:b/>
          <w:i w:val="false"/>
          <w:caps w:val="false"/>
          <w:smallCaps w:val="false"/>
          <w:sz w:val="20"/>
        </w:rPr>
        <w:t>Related Proceedings</w:t>
      </w:r>
      <w:r>
        <w:rPr>
          <w:rFonts w:ascii="Times New Roman;Times;Serif" w:hAnsi="Times New Roman;Times;Serif"/>
          <w:b w:val="false"/>
          <w:i w:val="false"/>
          <w:caps w:val="false"/>
          <w:smallCaps w:val="false"/>
          <w:sz w:val="20"/>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and each party irrevocably submits to the exclusive jurisdiction (except for proceedings instituted in regard to the enforcement of a judgment of any such court (a “</w:t>
      </w:r>
      <w:r>
        <w:rPr>
          <w:rFonts w:ascii="Times New Roman;Times;Serif" w:hAnsi="Times New Roman;Times;Serif"/>
          <w:b/>
          <w:i w:val="false"/>
          <w:caps w:val="false"/>
          <w:smallCaps w:val="false"/>
          <w:sz w:val="20"/>
        </w:rPr>
        <w:t>Related Judgment</w:t>
      </w:r>
      <w:r>
        <w:rPr>
          <w:rFonts w:ascii="Times New Roman;Times;Serif" w:hAnsi="Times New Roman;Times;Serif"/>
          <w:b w:val="false"/>
          <w:i w:val="false"/>
          <w:caps w:val="false"/>
          <w:smallCaps w:val="false"/>
          <w:sz w:val="20"/>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Immediately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3240" w:type="dxa"/>
        <w:jc w:val="left"/>
        <w:tblInd w:w="0" w:type="dxa"/>
        <w:tblLayout w:type="fixed"/>
        <w:tblCellMar>
          <w:top w:w="0" w:type="dxa"/>
          <w:left w:w="0" w:type="dxa"/>
          <w:bottom w:w="0" w:type="dxa"/>
          <w:right w:w="0" w:type="dxa"/>
        </w:tblCellMar>
      </w:tblPr>
      <w:tblGrid>
        <w:gridCol w:w="75"/>
        <w:gridCol w:w="320"/>
        <w:gridCol w:w="545"/>
        <w:gridCol w:w="2300"/>
      </w:tblGrid>
      <w:tr>
        <w:trPr/>
        <w:tc>
          <w:tcPr>
            <w:tcW w:w="75" w:type="dxa"/>
            <w:tcBorders/>
            <w:vAlign w:val="center"/>
          </w:tcPr>
          <w:p>
            <w:pPr>
              <w:pStyle w:val="TableContents"/>
              <w:bidi w:val="0"/>
              <w:spacing w:before="0" w:after="283"/>
              <w:jc w:val="left"/>
              <w:rPr/>
            </w:pPr>
            <w:r>
              <w:rPr/>
              <w:t> </w:t>
            </w:r>
          </w:p>
        </w:tc>
        <w:tc>
          <w:tcPr>
            <w:tcW w:w="3165" w:type="dxa"/>
            <w:gridSpan w:val="3"/>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316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65" w:type="dxa"/>
            <w:gridSpan w:val="3"/>
            <w:tcBorders/>
            <w:vAlign w:val="center"/>
          </w:tcPr>
          <w:p>
            <w:pPr>
              <w:pStyle w:val="TableContents"/>
              <w:bidi w:val="0"/>
              <w:spacing w:before="0" w:after="283"/>
              <w:jc w:val="left"/>
              <w:rPr>
                <w:b/>
                <w:sz w:val="20"/>
              </w:rPr>
            </w:pPr>
            <w:r>
              <w:rPr>
                <w:b/>
                <w:sz w:val="20"/>
              </w:rPr>
              <w:t>AC IMMUNE SA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84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Andrea Pfeifer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300" w:type="dxa"/>
            <w:tcBorders/>
            <w:vAlign w:val="center"/>
          </w:tcPr>
          <w:p>
            <w:pPr>
              <w:pStyle w:val="TableContents"/>
              <w:bidi w:val="0"/>
              <w:spacing w:before="0" w:after="283"/>
              <w:jc w:val="left"/>
              <w:rPr/>
            </w:pPr>
            <w:r>
              <w:rPr/>
              <w:t>Andrea Pfeifer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t> </w:t>
      </w:r>
    </w:p>
    <w:tbl>
      <w:tblPr>
        <w:tblW w:w="3165" w:type="dxa"/>
        <w:jc w:val="left"/>
        <w:tblInd w:w="0" w:type="dxa"/>
        <w:tblLayout w:type="fixed"/>
        <w:tblCellMar>
          <w:top w:w="0" w:type="dxa"/>
          <w:left w:w="0" w:type="dxa"/>
          <w:bottom w:w="0" w:type="dxa"/>
          <w:right w:w="0" w:type="dxa"/>
        </w:tblCellMar>
      </w:tblPr>
      <w:tblGrid>
        <w:gridCol w:w="75"/>
        <w:gridCol w:w="320"/>
        <w:gridCol w:w="545"/>
        <w:gridCol w:w="222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77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Christopher Roberts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225" w:type="dxa"/>
            <w:tcBorders/>
            <w:vAlign w:val="center"/>
          </w:tcPr>
          <w:p>
            <w:pPr>
              <w:pStyle w:val="TableContents"/>
              <w:bidi w:val="0"/>
              <w:spacing w:before="0" w:after="283"/>
              <w:jc w:val="left"/>
              <w:rPr/>
            </w:pPr>
            <w:r>
              <w:rPr/>
              <w:t>Christopher Roberts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confirmed and accepted by the Agent in New York, New York as of the date first above written.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520" w:type="dxa"/>
        <w:jc w:val="left"/>
        <w:tblInd w:w="0" w:type="dxa"/>
        <w:tblLayout w:type="fixed"/>
        <w:tblCellMar>
          <w:top w:w="0" w:type="dxa"/>
          <w:left w:w="0" w:type="dxa"/>
          <w:bottom w:w="0" w:type="dxa"/>
          <w:right w:w="0" w:type="dxa"/>
        </w:tblCellMar>
      </w:tblPr>
      <w:tblGrid>
        <w:gridCol w:w="335"/>
        <w:gridCol w:w="545"/>
        <w:gridCol w:w="1565"/>
        <w:gridCol w:w="75"/>
      </w:tblGrid>
      <w:tr>
        <w:trPr/>
        <w:tc>
          <w:tcPr>
            <w:tcW w:w="2445" w:type="dxa"/>
            <w:gridSpan w:val="3"/>
            <w:tcBorders/>
            <w:vAlign w:val="center"/>
          </w:tcPr>
          <w:p>
            <w:pPr>
              <w:pStyle w:val="TableContents"/>
              <w:bidi w:val="0"/>
              <w:spacing w:before="0" w:after="283"/>
              <w:jc w:val="left"/>
              <w:rPr>
                <w:b/>
                <w:sz w:val="20"/>
              </w:rPr>
            </w:pPr>
            <w:r>
              <w:rPr>
                <w:b/>
                <w:sz w:val="20"/>
              </w:rPr>
              <w:t xml:space="preserve">JEFFERIES LLC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2110" w:type="dxa"/>
            <w:gridSpan w:val="2"/>
            <w:tcBorders>
              <w:bottom w:val="single" w:sz="8" w:space="0" w:color="000000"/>
            </w:tcBorders>
            <w:tcMar>
              <w:bottom w:w="28" w:type="dxa"/>
            </w:tcMar>
            <w:vAlign w:val="center"/>
          </w:tcPr>
          <w:p>
            <w:pPr>
              <w:pStyle w:val="TableContents"/>
              <w:bidi w:val="0"/>
              <w:spacing w:before="0" w:after="283"/>
              <w:jc w:val="left"/>
              <w:rPr/>
            </w:pPr>
            <w:r>
              <w:rPr/>
              <w:t>/s/ Michael Magarro</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565" w:type="dxa"/>
            <w:tcBorders/>
            <w:vAlign w:val="center"/>
          </w:tcPr>
          <w:p>
            <w:pPr>
              <w:pStyle w:val="TableContents"/>
              <w:bidi w:val="0"/>
              <w:spacing w:before="0" w:after="283"/>
              <w:jc w:val="left"/>
              <w:rPr>
                <w:sz w:val="20"/>
              </w:rPr>
            </w:pPr>
            <w:r>
              <w:rPr>
                <w:sz w:val="20"/>
              </w:rPr>
              <w:t>Michael Magarro</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565"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Madison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Open Market Sale Agreement between AC Immune SA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Jefferies LLC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dated as of August 6, 2024. The Company confirms that all conditions to the delivery of this Issuance Notice are satisfied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Delivery of Issuance Notice (determined pursuant to </w:t>
      </w:r>
      <w:r>
        <w:rPr>
          <w:rFonts w:ascii="Times New Roman;Times;Serif" w:hAnsi="Times New Roman;Times;Serif"/>
          <w:b w:val="false"/>
          <w:i w:val="false"/>
          <w:caps w:val="false"/>
          <w:smallCaps w:val="false"/>
          <w:sz w:val="20"/>
          <w:u w:val="single"/>
        </w:rPr>
        <w:t>Section 3(b)(i)</w:t>
      </w:r>
      <w:r>
        <w:rPr>
          <w:rFonts w:ascii="Times New Roman;Times;Serif" w:hAnsi="Times New Roman;Times;Serif"/>
          <w:b w:val="false"/>
          <w:i w:val="false"/>
          <w:caps w:val="false"/>
          <w:smallCaps w:val="false"/>
          <w:sz w:val="20"/>
        </w:rPr>
        <w:t>):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Amount (equal to the total Sales Price for such Shares):</w:t>
      </w:r>
    </w:p>
    <w:p>
      <w:pPr>
        <w:pStyle w:val="TextBody"/>
        <w:bidi w:val="0"/>
        <w:spacing w:before="0" w:after="0"/>
        <w:ind w:left="0" w:right="0" w:hanging="0"/>
        <w:jc w:val="left"/>
        <w:rPr>
          <w:caps w:val="false"/>
          <w:smallCaps w:val="false"/>
        </w:rPr>
      </w:pPr>
      <w:r>
        <w:rPr>
          <w:caps w:val="false"/>
          <w:smallCaps w:val="false"/>
        </w:rPr>
        <w:t> </w:t>
      </w:r>
    </w:p>
    <w:tbl>
      <w:tblPr>
        <w:tblW w:w="3335" w:type="dxa"/>
        <w:jc w:val="left"/>
        <w:tblInd w:w="0" w:type="dxa"/>
        <w:tblLayout w:type="fixed"/>
        <w:tblCellMar>
          <w:top w:w="0" w:type="dxa"/>
          <w:left w:w="0" w:type="dxa"/>
          <w:bottom w:w="0" w:type="dxa"/>
          <w:right w:w="0" w:type="dxa"/>
        </w:tblCellMar>
      </w:tblPr>
      <w:tblGrid>
        <w:gridCol w:w="3200"/>
        <w:gridCol w:w="60"/>
        <w:gridCol w:w="75"/>
      </w:tblGrid>
      <w:tr>
        <w:trPr/>
        <w:tc>
          <w:tcPr>
            <w:tcW w:w="3200" w:type="dxa"/>
            <w:tcBorders/>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Number of days in selling period: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First date of selling period: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Last date of selling period:</w:t>
              <w:tab/>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Date(s) if other than standard T+1 settlement:</w:t>
      </w:r>
    </w:p>
    <w:p>
      <w:pPr>
        <w:pStyle w:val="TextBody"/>
        <w:bidi w:val="0"/>
        <w:spacing w:before="0" w:after="0"/>
        <w:ind w:left="0" w:right="0" w:hanging="0"/>
        <w:jc w:val="left"/>
        <w:rPr>
          <w:caps w:val="false"/>
          <w:smallCaps w:val="false"/>
        </w:rPr>
      </w:pPr>
      <w:r>
        <w:rPr>
          <w:caps w:val="false"/>
          <w:smallCaps w:val="false"/>
        </w:rPr>
        <w:t> </w:t>
      </w:r>
    </w:p>
    <w:tbl>
      <w:tblPr>
        <w:tblW w:w="270" w:type="dxa"/>
        <w:jc w:val="left"/>
        <w:tblInd w:w="0" w:type="dxa"/>
        <w:tblLayout w:type="fixed"/>
        <w:tblCellMar>
          <w:top w:w="0" w:type="dxa"/>
          <w:left w:w="0" w:type="dxa"/>
          <w:bottom w:w="0" w:type="dxa"/>
          <w:right w:w="0" w:type="dxa"/>
        </w:tblCellMar>
      </w:tblPr>
      <w:tblGrid>
        <w:gridCol w:w="135"/>
        <w:gridCol w:w="60"/>
        <w:gridCol w:w="75"/>
      </w:tblGrid>
      <w:tr>
        <w:trPr/>
        <w:tc>
          <w:tcPr>
            <w:tcW w:w="135" w:type="dxa"/>
            <w:tcBorders/>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Floor Price Limitation (in no event less than $1.00 without the prior written consent of the Agent, which consent may be withheld in the Agent’s sole discretion): $ ____ per share</w:t>
      </w:r>
    </w:p>
    <w:p>
      <w:pPr>
        <w:pStyle w:val="TextBody"/>
        <w:bidi w:val="0"/>
        <w:spacing w:before="0" w:after="0"/>
        <w:ind w:left="0" w:right="0" w:hanging="0"/>
        <w:jc w:val="left"/>
        <w:rPr>
          <w:caps w:val="false"/>
          <w:smallCaps w:val="false"/>
        </w:rPr>
      </w:pPr>
      <w:r>
        <w:rPr>
          <w:caps w:val="false"/>
          <w:smallCaps w:val="false"/>
        </w:rPr>
        <w:t> </w:t>
      </w:r>
    </w:p>
    <w:tbl>
      <w:tblPr>
        <w:tblW w:w="1190" w:type="dxa"/>
        <w:jc w:val="left"/>
        <w:tblInd w:w="0" w:type="dxa"/>
        <w:tblLayout w:type="fixed"/>
        <w:tblCellMar>
          <w:top w:w="0" w:type="dxa"/>
          <w:left w:w="0" w:type="dxa"/>
          <w:bottom w:w="0" w:type="dxa"/>
          <w:right w:w="0" w:type="dxa"/>
        </w:tblCellMar>
      </w:tblPr>
      <w:tblGrid>
        <w:gridCol w:w="1115"/>
        <w:gridCol w:w="75"/>
      </w:tblGrid>
      <w:tr>
        <w:trPr/>
        <w:tc>
          <w:tcPr>
            <w:tcW w:w="1115" w:type="dxa"/>
            <w:tcBorders/>
            <w:vAlign w:val="center"/>
          </w:tcPr>
          <w:p>
            <w:pPr>
              <w:pStyle w:val="TableContents"/>
              <w:bidi w:val="0"/>
              <w:spacing w:before="0" w:after="283"/>
              <w:jc w:val="left"/>
              <w:rPr/>
            </w:pPr>
            <w:r>
              <w:rPr/>
              <w:t>Comments:</w:t>
              <w:tab/>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75"/>
        <w:gridCol w:w="320"/>
        <w:gridCol w:w="545"/>
        <w:gridCol w:w="75"/>
      </w:tblGrid>
      <w:tr>
        <w:trPr/>
        <w:tc>
          <w:tcPr>
            <w:tcW w:w="75" w:type="dxa"/>
            <w:tcBorders/>
            <w:vAlign w:val="center"/>
          </w:tcPr>
          <w:p>
            <w:pPr>
              <w:pStyle w:val="TableContents"/>
              <w:bidi w:val="0"/>
              <w:spacing w:before="0" w:after="283"/>
              <w:jc w:val="left"/>
              <w:rPr/>
            </w:pPr>
            <w:r>
              <w:rPr/>
              <w:t> </w:t>
            </w:r>
          </w:p>
        </w:tc>
        <w:tc>
          <w:tcPr>
            <w:tcW w:w="940" w:type="dxa"/>
            <w:gridSpan w:val="3"/>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94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620"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Andrea Pfeifer (andrea.pfeifer@acimmune.com)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Roberts (christopher.roberts@acimmune.com)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Agent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Magarro (mmagarro@jefferies.com)</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Fabbri (jfabbri@jefferies.com)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right"/>
        <w:rPr>
          <w:b/>
        </w:rPr>
      </w:pPr>
      <w:bookmarkStart w:id="4" w:name="dp216020_ex0501.htm"/>
      <w:bookmarkStart w:id="5" w:name="ksdp216020_ex0501"/>
      <w:bookmarkEnd w:id="4"/>
      <w:bookmarkEnd w:id="5"/>
      <w:r>
        <w:rPr>
          <w:b/>
        </w:rPr>
        <w:t>Exhibit 5.1</w:t>
      </w:r>
      <w:r>
        <w:br w:type="page"/>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Prof. Dr. Rolf Watter</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Attorney-at-Law, LL.M.</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+41 58 261 50 00</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rolf.watter@baerkarrer.ch</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88582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85825" cy="904875"/>
                    </a:xfrm>
                    <a:prstGeom prst="rect">
                      <a:avLst/>
                    </a:prstGeom>
                  </pic:spPr>
                </pic:pic>
              </a:graphicData>
            </a:graphic>
          </wp:inline>
        </w:drawing>
      </w:r>
    </w:p>
    <w:p>
      <w:pPr>
        <w:pStyle w:val="TextBody"/>
        <w:bidi w:val="0"/>
        <w:spacing w:before="0" w:after="283"/>
        <w:jc w:val="left"/>
        <w:rPr/>
      </w:pPr>
      <w:r>
        <w:rPr/>
        <w:t> </w:t>
      </w:r>
    </w:p>
    <w:tbl>
      <w:tblPr>
        <w:tblW w:w="3035" w:type="dxa"/>
        <w:jc w:val="left"/>
        <w:tblInd w:w="0" w:type="dxa"/>
        <w:tblLayout w:type="fixed"/>
        <w:tblCellMar>
          <w:top w:w="0" w:type="dxa"/>
          <w:left w:w="0" w:type="dxa"/>
          <w:bottom w:w="0" w:type="dxa"/>
          <w:right w:w="0" w:type="dxa"/>
        </w:tblCellMar>
      </w:tblPr>
      <w:tblGrid>
        <w:gridCol w:w="3035"/>
      </w:tblGrid>
      <w:tr>
        <w:trPr/>
        <w:tc>
          <w:tcPr>
            <w:tcW w:w="3035" w:type="dxa"/>
            <w:tcBorders/>
            <w:vAlign w:val="center"/>
          </w:tcPr>
          <w:p>
            <w:pPr>
              <w:pStyle w:val="TableContents"/>
              <w:bidi w:val="0"/>
              <w:spacing w:before="0" w:after="0"/>
              <w:jc w:val="left"/>
              <w:rPr>
                <w:rFonts w:ascii="Arial;Helvetica;Sans-Serif" w:hAnsi="Arial;Helvetica;Sans-Serif"/>
                <w:b w:val="false"/>
                <w:i w:val="false"/>
                <w:caps w:val="false"/>
                <w:smallCaps w:val="false"/>
                <w:sz w:val="20"/>
                <w:u w:val="single"/>
              </w:rPr>
            </w:pPr>
            <w:r>
              <w:rPr>
                <w:rFonts w:ascii="Arial;Helvetica;Sans-Serif" w:hAnsi="Arial;Helvetica;Sans-Serif"/>
                <w:b w:val="false"/>
                <w:i w:val="false"/>
                <w:caps w:val="false"/>
                <w:smallCaps w:val="false"/>
                <w:sz w:val="20"/>
                <w:u w:val="single"/>
              </w:rPr>
              <w:t>Postfach 1548 | CH-8002 Zürich</w:t>
            </w:r>
          </w:p>
          <w:p>
            <w:pPr>
              <w:pStyle w:val="TableContents"/>
              <w:bidi w:val="0"/>
              <w:spacing w:before="0" w:after="0"/>
              <w:ind w:left="142" w:right="0" w:hanging="0"/>
              <w:jc w:val="left"/>
              <w:rPr>
                <w:caps w:val="false"/>
                <w:smallCaps w:val="false"/>
              </w:rPr>
            </w:pPr>
            <w:r>
              <w:rPr>
                <w:caps w:val="false"/>
                <w:smallCaps w:val="false"/>
              </w:rPr>
              <w:t> </w:t>
            </w:r>
          </w:p>
          <w:p>
            <w:pPr>
              <w:pStyle w:val="TableContents"/>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AC Immune SA</w:t>
            </w:r>
          </w:p>
          <w:p>
            <w:pPr>
              <w:pStyle w:val="TableContents"/>
              <w:bidi w:val="0"/>
              <w:spacing w:before="0" w:after="0"/>
              <w:ind w:left="142"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EPFL Innovation Park, bâtiment B</w:t>
            </w:r>
          </w:p>
          <w:p>
            <w:pPr>
              <w:pStyle w:val="TableContents"/>
              <w:bidi w:val="0"/>
              <w:spacing w:before="0" w:after="0"/>
              <w:ind w:left="142"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1015 Lausanne</w:t>
            </w:r>
          </w:p>
          <w:p>
            <w:pPr>
              <w:pStyle w:val="TableContents"/>
              <w:bidi w:val="0"/>
              <w:spacing w:before="0" w:after="0"/>
              <w:ind w:left="142"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Switzerland</w:t>
            </w:r>
          </w:p>
          <w:p>
            <w:pPr>
              <w:pStyle w:val="TableContents"/>
              <w:bidi w:val="0"/>
              <w:spacing w:before="0" w:after="0"/>
              <w:ind w:left="142" w:right="0" w:hanging="0"/>
              <w:jc w:val="left"/>
              <w:rPr>
                <w:caps w:val="false"/>
                <w:smallCaps w:val="false"/>
              </w:rPr>
            </w:pPr>
            <w:r>
              <w:rPr>
                <w:caps w:val="false"/>
                <w:smallCaps w:val="false"/>
              </w:rPr>
              <w:t> </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Zurich, 6 August 2024</w:t>
            </w:r>
          </w:p>
          <w:p>
            <w:pPr>
              <w:pStyle w:val="TableContents"/>
              <w:bidi w:val="0"/>
              <w:spacing w:before="0" w:after="0"/>
              <w:ind w:left="142"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AC Immune SA – Registration Statement on Form 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Ladies,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acted as Swiss legal counsel to AC Immune SA, Ecublens (VD) (the "</w:t>
      </w:r>
      <w:r>
        <w:rPr>
          <w:rFonts w:ascii="Arial;Helvetica;Sans-Serif" w:hAnsi="Arial;Helvetica;Sans-Serif"/>
          <w:b/>
          <w:i w:val="false"/>
          <w:caps w:val="false"/>
          <w:smallCaps w:val="false"/>
          <w:sz w:val="20"/>
        </w:rPr>
        <w:t>Issuer</w:t>
      </w:r>
      <w:r>
        <w:rPr>
          <w:rFonts w:ascii="Arial;Helvetica;Sans-Serif" w:hAnsi="Arial;Helvetica;Sans-Serif"/>
          <w:b w:val="false"/>
          <w:i w:val="false"/>
          <w:caps w:val="false"/>
          <w:smallCaps w:val="false"/>
          <w:sz w:val="20"/>
        </w:rPr>
        <w:t>") in connection with a prospectus supplement dated 6 August, 2024 (the "</w:t>
      </w:r>
      <w:r>
        <w:rPr>
          <w:rFonts w:ascii="Arial;Helvetica;Sans-Serif" w:hAnsi="Arial;Helvetica;Sans-Serif"/>
          <w:b/>
          <w:i w:val="false"/>
          <w:caps w:val="false"/>
          <w:smallCaps w:val="false"/>
          <w:sz w:val="20"/>
        </w:rPr>
        <w:t xml:space="preserve">Prospectus </w:t>
      </w:r>
      <w:r>
        <w:rPr>
          <w:rFonts w:ascii="Arial;Helvetica;Sans-Serif" w:hAnsi="Arial;Helvetica;Sans-Serif"/>
          <w:b w:val="false"/>
          <w:i w:val="false"/>
          <w:caps w:val="false"/>
          <w:smallCaps w:val="false"/>
          <w:sz w:val="20"/>
        </w:rPr>
        <w:t>") to a Registration Statement on Form F-3 (File No. 333-277940) filed under the United States Securities Act of 1933, as amended (the "</w:t>
      </w:r>
      <w:r>
        <w:rPr>
          <w:rFonts w:ascii="Arial;Helvetica;Sans-Serif" w:hAnsi="Arial;Helvetica;Sans-Serif"/>
          <w:b/>
          <w:i w:val="false"/>
          <w:caps w:val="false"/>
          <w:smallCaps w:val="false"/>
          <w:sz w:val="20"/>
        </w:rPr>
        <w:t>Act</w:t>
      </w:r>
      <w:r>
        <w:rPr>
          <w:rFonts w:ascii="Arial;Helvetica;Sans-Serif" w:hAnsi="Arial;Helvetica;Sans-Serif"/>
          <w:b w:val="false"/>
          <w:i w:val="false"/>
          <w:caps w:val="false"/>
          <w:smallCaps w:val="false"/>
          <w:sz w:val="20"/>
        </w:rPr>
        <w:t>") relating to the sale by the Issuer of common shares of the Issuer, each with a nominal value of CHF 0.02 having an aggregate offering price of up to USD 80,000,000 (the "</w:t>
      </w:r>
      <w:r>
        <w:rPr>
          <w:rFonts w:ascii="Arial;Helvetica;Sans-Serif" w:hAnsi="Arial;Helvetica;Sans-Serif"/>
          <w:b/>
          <w:i w:val="false"/>
          <w:caps w:val="false"/>
          <w:smallCaps w:val="false"/>
          <w:sz w:val="20"/>
        </w:rPr>
        <w:t>Offered Shares</w:t>
      </w:r>
      <w:r>
        <w:rPr>
          <w:rFonts w:ascii="Arial;Helvetica;Sans-Serif" w:hAnsi="Arial;Helvetica;Sans-Serif"/>
          <w:b w:val="false"/>
          <w:i w:val="false"/>
          <w:caps w:val="false"/>
          <w:smallCaps w:val="false"/>
          <w:sz w:val="20"/>
        </w:rPr>
        <w:t>") in accordance with a certain Open Market Sale Agreement</w:t>
      </w:r>
      <w:r>
        <w:rPr>
          <w:rFonts w:ascii="Arial;Helvetica;Sans-Serif" w:hAnsi="Arial;Helvetica;Sans-Serif"/>
          <w:b w:val="false"/>
          <w:i w:val="false"/>
          <w:caps w:val="false"/>
          <w:smallCaps w:val="false"/>
          <w:position w:val="7"/>
          <w:sz w:val="16"/>
          <w:sz w:val="20"/>
        </w:rPr>
        <w:t>SM</w:t>
      </w:r>
      <w:r>
        <w:rPr>
          <w:rFonts w:ascii="Arial;Helvetica;Sans-Serif" w:hAnsi="Arial;Helvetica;Sans-Serif"/>
          <w:b w:val="false"/>
          <w:i w:val="false"/>
          <w:caps w:val="false"/>
          <w:smallCaps w:val="false"/>
          <w:sz w:val="20"/>
        </w:rPr>
        <w:t xml:space="preserve"> dated 6 August 2024 between the Issuer and Jefferies LLC. As such counsel, we have been requested to give our opinion as to certain legal matters of Swiss law.</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428"/>
        <w:gridCol w:w="9661"/>
      </w:tblGrid>
      <w:tr>
        <w:trPr/>
        <w:tc>
          <w:tcPr>
            <w:tcW w:w="11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pPr>
            <w:r>
              <w:rPr/>
              <w:t>1</w:t>
            </w:r>
          </w:p>
        </w:tc>
        <w:tc>
          <w:tcPr>
            <w:tcW w:w="9661" w:type="dxa"/>
            <w:tcBorders/>
            <w:vAlign w:val="center"/>
          </w:tcPr>
          <w:p>
            <w:pPr>
              <w:pStyle w:val="TableContents"/>
              <w:bidi w:val="0"/>
              <w:spacing w:before="0" w:after="283"/>
              <w:jc w:val="left"/>
              <w:rPr/>
            </w:pPr>
            <w:r>
              <w:rPr/>
              <w:t>Scope and Limitation of Opinion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opinion only speaks as of the date hereof and is strictly confined to matters of Swiss law as in force at the date hereof. Such law and its interpretation are subject to change. In the absence of explicit statutory law, we base our opinion solely on our independent professional judgment. This opinion is strictly limited to the Documents (as defined below) and the matters stated herein and is not to be read as extending, by implication or otherwise, to any agreement or document referred to in any of the Documents (including in the case of the Prospectus, any document incorporated by reference therein or exhibit thereto) or any other matter. For purposes of this opinion, we have not conducted any due diligence or similar investigation or verification as to any matters stated herein, which are or may be referred to in the Documents, and we express no opinion as to the accuracy of the factual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6762750"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762750" cy="5429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background assumed therein. In this opinion, Swiss legal concepts are expressed in English terms and not in their original language. These concepts may not be identical to the concepts described by the same English language terms as they exist under the laws of other jurisdictions.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9"/>
        <w:gridCol w:w="1105"/>
        <w:gridCol w:w="8801"/>
      </w:tblGrid>
      <w:tr>
        <w:trPr/>
        <w:tc>
          <w:tcPr>
            <w:tcW w:w="29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pPr>
            <w:r>
              <w:rPr/>
              <w:t>2</w:t>
            </w:r>
          </w:p>
        </w:tc>
        <w:tc>
          <w:tcPr>
            <w:tcW w:w="8801" w:type="dxa"/>
            <w:tcBorders/>
            <w:vAlign w:val="center"/>
          </w:tcPr>
          <w:p>
            <w:pPr>
              <w:pStyle w:val="TableContents"/>
              <w:bidi w:val="0"/>
              <w:spacing w:before="0" w:after="283"/>
              <w:jc w:val="left"/>
              <w:rPr/>
            </w:pPr>
            <w:r>
              <w:rPr/>
              <w:t>Documents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arriving at the opinions expressed in Section 4 below, we have exclusively examined and relied on the following documents (the "</w:t>
      </w:r>
      <w:r>
        <w:rPr>
          <w:rFonts w:ascii="Arial;Helvetica;Sans-Serif" w:hAnsi="Arial;Helvetica;Sans-Serif"/>
          <w:b/>
          <w:i w:val="false"/>
          <w:caps w:val="false"/>
          <w:smallCaps w:val="false"/>
          <w:sz w:val="20"/>
        </w:rPr>
        <w:t>Documents</w:t>
      </w:r>
      <w:r>
        <w:rPr>
          <w:rFonts w:ascii="Arial;Helvetica;Sans-Serif" w:hAnsi="Arial;Helvetica;San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535"/>
        <w:gridCol w:w="9569"/>
      </w:tblGrid>
      <w:tr>
        <w:trPr/>
        <w:tc>
          <w:tcPr>
            <w:tcW w:w="10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pPr>
            <w:r>
              <w:rPr/>
              <w:t>a)</w:t>
            </w:r>
          </w:p>
        </w:tc>
        <w:tc>
          <w:tcPr>
            <w:tcW w:w="9569" w:type="dxa"/>
            <w:tcBorders/>
            <w:vAlign w:val="center"/>
          </w:tcPr>
          <w:p>
            <w:pPr>
              <w:pStyle w:val="TableContents"/>
              <w:bidi w:val="0"/>
              <w:spacing w:before="0" w:after="283"/>
              <w:jc w:val="both"/>
              <w:rPr/>
            </w:pPr>
            <w:r>
              <w:rPr/>
              <w:t>An electronic copy of the Prospectus;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b)</w:t>
            </w:r>
          </w:p>
        </w:tc>
        <w:tc>
          <w:tcPr>
            <w:tcW w:w="9987" w:type="dxa"/>
            <w:tcBorders/>
            <w:vAlign w:val="center"/>
          </w:tcPr>
          <w:p>
            <w:pPr>
              <w:pStyle w:val="TableContents"/>
              <w:bidi w:val="0"/>
              <w:spacing w:before="0" w:after="283"/>
              <w:jc w:val="both"/>
              <w:rPr/>
            </w:pPr>
            <w:r>
              <w:rPr/>
              <w:t>A certified copy of an extract from the Commercial Register of the Canton of Vaud in respect of the Issuer, certified by such Commercial Register as of 23 July 2024 (the "</w:t>
            </w:r>
            <w:r>
              <w:rPr>
                <w:b/>
              </w:rPr>
              <w:t>Extract</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c)</w:t>
            </w:r>
          </w:p>
        </w:tc>
        <w:tc>
          <w:tcPr>
            <w:tcW w:w="10002" w:type="dxa"/>
            <w:tcBorders/>
            <w:vAlign w:val="center"/>
          </w:tcPr>
          <w:p>
            <w:pPr>
              <w:pStyle w:val="TableContents"/>
              <w:bidi w:val="0"/>
              <w:spacing w:before="0" w:after="283"/>
              <w:jc w:val="both"/>
              <w:rPr/>
            </w:pPr>
            <w:r>
              <w:rPr/>
              <w:t>a certified copy of the articles of association of the Issuer dated 21 June 2024, certified by the Commercial Register of the Canton of Vaud as per 23 July 2024 (the "</w:t>
            </w:r>
            <w:r>
              <w:rPr>
                <w:b/>
              </w:rPr>
              <w:t>Articles</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d)</w:t>
            </w:r>
          </w:p>
        </w:tc>
        <w:tc>
          <w:tcPr>
            <w:tcW w:w="9988" w:type="dxa"/>
            <w:tcBorders/>
            <w:vAlign w:val="center"/>
          </w:tcPr>
          <w:p>
            <w:pPr>
              <w:pStyle w:val="TableContents"/>
              <w:bidi w:val="0"/>
              <w:spacing w:before="0" w:after="283"/>
              <w:jc w:val="both"/>
              <w:rPr/>
            </w:pPr>
            <w:r>
              <w:rPr/>
              <w:t>a electronic copy of the organizational rules of the Issuer's board of directors, dated as of 20 June 2024 (the "</w:t>
            </w:r>
            <w:r>
              <w:rPr>
                <w:b/>
              </w:rPr>
              <w:t>Organizational Regulations</w:t>
            </w:r>
            <w:r>
              <w:rPr/>
              <w:t>") as available on the website of the Issuer.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990"/>
        <w:gridCol w:w="8947"/>
      </w:tblGrid>
      <w:tr>
        <w:trPr/>
        <w:tc>
          <w:tcPr>
            <w:tcW w:w="26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3</w:t>
            </w:r>
          </w:p>
        </w:tc>
        <w:tc>
          <w:tcPr>
            <w:tcW w:w="8947" w:type="dxa"/>
            <w:tcBorders/>
            <w:vAlign w:val="center"/>
          </w:tcPr>
          <w:p>
            <w:pPr>
              <w:pStyle w:val="TableContents"/>
              <w:bidi w:val="0"/>
              <w:spacing w:before="0" w:after="283"/>
              <w:jc w:val="left"/>
              <w:rPr/>
            </w:pPr>
            <w:r>
              <w:rPr/>
              <w:t>Assumptions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arriving at the opinions expressed in Section 4 below, we have assumed (without verification) each of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283"/>
              <w:jc w:val="both"/>
              <w:rPr/>
            </w:pPr>
            <w:r>
              <w:rPr/>
              <w:t>that all documents submitted to us in a form other than an original conform to authentic and complete originals;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99"/>
        <w:gridCol w:w="9736"/>
      </w:tblGrid>
      <w:tr>
        <w:trPr/>
        <w:tc>
          <w:tcPr>
            <w:tcW w:w="7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pPr>
            <w:r>
              <w:rPr/>
              <w:t>b)</w:t>
            </w:r>
          </w:p>
        </w:tc>
        <w:tc>
          <w:tcPr>
            <w:tcW w:w="9736" w:type="dxa"/>
            <w:tcBorders/>
            <w:vAlign w:val="center"/>
          </w:tcPr>
          <w:p>
            <w:pPr>
              <w:pStyle w:val="TableContents"/>
              <w:bidi w:val="0"/>
              <w:spacing w:before="0" w:after="283"/>
              <w:jc w:val="both"/>
              <w:rPr/>
            </w:pPr>
            <w:r>
              <w:rPr/>
              <w:t>that all signatures on documents examined are genuine;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c)</w:t>
            </w:r>
          </w:p>
        </w:tc>
        <w:tc>
          <w:tcPr>
            <w:tcW w:w="9997" w:type="dxa"/>
            <w:tcBorders/>
            <w:vAlign w:val="center"/>
          </w:tcPr>
          <w:p>
            <w:pPr>
              <w:pStyle w:val="TableContents"/>
              <w:bidi w:val="0"/>
              <w:spacing w:before="0" w:after="283"/>
              <w:jc w:val="both"/>
              <w:rPr/>
            </w:pPr>
            <w:r>
              <w:rPr/>
              <w:t>to the extent relevant for purposes of this opinion, any and all information contained in the Documents is and will be true, complete and accurate at all relevant times;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d)</w:t>
            </w:r>
          </w:p>
        </w:tc>
        <w:tc>
          <w:tcPr>
            <w:tcW w:w="9989" w:type="dxa"/>
            <w:tcBorders/>
            <w:vAlign w:val="center"/>
          </w:tcPr>
          <w:p>
            <w:pPr>
              <w:pStyle w:val="TableContents"/>
              <w:bidi w:val="0"/>
              <w:spacing w:before="0" w:after="283"/>
              <w:jc w:val="both"/>
              <w:rPr/>
            </w:pPr>
            <w:r>
              <w:rPr/>
              <w:t>that the Extract, the Articles and the Organizational Regulations are correct, up-to-date and in full force and effect as of the date hereof and no changes have been made in such documents;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e)</w:t>
            </w:r>
          </w:p>
        </w:tc>
        <w:tc>
          <w:tcPr>
            <w:tcW w:w="10019" w:type="dxa"/>
            <w:tcBorders/>
            <w:vAlign w:val="center"/>
          </w:tcPr>
          <w:p>
            <w:pPr>
              <w:pStyle w:val="TableContents"/>
              <w:bidi w:val="0"/>
              <w:spacing w:before="0" w:after="283"/>
              <w:jc w:val="both"/>
              <w:rPr/>
            </w:pPr>
            <w:r>
              <w:rPr/>
              <w:t>that the Issuer, as of the date hereof and until the issuance of all Offered Shares, is, and will be, neither insolvent or over-indebted (in the sense of articles 725 et seqq. of the Swiss Code of Obligations (the "</w:t>
            </w:r>
            <w:r>
              <w:rPr>
                <w:b/>
              </w:rPr>
              <w:t>CO</w:t>
            </w:r>
            <w:r>
              <w:rPr/>
              <w:t>")), has not passed and will not pass a resolution for its dissolution, winding-up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595"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liquidation, no petition has been or will be presented or order made by a court or other competent authority for the dissolution, winding-up, liquidation, bankruptcy, moratorium, composition with creditors or administration of any party and no receiver, trustee in bankruptcy, administrator or similar officer has been appointed in relation to any of the parties or any of their assets or revenues;</w:t>
      </w:r>
    </w:p>
    <w:p>
      <w:pPr>
        <w:pStyle w:val="TextBody"/>
        <w:bidi w:val="0"/>
        <w:spacing w:before="0" w:after="0"/>
        <w:ind w:left="595"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08"/>
        <w:gridCol w:w="10060"/>
      </w:tblGrid>
      <w:tr>
        <w:trPr/>
        <w:tc>
          <w:tcPr>
            <w:tcW w:w="37"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t>f)</w:t>
            </w:r>
          </w:p>
        </w:tc>
        <w:tc>
          <w:tcPr>
            <w:tcW w:w="10060" w:type="dxa"/>
            <w:tcBorders/>
            <w:vAlign w:val="center"/>
          </w:tcPr>
          <w:p>
            <w:pPr>
              <w:pStyle w:val="TableContents"/>
              <w:bidi w:val="0"/>
              <w:spacing w:before="0" w:after="283"/>
              <w:jc w:val="both"/>
              <w:rPr/>
            </w:pPr>
            <w:r>
              <w:rPr/>
              <w:t>that all authorizations, consents, licenses, exemptions, notices, filings, publications or registrations which may be necessary under any applicable laws or regulations, other than the laws of Switzerland, in connection the issuance of the Offered Shares have been or will be duly obtained or made in time, remain in full force and effect at the date of this letter and, where relevant, will be obtained and maintained in the future, and that any related conditions have been fulfilled and any related covenants will be complied with;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79"/>
        <w:gridCol w:w="9877"/>
      </w:tblGrid>
      <w:tr>
        <w:trPr/>
        <w:tc>
          <w:tcPr>
            <w:tcW w:w="4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g)</w:t>
            </w:r>
          </w:p>
        </w:tc>
        <w:tc>
          <w:tcPr>
            <w:tcW w:w="9877" w:type="dxa"/>
            <w:tcBorders/>
            <w:vAlign w:val="center"/>
          </w:tcPr>
          <w:p>
            <w:pPr>
              <w:pStyle w:val="TableContents"/>
              <w:bidi w:val="0"/>
              <w:spacing w:before="0" w:after="283"/>
              <w:jc w:val="both"/>
              <w:rPr/>
            </w:pPr>
            <w:r>
              <w:rPr/>
              <w:t>the Prospectus has been or will be duly filed with the Commission by the Issuer;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h)</w:t>
            </w:r>
          </w:p>
        </w:tc>
        <w:tc>
          <w:tcPr>
            <w:tcW w:w="9995" w:type="dxa"/>
            <w:tcBorders/>
            <w:vAlign w:val="center"/>
          </w:tcPr>
          <w:p>
            <w:pPr>
              <w:pStyle w:val="TableContents"/>
              <w:bidi w:val="0"/>
              <w:spacing w:before="0" w:after="283"/>
              <w:jc w:val="both"/>
              <w:rPr/>
            </w:pPr>
            <w:r>
              <w:rPr/>
              <w:t>the Issuer has not entered and will not enter into any transaction which could be construed as repayment of share capital and has not undertaken and will not undertake an acquisition in kind or intended acquisition in kind;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1"/>
        <w:gridCol w:w="10057"/>
      </w:tblGrid>
      <w:tr>
        <w:trPr/>
        <w:tc>
          <w:tcPr>
            <w:tcW w:w="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pPr>
            <w:r>
              <w:rPr/>
              <w:t>i)</w:t>
            </w:r>
          </w:p>
        </w:tc>
        <w:tc>
          <w:tcPr>
            <w:tcW w:w="10057" w:type="dxa"/>
            <w:tcBorders/>
            <w:vAlign w:val="center"/>
          </w:tcPr>
          <w:p>
            <w:pPr>
              <w:pStyle w:val="TableContents"/>
              <w:bidi w:val="0"/>
              <w:spacing w:before="0" w:after="283"/>
              <w:jc w:val="both"/>
              <w:rPr/>
            </w:pPr>
            <w:r>
              <w:rPr/>
              <w:t>that (i) the number of Offered Shares will not exceed the number of shares that may be issued under the Articles and the Prospectus, (ii) the Prospectus will continue to be effective, (iii) the consideration received by the Issuer for the issuance of the Offered Shares will be fully paid and will not be less than the nominal value of such Offered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05"/>
        <w:gridCol w:w="10063"/>
      </w:tblGrid>
      <w:tr>
        <w:trPr/>
        <w:tc>
          <w:tcPr>
            <w:tcW w:w="37"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t>j)</w:t>
            </w:r>
          </w:p>
        </w:tc>
        <w:tc>
          <w:tcPr>
            <w:tcW w:w="10063" w:type="dxa"/>
            <w:tcBorders/>
            <w:vAlign w:val="center"/>
          </w:tcPr>
          <w:p>
            <w:pPr>
              <w:pStyle w:val="TableContents"/>
              <w:bidi w:val="0"/>
              <w:spacing w:before="0" w:after="283"/>
              <w:jc w:val="both"/>
              <w:rPr/>
            </w:pPr>
            <w:r>
              <w:rPr/>
              <w:t>prior to the issuance and delivery of any Offered Shares, the board of directors of the Issuer will have duly authorized the issuance of, and will have validly excluded the pre-emptive rights of the existing shareholders with respect to, such Offered Shares in accordance with the Articles, and such authorization and/or exclusion shall not have been amended, challenged or rescinded, and all necessary corporate actions of the Issuer to approve the issuance of the Offered Shares will have been performed in accordance with such resolution and the Articles;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k)</w:t>
            </w:r>
          </w:p>
        </w:tc>
        <w:tc>
          <w:tcPr>
            <w:tcW w:w="9973" w:type="dxa"/>
            <w:tcBorders/>
            <w:vAlign w:val="center"/>
          </w:tcPr>
          <w:p>
            <w:pPr>
              <w:pStyle w:val="TableContents"/>
              <w:bidi w:val="0"/>
              <w:spacing w:before="0" w:after="283"/>
              <w:jc w:val="both"/>
              <w:rPr/>
            </w:pPr>
            <w:r>
              <w:rPr/>
              <w:t>that any Swiss federal stamp duties due in connection with the issuance of the Offered Shares will be remitted to the Swiss tax authorities.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0"/>
        <w:gridCol w:w="1439"/>
        <w:gridCol w:w="8376"/>
      </w:tblGrid>
      <w:tr>
        <w:trPr/>
        <w:tc>
          <w:tcPr>
            <w:tcW w:w="39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pPr>
            <w:r>
              <w:rPr/>
              <w:t>4</w:t>
            </w:r>
          </w:p>
        </w:tc>
        <w:tc>
          <w:tcPr>
            <w:tcW w:w="8376" w:type="dxa"/>
            <w:tcBorders/>
            <w:vAlign w:val="center"/>
          </w:tcPr>
          <w:p>
            <w:pPr>
              <w:pStyle w:val="TableContents"/>
              <w:bidi w:val="0"/>
              <w:spacing w:before="0" w:after="283"/>
              <w:jc w:val="left"/>
              <w:rPr/>
            </w:pPr>
            <w:r>
              <w:rPr/>
              <w:t>Opinion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upon and subject to the foregoing assumptions, and subject to the qualifications and limitations set out in Section 5 below, we are of the opinion that the Offered Shares when issued and paid for pursuant to the Articles and Swiss law, in particular upon registration of the corresponding share capital increase into the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Commercial Register of the Canton of Vaud (if applicable)—and if and when such Offered Shares have been entered into the Issuer’s book of uncertificated securities, have been or will be, as applicable, validly issued, fully paid as to their nominal value and non-assessable.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466"/>
        <w:gridCol w:w="9613"/>
      </w:tblGrid>
      <w:tr>
        <w:trPr/>
        <w:tc>
          <w:tcPr>
            <w:tcW w:w="1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pPr>
            <w:r>
              <w:rPr/>
              <w:t>5</w:t>
            </w:r>
          </w:p>
        </w:tc>
        <w:tc>
          <w:tcPr>
            <w:tcW w:w="9613" w:type="dxa"/>
            <w:tcBorders/>
            <w:vAlign w:val="center"/>
          </w:tcPr>
          <w:p>
            <w:pPr>
              <w:pStyle w:val="TableContents"/>
              <w:bidi w:val="0"/>
              <w:spacing w:before="0" w:after="283"/>
              <w:jc w:val="left"/>
              <w:rPr/>
            </w:pPr>
            <w:r>
              <w:rPr/>
              <w:t>Qualifications and Limitations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opinions expressed herein are limited to questions arising under the laws of Switzerland, and we express no opinion as to the laws of any other jurisdiction. We express no opinion herein as to any matter of accounting or taxation, or as to any regulatory or commercial matter. Our opinions expressed in Section 4 above are further subject to the following qualifications and limitations: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a)</w:t>
            </w:r>
          </w:p>
        </w:tc>
        <w:tc>
          <w:tcPr>
            <w:tcW w:w="10016" w:type="dxa"/>
            <w:tcBorders/>
            <w:vAlign w:val="center"/>
          </w:tcPr>
          <w:p>
            <w:pPr>
              <w:pStyle w:val="TableContents"/>
              <w:bidi w:val="0"/>
              <w:spacing w:before="0" w:after="283"/>
              <w:jc w:val="both"/>
              <w:rPr/>
            </w:pPr>
            <w:r>
              <w:rPr/>
              <w:t>the exercise of voting rights and rights related thereto with respect to any Shares is only permissible after registration in the Issuer's share register as a shareholder with voting rights in accordance with the provisions of, and subject to the limitations provided in, the Articles;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b)</w:t>
            </w:r>
          </w:p>
        </w:tc>
        <w:tc>
          <w:tcPr>
            <w:tcW w:w="10003" w:type="dxa"/>
            <w:tcBorders/>
            <w:vAlign w:val="center"/>
          </w:tcPr>
          <w:p>
            <w:pPr>
              <w:pStyle w:val="TableContents"/>
              <w:bidi w:val="0"/>
              <w:spacing w:before="0" w:after="283"/>
              <w:jc w:val="both"/>
              <w:rPr/>
            </w:pPr>
            <w:r>
              <w:rPr/>
              <w:t>we express no opinion on the accuracy, correctness or completeness of the Prospectus; in particular, we express no opinion on whether the Prospectus provides sufficient information for knowledgeable investors to reach an informed assessment of the Issuer and its securities;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07"/>
        <w:gridCol w:w="9959"/>
      </w:tblGrid>
      <w:tr>
        <w:trPr/>
        <w:tc>
          <w:tcPr>
            <w:tcW w:w="3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283"/>
              <w:jc w:val="both"/>
              <w:rPr/>
            </w:pPr>
            <w:r>
              <w:rPr/>
              <w:t>we express no opinion as regards the preservation of shareholders' subscription rights (</w:t>
            </w:r>
            <w:r>
              <w:rPr>
                <w:i/>
              </w:rPr>
              <w:t>Bezugsrechte</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hereby consent to the filing of this opinion as an exhibit to a report on Form 6-K to be filed by the Issuer on the date hereof and its incorporation by reference into the Registration Statement and further consent to the reference to our name under the caption “Legal Matters” in the Prospectus. In giving such consent, we do not thereby admit that we are in the category of persons whose consent is required under Section 7 of the Act,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opinion and all matters relating to this opinion are governed by and shall be construed in accordance with the substantive laws of Switzerland. We confirm our understanding that all disputes arising out of or in connection with this opinion shall be subject to the exclusive jurisdiction of the courts of the Canton of Zurich, Switzerland, venue being city of Zurich.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Rolf Watter</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Bär &amp; Karrer AG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4 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22340</Words>
  <Characters>116778</Characters>
  <CharactersWithSpaces>140557</CharactersWithSpaces>
  <Paragraphs>873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