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SCHEDULE 13G/A</w:t>
      </w:r>
    </w:p>
    <w:p>
      <w:pPr>
        <w:spacing w:after="0" w:line="18"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AC Immune SA</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CHF 0.02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H00263105</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2022</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301"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166"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152" w:lineRule="exact"/>
        <w:rPr>
          <w:sz w:val="24"/>
          <w:szCs w:val="24"/>
          <w:color w:val="auto"/>
        </w:rPr>
      </w:pPr>
    </w:p>
    <w:p>
      <w:pPr>
        <w:ind w:left="820" w:hanging="794"/>
        <w:spacing w:after="0"/>
        <w:tabs>
          <w:tab w:leader="none" w:pos="8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355" w:lineRule="exact"/>
        <w:rPr>
          <w:sz w:val="24"/>
          <w:szCs w:val="24"/>
          <w:color w:val="auto"/>
        </w:rPr>
      </w:pPr>
    </w:p>
    <w:p>
      <w:pPr>
        <w:jc w:val="both"/>
        <w:spacing w:after="0" w:line="247"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4" w:lineRule="exact"/>
        <w:rPr>
          <w:sz w:val="24"/>
          <w:szCs w:val="24"/>
          <w:color w:val="auto"/>
        </w:rPr>
      </w:pPr>
    </w:p>
    <w:p>
      <w:pPr>
        <w:jc w:val="both"/>
        <w:spacing w:after="0" w:line="247"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233" w:right="339" w:bottom="1440" w:gutter="0" w:footer="0" w:header="0"/>
        </w:sectPr>
      </w:pPr>
    </w:p>
    <w:bookmarkStart w:id="1" w:name="page2"/>
    <w:bookmarkEnd w:id="1"/>
    <w:p>
      <w:pPr>
        <w:ind w:left="12"/>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6926580" cy="1894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89484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892" w:right="7540" w:hanging="370"/>
        <w:spacing w:after="0"/>
        <w:tabs>
          <w:tab w:leader="none" w:pos="892"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 Eli Lilly and Company 35-0470950</w:t>
      </w:r>
    </w:p>
    <w:p>
      <w:pPr>
        <w:spacing w:after="0" w:line="51" w:lineRule="exact"/>
        <w:rPr>
          <w:rFonts w:ascii="Arial" w:cs="Arial" w:eastAsia="Arial" w:hAnsi="Arial"/>
          <w:sz w:val="22"/>
          <w:szCs w:val="22"/>
          <w:color w:val="auto"/>
        </w:rPr>
      </w:pPr>
    </w:p>
    <w:p>
      <w:pPr>
        <w:ind w:left="892" w:hanging="370"/>
        <w:spacing w:after="0"/>
        <w:tabs>
          <w:tab w:leader="none" w:pos="892"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8" w:lineRule="exact"/>
        <w:rPr>
          <w:rFonts w:ascii="Arial" w:cs="Arial" w:eastAsia="Arial" w:hAnsi="Arial"/>
          <w:sz w:val="22"/>
          <w:szCs w:val="22"/>
          <w:color w:val="auto"/>
        </w:rPr>
      </w:pPr>
    </w:p>
    <w:p>
      <w:pPr>
        <w:ind w:left="1192" w:hanging="297"/>
        <w:spacing w:after="0" w:line="243" w:lineRule="exact"/>
        <w:tabs>
          <w:tab w:leader="none" w:pos="1192" w:val="left"/>
        </w:tabs>
        <w:numPr>
          <w:ilvl w:val="1"/>
          <w:numId w:val="4"/>
        </w:numPr>
        <w:rPr>
          <w:rFonts w:ascii="Arial" w:cs="Arial" w:eastAsia="Arial" w:hAnsi="Arial"/>
          <w:sz w:val="22"/>
          <w:szCs w:val="22"/>
          <w:color w:val="auto"/>
        </w:rPr>
      </w:pPr>
      <w:r>
        <w:rPr>
          <w:rFonts w:ascii="MS PGothic" w:cs="MS PGothic" w:eastAsia="MS PGothic" w:hAnsi="MS PGothic"/>
          <w:sz w:val="22"/>
          <w:szCs w:val="22"/>
          <w:color w:val="auto"/>
        </w:rPr>
        <w:t>☐</w:t>
      </w:r>
    </w:p>
    <w:p>
      <w:pPr>
        <w:ind w:left="1192" w:hanging="297"/>
        <w:spacing w:after="0" w:line="253" w:lineRule="exact"/>
        <w:tabs>
          <w:tab w:leader="none" w:pos="1192" w:val="left"/>
        </w:tabs>
        <w:numPr>
          <w:ilvl w:val="1"/>
          <w:numId w:val="4"/>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96" w:lineRule="exact"/>
        <w:rPr>
          <w:rFonts w:ascii="Arial" w:cs="Arial" w:eastAsia="Arial" w:hAnsi="Arial"/>
          <w:sz w:val="22"/>
          <w:szCs w:val="22"/>
          <w:color w:val="auto"/>
        </w:rPr>
      </w:pPr>
    </w:p>
    <w:p>
      <w:pPr>
        <w:ind w:left="892" w:hanging="370"/>
        <w:spacing w:after="0"/>
        <w:tabs>
          <w:tab w:leader="none" w:pos="892"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57" w:lineRule="exact"/>
        <w:rPr>
          <w:rFonts w:ascii="Arial" w:cs="Arial" w:eastAsia="Arial" w:hAnsi="Arial"/>
          <w:sz w:val="22"/>
          <w:szCs w:val="22"/>
          <w:color w:val="auto"/>
        </w:rPr>
      </w:pPr>
    </w:p>
    <w:p>
      <w:pPr>
        <w:ind w:left="892" w:hanging="370"/>
        <w:spacing w:after="0"/>
        <w:tabs>
          <w:tab w:leader="none" w:pos="892"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6934835" cy="216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2160270"/>
                    </a:xfrm>
                    <a:prstGeom prst="rect">
                      <a:avLst/>
                    </a:prstGeom>
                    <a:noFill/>
                  </pic:spPr>
                </pic:pic>
              </a:graphicData>
            </a:graphic>
          </wp:anchor>
        </w:drawing>
      </w:r>
    </w:p>
    <w:p>
      <w:pPr>
        <w:spacing w:after="0" w:line="159" w:lineRule="exact"/>
        <w:rPr>
          <w:sz w:val="20"/>
          <w:szCs w:val="20"/>
          <w:color w:val="auto"/>
        </w:rPr>
      </w:pPr>
    </w:p>
    <w:tbl>
      <w:tblPr>
        <w:tblLayout w:type="fixed"/>
        <w:tblInd w:w="112" w:type="dxa"/>
        <w:tblCellMar>
          <w:top w:w="0" w:type="dxa"/>
          <w:left w:w="0" w:type="dxa"/>
          <w:bottom w:w="0" w:type="dxa"/>
          <w:right w:w="0" w:type="dxa"/>
        </w:tblCellMar>
      </w:tblPr>
      <w:tr>
        <w:trPr>
          <w:trHeight w:val="257"/>
        </w:trPr>
        <w:tc>
          <w:tcPr>
            <w:tcW w:w="190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740" w:type="dxa"/>
            <w:vAlign w:val="bottom"/>
          </w:tcPr>
          <w:p>
            <w:pPr>
              <w:jc w:val="right"/>
              <w:ind w:right="12"/>
              <w:spacing w:after="0"/>
              <w:rPr>
                <w:sz w:val="20"/>
                <w:szCs w:val="20"/>
                <w:color w:val="auto"/>
              </w:rPr>
            </w:pPr>
            <w:r>
              <w:rPr>
                <w:rFonts w:ascii="Arial" w:cs="Arial" w:eastAsia="Arial" w:hAnsi="Arial"/>
                <w:sz w:val="22"/>
                <w:szCs w:val="22"/>
                <w:color w:val="auto"/>
              </w:rPr>
              <w:t>5.</w:t>
            </w:r>
          </w:p>
        </w:tc>
        <w:tc>
          <w:tcPr>
            <w:tcW w:w="816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74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740" w:type="dxa"/>
            <w:vAlign w:val="bottom"/>
          </w:tcPr>
          <w:p>
            <w:pPr>
              <w:spacing w:after="0"/>
              <w:rPr>
                <w:sz w:val="21"/>
                <w:szCs w:val="21"/>
                <w:color w:val="auto"/>
              </w:rPr>
            </w:pPr>
          </w:p>
        </w:tc>
        <w:tc>
          <w:tcPr>
            <w:tcW w:w="8160" w:type="dxa"/>
            <w:vAlign w:val="bottom"/>
          </w:tcPr>
          <w:p>
            <w:pPr>
              <w:ind w:left="100"/>
              <w:spacing w:after="0" w:line="243" w:lineRule="exact"/>
              <w:rPr>
                <w:sz w:val="20"/>
                <w:szCs w:val="20"/>
                <w:color w:val="auto"/>
              </w:rPr>
            </w:pPr>
            <w:r>
              <w:rPr>
                <w:rFonts w:ascii="Arial" w:cs="Arial" w:eastAsia="Arial" w:hAnsi="Arial"/>
                <w:sz w:val="22"/>
                <w:szCs w:val="22"/>
                <w:color w:val="auto"/>
              </w:rPr>
              <w:t>3,615,328</w:t>
            </w:r>
          </w:p>
        </w:tc>
        <w:tc>
          <w:tcPr>
            <w:tcW w:w="0" w:type="dxa"/>
            <w:vAlign w:val="bottom"/>
          </w:tcPr>
          <w:p>
            <w:pPr>
              <w:spacing w:after="0"/>
              <w:rPr>
                <w:sz w:val="1"/>
                <w:szCs w:val="1"/>
                <w:color w:val="auto"/>
              </w:rPr>
            </w:pPr>
          </w:p>
        </w:tc>
      </w:tr>
      <w:tr>
        <w:trPr>
          <w:trHeight w:val="89"/>
        </w:trPr>
        <w:tc>
          <w:tcPr>
            <w:tcW w:w="1900" w:type="dxa"/>
            <w:vAlign w:val="bottom"/>
            <w:vMerge w:val="restart"/>
          </w:tcPr>
          <w:p>
            <w:pPr>
              <w:jc w:val="center"/>
              <w:spacing w:after="0"/>
              <w:rPr>
                <w:sz w:val="20"/>
                <w:szCs w:val="20"/>
                <w:color w:val="auto"/>
              </w:rPr>
            </w:pPr>
            <w:r>
              <w:rPr>
                <w:rFonts w:ascii="Arial" w:cs="Arial" w:eastAsia="Arial" w:hAnsi="Arial"/>
                <w:sz w:val="22"/>
                <w:szCs w:val="22"/>
                <w:color w:val="auto"/>
                <w:w w:val="96"/>
              </w:rPr>
              <w:t>OWNED BY EACH</w:t>
            </w:r>
          </w:p>
        </w:tc>
        <w:tc>
          <w:tcPr>
            <w:tcW w:w="740" w:type="dxa"/>
            <w:vAlign w:val="bottom"/>
            <w:tcBorders>
              <w:bottom w:val="single" w:sz="8" w:color="auto"/>
            </w:tcBorders>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900" w:type="dxa"/>
            <w:vAlign w:val="bottom"/>
            <w:vMerge w:val="continue"/>
          </w:tcPr>
          <w:p>
            <w:pPr>
              <w:spacing w:after="0"/>
              <w:rPr>
                <w:sz w:val="12"/>
                <w:szCs w:val="12"/>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22"/>
                <w:szCs w:val="22"/>
                <w:color w:val="auto"/>
              </w:rPr>
              <w:t>6.</w:t>
            </w:r>
          </w:p>
        </w:tc>
        <w:tc>
          <w:tcPr>
            <w:tcW w:w="816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26"/>
        </w:trPr>
        <w:tc>
          <w:tcPr>
            <w:tcW w:w="190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740" w:type="dxa"/>
            <w:vAlign w:val="bottom"/>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900" w:type="dxa"/>
            <w:vAlign w:val="bottom"/>
          </w:tcPr>
          <w:p>
            <w:pPr>
              <w:jc w:val="center"/>
              <w:spacing w:after="0"/>
              <w:rPr>
                <w:sz w:val="20"/>
                <w:szCs w:val="20"/>
                <w:color w:val="auto"/>
              </w:rPr>
            </w:pPr>
            <w:r>
              <w:rPr>
                <w:rFonts w:ascii="Arial" w:cs="Arial" w:eastAsia="Arial" w:hAnsi="Arial"/>
                <w:sz w:val="22"/>
                <w:szCs w:val="22"/>
                <w:color w:val="auto"/>
                <w:w w:val="90"/>
              </w:rPr>
              <w:t>PERSON</w:t>
            </w:r>
          </w:p>
        </w:tc>
        <w:tc>
          <w:tcPr>
            <w:tcW w:w="740" w:type="dxa"/>
            <w:vAlign w:val="bottom"/>
          </w:tcPr>
          <w:p>
            <w:pPr>
              <w:spacing w:after="0"/>
              <w:rPr>
                <w:sz w:val="22"/>
                <w:szCs w:val="22"/>
                <w:color w:val="auto"/>
              </w:rPr>
            </w:pPr>
          </w:p>
        </w:tc>
        <w:tc>
          <w:tcPr>
            <w:tcW w:w="816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900" w:type="dxa"/>
            <w:vAlign w:val="bottom"/>
            <w:vMerge w:val="restart"/>
          </w:tcPr>
          <w:p>
            <w:pPr>
              <w:jc w:val="center"/>
              <w:spacing w:after="0" w:line="201" w:lineRule="exact"/>
              <w:rPr>
                <w:sz w:val="20"/>
                <w:szCs w:val="20"/>
                <w:color w:val="auto"/>
              </w:rPr>
            </w:pPr>
            <w:r>
              <w:rPr>
                <w:rFonts w:ascii="Arial" w:cs="Arial" w:eastAsia="Arial" w:hAnsi="Arial"/>
                <w:sz w:val="22"/>
                <w:szCs w:val="22"/>
                <w:color w:val="auto"/>
                <w:w w:val="99"/>
              </w:rPr>
              <w:t>WITH</w:t>
            </w:r>
          </w:p>
        </w:tc>
        <w:tc>
          <w:tcPr>
            <w:tcW w:w="74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900" w:type="dxa"/>
            <w:vAlign w:val="bottom"/>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2852" w:right="6040" w:hanging="372"/>
        <w:spacing w:after="0" w:line="394" w:lineRule="auto"/>
        <w:tabs>
          <w:tab w:leader="none" w:pos="2852" w:val="left"/>
        </w:tabs>
        <w:numPr>
          <w:ilvl w:val="2"/>
          <w:numId w:val="5"/>
        </w:numPr>
        <w:rPr>
          <w:rFonts w:ascii="Arial" w:cs="Arial" w:eastAsia="Arial" w:hAnsi="Arial"/>
          <w:sz w:val="22"/>
          <w:szCs w:val="22"/>
          <w:color w:val="auto"/>
        </w:rPr>
      </w:pPr>
      <w:r>
        <w:rPr>
          <w:rFonts w:ascii="Arial" w:cs="Arial" w:eastAsia="Arial" w:hAnsi="Arial"/>
          <w:sz w:val="22"/>
          <w:szCs w:val="22"/>
          <w:color w:val="auto"/>
        </w:rPr>
        <w:t>Sole Dispositive Power 3,615,328</w:t>
      </w:r>
    </w:p>
    <w:p>
      <w:pPr>
        <w:spacing w:after="0" w:line="1" w:lineRule="exact"/>
        <w:rPr>
          <w:rFonts w:ascii="Arial" w:cs="Arial" w:eastAsia="Arial" w:hAnsi="Arial"/>
          <w:sz w:val="22"/>
          <w:szCs w:val="22"/>
          <w:color w:val="auto"/>
        </w:rPr>
      </w:pPr>
    </w:p>
    <w:p>
      <w:pPr>
        <w:ind w:left="2852" w:right="5820" w:hanging="372"/>
        <w:spacing w:after="0" w:line="461" w:lineRule="auto"/>
        <w:tabs>
          <w:tab w:leader="none" w:pos="2852" w:val="left"/>
        </w:tabs>
        <w:numPr>
          <w:ilvl w:val="2"/>
          <w:numId w:val="5"/>
        </w:numPr>
        <w:rPr>
          <w:rFonts w:ascii="Arial" w:cs="Arial" w:eastAsia="Arial" w:hAnsi="Arial"/>
          <w:sz w:val="22"/>
          <w:szCs w:val="22"/>
          <w:color w:val="auto"/>
        </w:rPr>
      </w:pPr>
      <w:r>
        <w:rPr>
          <w:rFonts w:ascii="Arial" w:cs="Arial" w:eastAsia="Arial" w:hAnsi="Arial"/>
          <w:sz w:val="22"/>
          <w:szCs w:val="22"/>
          <w:color w:val="auto"/>
        </w:rPr>
        <w:t>Shared Dispositive Power 0</w:t>
      </w:r>
    </w:p>
    <w:p>
      <w:pPr>
        <w:ind w:left="892" w:right="4260" w:hanging="370"/>
        <w:spacing w:after="0" w:line="384" w:lineRule="auto"/>
        <w:tabs>
          <w:tab w:leader="none" w:pos="892" w:val="left"/>
        </w:tabs>
        <w:numPr>
          <w:ilvl w:val="1"/>
          <w:numId w:val="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3,615,328</w:t>
      </w:r>
    </w:p>
    <w:p>
      <w:pPr>
        <w:ind w:left="892" w:right="3380" w:hanging="478"/>
        <w:spacing w:after="0" w:line="241" w:lineRule="auto"/>
        <w:tabs>
          <w:tab w:leader="none" w:pos="892" w:val="left"/>
        </w:tabs>
        <w:numPr>
          <w:ilvl w:val="1"/>
          <w:numId w:val="6"/>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w:t>
      </w:r>
    </w:p>
    <w:p>
      <w:pPr>
        <w:spacing w:after="0" w:line="1" w:lineRule="exact"/>
        <w:rPr>
          <w:rFonts w:ascii="Arial" w:cs="Arial" w:eastAsia="Arial" w:hAnsi="Arial"/>
          <w:sz w:val="22"/>
          <w:szCs w:val="22"/>
          <w:color w:val="auto"/>
        </w:rPr>
      </w:pPr>
    </w:p>
    <w:p>
      <w:pPr>
        <w:ind w:left="892"/>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323" w:lineRule="exact"/>
        <w:rPr>
          <w:rFonts w:ascii="Arial" w:cs="Arial" w:eastAsia="Arial" w:hAnsi="Arial"/>
          <w:sz w:val="22"/>
          <w:szCs w:val="22"/>
          <w:color w:val="auto"/>
        </w:rPr>
      </w:pPr>
    </w:p>
    <w:p>
      <w:pPr>
        <w:ind w:left="892" w:hanging="470"/>
        <w:spacing w:after="0"/>
        <w:tabs>
          <w:tab w:leader="none" w:pos="892" w:val="left"/>
        </w:tabs>
        <w:numPr>
          <w:ilvl w:val="1"/>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33" w:lineRule="exact"/>
        <w:rPr>
          <w:rFonts w:ascii="Arial" w:cs="Arial" w:eastAsia="Arial" w:hAnsi="Arial"/>
          <w:sz w:val="22"/>
          <w:szCs w:val="22"/>
          <w:color w:val="auto"/>
        </w:rPr>
      </w:pPr>
    </w:p>
    <w:p>
      <w:pPr>
        <w:ind w:left="892"/>
        <w:spacing w:after="0"/>
        <w:rPr>
          <w:rFonts w:ascii="Arial" w:cs="Arial" w:eastAsia="Arial" w:hAnsi="Arial"/>
          <w:sz w:val="22"/>
          <w:szCs w:val="22"/>
          <w:color w:val="auto"/>
        </w:rPr>
      </w:pPr>
      <w:r>
        <w:rPr>
          <w:rFonts w:ascii="Arial" w:cs="Arial" w:eastAsia="Arial" w:hAnsi="Arial"/>
          <w:sz w:val="22"/>
          <w:szCs w:val="22"/>
          <w:color w:val="auto"/>
        </w:rPr>
        <w:t>4.3%</w:t>
      </w:r>
      <w:r>
        <w:rPr>
          <w:rFonts w:ascii="Arial" w:cs="Arial" w:eastAsia="Arial" w:hAnsi="Arial"/>
          <w:sz w:val="28"/>
          <w:szCs w:val="28"/>
          <w:color w:val="auto"/>
          <w:vertAlign w:val="superscript"/>
        </w:rPr>
        <w:t>(1)</w:t>
      </w:r>
    </w:p>
    <w:p>
      <w:pPr>
        <w:spacing w:after="0" w:line="20" w:lineRule="exact"/>
        <w:rPr>
          <w:rFonts w:ascii="Arial" w:cs="Arial" w:eastAsia="Arial" w:hAnsi="Arial"/>
          <w:sz w:val="22"/>
          <w:szCs w:val="22"/>
          <w:color w:val="auto"/>
        </w:rPr>
      </w:pPr>
    </w:p>
    <w:p>
      <w:pPr>
        <w:ind w:left="892" w:hanging="478"/>
        <w:spacing w:after="0"/>
        <w:tabs>
          <w:tab w:leader="none" w:pos="892" w:val="left"/>
        </w:tabs>
        <w:numPr>
          <w:ilvl w:val="1"/>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15" w:lineRule="exact"/>
        <w:rPr>
          <w:rFonts w:ascii="Arial" w:cs="Arial" w:eastAsia="Arial" w:hAnsi="Arial"/>
          <w:sz w:val="22"/>
          <w:szCs w:val="22"/>
          <w:color w:val="auto"/>
        </w:rPr>
      </w:pPr>
    </w:p>
    <w:p>
      <w:pPr>
        <w:ind w:left="892"/>
        <w:spacing w:after="0"/>
        <w:rPr>
          <w:rFonts w:ascii="Arial" w:cs="Arial" w:eastAsia="Arial" w:hAnsi="Arial"/>
          <w:sz w:val="22"/>
          <w:szCs w:val="22"/>
          <w:color w:val="auto"/>
        </w:rPr>
      </w:pPr>
      <w:r>
        <w:rPr>
          <w:rFonts w:ascii="Arial" w:cs="Arial" w:eastAsia="Arial" w:hAnsi="Arial"/>
          <w:sz w:val="22"/>
          <w:szCs w:val="22"/>
          <w:color w:val="auto"/>
        </w:rPr>
        <w:t>CO</w:t>
      </w:r>
    </w:p>
    <w:p>
      <w:pPr>
        <w:spacing w:after="0" w:line="375" w:lineRule="exact"/>
        <w:rPr>
          <w:rFonts w:ascii="Arial" w:cs="Arial" w:eastAsia="Arial" w:hAnsi="Arial"/>
          <w:sz w:val="22"/>
          <w:szCs w:val="22"/>
          <w:color w:val="auto"/>
        </w:rPr>
      </w:pPr>
    </w:p>
    <w:p>
      <w:pPr>
        <w:ind w:left="332" w:right="20" w:hanging="332"/>
        <w:spacing w:after="0" w:line="213" w:lineRule="auto"/>
        <w:tabs>
          <w:tab w:leader="none" w:pos="206"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The percentage is calculated based upon 83,590,948 outstanding shares of Common Stock of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-2682240</wp:posOffset>
            </wp:positionV>
            <wp:extent cx="6951980" cy="2219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2219960"/>
                    </a:xfrm>
                    <a:prstGeom prst="rect">
                      <a:avLst/>
                    </a:prstGeom>
                    <a:noFill/>
                  </pic:spPr>
                </pic:pic>
              </a:graphicData>
            </a:graphic>
          </wp:anchor>
        </w:drawing>
      </w:r>
    </w:p>
    <w:p>
      <w:pPr>
        <w:sectPr>
          <w:pgSz w:w="11900" w:h="16838" w:orient="portrait"/>
          <w:cols w:equalWidth="0" w:num="1">
            <w:col w:w="10912"/>
          </w:cols>
          <w:pgMar w:left="328" w:top="942" w:right="65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0"/>
          <w:szCs w:val="20"/>
          <w:color w:val="auto"/>
        </w:rPr>
      </w:pPr>
    </w:p>
    <w:p>
      <w:pPr>
        <w:sectPr>
          <w:pgSz w:w="11900" w:h="16838" w:orient="portrait"/>
          <w:cols w:equalWidth="0" w:num="2">
            <w:col w:w="860" w:space="720"/>
            <w:col w:w="9280"/>
          </w:cols>
          <w:pgMar w:left="340" w:top="1179" w:right="699" w:bottom="1440" w:gutter="0" w:footer="0" w:header="0"/>
        </w:sectPr>
      </w:pPr>
    </w:p>
    <w:p>
      <w:pPr>
        <w:spacing w:after="0" w:line="6" w:lineRule="exact"/>
        <w:rPr>
          <w:sz w:val="20"/>
          <w:szCs w:val="20"/>
          <w:color w:val="auto"/>
        </w:rPr>
      </w:pPr>
    </w:p>
    <w:p>
      <w:pPr>
        <w:jc w:val="both"/>
        <w:ind w:left="1680"/>
        <w:spacing w:after="0"/>
        <w:tabs>
          <w:tab w:leader="none" w:pos="2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Name of Issuer:</w:t>
      </w:r>
    </w:p>
    <w:p>
      <w:pPr>
        <w:spacing w:after="0" w:line="44" w:lineRule="exact"/>
        <w:rPr>
          <w:sz w:val="20"/>
          <w:szCs w:val="20"/>
          <w:color w:val="auto"/>
        </w:rPr>
      </w:pPr>
    </w:p>
    <w:p>
      <w:pPr>
        <w:jc w:val="right"/>
        <w:ind w:right="7160"/>
        <w:spacing w:after="0"/>
        <w:rPr>
          <w:sz w:val="20"/>
          <w:szCs w:val="20"/>
          <w:color w:val="auto"/>
        </w:rPr>
      </w:pPr>
      <w:r>
        <w:rPr>
          <w:rFonts w:ascii="Arial" w:cs="Arial" w:eastAsia="Arial" w:hAnsi="Arial"/>
          <w:sz w:val="22"/>
          <w:szCs w:val="22"/>
          <w:color w:val="auto"/>
        </w:rPr>
        <w:t>AC Immune SA</w:t>
      </w:r>
    </w:p>
    <w:p>
      <w:pPr>
        <w:spacing w:after="0" w:line="314"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Address of Issuer’s Principal Executive Offices:</w:t>
      </w:r>
    </w:p>
    <w:p>
      <w:pPr>
        <w:spacing w:after="0" w:line="79"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EPFL Innovation Park, Building B</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1015 Lausanne, Switzerland</w:t>
      </w:r>
    </w:p>
    <w:p>
      <w:pPr>
        <w:sectPr>
          <w:pgSz w:w="11900" w:h="16838" w:orient="portrait"/>
          <w:cols w:equalWidth="0" w:num="1">
            <w:col w:w="10860"/>
          </w:cols>
          <w:pgMar w:left="340" w:top="1179" w:right="699" w:bottom="1440" w:gutter="0" w:footer="0" w:header="0"/>
          <w:type w:val="continuous"/>
        </w:sect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Person Filing</w:t>
      </w:r>
    </w:p>
    <w:p>
      <w:pPr>
        <w:spacing w:after="0" w:line="200" w:lineRule="exact"/>
        <w:rPr>
          <w:sz w:val="20"/>
          <w:szCs w:val="20"/>
          <w:color w:val="auto"/>
        </w:rPr>
      </w:pPr>
    </w:p>
    <w:p>
      <w:pPr>
        <w:sectPr>
          <w:pgSz w:w="11900" w:h="16838" w:orient="portrait"/>
          <w:cols w:equalWidth="0" w:num="2">
            <w:col w:w="860" w:space="720"/>
            <w:col w:w="9280"/>
          </w:cols>
          <w:pgMar w:left="340" w:top="1179" w:right="699" w:bottom="1440" w:gutter="0" w:footer="0" w:header="0"/>
          <w:type w:val="continuous"/>
        </w:sectPr>
      </w:pPr>
    </w:p>
    <w:p>
      <w:pPr>
        <w:spacing w:after="0" w:line="6"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Name:</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09"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Address of Principal Business Office:</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c/o Lilly Corporate Center</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Indianapolis, Indiana 46285</w:t>
      </w:r>
    </w:p>
    <w:p>
      <w:pPr>
        <w:spacing w:after="0" w:line="395"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Citizenship:</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Indiana corporation</w:t>
      </w:r>
    </w:p>
    <w:p>
      <w:pPr>
        <w:spacing w:after="0" w:line="200" w:lineRule="exact"/>
        <w:rPr>
          <w:sz w:val="20"/>
          <w:szCs w:val="20"/>
          <w:color w:val="auto"/>
        </w:rPr>
      </w:pPr>
    </w:p>
    <w:p>
      <w:pPr>
        <w:spacing w:after="0" w:line="209"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Title of Class of Securities:</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Common Stock, CHF 0.02 par value per share</w:t>
      </w:r>
    </w:p>
    <w:p>
      <w:pPr>
        <w:spacing w:after="0" w:line="200" w:lineRule="exact"/>
        <w:rPr>
          <w:sz w:val="20"/>
          <w:szCs w:val="20"/>
          <w:color w:val="auto"/>
        </w:rPr>
      </w:pPr>
    </w:p>
    <w:p>
      <w:pPr>
        <w:spacing w:after="0" w:line="243"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CUSIP Number:</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H00263105</w:t>
      </w:r>
    </w:p>
    <w:p>
      <w:pPr>
        <w:sectPr>
          <w:pgSz w:w="11900" w:h="16838" w:orient="portrait"/>
          <w:cols w:equalWidth="0" w:num="1">
            <w:col w:w="10860"/>
          </w:cols>
          <w:pgMar w:left="340" w:top="117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this statement is filed pursuant to § 240.13d-1(b) or § 240.13d-2(b) or (c), check whether the person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filing is a:</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60" w:lineRule="exact"/>
        <w:rPr>
          <w:sz w:val="20"/>
          <w:szCs w:val="20"/>
          <w:color w:val="auto"/>
        </w:rPr>
      </w:pPr>
    </w:p>
    <w:p>
      <w:pPr>
        <w:sectPr>
          <w:pgSz w:w="11900" w:h="16838" w:orient="portrait"/>
          <w:cols w:equalWidth="0" w:num="2">
            <w:col w:w="840" w:space="720"/>
            <w:col w:w="9300"/>
          </w:cols>
          <w:pgMar w:left="340" w:top="1179" w:right="69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Ownership.</w:t>
      </w:r>
    </w:p>
    <w:p>
      <w:pPr>
        <w:spacing w:after="0" w:line="200" w:lineRule="exact"/>
        <w:rPr>
          <w:sz w:val="20"/>
          <w:szCs w:val="20"/>
          <w:color w:val="auto"/>
        </w:rPr>
      </w:pPr>
    </w:p>
    <w:p>
      <w:pPr>
        <w:sectPr>
          <w:pgSz w:w="11900" w:h="16838" w:orient="portrait"/>
          <w:cols w:equalWidth="0" w:num="2">
            <w:col w:w="840" w:space="720"/>
            <w:col w:w="9300"/>
          </w:cols>
          <w:pgMar w:left="340" w:top="1179" w:right="699" w:bottom="1440" w:gutter="0" w:footer="0" w:header="0"/>
          <w:type w:val="continuous"/>
        </w:sect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All ownership information is as of December 31, 2022.</w:t>
      </w:r>
    </w:p>
    <w:p>
      <w:pPr>
        <w:spacing w:after="0" w:line="139" w:lineRule="exact"/>
        <w:rPr>
          <w:sz w:val="20"/>
          <w:szCs w:val="20"/>
          <w:color w:val="auto"/>
        </w:rPr>
      </w:pPr>
    </w:p>
    <w:p>
      <w:pPr>
        <w:ind w:left="2280" w:hanging="606"/>
        <w:spacing w:after="0"/>
        <w:tabs>
          <w:tab w:leader="none" w:pos="22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Amount Beneficially Owned: See Item 9 of Cover Sheet.</w:t>
      </w:r>
    </w:p>
    <w:p>
      <w:pPr>
        <w:spacing w:after="0" w:line="165" w:lineRule="exact"/>
        <w:rPr>
          <w:rFonts w:ascii="Arial" w:cs="Arial" w:eastAsia="Arial" w:hAnsi="Arial"/>
          <w:sz w:val="22"/>
          <w:szCs w:val="22"/>
          <w:color w:val="auto"/>
        </w:rPr>
      </w:pPr>
    </w:p>
    <w:p>
      <w:pPr>
        <w:ind w:left="2280" w:hanging="618"/>
        <w:spacing w:after="0"/>
        <w:tabs>
          <w:tab w:leader="none" w:pos="228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Percent of Class: See Item 11 of Cover Sheet.</w:t>
      </w:r>
    </w:p>
    <w:p>
      <w:pPr>
        <w:spacing w:after="0" w:line="165" w:lineRule="exact"/>
        <w:rPr>
          <w:rFonts w:ascii="Arial" w:cs="Arial" w:eastAsia="Arial" w:hAnsi="Arial"/>
          <w:sz w:val="22"/>
          <w:szCs w:val="22"/>
          <w:color w:val="auto"/>
        </w:rPr>
      </w:pPr>
    </w:p>
    <w:p>
      <w:pPr>
        <w:ind w:left="2280" w:hanging="606"/>
        <w:spacing w:after="0"/>
        <w:tabs>
          <w:tab w:leader="none" w:pos="2280" w:val="left"/>
        </w:tabs>
        <w:numPr>
          <w:ilvl w:val="0"/>
          <w:numId w:val="8"/>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52" w:lineRule="exact"/>
        <w:rPr>
          <w:rFonts w:ascii="Arial" w:cs="Arial" w:eastAsia="Arial" w:hAnsi="Arial"/>
          <w:sz w:val="22"/>
          <w:szCs w:val="22"/>
          <w:color w:val="auto"/>
        </w:rPr>
      </w:pPr>
    </w:p>
    <w:p>
      <w:pPr>
        <w:ind w:left="3080" w:hanging="641"/>
        <w:spacing w:after="0"/>
        <w:tabs>
          <w:tab w:leader="none" w:pos="3080" w:val="left"/>
        </w:tabs>
        <w:numPr>
          <w:ilvl w:val="1"/>
          <w:numId w:val="8"/>
        </w:numPr>
        <w:rPr>
          <w:rFonts w:ascii="Arial" w:cs="Arial" w:eastAsia="Arial" w:hAnsi="Arial"/>
          <w:sz w:val="19"/>
          <w:szCs w:val="19"/>
          <w:color w:val="auto"/>
        </w:rPr>
      </w:pPr>
      <w:r>
        <w:rPr>
          <w:rFonts w:ascii="Arial" w:cs="Arial" w:eastAsia="Arial" w:hAnsi="Arial"/>
          <w:sz w:val="19"/>
          <w:szCs w:val="19"/>
          <w:color w:val="auto"/>
        </w:rPr>
        <w:t>sole power to vote of to direct the vote: See Item 5 of Cover Sheet.</w:t>
      </w:r>
    </w:p>
    <w:p>
      <w:pPr>
        <w:spacing w:after="0" w:line="200" w:lineRule="exact"/>
        <w:rPr>
          <w:rFonts w:ascii="Arial" w:cs="Arial" w:eastAsia="Arial" w:hAnsi="Arial"/>
          <w:sz w:val="19"/>
          <w:szCs w:val="19"/>
          <w:color w:val="auto"/>
        </w:rPr>
      </w:pPr>
    </w:p>
    <w:p>
      <w:pPr>
        <w:ind w:left="3080" w:hanging="633"/>
        <w:spacing w:after="0"/>
        <w:tabs>
          <w:tab w:leader="none" w:pos="3080" w:val="left"/>
        </w:tabs>
        <w:numPr>
          <w:ilvl w:val="1"/>
          <w:numId w:val="8"/>
        </w:numPr>
        <w:rPr>
          <w:rFonts w:ascii="Arial" w:cs="Arial" w:eastAsia="Arial" w:hAnsi="Arial"/>
          <w:sz w:val="19"/>
          <w:szCs w:val="19"/>
          <w:color w:val="auto"/>
        </w:rPr>
      </w:pPr>
      <w:r>
        <w:rPr>
          <w:rFonts w:ascii="Arial" w:cs="Arial" w:eastAsia="Arial" w:hAnsi="Arial"/>
          <w:sz w:val="19"/>
          <w:szCs w:val="19"/>
          <w:color w:val="auto"/>
        </w:rPr>
        <w:t>shared power to vote or to direct the vote: See Item 6 of Cover Sheet.</w:t>
      </w:r>
    </w:p>
    <w:p>
      <w:pPr>
        <w:sectPr>
          <w:pgSz w:w="11900" w:h="16838" w:orient="portrait"/>
          <w:cols w:equalWidth="0" w:num="1">
            <w:col w:w="10860"/>
          </w:cols>
          <w:pgMar w:left="340" w:top="1179" w:right="699" w:bottom="1440" w:gutter="0" w:footer="0" w:header="0"/>
          <w:type w:val="continuous"/>
        </w:sectPr>
      </w:pPr>
    </w:p>
    <w:bookmarkStart w:id="3" w:name="page4"/>
    <w:bookmarkEnd w:id="3"/>
    <w:p>
      <w:pPr>
        <w:ind w:left="2480"/>
        <w:spacing w:after="0"/>
        <w:tabs>
          <w:tab w:leader="none" w:pos="3080" w:val="left"/>
        </w:tabs>
        <w:rPr>
          <w:sz w:val="20"/>
          <w:szCs w:val="20"/>
          <w:color w:val="auto"/>
        </w:rPr>
      </w:pPr>
      <w:r>
        <w:rPr>
          <w:rFonts w:ascii="Arial" w:cs="Arial" w:eastAsia="Arial" w:hAnsi="Arial"/>
          <w:sz w:val="19"/>
          <w:szCs w:val="19"/>
          <w:color w:val="auto"/>
        </w:rPr>
        <w:t>(iii)</w:t>
        <w:tab/>
        <w:t>sole power to dispose or to direct the disposition of: See Item 7 of Cover Sheet.</w:t>
      </w:r>
    </w:p>
    <w:p>
      <w:pPr>
        <w:spacing w:after="0" w:line="200" w:lineRule="exact"/>
        <w:rPr>
          <w:sz w:val="20"/>
          <w:szCs w:val="20"/>
          <w:color w:val="auto"/>
        </w:rPr>
      </w:pPr>
    </w:p>
    <w:p>
      <w:pPr>
        <w:ind w:left="2480"/>
        <w:spacing w:after="0"/>
        <w:tabs>
          <w:tab w:leader="none" w:pos="3040" w:val="left"/>
        </w:tabs>
        <w:rPr>
          <w:sz w:val="20"/>
          <w:szCs w:val="20"/>
          <w:color w:val="auto"/>
        </w:rPr>
      </w:pPr>
      <w:r>
        <w:rPr>
          <w:rFonts w:ascii="Arial" w:cs="Arial" w:eastAsia="Arial" w:hAnsi="Arial"/>
          <w:sz w:val="19"/>
          <w:szCs w:val="19"/>
          <w:color w:val="auto"/>
        </w:rPr>
        <w:t>(iv)</w:t>
        <w:tab/>
        <w:t>shared power to dispose or to direct the disposition of: See Item 8 of Cover Sheet.</w:t>
      </w:r>
    </w:p>
    <w:p>
      <w:pPr>
        <w:sectPr>
          <w:pgSz w:w="11900" w:h="16838" w:orient="portrait"/>
          <w:cols w:equalWidth="0" w:num="1">
            <w:col w:w="11180"/>
          </w:cols>
          <w:pgMar w:left="320" w:top="942" w:right="3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Five Percent or Less of a Class</w:t>
      </w:r>
    </w:p>
    <w:p>
      <w:pPr>
        <w:spacing w:after="0" w:line="85" w:lineRule="exact"/>
        <w:rPr>
          <w:sz w:val="20"/>
          <w:szCs w:val="20"/>
          <w:color w:val="auto"/>
        </w:rPr>
      </w:pPr>
    </w:p>
    <w:p>
      <w:pPr>
        <w:sectPr>
          <w:pgSz w:w="11900" w:h="16838" w:orient="portrait"/>
          <w:cols w:equalWidth="0" w:num="2">
            <w:col w:w="880" w:space="720"/>
            <w:col w:w="9580"/>
          </w:cols>
          <w:pgMar w:left="320" w:top="942" w:right="399" w:bottom="1440" w:gutter="0" w:footer="0" w:header="0"/>
          <w:type w:val="continuous"/>
        </w:sectPr>
      </w:pPr>
    </w:p>
    <w:p>
      <w:pPr>
        <w:ind w:left="1600" w:right="20"/>
        <w:spacing w:after="0" w:line="277"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Common Stock, check the following: </w:t>
      </w:r>
      <w:r>
        <w:rPr>
          <w:rFonts w:ascii="MS PGothic" w:cs="MS PGothic" w:eastAsia="MS PGothic" w:hAnsi="MS PGothic"/>
          <w:sz w:val="19"/>
          <w:szCs w:val="19"/>
          <w:color w:val="auto"/>
        </w:rPr>
        <w:t>☒</w:t>
      </w:r>
    </w:p>
    <w:p>
      <w:pPr>
        <w:sectPr>
          <w:pgSz w:w="11900" w:h="16838" w:orient="portrait"/>
          <w:cols w:equalWidth="0" w:num="1">
            <w:col w:w="11180"/>
          </w:cols>
          <w:pgMar w:left="320" w:top="942" w:right="399" w:bottom="1440" w:gutter="0" w:footer="0" w:header="0"/>
          <w:type w:val="continuous"/>
        </w:sect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85" w:lineRule="exact"/>
        <w:rPr>
          <w:sz w:val="20"/>
          <w:szCs w:val="20"/>
          <w:color w:val="auto"/>
        </w:rPr>
      </w:pPr>
    </w:p>
    <w:p>
      <w:pPr>
        <w:sectPr>
          <w:pgSz w:w="11900" w:h="16838" w:orient="portrait"/>
          <w:cols w:equalWidth="0" w:num="2">
            <w:col w:w="880" w:space="720"/>
            <w:col w:w="9580"/>
          </w:cols>
          <w:pgMar w:left="320" w:top="942" w:right="399" w:bottom="1440" w:gutter="0" w:footer="0" w:header="0"/>
          <w:type w:val="continuous"/>
        </w:sectPr>
      </w:pPr>
    </w:p>
    <w:p>
      <w:pPr>
        <w:ind w:left="160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180"/>
          </w:cols>
          <w:pgMar w:left="320" w:top="942" w:right="3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48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 w:lineRule="exact"/>
        <w:rPr>
          <w:sz w:val="20"/>
          <w:szCs w:val="20"/>
          <w:color w:val="auto"/>
        </w:rPr>
      </w:pPr>
    </w:p>
    <w:p>
      <w:pPr>
        <w:sectPr>
          <w:pgSz w:w="11900" w:h="16838" w:orient="portrait"/>
          <w:cols w:equalWidth="0" w:num="2">
            <w:col w:w="880" w:space="720"/>
            <w:col w:w="9580"/>
          </w:cols>
          <w:pgMar w:left="320" w:top="942" w:right="399" w:bottom="1440" w:gutter="0" w:footer="0" w:header="0"/>
          <w:type w:val="continuous"/>
        </w:sectPr>
      </w:pPr>
    </w:p>
    <w:p>
      <w:pPr>
        <w:ind w:left="160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180"/>
          </w:cols>
          <w:pgMar w:left="320" w:top="942" w:right="39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 of the Group</w:t>
      </w:r>
    </w:p>
    <w:p>
      <w:pPr>
        <w:spacing w:after="0" w:line="85" w:lineRule="exact"/>
        <w:rPr>
          <w:sz w:val="20"/>
          <w:szCs w:val="20"/>
          <w:color w:val="auto"/>
        </w:rPr>
      </w:pPr>
    </w:p>
    <w:p>
      <w:pPr>
        <w:sectPr>
          <w:pgSz w:w="11900" w:h="16838" w:orient="portrait"/>
          <w:cols w:equalWidth="0" w:num="2">
            <w:col w:w="880" w:space="720"/>
            <w:col w:w="9580"/>
          </w:cols>
          <w:pgMar w:left="320" w:top="942" w:right="399" w:bottom="1440" w:gutter="0" w:footer="0" w:header="0"/>
          <w:type w:val="continuous"/>
        </w:sectPr>
      </w:pPr>
    </w:p>
    <w:p>
      <w:pPr>
        <w:ind w:left="160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180"/>
          </w:cols>
          <w:pgMar w:left="320" w:top="942" w:right="3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85" w:lineRule="exact"/>
        <w:rPr>
          <w:sz w:val="20"/>
          <w:szCs w:val="20"/>
          <w:color w:val="auto"/>
        </w:rPr>
      </w:pPr>
    </w:p>
    <w:p>
      <w:pPr>
        <w:sectPr>
          <w:pgSz w:w="11900" w:h="16838" w:orient="portrait"/>
          <w:cols w:equalWidth="0" w:num="2">
            <w:col w:w="880" w:space="720"/>
            <w:col w:w="9580"/>
          </w:cols>
          <w:pgMar w:left="320" w:top="942" w:right="399" w:bottom="1440" w:gutter="0" w:footer="0" w:header="0"/>
          <w:type w:val="continuous"/>
        </w:sectPr>
      </w:pPr>
    </w:p>
    <w:p>
      <w:pPr>
        <w:ind w:left="160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180"/>
          </w:cols>
          <w:pgMar w:left="320" w:top="942" w:right="3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880" w:space="720"/>
            <w:col w:w="9580"/>
          </w:cols>
          <w:pgMar w:left="320" w:top="942" w:right="399" w:bottom="1440" w:gutter="0" w:footer="0" w:header="0"/>
          <w:type w:val="continuous"/>
        </w:sectPr>
      </w:pPr>
    </w:p>
    <w:p>
      <w:pPr>
        <w:spacing w:after="0" w:line="209" w:lineRule="exact"/>
        <w:rPr>
          <w:sz w:val="20"/>
          <w:szCs w:val="20"/>
          <w:color w:val="auto"/>
        </w:rPr>
      </w:pPr>
    </w:p>
    <w:p>
      <w:pPr>
        <w:ind w:firstLine="1296"/>
        <w:spacing w:after="0" w:line="256"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80"/>
          </w:cols>
          <w:pgMar w:left="320" w:top="942" w:right="39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0" w:firstLine="810"/>
        <w:spacing w:after="0" w:line="263"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42"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22"/>
          <w:szCs w:val="22"/>
          <w:color w:val="auto"/>
        </w:rPr>
        <w:t>Dated: January 27, 2023</w:t>
      </w:r>
      <w:r>
        <w:rPr>
          <w:sz w:val="20"/>
          <w:szCs w:val="20"/>
          <w:color w:val="auto"/>
        </w:rPr>
        <w:tab/>
      </w:r>
      <w:r>
        <w:rPr>
          <w:rFonts w:ascii="Arial" w:cs="Arial" w:eastAsia="Arial" w:hAnsi="Arial"/>
          <w:sz w:val="21"/>
          <w:szCs w:val="21"/>
          <w:color w:val="auto"/>
        </w:rPr>
        <w:t>ELI LILLY AND COMPANY</w:t>
      </w:r>
    </w:p>
    <w:p>
      <w:pPr>
        <w:spacing w:after="0" w:line="314" w:lineRule="exact"/>
        <w:rPr>
          <w:sz w:val="20"/>
          <w:szCs w:val="20"/>
          <w:color w:val="auto"/>
        </w:rPr>
      </w:pPr>
    </w:p>
    <w:p>
      <w:pPr>
        <w:ind w:left="6880"/>
        <w:spacing w:after="0"/>
        <w:tabs>
          <w:tab w:leader="none" w:pos="7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24130</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8"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Christopher Anderson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Attorney-in-Fact</w:t>
      </w:r>
    </w:p>
    <w:p>
      <w:pPr>
        <w:spacing w:after="0" w:line="32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Schedule 13G was executed pursuant to a power of attorney previously filed with the Securities and Exchange Commission, and hereby incorporated by reference herein. The power of attorney was filed as Exhibit 99.3 to a filing by Eli Lilly and Company on Schedule 13G for Forma Therapeutics Holdings, Inc. on February 10, 2022.</w:t>
      </w:r>
    </w:p>
    <w:sectPr>
      <w:pgSz w:w="11900" w:h="16838" w:orient="portrait"/>
      <w:cols w:equalWidth="0" w:num="1">
        <w:col w:w="11240"/>
      </w:cols>
      <w:pgMar w:left="320" w:top="1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5">
    <w:nsid w:val="41B71EF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2023-01-27T18:50:28Z</dcterms:created>
  <dcterms:modified xsi:type="dcterms:W3CDTF">2023-01-27T18:50:28Z</dcterms:modified>
</cp:coreProperties>
</file>