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9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100" w:lineRule="exact"/>
        <w:rPr>
          <w:sz w:val="24"/>
          <w:szCs w:val="24"/>
          <w:color w:val="auto"/>
        </w:rPr>
      </w:pPr>
    </w:p>
    <w:p>
      <w:pPr>
        <w:ind w:left="340" w:hanging="316"/>
        <w:spacing w:after="0"/>
        <w:tabs>
          <w:tab w:leader="none" w:pos="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130" w:lineRule="exact"/>
        <w:rPr>
          <w:rFonts w:ascii="MS PGothic" w:cs="MS PGothic" w:eastAsia="MS PGothic" w:hAnsi="MS PGothic"/>
          <w:sz w:val="18"/>
          <w:szCs w:val="18"/>
          <w:color w:val="auto"/>
        </w:rPr>
      </w:pPr>
    </w:p>
    <w:p>
      <w:pPr>
        <w:ind w:left="49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17" w:lineRule="exact"/>
        <w:rPr>
          <w:rFonts w:ascii="MS PGothic" w:cs="MS PGothic" w:eastAsia="MS PGothic" w:hAnsi="MS PGothic"/>
          <w:sz w:val="18"/>
          <w:szCs w:val="18"/>
          <w:color w:val="auto"/>
        </w:rPr>
      </w:pPr>
    </w:p>
    <w:p>
      <w:pPr>
        <w:ind w:left="300" w:right="1140" w:hanging="290"/>
        <w:spacing w:after="0" w:line="263" w:lineRule="auto"/>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jc w:val="center"/>
        <w:ind w:left="4980" w:right="740" w:hanging="4970"/>
        <w:spacing w:after="0" w:line="370" w:lineRule="auto"/>
        <w:tabs>
          <w:tab w:leader="none" w:pos="32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OR</w:t>
      </w:r>
    </w:p>
    <w:p>
      <w:pPr>
        <w:spacing w:after="0" w:line="36" w:lineRule="exact"/>
        <w:rPr>
          <w:rFonts w:ascii="MS PGothic" w:cs="MS PGothic" w:eastAsia="MS PGothic" w:hAnsi="MS PGothic"/>
          <w:sz w:val="18"/>
          <w:szCs w:val="18"/>
          <w:color w:val="auto"/>
        </w:rPr>
      </w:pPr>
    </w:p>
    <w:p>
      <w:pPr>
        <w:ind w:left="320" w:right="320" w:hanging="310"/>
        <w:spacing w:after="0" w:line="271" w:lineRule="auto"/>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Date of event requiring this shell company report</w:t>
      </w:r>
    </w:p>
    <w:p>
      <w:pPr>
        <w:spacing w:after="0" w:line="11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For the transition period from ____________ to ____________</w:t>
      </w:r>
    </w:p>
    <w:p>
      <w:pPr>
        <w:spacing w:after="0" w:line="15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Commission file number: 001-37891</w:t>
      </w:r>
    </w:p>
    <w:p>
      <w:pPr>
        <w:spacing w:after="0" w:line="10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9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(Translation of Registrant’s name into English)</w:t>
      </w:r>
    </w:p>
    <w:p>
      <w:pPr>
        <w:spacing w:after="0" w:line="9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2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(Jurisdiction of incorporation)</w:t>
      </w:r>
    </w:p>
    <w:p>
      <w:pPr>
        <w:spacing w:after="0" w:line="9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Andrea Pfeifer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+41 21 345 91 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Telephone, E-mail and/or Facsimile number and Address of Company Contact Person)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Derek J. Dostal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450-4000</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20" w:type="dxa"/>
            <w:vAlign w:val="bottom"/>
          </w:tcPr>
          <w:p>
            <w:pPr>
              <w:spacing w:after="0"/>
              <w:rPr>
                <w:sz w:val="16"/>
                <w:szCs w:val="16"/>
                <w:color w:val="auto"/>
              </w:rPr>
            </w:pPr>
          </w:p>
        </w:tc>
        <w:tc>
          <w:tcPr>
            <w:tcW w:w="3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Shares, nominal value CHF 0.02</w:t>
            </w:r>
          </w:p>
        </w:tc>
        <w:tc>
          <w:tcPr>
            <w:tcW w:w="220" w:type="dxa"/>
            <w:vAlign w:val="bottom"/>
          </w:tcPr>
          <w:p>
            <w:pPr>
              <w:spacing w:after="0"/>
              <w:rPr>
                <w:sz w:val="16"/>
                <w:szCs w:val="16"/>
                <w:color w:val="auto"/>
              </w:rPr>
            </w:pPr>
          </w:p>
        </w:tc>
        <w:tc>
          <w:tcPr>
            <w:tcW w:w="3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ACIU</w:t>
            </w:r>
          </w:p>
        </w:tc>
        <w:tc>
          <w:tcPr>
            <w:tcW w:w="200" w:type="dxa"/>
            <w:vAlign w:val="bottom"/>
          </w:tcPr>
          <w:p>
            <w:pPr>
              <w:spacing w:after="0"/>
              <w:rPr>
                <w:sz w:val="16"/>
                <w:szCs w:val="16"/>
                <w:color w:val="auto"/>
              </w:rPr>
            </w:pPr>
          </w:p>
        </w:tc>
        <w:tc>
          <w:tcPr>
            <w:tcW w:w="3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20" w:type="dxa"/>
            <w:vAlign w:val="bottom"/>
          </w:tcPr>
          <w:p>
            <w:pPr>
              <w:spacing w:after="0"/>
              <w:rPr>
                <w:sz w:val="20"/>
                <w:szCs w:val="20"/>
                <w:color w:val="auto"/>
              </w:rPr>
            </w:pPr>
          </w:p>
        </w:tc>
        <w:tc>
          <w:tcPr>
            <w:tcW w:w="3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per share</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898"/>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1"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stock or common stock as of the close of the period covered by the annual report.</w:t>
      </w:r>
    </w:p>
    <w:p>
      <w:pPr>
        <w:spacing w:after="0" w:line="6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Common shares: 99,197,829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76" w:lineRule="exact"/>
        <w:rPr>
          <w:sz w:val="20"/>
          <w:szCs w:val="20"/>
          <w:color w:val="auto"/>
        </w:rPr>
      </w:pPr>
    </w:p>
    <w:p>
      <w:pPr>
        <w:ind w:left="4840" w:hanging="206"/>
        <w:spacing w:after="0" w:line="207" w:lineRule="exact"/>
        <w:tabs>
          <w:tab w:leader="none" w:pos="48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27" w:lineRule="exact"/>
        <w:rPr>
          <w:sz w:val="20"/>
          <w:szCs w:val="20"/>
          <w:color w:val="auto"/>
        </w:rPr>
      </w:pPr>
    </w:p>
    <w:p>
      <w:pPr>
        <w:ind w:left="4840" w:hanging="206"/>
        <w:spacing w:after="0" w:line="207" w:lineRule="exact"/>
        <w:tabs>
          <w:tab w:leader="none" w:pos="48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5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4" w:lineRule="exact"/>
        <w:rPr>
          <w:sz w:val="20"/>
          <w:szCs w:val="20"/>
          <w:color w:val="auto"/>
        </w:rPr>
      </w:pPr>
    </w:p>
    <w:p>
      <w:pPr>
        <w:ind w:left="4840" w:hanging="206"/>
        <w:spacing w:after="0" w:line="207" w:lineRule="exact"/>
        <w:tabs>
          <w:tab w:leader="none" w:pos="48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4" w:lineRule="exact"/>
        <w:rPr>
          <w:sz w:val="20"/>
          <w:szCs w:val="20"/>
          <w:color w:val="auto"/>
        </w:rPr>
      </w:pPr>
    </w:p>
    <w:p>
      <w:pPr>
        <w:ind w:left="4840" w:hanging="206"/>
        <w:spacing w:after="0" w:line="207" w:lineRule="exact"/>
        <w:tabs>
          <w:tab w:leader="none" w:pos="48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0160"/>
          </w:cols>
          <w:pgMar w:left="840" w:top="513" w:right="899" w:bottom="1440" w:gutter="0" w:footer="0" w:header="0"/>
        </w:sectPr>
      </w:pPr>
    </w:p>
    <w:p>
      <w:pPr>
        <w:spacing w:after="0" w:line="5" w:lineRule="exact"/>
        <w:rPr>
          <w:sz w:val="20"/>
          <w:szCs w:val="20"/>
          <w:color w:val="auto"/>
        </w:rPr>
      </w:pPr>
    </w:p>
    <w:p>
      <w:pPr>
        <w:ind w:left="8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jc w:val="center"/>
        <w:ind w:right="560"/>
        <w:spacing w:after="0" w:line="19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70" w:lineRule="exact"/>
        <w:rPr>
          <w:sz w:val="20"/>
          <w:szCs w:val="20"/>
          <w:color w:val="auto"/>
        </w:rPr>
      </w:pPr>
    </w:p>
    <w:p>
      <w:pPr>
        <w:jc w:val="center"/>
        <w:ind w:right="5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720" w:space="720"/>
            <w:col w:w="2280" w:space="720"/>
            <w:col w:w="2720"/>
          </w:cols>
          <w:pgMar w:left="840" w:top="513" w:right="899" w:bottom="1440" w:gutter="0" w:footer="0" w:header="0"/>
          <w:type w:val="continuous"/>
        </w:sectPr>
      </w:pPr>
    </w:p>
    <w:p>
      <w:pPr>
        <w:spacing w:after="0" w:line="19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checkmark if the registrant has elected not to use the extended transition period for complying with any new or revised financial accounting standards provided pursuant to Section 13(a) of the Exchange Act.</w:t>
      </w:r>
    </w:p>
    <w:p>
      <w:pPr>
        <w:spacing w:after="0" w:line="2" w:lineRule="exact"/>
        <w:rPr>
          <w:sz w:val="20"/>
          <w:szCs w:val="20"/>
          <w:color w:val="auto"/>
        </w:rPr>
      </w:pPr>
    </w:p>
    <w:p>
      <w:pPr>
        <w:jc w:val="center"/>
        <w:ind w:right="-39"/>
        <w:spacing w:after="0" w:line="181" w:lineRule="exact"/>
        <w:rPr>
          <w:sz w:val="20"/>
          <w:szCs w:val="20"/>
          <w:color w:val="auto"/>
        </w:rPr>
      </w:pPr>
      <w:r>
        <w:rPr>
          <w:rFonts w:ascii="MS PGothic" w:cs="MS PGothic" w:eastAsia="MS PGothic" w:hAnsi="MS PGothic"/>
          <w:sz w:val="18"/>
          <w:szCs w:val="18"/>
          <w:color w:val="auto"/>
        </w:rPr>
        <w:t>☐</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7" w:lineRule="exact"/>
        <w:rPr>
          <w:sz w:val="20"/>
          <w:szCs w:val="20"/>
          <w:color w:val="auto"/>
        </w:rPr>
      </w:pPr>
    </w:p>
    <w:p>
      <w:pPr>
        <w:ind w:left="4840" w:hanging="206"/>
        <w:spacing w:after="0" w:line="207" w:lineRule="exact"/>
        <w:tabs>
          <w:tab w:leader="none" w:pos="484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 w:lineRule="exact"/>
        <w:rPr>
          <w:sz w:val="20"/>
          <w:szCs w:val="20"/>
          <w:color w:val="auto"/>
        </w:rPr>
      </w:pPr>
    </w:p>
    <w:p>
      <w:pPr>
        <w:jc w:val="center"/>
        <w:ind w:right="-39"/>
        <w:spacing w:after="0" w:line="181" w:lineRule="exact"/>
        <w:rPr>
          <w:sz w:val="20"/>
          <w:szCs w:val="20"/>
          <w:color w:val="auto"/>
        </w:rPr>
      </w:pPr>
      <w:r>
        <w:rPr>
          <w:rFonts w:ascii="MS PGothic" w:cs="MS PGothic" w:eastAsia="MS PGothic" w:hAnsi="MS PGothic"/>
          <w:sz w:val="18"/>
          <w:szCs w:val="18"/>
          <w:color w:val="auto"/>
        </w:rPr>
        <w:t>☐</w:t>
      </w:r>
    </w:p>
    <w:p>
      <w:pPr>
        <w:spacing w:after="0" w:line="185" w:lineRule="exact"/>
        <w:rPr>
          <w:sz w:val="20"/>
          <w:szCs w:val="20"/>
          <w:color w:val="auto"/>
        </w:rPr>
      </w:pPr>
    </w:p>
    <w:p>
      <w:pPr>
        <w:jc w:val="both"/>
        <w:ind w:right="720"/>
        <w:spacing w:after="0" w:line="306" w:lineRule="auto"/>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1" w:lineRule="exact"/>
        <w:rPr>
          <w:sz w:val="20"/>
          <w:szCs w:val="20"/>
          <w:color w:val="auto"/>
        </w:rPr>
      </w:pPr>
    </w:p>
    <w:p>
      <w:pPr>
        <w:jc w:val="center"/>
        <w:ind w:right="-39"/>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548640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160"/>
          </w:cols>
          <w:pgMar w:left="840" w:top="513" w:right="8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which basis of accounting the registrant has used to prepare the financial statements included in this filing:</w:t>
      </w:r>
    </w:p>
    <w:p>
      <w:pPr>
        <w:sectPr>
          <w:pgSz w:w="11900" w:h="16838" w:orient="portrait"/>
          <w:cols w:equalWidth="0" w:num="1">
            <w:col w:w="10040"/>
          </w:cols>
          <w:pgMar w:left="840" w:top="513" w:right="1019" w:bottom="1440" w:gutter="0" w:footer="0" w:header="0"/>
        </w:sectPr>
      </w:pPr>
    </w:p>
    <w:p>
      <w:pPr>
        <w:spacing w:after="0" w:line="88" w:lineRule="exact"/>
        <w:rPr>
          <w:sz w:val="20"/>
          <w:szCs w:val="20"/>
          <w:color w:val="auto"/>
        </w:rPr>
      </w:pPr>
    </w:p>
    <w:p>
      <w:pPr>
        <w:jc w:val="center"/>
        <w:ind w:left="700"/>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680"/>
        <w:spacing w:after="0" w:line="232"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721" w:lineRule="exact"/>
        <w:rPr>
          <w:sz w:val="20"/>
          <w:szCs w:val="20"/>
          <w:color w:val="auto"/>
        </w:rPr>
      </w:pPr>
    </w:p>
    <w:p>
      <w:pPr>
        <w:sectPr>
          <w:pgSz w:w="11900" w:h="16838" w:orient="portrait"/>
          <w:cols w:equalWidth="0" w:num="3">
            <w:col w:w="2760" w:space="720"/>
            <w:col w:w="4020" w:space="720"/>
            <w:col w:w="1820"/>
          </w:cols>
          <w:pgMar w:left="840" w:top="513" w:right="1019" w:bottom="1440" w:gutter="0" w:footer="0" w:header="0"/>
          <w:type w:val="continuous"/>
        </w:sect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3" w:lineRule="exact"/>
        <w:rPr>
          <w:sz w:val="20"/>
          <w:szCs w:val="20"/>
          <w:color w:val="auto"/>
        </w:rPr>
      </w:pPr>
    </w:p>
    <w:p>
      <w:pPr>
        <w:ind w:left="4520" w:hanging="200"/>
        <w:spacing w:after="0" w:line="207" w:lineRule="exact"/>
        <w:tabs>
          <w:tab w:leader="none" w:pos="452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this is an annual report, indicate by check mark whether the registrant is a shell company (as defined in Rule 12b-2 of the Exchange Act).</w:t>
      </w:r>
    </w:p>
    <w:p>
      <w:pPr>
        <w:spacing w:after="0" w:line="74" w:lineRule="exact"/>
        <w:rPr>
          <w:sz w:val="20"/>
          <w:szCs w:val="20"/>
          <w:color w:val="auto"/>
        </w:rPr>
      </w:pPr>
    </w:p>
    <w:p>
      <w:pPr>
        <w:ind w:left="5000" w:hanging="204"/>
        <w:spacing w:after="0" w:line="207" w:lineRule="exact"/>
        <w:tabs>
          <w:tab w:leader="none" w:pos="500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848995</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111760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163195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040"/>
          </w:cols>
          <w:pgMar w:left="840" w:top="513" w:right="1019"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6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bottom w:val="single" w:sz="8" w:color="0000EE"/>
            </w:tcBorders>
          </w:tcPr>
          <w:p>
            <w:pPr>
              <w:spacing w:after="0"/>
              <w:rPr>
                <w:sz w:val="16"/>
                <w:szCs w:val="16"/>
                <w:color w:val="auto"/>
              </w:rPr>
            </w:pPr>
          </w:p>
        </w:tc>
        <w:tc>
          <w:tcPr>
            <w:tcW w:w="520" w:type="dxa"/>
            <w:vAlign w:val="bottom"/>
            <w:tcBorders>
              <w:top w:val="single" w:sz="8" w:color="0000EE"/>
              <w:bottom w:val="single" w:sz="8" w:color="0000EE"/>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EE"/>
                <w:w w:val="88"/>
              </w:rPr>
              <w:t>PART I</w:t>
            </w:r>
          </w:p>
        </w:tc>
        <w:tc>
          <w:tcPr>
            <w:tcW w:w="3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6240" w:type="dxa"/>
            <w:vAlign w:val="bottom"/>
            <w:tcBorders>
              <w:bottom w:val="single" w:sz="8" w:color="0000EE"/>
            </w:tcBorders>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ITEM 1. IDENTITY OF DIRECTORS, SENIOR MANAGEMENT AND ADVISERS</w:t>
            </w:r>
          </w:p>
        </w:tc>
        <w:tc>
          <w:tcPr>
            <w:tcW w:w="1360" w:type="dxa"/>
            <w:vAlign w:val="bottom"/>
            <w:tcBorders>
              <w:bottom w:val="single" w:sz="8" w:color="CCEEFF"/>
            </w:tcBorders>
            <w:gridSpan w:val="2"/>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Directors and senior management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Advisers</w:t>
            </w:r>
          </w:p>
        </w:tc>
        <w:tc>
          <w:tcPr>
            <w:tcW w:w="6140" w:type="dxa"/>
            <w:vAlign w:val="bottom"/>
            <w:tcBorders>
              <w:bottom w:val="single" w:sz="8" w:color="CCEEFF"/>
            </w:tcBorders>
            <w:gridSpan w:val="36"/>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C.</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Auditors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6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Borders>
              <w:top w:val="single" w:sz="8" w:color="0000EE"/>
            </w:tcBorders>
          </w:tcPr>
          <w:p>
            <w:pPr>
              <w:spacing w:after="0"/>
              <w:rPr>
                <w:sz w:val="16"/>
                <w:szCs w:val="16"/>
                <w:color w:val="auto"/>
              </w:rPr>
            </w:pPr>
          </w:p>
        </w:tc>
        <w:tc>
          <w:tcPr>
            <w:tcW w:w="3840" w:type="dxa"/>
            <w:vAlign w:val="bottom"/>
            <w:tcBorders>
              <w:top w:val="single" w:sz="8" w:color="0000EE"/>
            </w:tcBorders>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Offer statistics</w:t>
            </w:r>
          </w:p>
        </w:tc>
        <w:tc>
          <w:tcPr>
            <w:tcW w:w="2940" w:type="dxa"/>
            <w:vAlign w:val="bottom"/>
            <w:tcBorders>
              <w:top w:val="single" w:sz="8" w:color="CCEEFF"/>
            </w:tcBorders>
            <w:gridSpan w:val="7"/>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0000EE"/>
            </w:tcBorders>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Method and expected timetable</w:t>
            </w:r>
          </w:p>
        </w:tc>
        <w:tc>
          <w:tcPr>
            <w:tcW w:w="4520" w:type="dxa"/>
            <w:vAlign w:val="bottom"/>
            <w:tcBorders>
              <w:bottom w:val="single" w:sz="8" w:color="CCEEFF"/>
            </w:tcBorders>
            <w:gridSpan w:val="14"/>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3. KEY INFORMATION</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[Reserved]</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C.</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EE"/>
            </w:tcBorders>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Reasons for the offer and use of proceeds</w:t>
            </w:r>
          </w:p>
        </w:tc>
        <w:tc>
          <w:tcPr>
            <w:tcW w:w="3800" w:type="dxa"/>
            <w:vAlign w:val="bottom"/>
            <w:tcBorders>
              <w:bottom w:val="single" w:sz="8" w:color="CCEEFF"/>
            </w:tcBorders>
            <w:gridSpan w:val="9"/>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4. INFORMATION ON THE COMPANY</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History and development of the company</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Business overview</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C.</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Organizational structure</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Property, plant and equipment</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Borders>
              <w:top w:val="single" w:sz="8" w:color="0000EE"/>
            </w:tcBorders>
          </w:tcPr>
          <w:p>
            <w:pPr>
              <w:spacing w:after="0"/>
              <w:rPr>
                <w:sz w:val="16"/>
                <w:szCs w:val="16"/>
                <w:color w:val="auto"/>
              </w:rPr>
            </w:pPr>
          </w:p>
        </w:tc>
        <w:tc>
          <w:tcPr>
            <w:tcW w:w="4480" w:type="dxa"/>
            <w:vAlign w:val="bottom"/>
            <w:tcBorders>
              <w:top w:val="single" w:sz="8" w:color="0000EE"/>
            </w:tcBorders>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Operating results</w:t>
            </w:r>
          </w:p>
        </w:tc>
        <w:tc>
          <w:tcPr>
            <w:tcW w:w="2300" w:type="dxa"/>
            <w:vAlign w:val="bottom"/>
            <w:tcBorders>
              <w:top w:val="single" w:sz="8" w:color="CCEEFF"/>
            </w:tcBorders>
            <w:gridSpan w:val="4"/>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0000EE"/>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4560" w:type="dxa"/>
            <w:vAlign w:val="bottom"/>
            <w:tcBorders>
              <w:bottom w:val="single" w:sz="8" w:color="CCEEFF"/>
            </w:tcBorders>
            <w:gridSpan w:val="15"/>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C.</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Research and development, patents and licenses, etc.</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Trend information</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0"/>
              </w:rPr>
              <w:t>E.</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Critical Accounting Estimates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Borders>
              <w:top w:val="single" w:sz="8" w:color="0000EE"/>
            </w:tcBorders>
          </w:tcPr>
          <w:p>
            <w:pPr>
              <w:spacing w:after="0"/>
              <w:rPr>
                <w:sz w:val="16"/>
                <w:szCs w:val="16"/>
                <w:color w:val="auto"/>
              </w:rPr>
            </w:pPr>
          </w:p>
        </w:tc>
        <w:tc>
          <w:tcPr>
            <w:tcW w:w="4440" w:type="dxa"/>
            <w:vAlign w:val="bottom"/>
            <w:tcBorders>
              <w:top w:val="single" w:sz="8" w:color="0000EE"/>
            </w:tcBorders>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Directors and senior management</w:t>
            </w:r>
          </w:p>
        </w:tc>
        <w:tc>
          <w:tcPr>
            <w:tcW w:w="2340" w:type="dxa"/>
            <w:vAlign w:val="bottom"/>
            <w:tcBorders>
              <w:top w:val="single" w:sz="8" w:color="CCEEFF"/>
            </w:tcBorders>
            <w:gridSpan w:val="5"/>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Compensation</w:t>
            </w:r>
          </w:p>
        </w:tc>
        <w:tc>
          <w:tcPr>
            <w:tcW w:w="5740" w:type="dxa"/>
            <w:vAlign w:val="bottom"/>
            <w:tcBorders>
              <w:bottom w:val="single" w:sz="8" w:color="CCEEFF"/>
            </w:tcBorders>
            <w:gridSpan w:val="32"/>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C.</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Board practices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Employees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0"/>
              </w:rPr>
              <w:t>E.</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Share ownership</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0000EE"/>
              </w:rPr>
              <w:t>F.</w:t>
            </w:r>
          </w:p>
        </w:tc>
        <w:tc>
          <w:tcPr>
            <w:tcW w:w="300" w:type="dxa"/>
            <w:vAlign w:val="bottom"/>
            <w:shd w:val="clear" w:color="auto" w:fill="CCEEFF"/>
          </w:tcPr>
          <w:p>
            <w:pPr>
              <w:spacing w:after="0"/>
              <w:rPr>
                <w:sz w:val="19"/>
                <w:szCs w:val="19"/>
                <w:color w:val="auto"/>
              </w:rPr>
            </w:pPr>
          </w:p>
        </w:tc>
        <w:tc>
          <w:tcPr>
            <w:tcW w:w="6780" w:type="dxa"/>
            <w:vAlign w:val="bottom"/>
            <w:gridSpan w:val="4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Disclosure of a registrant’s action to recover erroneously awarded compensation</w:t>
            </w:r>
          </w:p>
        </w:tc>
        <w:tc>
          <w:tcPr>
            <w:tcW w:w="12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7600" w:type="dxa"/>
            <w:vAlign w:val="bottom"/>
            <w:gridSpan w:val="46"/>
          </w:tcPr>
          <w:p>
            <w:pPr>
              <w:spacing w:after="0" w:line="183" w:lineRule="exact"/>
              <w:rPr>
                <w:sz w:val="20"/>
                <w:szCs w:val="20"/>
                <w:color w:val="auto"/>
              </w:rPr>
            </w:pPr>
            <w:r>
              <w:rPr>
                <w:rFonts w:ascii="Times New Roman" w:cs="Times New Roman" w:eastAsia="Times New Roman" w:hAnsi="Times New Roman"/>
                <w:sz w:val="18"/>
                <w:szCs w:val="18"/>
                <w:color w:val="0000EE"/>
              </w:rPr>
              <w:t>ITEM 7. MAJOR SHAREHOLDERS AND RELATED-PARTY TRANSACTIONS</w:t>
            </w:r>
          </w:p>
        </w:tc>
        <w:tc>
          <w:tcPr>
            <w:tcW w:w="128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Major shareholders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Related-party transactions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C.</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Interests of experts and counsel</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8. FINANCIAL INFORMATION</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shd w:val="clear" w:color="auto" w:fill="CCEEFF"/>
          </w:tcPr>
          <w:p>
            <w:pPr>
              <w:spacing w:after="0"/>
              <w:rPr>
                <w:sz w:val="18"/>
                <w:szCs w:val="18"/>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Consolidated statements and other financial information</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40" w:type="dxa"/>
            <w:vAlign w:val="bottom"/>
            <w:tcBorders>
              <w:top w:val="single" w:sz="8" w:color="0000EE"/>
            </w:tcBorders>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Significant changes</w:t>
            </w:r>
          </w:p>
        </w:tc>
        <w:tc>
          <w:tcPr>
            <w:tcW w:w="2740" w:type="dxa"/>
            <w:vAlign w:val="bottom"/>
            <w:tcBorders>
              <w:top w:val="single" w:sz="8" w:color="CCEEFF"/>
            </w:tcBorders>
            <w:gridSpan w:val="6"/>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2780" w:type="dxa"/>
            <w:vAlign w:val="bottom"/>
            <w:tcBorders>
              <w:bottom w:val="single" w:sz="8" w:color="0000EE"/>
            </w:tcBorders>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ITEM 9. THE OFFER AND LISTING</w:t>
            </w:r>
          </w:p>
        </w:tc>
        <w:tc>
          <w:tcPr>
            <w:tcW w:w="4820" w:type="dxa"/>
            <w:vAlign w:val="bottom"/>
            <w:tcBorders>
              <w:bottom w:val="single" w:sz="8" w:color="CCEEFF"/>
            </w:tcBorders>
            <w:gridSpan w:val="18"/>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Offering and listing details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C.</w:t>
            </w:r>
          </w:p>
        </w:tc>
        <w:tc>
          <w:tcPr>
            <w:tcW w:w="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380" w:type="dxa"/>
            <w:vAlign w:val="bottom"/>
            <w:tcBorders>
              <w:top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Markets</w:t>
            </w:r>
          </w:p>
        </w:tc>
        <w:tc>
          <w:tcPr>
            <w:tcW w:w="5400" w:type="dxa"/>
            <w:vAlign w:val="bottom"/>
            <w:tcBorders>
              <w:top w:val="single" w:sz="8" w:color="CCEEFF"/>
            </w:tcBorders>
            <w:gridSpan w:val="26"/>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shd w:val="clear" w:color="auto" w:fill="CCEEFF"/>
          </w:tcPr>
          <w:p>
            <w:pPr>
              <w:spacing w:after="0"/>
              <w:rPr>
                <w:sz w:val="18"/>
                <w:szCs w:val="18"/>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Selling shareholders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0"/>
              </w:rPr>
              <w:t>E.</w:t>
            </w:r>
          </w:p>
        </w:tc>
        <w:tc>
          <w:tcPr>
            <w:tcW w:w="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460" w:type="dxa"/>
            <w:vAlign w:val="bottom"/>
            <w:tcBorders>
              <w:top w:val="single" w:sz="8" w:color="0000EE"/>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Dilution</w:t>
            </w:r>
          </w:p>
        </w:tc>
        <w:tc>
          <w:tcPr>
            <w:tcW w:w="5320" w:type="dxa"/>
            <w:vAlign w:val="bottom"/>
            <w:tcBorders>
              <w:top w:val="single" w:sz="8" w:color="CCEEFF"/>
            </w:tcBorders>
            <w:gridSpan w:val="24"/>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Expenses of the issue</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396875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140" w:type="dxa"/>
            <w:vAlign w:val="bottom"/>
            <w:gridSpan w:val="49"/>
          </w:tcPr>
          <w:p>
            <w:pPr>
              <w:spacing w:after="0"/>
              <w:rPr>
                <w:sz w:val="20"/>
                <w:szCs w:val="20"/>
                <w:color w:val="auto"/>
              </w:rPr>
            </w:pPr>
            <w:r>
              <w:rPr>
                <w:rFonts w:ascii="Times New Roman" w:cs="Times New Roman" w:eastAsia="Times New Roman" w:hAnsi="Times New Roman"/>
                <w:sz w:val="18"/>
                <w:szCs w:val="18"/>
                <w:color w:val="0000EE"/>
              </w:rPr>
              <w:t>ITEM 10. ADDITIONAL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Share capital</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B.</w:t>
            </w:r>
          </w:p>
        </w:tc>
        <w:tc>
          <w:tcPr>
            <w:tcW w:w="340" w:type="dxa"/>
            <w:vAlign w:val="bottom"/>
            <w:gridSpan w:val="3"/>
          </w:tcPr>
          <w:p>
            <w:pPr>
              <w:spacing w:after="0"/>
              <w:rPr>
                <w:sz w:val="16"/>
                <w:szCs w:val="16"/>
                <w:color w:val="auto"/>
              </w:rPr>
            </w:pP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Memorandum and articles of association</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C.</w:t>
            </w:r>
          </w:p>
        </w:tc>
        <w:tc>
          <w:tcPr>
            <w:tcW w:w="340" w:type="dxa"/>
            <w:vAlign w:val="bottom"/>
            <w:tcBorders>
              <w:bottom w:val="single" w:sz="8" w:color="CCEEFF"/>
            </w:tcBorders>
            <w:gridSpan w:val="3"/>
            <w:shd w:val="clear" w:color="auto" w:fill="CCEEFF"/>
          </w:tcPr>
          <w:p>
            <w:pPr>
              <w:spacing w:after="0"/>
              <w:rPr>
                <w:sz w:val="18"/>
                <w:szCs w:val="18"/>
                <w:color w:val="auto"/>
              </w:rPr>
            </w:pPr>
          </w:p>
        </w:tc>
        <w:tc>
          <w:tcPr>
            <w:tcW w:w="130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Material contracts</w:t>
            </w:r>
          </w:p>
        </w:tc>
        <w:tc>
          <w:tcPr>
            <w:tcW w:w="6000" w:type="dxa"/>
            <w:vAlign w:val="bottom"/>
            <w:tcBorders>
              <w:bottom w:val="single" w:sz="8" w:color="CCEEFF"/>
            </w:tcBorders>
            <w:gridSpan w:val="28"/>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gridSpan w:val="8"/>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Exchange controls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E.</w:t>
            </w:r>
          </w:p>
        </w:tc>
        <w:tc>
          <w:tcPr>
            <w:tcW w:w="340" w:type="dxa"/>
            <w:vAlign w:val="bottom"/>
            <w:tcBorders>
              <w:bottom w:val="single" w:sz="8" w:color="CCEEFF"/>
            </w:tcBorders>
            <w:gridSpan w:val="3"/>
            <w:shd w:val="clear" w:color="auto" w:fill="CCEEFF"/>
          </w:tcPr>
          <w:p>
            <w:pPr>
              <w:spacing w:after="0"/>
              <w:rPr>
                <w:sz w:val="18"/>
                <w:szCs w:val="18"/>
                <w:color w:val="auto"/>
              </w:rPr>
            </w:pPr>
          </w:p>
        </w:tc>
        <w:tc>
          <w:tcPr>
            <w:tcW w:w="62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3"/>
              </w:rPr>
              <w:t>Taxation</w:t>
            </w:r>
          </w:p>
        </w:tc>
        <w:tc>
          <w:tcPr>
            <w:tcW w:w="6680" w:type="dxa"/>
            <w:vAlign w:val="bottom"/>
            <w:tcBorders>
              <w:bottom w:val="single" w:sz="8" w:color="CCEEFF"/>
            </w:tcBorders>
            <w:gridSpan w:val="35"/>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7"/>
          </w:tcPr>
          <w:p>
            <w:pPr>
              <w:jc w:val="center"/>
              <w:ind w:right="360"/>
              <w:spacing w:after="0" w:line="189" w:lineRule="exact"/>
              <w:rPr>
                <w:sz w:val="20"/>
                <w:szCs w:val="20"/>
                <w:color w:val="auto"/>
              </w:rPr>
            </w:pPr>
            <w:r>
              <w:rPr>
                <w:rFonts w:ascii="Times New Roman" w:cs="Times New Roman" w:eastAsia="Times New Roman" w:hAnsi="Times New Roman"/>
                <w:sz w:val="18"/>
                <w:szCs w:val="18"/>
                <w:color w:val="0000EE"/>
                <w:w w:val="96"/>
              </w:rPr>
              <w:t>F.</w:t>
            </w: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Dividends and paying agents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G.</w:t>
            </w: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Statement by experts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gridSpan w:val="8"/>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H.</w:t>
            </w: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Documents on display</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gridSpan w:val="6"/>
            <w:shd w:val="clear" w:color="auto" w:fill="CCEEFF"/>
          </w:tcPr>
          <w:p>
            <w:pPr>
              <w:jc w:val="center"/>
              <w:ind w:right="380"/>
              <w:spacing w:after="0" w:line="189" w:lineRule="exact"/>
              <w:rPr>
                <w:sz w:val="20"/>
                <w:szCs w:val="20"/>
                <w:color w:val="auto"/>
              </w:rPr>
            </w:pPr>
            <w:r>
              <w:rPr>
                <w:rFonts w:ascii="Times New Roman" w:cs="Times New Roman" w:eastAsia="Times New Roman" w:hAnsi="Times New Roman"/>
                <w:sz w:val="18"/>
                <w:szCs w:val="18"/>
                <w:color w:val="0000EE"/>
                <w:w w:val="94"/>
              </w:rPr>
              <w:t>I.</w:t>
            </w: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Subsidiary information</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7"/>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J.</w:t>
            </w: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Annual report to security holders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11. QUANTITATIVE AND QUALITATIVE DISCLOSURES ABOUT MARKET RISK</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6860" w:type="dxa"/>
            <w:vAlign w:val="bottom"/>
            <w:tcBorders>
              <w:top w:val="single" w:sz="8" w:color="0000EE"/>
            </w:tcBorders>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1260" w:type="dxa"/>
            <w:vAlign w:val="bottom"/>
            <w:tcBorders>
              <w:top w:val="single" w:sz="8" w:color="CCEEFF"/>
            </w:tcBorders>
            <w:gridSpan w:val="2"/>
          </w:tcPr>
          <w:p>
            <w:pPr>
              <w:spacing w:after="0"/>
              <w:rPr>
                <w:sz w:val="16"/>
                <w:szCs w:val="16"/>
                <w:color w:val="auto"/>
              </w:rPr>
            </w:pPr>
          </w:p>
        </w:tc>
        <w:tc>
          <w:tcPr>
            <w:tcW w:w="76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Debt securities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B.</w:t>
            </w:r>
          </w:p>
        </w:tc>
        <w:tc>
          <w:tcPr>
            <w:tcW w:w="340" w:type="dxa"/>
            <w:vAlign w:val="bottom"/>
            <w:gridSpan w:val="3"/>
          </w:tcPr>
          <w:p>
            <w:pPr>
              <w:spacing w:after="0"/>
              <w:rPr>
                <w:sz w:val="16"/>
                <w:szCs w:val="16"/>
                <w:color w:val="auto"/>
              </w:rPr>
            </w:pP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Warrants and rights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C.</w:t>
            </w:r>
          </w:p>
        </w:tc>
        <w:tc>
          <w:tcPr>
            <w:tcW w:w="340" w:type="dxa"/>
            <w:vAlign w:val="bottom"/>
            <w:gridSpan w:val="3"/>
            <w:shd w:val="clear" w:color="auto" w:fill="CCEEFF"/>
          </w:tcPr>
          <w:p>
            <w:pPr>
              <w:spacing w:after="0"/>
              <w:rPr>
                <w:sz w:val="16"/>
                <w:szCs w:val="16"/>
                <w:color w:val="auto"/>
              </w:rPr>
            </w:pP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securities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gridSpan w:val="8"/>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American depositary shares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0000EE"/>
            </w:tcBorders>
            <w:vMerge w:val="continue"/>
          </w:tcPr>
          <w:p>
            <w:pPr>
              <w:spacing w:after="0"/>
              <w:rPr>
                <w:sz w:val="18"/>
                <w:szCs w:val="18"/>
                <w:color w:val="auto"/>
              </w:rPr>
            </w:pPr>
          </w:p>
        </w:tc>
        <w:tc>
          <w:tcPr>
            <w:tcW w:w="580" w:type="dxa"/>
            <w:vAlign w:val="bottom"/>
            <w:tcBorders>
              <w:bottom w:val="single" w:sz="8" w:color="0000EE"/>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9"/>
              </w:rPr>
              <w:t>PART II</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Defaults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B.</w:t>
            </w:r>
          </w:p>
        </w:tc>
        <w:tc>
          <w:tcPr>
            <w:tcW w:w="340" w:type="dxa"/>
            <w:vAlign w:val="bottom"/>
            <w:gridSpan w:val="3"/>
          </w:tcPr>
          <w:p>
            <w:pPr>
              <w:spacing w:after="0"/>
              <w:rPr>
                <w:sz w:val="16"/>
                <w:szCs w:val="16"/>
                <w:color w:val="auto"/>
              </w:rPr>
            </w:pP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Arrears and delinquencies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14. MATERIAL MODIFICATIONS TO THE RIGHTS OF SECURITY HOLDERS AND USE OF</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3"/>
        </w:trPr>
        <w:tc>
          <w:tcPr>
            <w:tcW w:w="20" w:type="dxa"/>
            <w:vAlign w:val="bottom"/>
            <w:tcBorders>
              <w:top w:val="single" w:sz="8" w:color="0000EE"/>
              <w:bottom w:val="single" w:sz="8" w:color="0000EE"/>
            </w:tcBorders>
          </w:tcPr>
          <w:p>
            <w:pPr>
              <w:spacing w:after="0"/>
              <w:rPr>
                <w:sz w:val="21"/>
                <w:szCs w:val="21"/>
                <w:color w:val="auto"/>
              </w:rPr>
            </w:pPr>
          </w:p>
        </w:tc>
        <w:tc>
          <w:tcPr>
            <w:tcW w:w="900" w:type="dxa"/>
            <w:vAlign w:val="bottom"/>
            <w:tcBorders>
              <w:top w:val="single" w:sz="8" w:color="0000EE"/>
              <w:bottom w:val="single" w:sz="8" w:color="0000EE"/>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PROCEEDS</w:t>
            </w:r>
          </w:p>
        </w:tc>
        <w:tc>
          <w:tcPr>
            <w:tcW w:w="6720" w:type="dxa"/>
            <w:vAlign w:val="bottom"/>
            <w:tcBorders>
              <w:top w:val="single" w:sz="8" w:color="0000EE"/>
              <w:bottom w:val="single" w:sz="8" w:color="CCEEFF"/>
            </w:tcBorders>
            <w:gridSpan w:val="37"/>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20" w:type="dxa"/>
            <w:vAlign w:val="bottom"/>
            <w:gridSpan w:val="48"/>
          </w:tcPr>
          <w:p>
            <w:pPr>
              <w:spacing w:after="0" w:line="17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Disclosure controls and procedures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B.</w:t>
            </w:r>
          </w:p>
        </w:tc>
        <w:tc>
          <w:tcPr>
            <w:tcW w:w="340" w:type="dxa"/>
            <w:vAlign w:val="bottom"/>
            <w:gridSpan w:val="3"/>
          </w:tcPr>
          <w:p>
            <w:pPr>
              <w:spacing w:after="0"/>
              <w:rPr>
                <w:sz w:val="16"/>
                <w:szCs w:val="16"/>
                <w:color w:val="auto"/>
              </w:rPr>
            </w:pP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Management’s Annual Report on internal control over financial reporting</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C.</w:t>
            </w:r>
          </w:p>
        </w:tc>
        <w:tc>
          <w:tcPr>
            <w:tcW w:w="340" w:type="dxa"/>
            <w:vAlign w:val="bottom"/>
            <w:tcBorders>
              <w:bottom w:val="single" w:sz="8" w:color="CCEEFF"/>
            </w:tcBorders>
            <w:gridSpan w:val="3"/>
            <w:shd w:val="clear" w:color="auto" w:fill="CCEEFF"/>
          </w:tcPr>
          <w:p>
            <w:pPr>
              <w:spacing w:after="0"/>
              <w:rPr>
                <w:sz w:val="18"/>
                <w:szCs w:val="18"/>
                <w:color w:val="auto"/>
              </w:rPr>
            </w:pPr>
          </w:p>
        </w:tc>
        <w:tc>
          <w:tcPr>
            <w:tcW w:w="4160" w:type="dxa"/>
            <w:vAlign w:val="bottom"/>
            <w:tcBorders>
              <w:bottom w:val="single" w:sz="8" w:color="0000EE"/>
            </w:tcBorders>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Attestation report of the registered public accounting firm</w:t>
            </w:r>
          </w:p>
        </w:tc>
        <w:tc>
          <w:tcPr>
            <w:tcW w:w="3140" w:type="dxa"/>
            <w:vAlign w:val="bottom"/>
            <w:tcBorders>
              <w:bottom w:val="single" w:sz="8" w:color="CCEEFF"/>
            </w:tcBorders>
            <w:gridSpan w:val="8"/>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gridSpan w:val="8"/>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Changes in internal control over financial reporting</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16. [RESERVED]</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1920" w:type="dxa"/>
            <w:vAlign w:val="bottom"/>
            <w:tcBorders>
              <w:bottom w:val="single" w:sz="8" w:color="0000EE"/>
            </w:tcBorders>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ITEM 16B. Code of Ethics</w:t>
            </w:r>
          </w:p>
        </w:tc>
        <w:tc>
          <w:tcPr>
            <w:tcW w:w="6200" w:type="dxa"/>
            <w:vAlign w:val="bottom"/>
            <w:tcBorders>
              <w:bottom w:val="single" w:sz="8" w:color="CCEEFF"/>
            </w:tcBorders>
            <w:gridSpan w:val="30"/>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5140" w:type="dxa"/>
            <w:vAlign w:val="bottom"/>
            <w:tcBorders>
              <w:bottom w:val="single" w:sz="8" w:color="0000EE"/>
            </w:tcBorders>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ITEM 16D. Exemptions from the listing standards for audit committees</w:t>
            </w:r>
          </w:p>
        </w:tc>
        <w:tc>
          <w:tcPr>
            <w:tcW w:w="2980" w:type="dxa"/>
            <w:vAlign w:val="bottom"/>
            <w:tcBorders>
              <w:bottom w:val="single" w:sz="8" w:color="CCEEFF"/>
            </w:tcBorders>
            <w:gridSpan w:val="7"/>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16F. Change in registrant’s certifying accountant</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3960" w:type="dxa"/>
            <w:vAlign w:val="bottom"/>
            <w:tcBorders>
              <w:top w:val="single" w:sz="8" w:color="0000EE"/>
            </w:tcBorders>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4160" w:type="dxa"/>
            <w:vAlign w:val="bottom"/>
            <w:tcBorders>
              <w:top w:val="single" w:sz="8" w:color="CCEEFF"/>
            </w:tcBorders>
            <w:gridSpan w:val="10"/>
          </w:tcPr>
          <w:p>
            <w:pPr>
              <w:spacing w:after="0"/>
              <w:rPr>
                <w:sz w:val="16"/>
                <w:szCs w:val="16"/>
                <w:color w:val="auto"/>
              </w:rPr>
            </w:pPr>
          </w:p>
        </w:tc>
        <w:tc>
          <w:tcPr>
            <w:tcW w:w="76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16H. Mine safety disclosure</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2460" w:type="dxa"/>
            <w:vAlign w:val="bottom"/>
            <w:tcBorders>
              <w:bottom w:val="single" w:sz="8" w:color="0000EE"/>
            </w:tcBorders>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ITEM 16J. Insider trading policies</w:t>
            </w:r>
          </w:p>
        </w:tc>
        <w:tc>
          <w:tcPr>
            <w:tcW w:w="5660" w:type="dxa"/>
            <w:vAlign w:val="bottom"/>
            <w:tcBorders>
              <w:bottom w:val="single" w:sz="8" w:color="CCEEFF"/>
            </w:tcBorders>
            <w:gridSpan w:val="22"/>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16K. Cybersecurity</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64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0"/>
              </w:rPr>
              <w:t>PART III</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17. Financial statements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18. Financial statements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bottom w:val="single" w:sz="8" w:color="0000EE"/>
            </w:tcBorders>
          </w:tcPr>
          <w:p>
            <w:pPr>
              <w:spacing w:after="0"/>
              <w:rPr>
                <w:sz w:val="16"/>
                <w:szCs w:val="16"/>
                <w:color w:val="auto"/>
              </w:rPr>
            </w:pPr>
          </w:p>
        </w:tc>
        <w:tc>
          <w:tcPr>
            <w:tcW w:w="1340" w:type="dxa"/>
            <w:vAlign w:val="bottom"/>
            <w:tcBorders>
              <w:top w:val="single" w:sz="8" w:color="0000EE"/>
              <w:bottom w:val="single" w:sz="8" w:color="0000EE"/>
            </w:tcBorders>
            <w:gridSpan w:val="11"/>
          </w:tcPr>
          <w:p>
            <w:pPr>
              <w:spacing w:after="0" w:line="189" w:lineRule="exact"/>
              <w:rPr>
                <w:sz w:val="20"/>
                <w:szCs w:val="20"/>
                <w:color w:val="auto"/>
              </w:rPr>
            </w:pPr>
            <w:r>
              <w:rPr>
                <w:rFonts w:ascii="Times New Roman" w:cs="Times New Roman" w:eastAsia="Times New Roman" w:hAnsi="Times New Roman"/>
                <w:sz w:val="18"/>
                <w:szCs w:val="18"/>
                <w:color w:val="0000EE"/>
                <w:w w:val="97"/>
              </w:rPr>
              <w:t>ITEM 19. Exhibits</w:t>
            </w:r>
          </w:p>
        </w:tc>
        <w:tc>
          <w:tcPr>
            <w:tcW w:w="860" w:type="dxa"/>
            <w:vAlign w:val="bottom"/>
            <w:tcBorders>
              <w:top w:val="single" w:sz="8" w:color="0000EE"/>
            </w:tcBorders>
            <w:gridSpan w:val="11"/>
          </w:tcPr>
          <w:p>
            <w:pPr>
              <w:spacing w:after="0"/>
              <w:rPr>
                <w:sz w:val="16"/>
                <w:szCs w:val="16"/>
                <w:color w:val="auto"/>
              </w:rPr>
            </w:pPr>
          </w:p>
        </w:tc>
        <w:tc>
          <w:tcPr>
            <w:tcW w:w="5920" w:type="dxa"/>
            <w:vAlign w:val="bottom"/>
            <w:tcBorders>
              <w:top w:val="single" w:sz="8" w:color="CCEEFF"/>
            </w:tcBorders>
            <w:gridSpan w:val="26"/>
          </w:tcPr>
          <w:p>
            <w:pPr>
              <w:spacing w:after="0"/>
              <w:rPr>
                <w:sz w:val="16"/>
                <w:szCs w:val="16"/>
                <w:color w:val="auto"/>
              </w:rPr>
            </w:pPr>
          </w:p>
        </w:tc>
        <w:tc>
          <w:tcPr>
            <w:tcW w:w="76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ind w:left="60" w:right="79" w:firstLine="324"/>
        <w:spacing w:after="0" w:line="230"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annual report on Form 20-F (the “Annual Report”) to “AC Immune,” “ACIU,” “Company,” “we,” “our,” “ours,” “us” or similar terms refer to AC Immune SA together with its subsidiary. The Company owns various registered and unregistered trademarks, for some of which protection has been obtained or is being sought, including Morphomer™, SupraAntigen</w:t>
      </w:r>
      <w:r>
        <w:rPr>
          <w:rFonts w:ascii="Times New Roman" w:cs="Times New Roman" w:eastAsia="Times New Roman" w:hAnsi="Times New Roman"/>
          <w:sz w:val="26"/>
          <w:szCs w:val="26"/>
          <w:color w:val="222222"/>
          <w:vertAlign w:val="superscript"/>
        </w:rPr>
        <w:t>®</w:t>
      </w:r>
      <w:r>
        <w:rPr>
          <w:rFonts w:ascii="Times New Roman" w:cs="Times New Roman" w:eastAsia="Times New Roman" w:hAnsi="Times New Roman"/>
          <w:sz w:val="18"/>
          <w:szCs w:val="18"/>
          <w:color w:val="auto"/>
        </w:rPr>
        <w:t xml:space="preserve"> and its corporate name, logo and Nasdaq Global Market symbol. All other trademarks, trade names and service marks of other companies appearing in this Annual Report are the property of their respective owners. Solely for convenience, the trademarks and trade names in this Annual Report may be referred to without the respective </w:t>
      </w:r>
      <w:r>
        <w:rPr>
          <w:rFonts w:ascii="Times New Roman" w:cs="Times New Roman" w:eastAsia="Times New Roman" w:hAnsi="Times New Roman"/>
          <w:sz w:val="26"/>
          <w:szCs w:val="26"/>
          <w:color w:val="222222"/>
          <w:vertAlign w:val="superscript"/>
        </w:rPr>
        <w:t>®</w:t>
      </w:r>
      <w:r>
        <w:rPr>
          <w:rFonts w:ascii="Times New Roman" w:cs="Times New Roman" w:eastAsia="Times New Roman" w:hAnsi="Times New Roman"/>
          <w:sz w:val="18"/>
          <w:szCs w:val="18"/>
          <w:color w:val="auto"/>
        </w:rPr>
        <w:t xml:space="preserve"> and ™ symbols, but such references should not be construed as any indicator that their respective owners will not assert, to the fullest extent under applicable law, their rights thereto. The Company does not intend to use or display other companies’ trademarks and/or trade names to imply a relationship with, or endorsement or sponsorship of the Company by, any other companies.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presented in Swiss Francs and in accordance with International Financial Reporting Standards (IFRS) Accounting Standards, as issued by the International Accounting Standards Board (IASB). None of the consolidated financial statements was prepared in accordance with generally accepted accounting principles in the United States (U.S.). The terms “dollar” and “USD” refer to U.S. dollars, and the terms “Swiss Franc” and “CHF” refer to the legal currency of Switzerland, unless otherwise indicated. We have made rounding adjustments to some of the figures included in this Annual Report. Accordingly, any numerical discrepancies in any table between totals and sums of the amounts listed are due to rounding.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product candidates, product pipeline, ongoing and planned clinical studies, including those of our collaboration partners, regulatory approvals, research and development (R&amp;D) costs, timing and likelihood of success, as well as plans and objectives of management for future operations, are forward-looking statements. Many of the forward-looking statements contained in this Annual Report can be identified by the use of forward-looking words such as “anticipate,” “believe,” “could,” “expect,” “should,” “plan,” “intend,” “estimate,” “will” and “potential,” among others.</w:t>
      </w:r>
    </w:p>
    <w:p>
      <w:pPr>
        <w:spacing w:after="0" w:line="192"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“Item 3. Key information—D. Risk factors” in this Annual Report. These risks and uncertainties include multiple factors:</w:t>
      </w:r>
    </w:p>
    <w:p>
      <w:pPr>
        <w:spacing w:after="0" w:line="203" w:lineRule="exact"/>
        <w:rPr>
          <w:sz w:val="20"/>
          <w:szCs w:val="20"/>
          <w:color w:val="auto"/>
        </w:rPr>
      </w:pPr>
    </w:p>
    <w:p>
      <w:pPr>
        <w:ind w:left="720" w:right="139" w:hanging="319"/>
        <w:spacing w:after="0" w:line="26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our collaboration partners’ clinical studies, and our and their ability to obtain and maintain regulatory approval and to commercialize our active immunotherapies (ACI-35.030, ACI-24.060 and ACI-</w:t>
      </w:r>
    </w:p>
    <w:p>
      <w:pPr>
        <w:spacing w:after="0" w:line="1" w:lineRule="exact"/>
        <w:rPr>
          <w:rFonts w:ascii="Times New Roman" w:cs="Times New Roman" w:eastAsia="Times New Roman" w:hAnsi="Times New Roman"/>
          <w:sz w:val="18"/>
          <w:szCs w:val="18"/>
          <w:color w:val="auto"/>
        </w:rPr>
      </w:pPr>
    </w:p>
    <w:p>
      <w:pPr>
        <w:ind w:left="720" w:right="179"/>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7104.056), monoclonal antibodies (semorinemab and crenezumab) and diagnostics (Tau-PET tracer PI-2620 and a-syn-PET tracer ACI-12589) and to a lesser extent our preclinical candidates;</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and clinical safety, efficacy and utility of our product candidates;</w:t>
      </w:r>
    </w:p>
    <w:p>
      <w:pPr>
        <w:spacing w:after="0" w:line="225" w:lineRule="exact"/>
        <w:rPr>
          <w:rFonts w:ascii="Times New Roman" w:cs="Times New Roman" w:eastAsia="Times New Roman" w:hAnsi="Times New Roman"/>
          <w:sz w:val="18"/>
          <w:szCs w:val="18"/>
          <w:color w:val="auto"/>
        </w:rPr>
      </w:pPr>
    </w:p>
    <w:p>
      <w:pPr>
        <w:ind w:left="720" w:right="81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discover, develop or commercialize competing products before or more successfully than we do;</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serious adverse, undesirable or unacceptable side effects related to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strategic relationships with our collaboration partners;</w:t>
      </w:r>
    </w:p>
    <w:p>
      <w:pPr>
        <w:spacing w:after="0" w:line="225"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and not infringe on third parties’, intellectual property rights throughout the world;</w:t>
      </w:r>
    </w:p>
    <w:p>
      <w:pPr>
        <w:spacing w:after="0" w:line="161" w:lineRule="exact"/>
        <w:rPr>
          <w:rFonts w:ascii="Times New Roman" w:cs="Times New Roman" w:eastAsia="Times New Roman" w:hAnsi="Times New Roman"/>
          <w:sz w:val="18"/>
          <w:szCs w:val="18"/>
          <w:color w:val="auto"/>
        </w:rPr>
      </w:pPr>
    </w:p>
    <w:p>
      <w:pPr>
        <w:ind w:left="720" w:right="123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in order to continue our product development programs or commercialization efforts;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720" w:right="179" w:hanging="319"/>
        <w:spacing w:after="0" w:line="312" w:lineRule="auto"/>
        <w:tabs>
          <w:tab w:leader="none" w:pos="7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39" w:lineRule="exact"/>
        <w:rPr>
          <w:rFonts w:ascii="Times New Roman" w:cs="Times New Roman" w:eastAsia="Times New Roman" w:hAnsi="Times New Roman"/>
          <w:sz w:val="17"/>
          <w:szCs w:val="17"/>
          <w:color w:val="auto"/>
        </w:rPr>
      </w:pPr>
    </w:p>
    <w:p>
      <w:pPr>
        <w:ind w:left="720" w:right="45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(FPI) status, the loss of which would require us to comply with the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Switzerland, the laws of which govern our corporate affairs and may differ from those applicable to companies incorporated in the U.S.;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under “Item 3. Key information—D. Risk factors.”</w:t>
      </w:r>
    </w:p>
    <w:p>
      <w:pPr>
        <w:spacing w:after="0" w:line="22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applicable only as of the date of this Annual Report, and are subject to a number of risks, uncertainties and assumptions described under the sections in this Annual Report entitled “Item 3. Key information—D. Risk factors” and “Item 5. Operating and financial review and prospects,”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5" w:lineRule="exact"/>
        <w:rPr>
          <w:sz w:val="20"/>
          <w:szCs w:val="20"/>
          <w:color w:val="auto"/>
        </w:rPr>
      </w:pPr>
    </w:p>
    <w:p>
      <w:pPr>
        <w:ind w:left="380" w:right="6039" w:hanging="330"/>
        <w:spacing w:after="0" w:line="500" w:lineRule="auto"/>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Directors and senior management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Advisers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Auditors</w:t>
      </w:r>
    </w:p>
    <w:p>
      <w:pPr>
        <w:spacing w:after="0" w:line="215"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5" w:lineRule="exact"/>
        <w:rPr>
          <w:sz w:val="20"/>
          <w:szCs w:val="20"/>
          <w:color w:val="auto"/>
        </w:rPr>
      </w:pPr>
    </w:p>
    <w:p>
      <w:pPr>
        <w:jc w:val="both"/>
        <w:ind w:left="380" w:right="7519" w:hanging="330"/>
        <w:spacing w:after="0" w:line="530" w:lineRule="auto"/>
        <w:tabs>
          <w:tab w:leader="none" w:pos="38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Offer statistics </w:t>
      </w:r>
      <w:r>
        <w:rPr>
          <w:rFonts w:ascii="Times New Roman" w:cs="Times New Roman" w:eastAsia="Times New Roman" w:hAnsi="Times New Roman"/>
          <w:sz w:val="17"/>
          <w:szCs w:val="17"/>
          <w:color w:val="auto"/>
        </w:rPr>
        <w:t>Not applicable.</w:t>
      </w:r>
    </w:p>
    <w:p>
      <w:pPr>
        <w:ind w:left="380" w:right="6239" w:hanging="330"/>
        <w:spacing w:after="0" w:line="500" w:lineRule="auto"/>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Method and expected timetable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12"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80" w:right="6179" w:hanging="330"/>
        <w:spacing w:after="0" w:line="500" w:lineRule="auto"/>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right="5499" w:hanging="330"/>
        <w:spacing w:after="0" w:line="500" w:lineRule="auto"/>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Annual</w:t>
      </w:r>
    </w:p>
    <w:p>
      <w:pPr>
        <w:spacing w:after="0" w:line="29" w:lineRule="exact"/>
        <w:rPr>
          <w:sz w:val="20"/>
          <w:szCs w:val="20"/>
          <w:color w:val="auto"/>
        </w:rPr>
      </w:pPr>
    </w:p>
    <w:p>
      <w:pPr>
        <w:ind w:left="60" w:right="59"/>
        <w:spacing w:after="0" w:line="249" w:lineRule="auto"/>
        <w:rPr>
          <w:sz w:val="20"/>
          <w:szCs w:val="20"/>
          <w:color w:val="auto"/>
        </w:rPr>
      </w:pPr>
      <w:r>
        <w:rPr>
          <w:rFonts w:ascii="Times New Roman" w:cs="Times New Roman" w:eastAsia="Times New Roman" w:hAnsi="Times New Roman"/>
          <w:sz w:val="18"/>
          <w:szCs w:val="18"/>
          <w:i w:val="1"/>
          <w:iCs w:val="1"/>
          <w:color w:val="auto"/>
        </w:rPr>
        <w:t>Report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Annual Report also contains forward-looking statements that involve risks and uncertainties. See “Forward-Looking Statements.” Our actual results could differ materially and adversely from those anticipated in these forward-looking statements as a result of certain factors.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below provides a summary of our principal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depend heavily on the success of our clinical and, to a lesser extent, preclinical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139" w:hanging="331"/>
        <w:spacing w:after="0" w:line="266" w:lineRule="auto"/>
        <w:tabs>
          <w:tab w:leader="none" w:pos="1380" w:val="left"/>
        </w:tabs>
        <w:numPr>
          <w:ilvl w:val="1"/>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Our ability to generate product revenues, which we do not expect to occur for several years, will depend on clinical and regulatory success which have low probabilities of success in the central nervous system (CNS) space in which we operate.</w:t>
      </w:r>
    </w:p>
    <w:p>
      <w:pPr>
        <w:spacing w:after="0" w:line="175" w:lineRule="exact"/>
        <w:rPr>
          <w:rFonts w:ascii="Times New Roman" w:cs="Times New Roman" w:eastAsia="Times New Roman" w:hAnsi="Times New Roman"/>
          <w:sz w:val="18"/>
          <w:szCs w:val="18"/>
          <w:color w:val="222222"/>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Results of early preclinical and clinical studies may not be predictive of future results:</w:t>
      </w:r>
    </w:p>
    <w:p>
      <w:pPr>
        <w:spacing w:after="0" w:line="225" w:lineRule="exact"/>
        <w:rPr>
          <w:rFonts w:ascii="Times New Roman" w:cs="Times New Roman" w:eastAsia="Times New Roman" w:hAnsi="Times New Roman"/>
          <w:sz w:val="18"/>
          <w:szCs w:val="18"/>
          <w:color w:val="222222"/>
        </w:rPr>
      </w:pPr>
    </w:p>
    <w:p>
      <w:pPr>
        <w:ind w:left="1380" w:right="219" w:hanging="331"/>
        <w:spacing w:after="0" w:line="282" w:lineRule="auto"/>
        <w:tabs>
          <w:tab w:leader="none" w:pos="1380" w:val="left"/>
        </w:tabs>
        <w:numPr>
          <w:ilvl w:val="1"/>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Products that show positive or timely preclinical or early clinical results may not show sufficient safety or efficacy in later-stage clinical studies and therefore may fail to obtain regulatory approvals.</w:t>
      </w:r>
    </w:p>
    <w:p>
      <w:pPr>
        <w:spacing w:after="0" w:line="161" w:lineRule="exact"/>
        <w:rPr>
          <w:rFonts w:ascii="Times New Roman" w:cs="Times New Roman" w:eastAsia="Times New Roman" w:hAnsi="Times New Roman"/>
          <w:sz w:val="18"/>
          <w:szCs w:val="18"/>
          <w:color w:val="222222"/>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not gain market acceptance or may be preempted by competitors:</w:t>
      </w:r>
    </w:p>
    <w:p>
      <w:pPr>
        <w:spacing w:after="0" w:line="225" w:lineRule="exact"/>
        <w:rPr>
          <w:rFonts w:ascii="Times New Roman" w:cs="Times New Roman" w:eastAsia="Times New Roman" w:hAnsi="Times New Roman"/>
          <w:sz w:val="18"/>
          <w:szCs w:val="18"/>
          <w:color w:val="auto"/>
        </w:rPr>
      </w:pPr>
    </w:p>
    <w:p>
      <w:pPr>
        <w:ind w:left="1380" w:right="519" w:hanging="331"/>
        <w:spacing w:after="0" w:line="282" w:lineRule="auto"/>
        <w:tabs>
          <w:tab w:leader="none" w:pos="1380" w:val="left"/>
        </w:tabs>
        <w:numPr>
          <w:ilvl w:val="1"/>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Even if our products obtain regulatory approval, they may not be accepted by healthcare providers, patients or the medical community.</w:t>
      </w:r>
    </w:p>
    <w:p>
      <w:pPr>
        <w:spacing w:after="0" w:line="161" w:lineRule="exact"/>
        <w:rPr>
          <w:rFonts w:ascii="Times New Roman" w:cs="Times New Roman" w:eastAsia="Times New Roman" w:hAnsi="Times New Roman"/>
          <w:sz w:val="18"/>
          <w:szCs w:val="18"/>
          <w:color w:val="222222"/>
        </w:rPr>
      </w:pPr>
    </w:p>
    <w:p>
      <w:pPr>
        <w:ind w:left="1380" w:right="119" w:hanging="331"/>
        <w:spacing w:after="0" w:line="261" w:lineRule="auto"/>
        <w:tabs>
          <w:tab w:leader="none" w:pos="1380" w:val="left"/>
        </w:tabs>
        <w:numPr>
          <w:ilvl w:val="1"/>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Our success is dependent on the ability to discover, develop and obtain marketing approval for our products. We face and will continue to face intense competition from a variety of businesses, including large fully integrated biopharmaceutical and pharmaceutical companies and others that may have greater financial, technical and human resources.</w:t>
      </w:r>
    </w:p>
    <w:p>
      <w:pPr>
        <w:spacing w:after="0" w:line="166" w:lineRule="exact"/>
        <w:rPr>
          <w:rFonts w:ascii="Times New Roman" w:cs="Times New Roman" w:eastAsia="Times New Roman" w:hAnsi="Times New Roman"/>
          <w:sz w:val="18"/>
          <w:szCs w:val="18"/>
          <w:color w:val="222222"/>
        </w:rPr>
      </w:pPr>
    </w:p>
    <w:p>
      <w:pPr>
        <w:ind w:left="1380" w:hanging="331"/>
        <w:spacing w:after="0"/>
        <w:tabs>
          <w:tab w:leader="none" w:pos="1380" w:val="left"/>
        </w:tabs>
        <w:numPr>
          <w:ilvl w:val="1"/>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A competitor may enter with a generic of an approved innovator product.</w:t>
      </w:r>
    </w:p>
    <w:p>
      <w:pPr>
        <w:spacing w:after="0" w:line="225" w:lineRule="exact"/>
        <w:rPr>
          <w:rFonts w:ascii="Times New Roman" w:cs="Times New Roman" w:eastAsia="Times New Roman" w:hAnsi="Times New Roman"/>
          <w:sz w:val="18"/>
          <w:szCs w:val="18"/>
          <w:color w:val="222222"/>
        </w:rPr>
      </w:pPr>
    </w:p>
    <w:p>
      <w:pPr>
        <w:ind w:left="720" w:right="479" w:hanging="319"/>
        <w:spacing w:after="0" w:line="282" w:lineRule="auto"/>
        <w:tabs>
          <w:tab w:leader="none" w:pos="720" w:val="left"/>
        </w:tabs>
        <w:numPr>
          <w:ilvl w:val="0"/>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may not be successful in using and expanding our Morphomer and SupraAntigen proprietary technology platforms.</w:t>
      </w:r>
    </w:p>
    <w:p>
      <w:pPr>
        <w:spacing w:after="0" w:line="161" w:lineRule="exact"/>
        <w:rPr>
          <w:rFonts w:ascii="Times New Roman" w:cs="Times New Roman" w:eastAsia="Times New Roman" w:hAnsi="Times New Roman"/>
          <w:sz w:val="18"/>
          <w:szCs w:val="18"/>
          <w:color w:val="222222"/>
        </w:rPr>
      </w:pPr>
    </w:p>
    <w:p>
      <w:pPr>
        <w:ind w:left="720" w:right="659" w:hanging="319"/>
        <w:spacing w:after="0" w:line="282" w:lineRule="auto"/>
        <w:tabs>
          <w:tab w:leader="none" w:pos="720" w:val="left"/>
        </w:tabs>
        <w:numPr>
          <w:ilvl w:val="0"/>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operate in highly competitive and rapidly changing industries, which may result in others discovering, developing or commercializing competing products before or more successfully than we do.</w:t>
      </w:r>
    </w:p>
    <w:p>
      <w:pPr>
        <w:spacing w:after="0" w:line="161" w:lineRule="exact"/>
        <w:rPr>
          <w:rFonts w:ascii="Times New Roman" w:cs="Times New Roman" w:eastAsia="Times New Roman" w:hAnsi="Times New Roman"/>
          <w:sz w:val="18"/>
          <w:szCs w:val="18"/>
          <w:color w:val="222222"/>
        </w:rPr>
      </w:pPr>
    </w:p>
    <w:p>
      <w:pPr>
        <w:ind w:left="720" w:right="639" w:hanging="319"/>
        <w:spacing w:after="0" w:line="282" w:lineRule="auto"/>
        <w:tabs>
          <w:tab w:leader="none" w:pos="720" w:val="left"/>
        </w:tabs>
        <w:numPr>
          <w:ilvl w:val="0"/>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Our future growth and ability to compete depends on retaining our key personnel and recruiting additional qualified personnel including members of our Executive Committee.</w:t>
      </w:r>
    </w:p>
    <w:p>
      <w:pPr>
        <w:spacing w:after="0" w:line="161" w:lineRule="exact"/>
        <w:rPr>
          <w:rFonts w:ascii="Times New Roman" w:cs="Times New Roman" w:eastAsia="Times New Roman" w:hAnsi="Times New Roman"/>
          <w:sz w:val="18"/>
          <w:szCs w:val="18"/>
          <w:color w:val="222222"/>
        </w:rPr>
      </w:pPr>
    </w:p>
    <w:p>
      <w:pPr>
        <w:ind w:left="720" w:right="419" w:hanging="319"/>
        <w:spacing w:after="0" w:line="266" w:lineRule="auto"/>
        <w:tabs>
          <w:tab w:leader="none" w:pos="720" w:val="left"/>
        </w:tabs>
        <w:numPr>
          <w:ilvl w:val="0"/>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 breakdown or breach of our information technology systems and cybersecurity efforts, or those of our key business partners, contract research organizations (CROs) or service providers, could subject us to liability or reputational damage or interrupt the operation of our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9" w:lineRule="exact"/>
        <w:rPr>
          <w:sz w:val="20"/>
          <w:szCs w:val="20"/>
          <w:color w:val="auto"/>
        </w:rPr>
      </w:pPr>
    </w:p>
    <w:p>
      <w:pPr>
        <w:ind w:left="720" w:right="299" w:hanging="319"/>
        <w:spacing w:after="0" w:line="312" w:lineRule="auto"/>
        <w:tabs>
          <w:tab w:leader="none" w:pos="720" w:val="left"/>
        </w:tabs>
        <w:numPr>
          <w:ilvl w:val="0"/>
          <w:numId w:val="17"/>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If we fail to maintain, or realize the benefits from, our current strategic relationships with our current and potential future license and collaboration partners our financial condition may be materially adversely affected.</w:t>
      </w:r>
    </w:p>
    <w:p>
      <w:pPr>
        <w:spacing w:after="0" w:line="139" w:lineRule="exact"/>
        <w:rPr>
          <w:rFonts w:ascii="Times New Roman" w:cs="Times New Roman" w:eastAsia="Times New Roman" w:hAnsi="Times New Roman"/>
          <w:sz w:val="17"/>
          <w:szCs w:val="17"/>
          <w:color w:val="222222"/>
        </w:rPr>
      </w:pPr>
    </w:p>
    <w:p>
      <w:pPr>
        <w:ind w:left="720" w:right="199" w:hanging="319"/>
        <w:spacing w:after="0" w:line="266" w:lineRule="auto"/>
        <w:tabs>
          <w:tab w:leader="none" w:pos="720" w:val="left"/>
        </w:tabs>
        <w:numPr>
          <w:ilvl w:val="0"/>
          <w:numId w:val="1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75" w:lineRule="exact"/>
        <w:rPr>
          <w:rFonts w:ascii="Times New Roman" w:cs="Times New Roman" w:eastAsia="Times New Roman" w:hAnsi="Times New Roman"/>
          <w:sz w:val="18"/>
          <w:szCs w:val="18"/>
          <w:color w:val="222222"/>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Our collaboration agreements may make us an attractive acquisition target under certain circumstances.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9" w:lineRule="exact"/>
        <w:rPr>
          <w:sz w:val="20"/>
          <w:szCs w:val="20"/>
          <w:color w:val="auto"/>
        </w:rPr>
      </w:pPr>
    </w:p>
    <w:p>
      <w:pPr>
        <w:ind w:left="720" w:right="419" w:hanging="319"/>
        <w:spacing w:after="0" w:line="282" w:lineRule="auto"/>
        <w:tabs>
          <w:tab w:leader="none" w:pos="720" w:val="left"/>
        </w:tabs>
        <w:numPr>
          <w:ilvl w:val="0"/>
          <w:numId w:val="1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or our licensing or collaboration partners may not have sufficient patent terms to protect our products and business effectively, which may adversely affect our product sales and technology development.</w:t>
      </w:r>
    </w:p>
    <w:p>
      <w:pPr>
        <w:spacing w:after="0" w:line="161" w:lineRule="exact"/>
        <w:rPr>
          <w:rFonts w:ascii="Times New Roman" w:cs="Times New Roman" w:eastAsia="Times New Roman" w:hAnsi="Times New Roman"/>
          <w:sz w:val="18"/>
          <w:szCs w:val="18"/>
          <w:color w:val="222222"/>
        </w:rPr>
      </w:pPr>
    </w:p>
    <w:p>
      <w:pPr>
        <w:ind w:left="720" w:right="179" w:hanging="319"/>
        <w:spacing w:after="0" w:line="266" w:lineRule="auto"/>
        <w:tabs>
          <w:tab w:leader="none" w:pos="720" w:val="left"/>
        </w:tabs>
        <w:numPr>
          <w:ilvl w:val="0"/>
          <w:numId w:val="1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If we fail to comply with the obligations to obtain and maintain patent protection such as compliance with intellectual property agreements, including those under which we license intellectual property and other rights to or from third parties, or otherwise experience disruptions to our business relationships with our licensees,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222222"/>
        </w:rPr>
        <w:t>licensors and collaboration partners, we could lose intellectual property rights that are important to our business.</w:t>
      </w:r>
    </w:p>
    <w:p>
      <w:pPr>
        <w:spacing w:after="0" w:line="225"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may be subject to claims challenging the inventorship of our patents and other intellectual property.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9" w:lineRule="exact"/>
        <w:rPr>
          <w:sz w:val="20"/>
          <w:szCs w:val="20"/>
          <w:color w:val="auto"/>
        </w:rPr>
      </w:pPr>
    </w:p>
    <w:p>
      <w:pPr>
        <w:jc w:val="both"/>
        <w:ind w:left="720" w:right="119" w:hanging="319"/>
        <w:spacing w:after="0" w:line="261" w:lineRule="auto"/>
        <w:tabs>
          <w:tab w:leader="none" w:pos="720" w:val="left"/>
        </w:tabs>
        <w:numPr>
          <w:ilvl w:val="0"/>
          <w:numId w:val="2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are a clinical stage biopharmaceutical company with a history of losses. We anticipate incurring losses for the foreseeable future. As such, if we fail to obtain additional funding via product revenues, license and collaboration agreements, equity offerings or other forms of financing, we may need to delay, reduce or eliminate certain of our product development programs.</w:t>
      </w:r>
    </w:p>
    <w:p>
      <w:pPr>
        <w:spacing w:after="0" w:line="166" w:lineRule="exact"/>
        <w:rPr>
          <w:rFonts w:ascii="Times New Roman" w:cs="Times New Roman" w:eastAsia="Times New Roman" w:hAnsi="Times New Roman"/>
          <w:sz w:val="18"/>
          <w:szCs w:val="18"/>
          <w:color w:val="222222"/>
        </w:rPr>
      </w:pPr>
    </w:p>
    <w:p>
      <w:pPr>
        <w:ind w:left="720" w:right="259" w:hanging="319"/>
        <w:spacing w:after="0" w:line="282" w:lineRule="auto"/>
        <w:tabs>
          <w:tab w:leader="none" w:pos="720" w:val="left"/>
        </w:tabs>
        <w:numPr>
          <w:ilvl w:val="0"/>
          <w:numId w:val="2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If we fail to obtain additional funding, we may delay, reduce or eliminate our product development programs or commercialization efforts.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229" w:lineRule="exact"/>
        <w:rPr>
          <w:sz w:val="20"/>
          <w:szCs w:val="20"/>
          <w:color w:val="auto"/>
        </w:rPr>
      </w:pPr>
    </w:p>
    <w:p>
      <w:pPr>
        <w:ind w:left="720" w:right="579" w:hanging="319"/>
        <w:spacing w:after="0" w:line="282" w:lineRule="auto"/>
        <w:tabs>
          <w:tab w:leader="none" w:pos="720" w:val="left"/>
        </w:tabs>
        <w:numPr>
          <w:ilvl w:val="0"/>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cannot give any assurance that any of our product candidates will receive regulatory approval, which is necessary before they can be commercialized.</w:t>
      </w:r>
    </w:p>
    <w:p>
      <w:pPr>
        <w:spacing w:after="0" w:line="161" w:lineRule="exact"/>
        <w:rPr>
          <w:rFonts w:ascii="Times New Roman" w:cs="Times New Roman" w:eastAsia="Times New Roman" w:hAnsi="Times New Roman"/>
          <w:sz w:val="18"/>
          <w:szCs w:val="18"/>
          <w:color w:val="222222"/>
        </w:rPr>
      </w:pPr>
    </w:p>
    <w:p>
      <w:pPr>
        <w:ind w:left="720" w:right="239" w:hanging="319"/>
        <w:spacing w:after="0" w:line="266" w:lineRule="auto"/>
        <w:tabs>
          <w:tab w:leader="none" w:pos="720" w:val="left"/>
        </w:tabs>
        <w:numPr>
          <w:ilvl w:val="0"/>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Even if we obtain regulatory approvals in one jurisdiction, we may not be able to obtain approval in other jurisdictions. Additionally, we will be subject to ongoing obligations and review which may result in significant additional expenses.</w:t>
      </w:r>
    </w:p>
    <w:p>
      <w:pPr>
        <w:spacing w:after="0" w:line="175" w:lineRule="exact"/>
        <w:rPr>
          <w:rFonts w:ascii="Times New Roman" w:cs="Times New Roman" w:eastAsia="Times New Roman" w:hAnsi="Times New Roman"/>
          <w:sz w:val="18"/>
          <w:szCs w:val="18"/>
          <w:color w:val="222222"/>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have conducted and may in the future conduct clinical studies for our product candidates outside the U.S., and the FDA and applicable foreign regulatory authorities may not accept data from such studies.</w:t>
      </w:r>
    </w:p>
    <w:p>
      <w:pPr>
        <w:spacing w:after="0" w:line="161" w:lineRule="exact"/>
        <w:rPr>
          <w:rFonts w:ascii="Times New Roman" w:cs="Times New Roman" w:eastAsia="Times New Roman" w:hAnsi="Times New Roman"/>
          <w:sz w:val="18"/>
          <w:szCs w:val="18"/>
          <w:color w:val="222222"/>
        </w:rPr>
      </w:pPr>
    </w:p>
    <w:p>
      <w:pPr>
        <w:ind w:left="720" w:right="439" w:hanging="319"/>
        <w:spacing w:after="0" w:line="282" w:lineRule="auto"/>
        <w:tabs>
          <w:tab w:leader="none" w:pos="720" w:val="left"/>
        </w:tabs>
        <w:numPr>
          <w:ilvl w:val="0"/>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Enacted and future legislation may increase the difficulty and cost for us to obtain marketing approval of and commercialize our product candidates and may affect the prices we may set.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shares:</w:t>
      </w:r>
    </w:p>
    <w:p>
      <w:pPr>
        <w:spacing w:after="0" w:line="229" w:lineRule="exact"/>
        <w:rPr>
          <w:sz w:val="20"/>
          <w:szCs w:val="20"/>
          <w:color w:val="auto"/>
        </w:rPr>
      </w:pPr>
    </w:p>
    <w:p>
      <w:pPr>
        <w:ind w:left="720" w:right="239" w:hanging="319"/>
        <w:spacing w:after="0" w:line="282" w:lineRule="auto"/>
        <w:tabs>
          <w:tab w:leader="none" w:pos="720" w:val="left"/>
        </w:tabs>
        <w:numPr>
          <w:ilvl w:val="0"/>
          <w:numId w:val="2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have limited free float in our common shares which may have a negative impact on the liquidity and market price of our common shares.</w:t>
      </w:r>
    </w:p>
    <w:p>
      <w:pPr>
        <w:spacing w:after="0" w:line="161" w:lineRule="exact"/>
        <w:rPr>
          <w:rFonts w:ascii="Times New Roman" w:cs="Times New Roman" w:eastAsia="Times New Roman" w:hAnsi="Times New Roman"/>
          <w:sz w:val="18"/>
          <w:szCs w:val="18"/>
          <w:color w:val="222222"/>
        </w:rPr>
      </w:pPr>
    </w:p>
    <w:p>
      <w:pPr>
        <w:ind w:left="720" w:right="159" w:hanging="319"/>
        <w:spacing w:after="0" w:line="282" w:lineRule="auto"/>
        <w:tabs>
          <w:tab w:leader="none" w:pos="720" w:val="left"/>
        </w:tabs>
        <w:numPr>
          <w:ilvl w:val="0"/>
          <w:numId w:val="2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Certain of our existing shareholders exercise significant control over us, and your or other shareholders’ interests may conflict with the interests of such shareholders.</w:t>
      </w:r>
    </w:p>
    <w:p>
      <w:pPr>
        <w:spacing w:after="0" w:line="161" w:lineRule="exact"/>
        <w:rPr>
          <w:rFonts w:ascii="Times New Roman" w:cs="Times New Roman" w:eastAsia="Times New Roman" w:hAnsi="Times New Roman"/>
          <w:sz w:val="18"/>
          <w:szCs w:val="18"/>
          <w:color w:val="222222"/>
        </w:rPr>
      </w:pPr>
    </w:p>
    <w:p>
      <w:pPr>
        <w:ind w:left="720" w:right="399" w:hanging="319"/>
        <w:spacing w:after="0" w:line="282" w:lineRule="auto"/>
        <w:tabs>
          <w:tab w:leader="none" w:pos="720" w:val="left"/>
        </w:tabs>
        <w:numPr>
          <w:ilvl w:val="0"/>
          <w:numId w:val="2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are a Swiss corporation. The rights of our shareholders may be different from the rights of shareholders in companies governed by the laws of U.S. jurisdictions.</w:t>
      </w:r>
    </w:p>
    <w:p>
      <w:pPr>
        <w:spacing w:after="0" w:line="161" w:lineRule="exact"/>
        <w:rPr>
          <w:rFonts w:ascii="Times New Roman" w:cs="Times New Roman" w:eastAsia="Times New Roman" w:hAnsi="Times New Roman"/>
          <w:sz w:val="18"/>
          <w:szCs w:val="18"/>
          <w:color w:val="222222"/>
        </w:rPr>
      </w:pPr>
    </w:p>
    <w:p>
      <w:pPr>
        <w:ind w:left="720" w:right="119" w:hanging="319"/>
        <w:spacing w:after="0" w:line="312" w:lineRule="auto"/>
        <w:tabs>
          <w:tab w:leader="none" w:pos="720" w:val="left"/>
        </w:tabs>
        <w:numPr>
          <w:ilvl w:val="0"/>
          <w:numId w:val="22"/>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are an FPI and, as a result, we are not subject to U.S. proxy rules and are subject to Exchange Act reporting obligations that, to some extent, are more lenient and less frequent than those of a U.S. domestic public company.</w:t>
      </w:r>
    </w:p>
    <w:p>
      <w:pPr>
        <w:spacing w:after="0" w:line="139" w:lineRule="exact"/>
        <w:rPr>
          <w:rFonts w:ascii="Times New Roman" w:cs="Times New Roman" w:eastAsia="Times New Roman" w:hAnsi="Times New Roman"/>
          <w:sz w:val="17"/>
          <w:szCs w:val="17"/>
          <w:color w:val="222222"/>
        </w:rPr>
      </w:pPr>
    </w:p>
    <w:p>
      <w:pPr>
        <w:ind w:left="720" w:right="179" w:hanging="319"/>
        <w:spacing w:after="0" w:line="261" w:lineRule="auto"/>
        <w:tabs>
          <w:tab w:leader="none" w:pos="720" w:val="left"/>
        </w:tabs>
        <w:numPr>
          <w:ilvl w:val="0"/>
          <w:numId w:val="2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As an FPI, and as permitted by the listing requirements of Nasdaq, we rely on certain home country governance practices rather than the corporate governance requirements of Nasdaq. Should we lose our FPI status, we would be required to comply with the Exchange Act’s domestic reporting regime, which would cause us to incur significant legal, accounting and other expenses.</w:t>
      </w:r>
    </w:p>
    <w:p>
      <w:pPr>
        <w:spacing w:after="0" w:line="166" w:lineRule="exact"/>
        <w:rPr>
          <w:rFonts w:ascii="Times New Roman" w:cs="Times New Roman" w:eastAsia="Times New Roman" w:hAnsi="Times New Roman"/>
          <w:sz w:val="18"/>
          <w:szCs w:val="18"/>
          <w:color w:val="222222"/>
        </w:rPr>
      </w:pPr>
    </w:p>
    <w:p>
      <w:pPr>
        <w:jc w:val="both"/>
        <w:ind w:left="720" w:right="399" w:hanging="319"/>
        <w:spacing w:after="0" w:line="289" w:lineRule="auto"/>
        <w:tabs>
          <w:tab w:leader="none" w:pos="720" w:val="left"/>
        </w:tabs>
        <w:numPr>
          <w:ilvl w:val="0"/>
          <w:numId w:val="22"/>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were likely a passive foreign investment company (a “PFIC”) for our 2019, 2020, and 2022 taxable years. Although we believe we were likely not a PFIC for 2023, there can be no assurance that the Internal Revenue Service will agree. We cannot express any expectation regarding our PFIC status for 2024 or future taxable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spacing w:after="0" w:line="282" w:lineRule="auto"/>
        <w:rPr>
          <w:sz w:val="20"/>
          <w:szCs w:val="20"/>
          <w:color w:val="auto"/>
        </w:rPr>
      </w:pPr>
      <w:r>
        <w:rPr>
          <w:rFonts w:ascii="Times New Roman" w:cs="Times New Roman" w:eastAsia="Times New Roman" w:hAnsi="Times New Roman"/>
          <w:sz w:val="18"/>
          <w:szCs w:val="18"/>
          <w:color w:val="222222"/>
        </w:rPr>
        <w:t>years. If we are a PFIC for any taxable year during which a U.S. investor owns our common shares, the investor generally will be subject to adverse U.S. federal income tax consequences.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220" w:right="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our clinical and, to a lesser extent, preclinical products. Our clinical product candidates include our active immunotherapies (ACI-35.030, ACI-24.060 and ACI-7104.056), monoclonal antibodies (semorinemab and crenezumab) and diagnostics (Tau-PET tracer PI-2620 and a-syn-PET tracer ACI-12589). If our clinical studies are unsuccessful, if we or our collaboration partners do not obtain regulatory approval or if we or our collaboration partners are unable to commercialize our active immunotherapies (ACI-35.030, ACI-24.060 and ACI-7104.056), monoclonal antibodies (semorinemab and crenezumab) and diagnostics (Tau-PET tracer PI-2620 and a-syn-PET tracer ACI-12589), or if we experience significant delays in doing so, our business, financial condition and results of operations will be materially adversely affected.</w:t>
      </w:r>
    </w:p>
    <w:p>
      <w:pPr>
        <w:spacing w:after="0" w:line="189" w:lineRule="exact"/>
        <w:rPr>
          <w:sz w:val="20"/>
          <w:szCs w:val="20"/>
          <w:color w:val="auto"/>
        </w:rPr>
      </w:pPr>
    </w:p>
    <w:p>
      <w:pPr>
        <w:ind w:left="60" w:right="119" w:firstLine="324"/>
        <w:spacing w:after="0" w:line="251" w:lineRule="auto"/>
        <w:rPr>
          <w:sz w:val="20"/>
          <w:szCs w:val="20"/>
          <w:color w:val="auto"/>
        </w:rPr>
      </w:pPr>
      <w:r>
        <w:rPr>
          <w:rFonts w:ascii="Times New Roman" w:cs="Times New Roman" w:eastAsia="Times New Roman" w:hAnsi="Times New Roman"/>
          <w:sz w:val="18"/>
          <w:szCs w:val="18"/>
          <w:color w:val="auto"/>
        </w:rPr>
        <w:t>We currently have no products approved for sale and have invested a significant portion of our efforts and financial resources in the development of our active immunotherapies (ACI-35.030, ACI-24.060 and ACI-7104.056), monoclonal antibodies (semorinemab and crenezumab) and diagnostics (Tau-PET tracer PI-2620 and a-syn-PET tracer ACI-12589), all of which are in clinical development as well as other preclinical candidates such as our small molecule programs including therapeutics (Morphomer Tau), our TDP-43 antibody, Morphomer a-syn and inflammasome therapeutics (NLRP3 small molecule and ASC antibody). Our ability to generate product revenues, which we do not expect will occur for at least the next several years, if ever, will depend heavily on successful clinical development, obtaining regulatory approval and eventual commercialization of these product candidates. In this regard, we rely heavily on our collaboration partners for clinical development of certain of our product candidates, and they may choose to discontinue the clinical development process in certain cases. In addition, we currently generate no revenues from sales of any drugs or diagnostics, and we may never be able to develop or commercialize a marketable drug or diagnostic. The success of our current and future product candidates will depend on several factors, including, but not limited to, the following:</w:t>
      </w:r>
    </w:p>
    <w:p>
      <w:pPr>
        <w:spacing w:after="0" w:line="197" w:lineRule="exact"/>
        <w:rPr>
          <w:sz w:val="20"/>
          <w:szCs w:val="20"/>
          <w:color w:val="auto"/>
        </w:rPr>
      </w:pPr>
    </w:p>
    <w:p>
      <w:pPr>
        <w:ind w:left="720" w:right="7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preclinical and clinical studies that demonstrate the efficacy, safety and clinical utility of our preclinical and clinical product candidates;</w:t>
      </w:r>
    </w:p>
    <w:p>
      <w:pPr>
        <w:spacing w:after="0" w:line="1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marketing and distribution operations;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approval;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with other therapies or diagnostic approaches; and</w:t>
      </w:r>
    </w:p>
    <w:p>
      <w:pPr>
        <w:spacing w:after="0" w:line="225"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enforcing and defending our intellectual property rights and claims and not infringing on third parties’ intellectual property rights.</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If we or our collaboration partners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Results of early clinical studies may not be predictive of future study results.</w:t>
      </w:r>
    </w:p>
    <w:p>
      <w:pPr>
        <w:spacing w:after="0" w:line="22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Positive or timely results from preclinical or early-stage clinical studies do not ensure positive or timely results in mid-to late-stage clinical studies or product approval by the U.S. FDA, the European Medicines Agency (EMA),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comparable foreign regulatory authorities. Products that show positive preclinical or early clinical results may not show sufficient safety or efficacy in later-stage clinical studies and therefore may fail to obtain regulatory approvals. In addition, preclinical and clinical data are often susceptible to varying interpretations and analyses. Many companies that believed their product candidates performed satisfactorily in preclinical and clinical studies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that the data collected from clinical studies of our product candidates are promising, such data may not be sufficient to support approval by the FDA, the EMA or any other regulatory authority.</w:t>
      </w:r>
    </w:p>
    <w:p>
      <w:pPr>
        <w:spacing w:after="0" w:line="178"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later-stage clinical product candidates, results may differ in general on the basis of the larger number of clinical study sites and the additional countries and languages involved in these clinical studies.</w:t>
      </w:r>
    </w:p>
    <w:p>
      <w:pPr>
        <w:spacing w:after="0" w:line="174"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Clinical studies may include subject-reported outcomes, some of which may be captured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are conducting and may conduct will demonstrate consistent or adequate efficacy and safety to obtain regulatory approval to market our product candidates.</w:t>
      </w:r>
    </w:p>
    <w:p>
      <w:pPr>
        <w:spacing w:after="0" w:line="18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187"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significant safety warnings, including boxed warnings;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conditional approval or otherwise to additional post-marketing studies or other requirements;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product from the market after obtaining marketing approval.</w:t>
      </w:r>
    </w:p>
    <w:p>
      <w:pPr>
        <w:spacing w:after="0" w:line="22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receiving marketing approvals and we may be required to obtain additional funds to complete clinical studies. We cannot assure you that our clinical studies will begin as planned or be completed on schedule, if at all, or that we will not need to amend our studies after they have begun. Significant clinical study delays could also shorten any periods during which we or our collaboration partners may have the exclusive right to commercialize our product candidates, or allow our competitors to bring products to market before we do, which may harm our business and results of operations. In addition, some of the factors that cause, or lead to, clinical study delays may ultimately lead to the denial of regulatory approval of our product candidates.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undertake one or more significant corporate transactions that may not achieve their intended results, may adversely affect our financial condition and our results of operations or result in unforeseeable risks to our business.</w:t>
      </w:r>
    </w:p>
    <w:p>
      <w:pPr>
        <w:spacing w:after="0" w:line="17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We continuously evaluate the acquisition or disposition of operating businesses and assets and may in the future undertake one or more significant transactions, such as our purchase in 2021 of Affiris AG’s (Affiris) program portfolio of therapeutics targeting a-syn, notably our ACI-7104.056, a clinically-validated active immunotherapy candidate for the treatment of Parkinson’s disease (PD). Any such transaction could be material to our business and could take any number of forms, including mergers, joint ventures and the purchase of equity interests, amongst others. The consideration for such acquisitive transactions may include, among other things, cash, common shares or equity interests in us or our subsidiary, or a contribution of equipment to obtain equity interests, and in conjunction with a transaction we might incur additional indebtedness. We also routinely evaluate the benefits of disposing of certain of our assets.</w:t>
      </w:r>
    </w:p>
    <w:p>
      <w:pPr>
        <w:spacing w:after="0" w:line="192"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These transactions may present significant risks such as insufficient revenue to offset liabilities assumed, potential loss of significant revenue and income streams, increased or unexpected expenses, inadequate return of capital, regulatory or compliance issues, the triggering of certain covenants in our debt agreements (including accelerated repayment) and unidentified issues not discovered in due diligence. In addition, such transactions could distract management from current operations. As a result of the risks inherent in such transactions, we cannot guarantee that any such transaction will ultimately result in the realization of its anticipated benefits or that it will not have a material adverse effect on our business, financial condition and results of operations. If we were to complete such an acquisition, disposition, investment or other strategic transaction, we may require additional debt or equity financing that could result in a significant increase in our amount of debt and our debt service obligations or the number of outstanding common shares, thereby diluting holders of our common shares outstanding prior to such acquisition.</w:t>
      </w:r>
    </w:p>
    <w:p>
      <w:pPr>
        <w:spacing w:after="0" w:line="185" w:lineRule="exact"/>
        <w:rPr>
          <w:sz w:val="20"/>
          <w:szCs w:val="20"/>
          <w:color w:val="auto"/>
        </w:rPr>
      </w:pPr>
    </w:p>
    <w:p>
      <w:pPr>
        <w:ind w:left="380" w:right="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Additional competitors could enter the market with generic versions of our products, which may result in a material decline in sales of affected products.</w:t>
      </w:r>
    </w:p>
    <w:p>
      <w:pPr>
        <w:spacing w:after="0" w:line="171"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Act, a pharmaceutical manufacturer may file an abbreviated new drug application (ANDA), seeking approval of a generic copy of an approved innovator product. Under the Hatch-Waxman Act, a manufacturer may also submit a new drug application (NDA) under Section 505(b)(2) that references the FDA’s prior approval of the innovator product. A 505(b)(2) NDA product may be submitted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also be given to the innovator, and if within 45 days of receiving notice the innovator, in order to protect its patents, sues the company that manufactures the generic, approval of the ANDA is stayed for 30 months, or as lengthened or shortened by the court.</w:t>
      </w:r>
    </w:p>
    <w:p>
      <w:pPr>
        <w:spacing w:after="0" w:line="19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Accordingly, if our active immunotherapies (ACI-35.030, ACI-24.060 and ACI-7104.056), monoclonal antibodies (semorinemab and crenezumab) and diagnostics (Tau-PET tracer PI-2620 and a-syn-PET tracer ACI-12589) are approved, competitors could file ANDAs for generic versions of our active immunotherapies (ACI-35.030, ACI-24.060 and ACI-7104.056), monoclonal antibodies (semorinemab and crenezumab) and diagnostics (Tau-PET tracer PI-2620 and a-syn-PET tracer ACI-12589) or 505(b)(2) NDAs that reference our active immunotherapies (ACI-35.030, ACI-24.060 and ACI-7104.056), monoclonal antibodies (semorinemab and crenezumab) and diagnostics (Tau-PET tracer PI-2620 and a-syn-PET tracer ACI-12589), respectively. If there are patents listed in the Orange Book for our active immunotherapies (ACI-35.030, ACI-24.060 and ACI-7104.056), monoclonal antibodies (semorinemab and crenezumab) and diagnostics (Tau-PET tracer PI-2620 and a-syn-PET tracer ACI-12589), respectively, those ANDAs and 505(b)(2) NDAs would be required to include a certification for each listed patent, indicating whether the ANDA applicant does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7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may not be successful in securing or maintaining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185" w:lineRule="exact"/>
        <w:rPr>
          <w:sz w:val="20"/>
          <w:szCs w:val="20"/>
          <w:color w:val="auto"/>
        </w:rPr>
      </w:pPr>
    </w:p>
    <w:p>
      <w:pPr>
        <w:ind w:left="38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175"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For example, the Inflation Reduction Act (IRA) of 2022, among other things, incentivizes the renegotiation with the U.S. government of the prices of certain pharmaceutical drugs and imposes penalties for Medicare drugs that increase in price faster than the rate of inflation. See “—Enacted and future legislation may increase the difficulty and cost for us to obtain marketing approval of and commercialize our product candidates and may affect the prices we may set” below. In light of such challenges to prices and the requirement for increasing levels of evidence of the benefits and clinical outcomes of new technologies, we cannot be sure that coverage will be available for any of our current or future product candidates that we or our collaboration partners will commercialize or, if available, that the reimbursement rates will be adequate in each respective region. If we are unable to obtain adequate levels of coverage and reimbursement for our product candidates, their marketability will be negatively and materially impacted.</w:t>
      </w:r>
    </w:p>
    <w:p>
      <w:pPr>
        <w:spacing w:after="0" w:line="194"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Third-party payors may deny coverage and reimbursement status altogether for a given drug product, or may cover the product but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in the future depending on policy changes enacted by the U.S. Congress.</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The unavailability or inadequacy and variability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66" w:lineRule="exact"/>
        <w:rPr>
          <w:sz w:val="20"/>
          <w:szCs w:val="20"/>
          <w:color w:val="auto"/>
        </w:rPr>
      </w:pPr>
    </w:p>
    <w:p>
      <w:pPr>
        <w:jc w:val="both"/>
        <w:ind w:left="38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may not gain market acceptance, in which case we or our collaboration partners may not be able to generate product revenues, which will materially adversely affect our business, financial condition and results of operations.</w:t>
      </w:r>
    </w:p>
    <w:p>
      <w:pPr>
        <w:spacing w:after="0" w:line="17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Even if the FDA, the EMA or any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or our collaboration partners may not generate significant product or royalty revenues or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profits from operations. The degree of market acceptance of our product candidates that are approved for commercial sale will depend on a variety of factors, including:</w:t>
      </w:r>
    </w:p>
    <w:p>
      <w:pPr>
        <w:spacing w:after="0" w:line="162"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clinicians and potential patients perceive our novel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clinical profile of competing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acceptable evidence of safety and efficacy or clinical utility;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diagnostics and screening infrastructure in each market;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225"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reimbursement and adequate payment from health maintenance organizations and other third-party payors, both public and private;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advantages over alternative treatment methods.</w:t>
      </w:r>
    </w:p>
    <w:p>
      <w:pPr>
        <w:spacing w:after="0" w:line="225" w:lineRule="exact"/>
        <w:rPr>
          <w:sz w:val="20"/>
          <w:szCs w:val="20"/>
          <w:color w:val="auto"/>
        </w:rPr>
      </w:pPr>
    </w:p>
    <w:p>
      <w:pPr>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to not be large enough to allow us to generate significant revenues.</w:t>
      </w:r>
    </w:p>
    <w:p>
      <w:pPr>
        <w:spacing w:after="0" w:line="17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addition, the potential market opportunity of our product candidates is difficult to estimate precisely. Our estimates of the potential market opportunity are predicated on several key assumptions such as industry knowledge and publications, third-party research reports and other surveys. These assumptions involve the exercise of significant judgment on the part of our management and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healthcare payors and patients, our product or royalty revenue may be limited and it may be more difficult for us to achieve or maintain profitability.</w:t>
      </w:r>
    </w:p>
    <w:p>
      <w:pPr>
        <w:spacing w:after="0" w:line="173" w:lineRule="exact"/>
        <w:rPr>
          <w:sz w:val="20"/>
          <w:szCs w:val="20"/>
          <w:color w:val="auto"/>
        </w:rPr>
      </w:pPr>
    </w:p>
    <w:p>
      <w:pPr>
        <w:ind w:left="38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13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Successful and timely completion of clinical studies will require that we enroll a sufficient number of patient candidates. Studies may be subject to delays as a result of patient enrollment taking longer than anticipated or by patient withdrawal. Patient enrollment depends on many factors, including the size and nature of the patient population, the eligibility criteria for the study, the proximity of patients to clinical sites, the design of the clinical protocol, the existence of competing clinical studies, the availability of new drugs approved for the indication the clinical study is investigating, and clinicians’ and patients’ perceptions as to the potential advantages of the drug being studied in relation to other available therapies. In addition, with the passage of the Food and Drug Omnibus Reform Act of 2022 (FDORA), Congress required sponsors to develop and submit a diversity action plan for each Phase 3 clinical trial or any other pivotal study of a new drug. These plans are meant to encourage the enrollment of more diverse patient populations in late-stage clinical trials of FDA-regulated products. Specifically, action plans must include the sponsor’s goals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enrollment, the underlying rationale for those goals, and an explanation of how the sponsor intends to meet them. In addition to these requirements, the legislation directs the FDA to issue new guidance on diversity action plans.</w:t>
      </w:r>
    </w:p>
    <w:p>
      <w:pPr>
        <w:spacing w:after="0" w:line="16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Generally, the specific target population of patients and therapeutic time windows may make it difficult for us to enroll enough patients to complete clinical studies for our product candidates in a timely and cost-effective manner. Delays in the completion of any clinical study of our product candidates will increase our costs, slow down our product candidate development and approval process, and delay or potentially jeopardize our or our collaboration partners’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183" w:lineRule="exact"/>
        <w:rPr>
          <w:sz w:val="20"/>
          <w:szCs w:val="20"/>
          <w:color w:val="auto"/>
        </w:rPr>
      </w:pPr>
    </w:p>
    <w:p>
      <w:pPr>
        <w:ind w:left="38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80"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early-stage testing were later found to cause side effects that restricted their use and prevented further development of the compound for larger indications.</w:t>
      </w:r>
    </w:p>
    <w:p>
      <w:pPr>
        <w:spacing w:after="0" w:line="18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Occurrence of serious procedure- or treatment-related side effects could impede clinical study enrollment and receipt of marketing approval from the FDA, the EMA and comparable foreign regulatory authorities. Adverse events (AEs) could also adversely affect physician or patient acceptance of our product candidates.</w:t>
      </w:r>
    </w:p>
    <w:p>
      <w:pPr>
        <w:spacing w:after="0" w:line="176"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 the following:</w:t>
      </w:r>
    </w:p>
    <w:p>
      <w:pPr>
        <w:spacing w:after="0" w:line="183" w:lineRule="exact"/>
        <w:rPr>
          <w:sz w:val="20"/>
          <w:szCs w:val="20"/>
          <w:color w:val="auto"/>
        </w:rPr>
      </w:pPr>
    </w:p>
    <w:p>
      <w:pPr>
        <w:ind w:left="720" w:right="41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and require us or our collaboration partners to take any approved products off the market;</w:t>
      </w:r>
    </w:p>
    <w:p>
      <w:pPr>
        <w:spacing w:after="0" w:line="16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161" w:lineRule="exact"/>
        <w:rPr>
          <w:rFonts w:ascii="Times New Roman" w:cs="Times New Roman" w:eastAsia="Times New Roman" w:hAnsi="Times New Roman"/>
          <w:sz w:val="18"/>
          <w:szCs w:val="18"/>
          <w:color w:val="auto"/>
        </w:rPr>
      </w:pPr>
    </w:p>
    <w:p>
      <w:pPr>
        <w:ind w:left="720" w:right="71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to conduct additional studies or to change the labeling of the product;</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collaboration partners may be subject to limitations in how we promote the product;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225"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15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pharmaceutical and biopharmaceutical industries may result in even more resources being concentrated among a smaller number of our competitors.</w:t>
      </w:r>
    </w:p>
    <w:p>
      <w:pPr>
        <w:spacing w:after="0" w:line="188"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highly competitive nature of and rapid technological changes in the pharmaceutical and biopharmaceutical industries could render our product candidates or our technology obsolete or noncompetitive. The commercial opportunity for our products could be reduced or eliminated if our competitors:</w:t>
      </w:r>
    </w:p>
    <w:p>
      <w:pPr>
        <w:spacing w:after="0" w:line="183" w:lineRule="exact"/>
        <w:rPr>
          <w:sz w:val="20"/>
          <w:szCs w:val="20"/>
          <w:color w:val="auto"/>
        </w:rPr>
      </w:pPr>
    </w:p>
    <w:p>
      <w:pPr>
        <w:ind w:left="720" w:right="9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products that are safer, more effective, less expensive, or more convenient or easier to administer;</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quicker FDA or other regulatory approval for their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intellectual property and proprietary positions;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access to more manufacturing capacity;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more effective approaches to sales, marketing and distribution;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more advantageous strategic alliances.</w:t>
      </w:r>
    </w:p>
    <w:p>
      <w:pPr>
        <w:spacing w:after="0" w:line="225"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Should any of these occur, our business, financial condition and results of operations could be materially adversely affected.</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that our key competitor product candidates are (i) AADvac1 (Axon Neuroscience) for ACI-35.030;</w:t>
      </w:r>
    </w:p>
    <w:p>
      <w:pPr>
        <w:spacing w:after="0" w:line="27" w:lineRule="exact"/>
        <w:rPr>
          <w:sz w:val="20"/>
          <w:szCs w:val="20"/>
          <w:color w:val="auto"/>
        </w:rPr>
      </w:pPr>
    </w:p>
    <w:p>
      <w:pPr>
        <w:ind w:left="320" w:hanging="270"/>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UB-311 (Vaxxinity) and ABvac-40 (Araclon Biotech) for ACI-24.060; (iii) UB-312 (Vaxxinity) for ACI-7104.056;</w:t>
      </w:r>
    </w:p>
    <w:p>
      <w:pPr>
        <w:spacing w:after="0" w:line="9" w:lineRule="exact"/>
        <w:rPr>
          <w:rFonts w:ascii="Times New Roman" w:cs="Times New Roman" w:eastAsia="Times New Roman" w:hAnsi="Times New Roman"/>
          <w:sz w:val="18"/>
          <w:szCs w:val="18"/>
          <w:color w:val="auto"/>
        </w:rPr>
      </w:pPr>
    </w:p>
    <w:p>
      <w:pPr>
        <w:ind w:left="60" w:right="439" w:hanging="10"/>
        <w:spacing w:after="0" w:line="245" w:lineRule="auto"/>
        <w:tabs>
          <w:tab w:leader="none" w:pos="3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bepranemab (UCB/Roche), E-2814 (Eisai) and JNJ63733657 (Janssen) for semorinemab; (v) Leqembi (BioArctic/Eisai), donanemab (Eli Lilly and Company) and their subcutaneous formulations, trontinemab (Roche) and ACU193 (Acumen Pharmaceuticals) for crenezumab; (vi) HMTM (TauRx Pharmaceuticals) for Morphomer Tau;</w:t>
      </w:r>
    </w:p>
    <w:p>
      <w:pPr>
        <w:ind w:left="60" w:right="499" w:hanging="10"/>
        <w:spacing w:after="0" w:line="255" w:lineRule="auto"/>
        <w:tabs>
          <w:tab w:leader="none" w:pos="4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Tauvid (Eli Lilly and Company), florzolotau (Aprinoia Therapeutics), MK-6240 (Cerveau/Merck) and GTP1 (Genentech) for PI-2620; and (viii) UCB-2897 (UCB) for ACI-12589, as described under “Item 4. Information on the Company—B. Business overview—Competition.”</w:t>
      </w:r>
    </w:p>
    <w:p>
      <w:pPr>
        <w:spacing w:after="0" w:line="182" w:lineRule="exact"/>
        <w:rPr>
          <w:sz w:val="20"/>
          <w:szCs w:val="20"/>
          <w:color w:val="auto"/>
        </w:rPr>
      </w:pPr>
    </w:p>
    <w:p>
      <w:pPr>
        <w:ind w:left="38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15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use and expand our Morphomer and SupraAntigen proprietary technology platforms to create unique therapies and diagnostics misfolded proteins in diseases, such as AD, PD and others (including NeuroOrphan diseases e.g. ALS and PSP), and progress these product candidates through clinical development. Although our research and development efforts to date have resulted in a pipeline of product candidates, we may not be able in the future to develop product candidates that are safe and effective. Even if we are successful in continuing to build our pipelines, the potential product candidates that we identify may not be suitable for clinical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development, potentially as a result of having harmful side effects or other characteristics indicating they may be unlikely to receive marketing approval and achieve market acceptance.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international operations.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We and a number of our suppliers and collaborative and clinical study relationships are located outside the U.S. Accordingly, our future results could be harmed by a variety of factors, including:</w:t>
      </w:r>
    </w:p>
    <w:p>
      <w:pPr>
        <w:spacing w:after="0" w:line="176"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non-U.S. countries;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and currency controls;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225"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such as sanctions by U.S. or non-U.S. governments;</w:t>
      </w:r>
    </w:p>
    <w:p>
      <w:pPr>
        <w:spacing w:after="0" w:line="1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225" w:lineRule="exact"/>
        <w:rPr>
          <w:rFonts w:ascii="Times New Roman" w:cs="Times New Roman" w:eastAsia="Times New Roman" w:hAnsi="Times New Roman"/>
          <w:sz w:val="18"/>
          <w:szCs w:val="18"/>
          <w:color w:val="auto"/>
        </w:rPr>
      </w:pPr>
    </w:p>
    <w:p>
      <w:pPr>
        <w:ind w:left="720" w:right="59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89" w:lineRule="exact"/>
        <w:rPr>
          <w:rFonts w:ascii="Times New Roman" w:cs="Times New Roman" w:eastAsia="Times New Roman" w:hAnsi="Times New Roman"/>
          <w:sz w:val="18"/>
          <w:szCs w:val="18"/>
          <w:color w:val="auto"/>
        </w:rPr>
      </w:pPr>
    </w:p>
    <w:p>
      <w:pPr>
        <w:ind w:left="720" w:right="65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89"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In addition, Hamas’ attacks against Israelis in Gaza and Israel’s military responses have spawned or may spawn regional military confrontations between Israel and neighboring Arab countries and their respective allies around the world that may cause political and economic disruptions. Moreover, since the end of 2021, tensions between the United States and Russia escalated when Russia amassed large numbers of military ground forces and support personnel on the Ukraine-Russia border and, in February 2022, Russia invaded Ukraine. In response, NATO has deployed additional military forces to Eastern Europe, including to Lithuania, and the Biden administration announced certain sanctions against Russia. The invasion of Ukraine and the retaliatory measures that have been taken, or could be taken in the future, by the United States, NATO, and other countries have created global security concerns that could result in a regional conflict and otherwise have a lasting impact on regional and global economies, any or all of which could disrupt our supply chain, adversely affect our ability to conduct ongoing and future clinical trials of our product candidates, and adversely affect our ability to commercialize our products (subject to regulatory approval) in this region. Currently, none of our clinical development or business activities are conducted directly or otherwise in Russia or Ukraine.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5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rising interest rates and high inflation may cause our cost of doing business to materially increase and may adversely impact our ability to operate or may adversely impact other parties upon whom we rely for research and development capabilities to operate. The most recent global financial crisis caused extreme volatility and disruptions in the capital and credit markets. A severe or prolonged economic downturn, such as the most recent global financial crisis, could result in a variety of risks to our business, including our ability to raise additional capital when needed on acceptable terms, if at all.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ind w:left="38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public health crisis, such as the Covid-19 pandemic may impact our business, including preclinical and clinical trials and regulatory approvals.</w:t>
      </w:r>
    </w:p>
    <w:p>
      <w:pPr>
        <w:spacing w:after="0" w:line="145"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In response to a public health crisis, governments, public institutions, and other organizations in countries and localities may take certain preventative or protective measures to combat the transmission of the virus, including the implementation of travel restrictions or bans, closures of non-essential businesses, limitations of public gatherings, other social distancing and shelter-in-place measures, and delays or cancellations of elective surgeries. A public health crisis could pose the risk that the Company, our employees, contractors, suppliers, and other partners may be prevented from conducting business activities for an indefinite period of time due to shutdowns that may be requested or mandated by state and federal governmental authorities.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business and planned clinical trials could be materially impacted by disruptions such as:</w:t>
      </w:r>
    </w:p>
    <w:p>
      <w:pPr>
        <w:spacing w:after="0" w:line="212"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conducting preclinical research and clinical trials;</w:t>
      </w:r>
    </w:p>
    <w:p>
      <w:pPr>
        <w:spacing w:after="0" w:line="225"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manufacturing and shipping that may affect the manufacturing and/or transport of clinical trial materials and other materials, including testing equipment and personal protective equipment, used at our or our CROs’ and contract manufacturing organizations’ (CMOs’) facilities;</w:t>
      </w:r>
    </w:p>
    <w:p>
      <w:pPr>
        <w:spacing w:after="0" w:line="175"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public health crisis which may require us to change the way in which clinical trials are conducted and may result in unexpected costs;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ability to secure additional financing.</w:t>
      </w:r>
    </w:p>
    <w:p>
      <w:pPr>
        <w:spacing w:after="0" w:line="225"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addition, a public health crisis could disrupt our operations due to absenteeism by infected or ill members of Executive Management or other employees, or absenteeism by members of Executive Management and other employees who elect not to come to work due to the illness affecting others in our office or laboratory facilities, or due to quarantines. Such a public health crisis could also impact members of our Board and its ability to hold meetings.</w:t>
      </w:r>
    </w:p>
    <w:p>
      <w:pPr>
        <w:spacing w:after="0" w:line="176" w:lineRule="exact"/>
        <w:rPr>
          <w:sz w:val="20"/>
          <w:szCs w:val="20"/>
          <w:color w:val="auto"/>
        </w:rPr>
      </w:pPr>
    </w:p>
    <w:p>
      <w:pPr>
        <w:ind w:left="380" w:right="2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ability to effectively monitor and respond to the rapid and ongoing developments and expectations relating to environmental, social and governance (ESG) matters, including related social expectations and concerns, may impose unexpected costs on us or result in reputational or other harm to us that could have a material adverse effect on our business, financial condition and results of operations.</w:t>
      </w:r>
    </w:p>
    <w:p>
      <w:pPr>
        <w:spacing w:after="0" w:line="184"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If we are not able to adequately recognize and respond to the rapid and ongoing developments and governmental and social expectations relating to ESG matters such as climate change and access to health care and affordable drugs, this failure could result in missed corporate opportunities, additional regulatory, social or other scrutiny of us and our business, the imposition of unexpected costs or in damage to our reputation or our various relationships with governments, customers, employees, third parties and the communities in which we operate, in each case that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Climate change, and laws, regulations and policies regarding climate change, could also pose additional legal or regulatory requirements related to greenhouse gas emissions reporting, carbon pricing, and mandatory reduction targets. These more stringent requirements could increase our costs of sourcing, production, and transportation, as well as have negative reputational impacts if we fail to meet such requirements. Failure to respond to risks regarding climate change may have a material adverse effect on our business, financial condition, results of operations and reputation.</w:t>
      </w:r>
    </w:p>
    <w:p>
      <w:pPr>
        <w:spacing w:after="0" w:line="179" w:lineRule="exact"/>
        <w:rPr>
          <w:sz w:val="20"/>
          <w:szCs w:val="20"/>
          <w:color w:val="auto"/>
        </w:rPr>
      </w:pPr>
    </w:p>
    <w:p>
      <w:pPr>
        <w:ind w:left="38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history of commercializing biologics or pharmaceutical products, which may make it difficult to evaluate the prospects for our future viability.</w:t>
      </w:r>
    </w:p>
    <w:p>
      <w:pPr>
        <w:spacing w:after="0" w:line="145"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We began our operations in 2003. Our operations to date have been limited to financing and staffing our company, developing our technology and developing our product candidates as well as clinical trials. We have not yet demonstrated an ability to successfully complete a large-scale, pivotal clinical study, obtain marketing approval, manufacture a commercial-scale product, or conduct sales and marketing activities necessary for successful product commercialization. Consequently, predictions about our future success or viability may not be as accurate as they could be if we had a history of successfully developing and commercializing biologics or pharmaceutical products.</w:t>
      </w:r>
    </w:p>
    <w:p>
      <w:pPr>
        <w:spacing w:after="0" w:line="183" w:lineRule="exact"/>
        <w:rPr>
          <w:sz w:val="20"/>
          <w:szCs w:val="20"/>
          <w:color w:val="auto"/>
        </w:rPr>
      </w:pPr>
    </w:p>
    <w:p>
      <w:pPr>
        <w:ind w:left="38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growth and ability to compete depends on retaining our key personnel and recruiting additional qualified personnel.</w:t>
      </w:r>
    </w:p>
    <w:p>
      <w:pPr>
        <w:spacing w:after="0" w:line="171" w:lineRule="exact"/>
        <w:rPr>
          <w:sz w:val="20"/>
          <w:szCs w:val="20"/>
          <w:color w:val="auto"/>
        </w:rPr>
      </w:pPr>
    </w:p>
    <w:p>
      <w:pPr>
        <w:ind w:left="60" w:right="239" w:firstLine="324"/>
        <w:spacing w:after="0" w:line="252"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Madiha Derouazi, our Chief Scientific Officer; Dr. Nuno Mendonça, our Chief Medical Officer; Piergiorgio Donati, our Chief Technical Operations Officer; Christopher Roberts, our Chief Financial Officer; Howard Donovan, our Chief Human Resources Officer; Jean-Fabien Monin, our Chief Administrative Officer; Dr. Julien Rongère, our Senior Vice President (SVP) for Regulatory Affairs and Quality Assurance; Dr. Olivier Sol, our Vice President (VP) Head of Clinical Development; Dr. Bojana Portmann, our VP for Intellectual Property and Business Development (VP IP and BD); Alexandre Caratsch, our General Counsel; and Mark Danton, our SVP Information Systems and Artificial Intelligence.</w:t>
      </w:r>
    </w:p>
    <w:p>
      <w:pPr>
        <w:spacing w:after="0" w:line="191" w:lineRule="exact"/>
        <w:rPr>
          <w:sz w:val="20"/>
          <w:szCs w:val="20"/>
          <w:color w:val="auto"/>
        </w:rPr>
      </w:pPr>
    </w:p>
    <w:p>
      <w:pPr>
        <w:ind w:left="60" w:right="99" w:firstLine="324"/>
        <w:spacing w:after="0" w:line="251" w:lineRule="auto"/>
        <w:rPr>
          <w:sz w:val="20"/>
          <w:szCs w:val="20"/>
          <w:color w:val="auto"/>
        </w:rPr>
      </w:pPr>
      <w:r>
        <w:rPr>
          <w:rFonts w:ascii="Times New Roman" w:cs="Times New Roman" w:eastAsia="Times New Roman" w:hAnsi="Times New Roman"/>
          <w:sz w:val="18"/>
          <w:szCs w:val="18"/>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imposes an annual binding shareholders’ “say on pay” vote with respect to the total compensation of executive management, including executive officers and the board of directors, and prohibits severance or similar payment, bonuses for company purchases and sales, and additional contracts as consultants to or employees of other companies in the group. In addition, the competition for qualified personnel in the pharmaceutical and biopharmaceutical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could have a material adverse effect on our business.</w:t>
      </w:r>
    </w:p>
    <w:p>
      <w:pPr>
        <w:spacing w:after="0" w:line="179" w:lineRule="exact"/>
        <w:rPr>
          <w:sz w:val="20"/>
          <w:szCs w:val="20"/>
          <w:color w:val="auto"/>
        </w:rPr>
      </w:pPr>
    </w:p>
    <w:p>
      <w:pPr>
        <w:ind w:left="38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or as a result of claims against our directors and officers; and our liability insurance may not cover all damages from such claims.</w:t>
      </w:r>
    </w:p>
    <w:p>
      <w:pPr>
        <w:spacing w:after="0" w:line="17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are exposed to potential clinical trial liability and professional indemnity risks that are inherent in the research, development, manufacturing, marketing and use of pharmaceutical or biopharmaceutical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by healthcare providers, or by pharmaceutical or biopharmaceutical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3"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purchase liability insurance in connection with the clinical studies that we undertake and for the purpose of indemnifying our directors and officers for claims against them in amounts that we consider to be consistent with industry norms. It is possible that our liabilities could exceed our insurance coverage. For example, if we obtain marketing approval for any of our product candidates, we will intend to expand our insurance coverage to include the sale of commercial products. However, we may not be able to maintain insurance coverage at a reasonable cost or obtain insurance coverage that will be adequate to satisfy any liability that may arise. If a successful liability claim or series of claims is brought against us for uninsured liabilities or in excess of insured liabilities, our assets may not be sufficient to cover such claims and our business operations could be impaired.</w:t>
      </w:r>
    </w:p>
    <w:p>
      <w:pPr>
        <w:spacing w:after="0" w:line="192"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Should any of the events described above occur, this could have a material adverse effect on our business, financial condition and results of operations.</w:t>
      </w:r>
    </w:p>
    <w:p>
      <w:pPr>
        <w:spacing w:after="0" w:line="172" w:lineRule="exact"/>
        <w:rPr>
          <w:sz w:val="20"/>
          <w:szCs w:val="20"/>
          <w:color w:val="auto"/>
        </w:rPr>
      </w:pPr>
    </w:p>
    <w:p>
      <w:pPr>
        <w:jc w:val="both"/>
        <w:ind w:left="380" w:right="3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to obtain orphan-drug designation for certain of our product candidates. Orphan-drug designation may not ensure that we will enjoy market exclusivity in a particular market, and if we fail to obtain or maintain orphan-drug exclusivity for such product candidates, we may be subject to earlier competition and our potential revenue will be reduced.</w:t>
      </w:r>
    </w:p>
    <w:p>
      <w:pPr>
        <w:spacing w:after="0" w:line="180"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(EU), the EMA’s Committee for Orphan Medicinal Products grants orphan-drug designation to promote the development of products that meet the following criteria: a) they are intended for the diagnosis, prevention, or treatment of a life-threatening or chronically debilitating condition affecting not more than 5 in 10,000 persons in the EU or for products that are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and b) there is no satisfactory method of diagnosis, prevention, or treatment, or, if such a method exists, the medicine must be of significant benefit to those affected by the condition.</w:t>
      </w:r>
    </w:p>
    <w:p>
      <w:pPr>
        <w:spacing w:after="0" w:line="19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the U.S., orphan-drug designation entitles a party to financial incentives such as opportunities for grant funding toward clinical study costs, tax advantages and user-fee waivers. In addition, if a product receives the first FDA approval for the indication for which it has orphan designation, the product is entitled to orphan-drug exclusivity, which means that the FDA cannot approve any other application to market the same drug for the same indication for a period of 7 years, except in limited circumstances, such as a showing of clinical superiority over the product with orphan exclusivity or if the manufacturer is unable to assure sufficient product quantity. In the EU, orphan-drug designation entitles a party to financial incentives such as reduction of fees or fee waivers and 10 years of market exclusivity for the orphan indication following drug or biological product approval, provided that the criteria for orphan designation are still applicable at the time of the granting of the marketing authorization. This period may be reduced to 6 years if at the end of the fifth year, the orphan-drug designation criteria are no longer met, including where it is shown that the product is sufficiently profitable not to justify maintenance of market exclusivity.</w:t>
      </w:r>
    </w:p>
    <w:p>
      <w:pPr>
        <w:spacing w:after="0" w:line="18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may not be able to obtain orphan-drug designation for any of our product candidates, and even if we do, we may not be the first to obtain marketing approval for any particular orphan indication due to the uncertainties associated with developing pharmaceutical or biopharmaceutical products. Further, even if we obtain orphan-drug designation for a product, that exclusivity may not effectively protect the product from competition because different drugs with different active moieties can be approved for the same condition. Orphan-drug designation neither shortens the development time or regulatory review time of a drug nor gives the drug any advantage in the regulatory review or approval process.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prioritize development of certain product candidates.</w:t>
      </w:r>
    </w:p>
    <w:p>
      <w:pPr>
        <w:spacing w:after="0" w:line="229" w:lineRule="exact"/>
        <w:rPr>
          <w:sz w:val="20"/>
          <w:szCs w:val="20"/>
          <w:color w:val="auto"/>
        </w:rPr>
      </w:pPr>
    </w:p>
    <w:p>
      <w:pPr>
        <w:ind w:left="60" w:right="219" w:firstLine="324"/>
        <w:spacing w:after="0" w:line="252"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pharmaceutical or biopharmaceutical industry, in particular for neurological disorders, our business, financial condition and results of operations could be materially adversely affected.</w:t>
      </w:r>
    </w:p>
    <w:p>
      <w:pPr>
        <w:spacing w:after="0" w:line="186" w:lineRule="exact"/>
        <w:rPr>
          <w:sz w:val="20"/>
          <w:szCs w:val="20"/>
          <w:color w:val="auto"/>
        </w:rPr>
      </w:pPr>
    </w:p>
    <w:p>
      <w:pPr>
        <w:ind w:left="38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possible restrictions on animal testing.</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that the activities of these groups are successful, our research and development activities may be interrupted, delayed or become more expensive.</w:t>
      </w:r>
    </w:p>
    <w:p>
      <w:pPr>
        <w:spacing w:after="0" w:line="185" w:lineRule="exact"/>
        <w:rPr>
          <w:sz w:val="20"/>
          <w:szCs w:val="20"/>
          <w:color w:val="auto"/>
        </w:rPr>
      </w:pPr>
    </w:p>
    <w:p>
      <w:pPr>
        <w:ind w:left="38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breakdown or breach of our information technology systems and cybersecurity efforts, or those of our key business partners, CROs or service providers, could subject us to liability or reputational damage or interrupt the operation of our business.</w:t>
      </w:r>
    </w:p>
    <w:p>
      <w:pPr>
        <w:spacing w:after="0" w:line="1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We are increasingly dependent upon technology systems and data. Our computer systems continue to increase in</w:t>
      </w:r>
    </w:p>
    <w:p>
      <w:pPr>
        <w:spacing w:after="0" w:line="16"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multitude and complexity due to the growth in our business, making them potentially vulnerable to breakdown, malicious intrusion and random attack. Despite the implementation of security measures, our internal computer systems and those of our key business partners, CROs and service providers may be vulnerable to damage from computer viruses, unauthorized access or other similar cyber-attacks or incidents. Events such as these have significantly increased in recent years, in part because of the proliferation of new technologies (including artificial intelligence), and if such an event were to occur and cause interruptions in our operations, it could result in a material disruption of our development programs and our business operations.</w:t>
      </w:r>
    </w:p>
    <w:p>
      <w:pPr>
        <w:spacing w:after="0" w:line="179"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Data privacy or security breaches, cyber-attacks and other cybersecurity incidents, including those by individuals authorized to access our technology systems or others, may pose a risk that sensitive data, including intellectual property, trade secrets or personal information belonging to us, our patients, study subjects or other business partners, may be exposed to unauthorized persons or to the public. Cyber-attacks are increasing in their frequency, sophistication and intensity, and are becoming increasingly difficult to detect. They are often carried out by motivated, well-resourced, skilled and persistent actors, including nation states, state-sponsored actors, organized crime groups, “hacktivists”, employees or contractors acting with malicious intent and other external actors, and such actors may see their effectiveness enhanced by the use of artificial intelligence. Cyber-attacks could include the deployment of harmful malware and key loggers, ransomware, a denial-of-service attack, a malicious website, phishing attacks, computer viruses, social engineering and other means to affect the confidentiality, integrity and availability of our technology systems and data. Our systems and networks are also vulnerable to damage or interruption from, among other things, software bugs, server malfunctions, software or hardware failure, telecommunications failures, insider theft, fire, terrorist attacks, natural disasters, power loss, war, misuse, mistake, fraud, misconduct or other events that may harm our systems and networks. Our key business partners, CROs and service providers face similar risks, and any security breach or other failure of their systems could adversely affect our security posture. For example, the loss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on other third parties for the manufacture of our product candidates and to conduct clinical trials, and similar events relating to their computer systems could also have a material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adverse effect on our business. Our ability to evaluate and monitor our CROs’, contractors’ and consultants’ data security practices are limited, and due to applicable laws and regulations or contractual obligations, we may be held responsible for any security breaches or cybersecurity attack attributed to them as they relate to the information we share with them. To the extent that any disruption or security breach were to result in a loss of, or damage to, our data or systems, or inappropriate disclosure of confidential or proprietary information or personal data of our employees, partners or study subjects, we could incur liability including notification obligations (including to the impacted individuals and applicable regulators or supervisory authorities), and the further development and commercialization of our product candidates could be delayed.</w:t>
      </w:r>
    </w:p>
    <w:p>
      <w:pPr>
        <w:spacing w:after="0" w:line="158"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Although we continue to build and improve our systems and infrastructure, and to implement technical, organizational and legal security measures, and believe we have taken appropriate security measures to reduce these risks to our data and information technology systems, there can be no assurance that our efforts will prevent, detect or appropriately respond to breakdowns or breaches in our systems that could adversely affect our business and operations and/or result in the loss of critical or sensitive information, including personal information, which could result in financial, legal, business or reputational harm to us. We continue to invest in industry standard IS/IT solutions and managed services that often include the relevant, layered protection and monitoring practices surrounding our data and IT systems and related infrastructure. These investments reduce further these risks in that they enable organizations such as ours to leverage the resources necessary to monitor IT systems and infrastructure for any current or potential threats. We also regularly perform risk and impact assessments, the results of which generally lead to the implementation of certain measures designed to increase our level of data protection. These investments are costly, and as cyber threats continue to evolve, we may be required to expend significant, additional resources to continue to modify and/or enhance our protective, detective and responsive measures required to remediate any identified information security vulnerabilities. In addition, our liability insurance may not be sufficient in type or amount to cover us against claims related to security breaches, cyber-attacks and other related breaches, and we cannot be sure that our existing coverage will continue to be available on acceptable terms or at all, or that our insurers will not deny coverage as to any future claim. We may be required to expend significant capital and other resources to protect against and respond to any attempted or existing cybersecurity incidents. In addition, our remediation efforts may not be successful.</w:t>
      </w:r>
    </w:p>
    <w:p>
      <w:pPr>
        <w:spacing w:after="0" w:line="196"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In addition, certain global geo-political events can increase our cybersecurity risk. For example, due to the recent Russia-Ukraine conflict, there have been publicized threats to increase cyber-attack activity against the critical infrastructure of any nation or organization that retaliates against Russia for its invasion of Ukraine. There may also be increased risks of cyber-attacks as a result of the unfolding events in Israel and the Gaza Strip. Any such increase in such attacks on us or our key business partners, CROs or service providers could adversely affect our systems or other operations.</w:t>
      </w:r>
    </w:p>
    <w:p>
      <w:pPr>
        <w:spacing w:after="0" w:line="185" w:lineRule="exact"/>
        <w:rPr>
          <w:sz w:val="20"/>
          <w:szCs w:val="20"/>
          <w:color w:val="auto"/>
        </w:rPr>
      </w:pPr>
    </w:p>
    <w:p>
      <w:pPr>
        <w:ind w:left="38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Changes in laws, rules or regulations relating to data privacy and security, or any actual or perceived failure by us to comply with such laws, rules, regulations and standards, or contractual or other obligations relating to data privacy and security, could result in claims, changes to our business practices, penalties, increased cost of operations and could have a material adverse effect on our reputation, results of operations, financial condition and cash flows.</w:t>
      </w:r>
    </w:p>
    <w:p>
      <w:pPr>
        <w:spacing w:after="0" w:line="170"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and may increasingly become, subject to various laws, rules, regulations, treaties, decisions and standards,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rules, regulations, treaties, decisions and standards may be interpreted and applied differently over time and from jurisdiction to jurisdiction and in a manner that is inconsistent with our data practices and that could have a material adverse effect on our results of operations, financial condition and cash flows. New laws, amendments to or reinterpretations of existing laws, rules, regulations, treaties, decisions, standards and other obligations may require us to incur additional costs and restrict our business operations, and may require us to change how we use, collect, store, transfer or otherwise process certain types of personal information and to implement new processes to comply with those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In the U.S., there are numerous federal and state laws and regulations related to the privacy and security of personal information. Regulations promulgated pursuant to the U.S. Health Insurance Portability and Accountability Act of 1996 (HIPAA) establish privacy and security standards that limit the use and disclosure of protected health information, and require the implementation of administrative, physical and technological safeguards to protect the privacy of protected health information and to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Numerous states have enacted or are in the process of enacting state level data privacy laws and regulations governing the collection, use, and other processing of state residents’ personal information, such as the California Consumer Privacy Act (CCPA) as amended by the California Privacy Rights Act of 2020 (CPRA), which provides new and enhanced data privacy rights to California residents, such as affording California residents the right to access and delete their information and to opt out of certain sharing and sales of personal information. In addition, laws in all 50 states require businesses to provide notice to individuals whose personal information has been disclosed as a result of a data breach.</w:t>
      </w:r>
    </w:p>
    <w:p>
      <w:pPr>
        <w:spacing w:after="0" w:line="196" w:lineRule="exact"/>
        <w:rPr>
          <w:sz w:val="20"/>
          <w:szCs w:val="20"/>
          <w:color w:val="auto"/>
        </w:rPr>
      </w:pPr>
    </w:p>
    <w:p>
      <w:pPr>
        <w:ind w:left="60" w:right="59" w:firstLine="324"/>
        <w:spacing w:after="0" w:line="248" w:lineRule="auto"/>
        <w:rPr>
          <w:sz w:val="20"/>
          <w:szCs w:val="20"/>
          <w:color w:val="auto"/>
        </w:rPr>
      </w:pPr>
      <w:r>
        <w:rPr>
          <w:rFonts w:ascii="Times New Roman" w:cs="Times New Roman" w:eastAsia="Times New Roman" w:hAnsi="Times New Roman"/>
          <w:sz w:val="18"/>
          <w:szCs w:val="18"/>
          <w:color w:val="auto"/>
        </w:rPr>
        <w:t>Internationally, laws, regulations and standards in many jurisdictions apply broadly to the collection, use, retention, security, disclosure, transfer and other processing of personal information. For example, the EU General Data Protection Regulation (GDPR), which became effective in May 2018, greatly increased the European Commission’s jurisdictional reach of its laws and adds a broad array of requirements for handling personal data. EU Member States are tasked under the GDPR to enact, and to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and Switzerland (via its Federal Data Protection Act)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(and the obligations of sponsors of clinical trials acting as data controllers), the transfer of personal data out of the European Economic Area (EEA), the notification of security breaches and the security and confidentiality of personal data. The GDPR authorizes fines for certain violations of up to 4% of global annual revenue or EUR 20 million, whichever is greater. The GDPR also applies to our key business partners, CROs and service providers, whether or not they are located in Europe, with which we share personal data subject to the GDPR. Additionally, following Brexit, we also are subject to the UK General Data Protection Regulation (UK GDPR) (i.e. a version of the GDPR as implemented into UK law), exposing us to two parallel regimes with potentially divergent interpretations and enforcement actions for certain violations. While the European Commission issued an adequacy decision intended to remain in effect until June 2025 in respect of the UK’s data protection framework, enabling data transfers from EU Member States to the UK to continue without requiring organizations to put in place contractual or other measures in order to lawfully transfer personal data between the territories, the relationship between the UK and the EU in relation to certain aspects of data privacy and security law remains unclear. For example, such decision may be revoked in the future by the European Commission if the UK data protection regime is reformed in ways that deviate substantially from the GDPR. Although we do not have material operations in the UK, we cannot rule out potential disruptions in relation to the clinical regulatory framework applicable to our clinical studies in the UK, and to data privacy and security rules with respect to personal data sharing with vendors and clinical investigators in the UK, and we cannot predict future implications. Similarly, while on July 10, 2023 the European Commission adopted an adequacy decision concluding that the U.S. ensures an adequate level of protection for personal data transferred from the EEA to the U.S. under the EU-U.S. Data Privacy Framework (followed on October 12, 2023 with the adoption of an adequacy decision in the UK for the UK-U.S. Data Bridge), such decision does not foreclose, and is likely to face, future legal challenges and ongoing legal uncertainty. In addition, additional costs may need to be incurred in order to implement necessary safeguards to comply with the GDPR and the UK GDPR and potential new rules and restrictions on the flow of data across borders could increase the cost and complexity of conducting business in some markets. If our policies and practices or those of our key business partners, CROs or service providers are, or are perceived to be, insufficient, or if our users have concerns regarding our transfers of data, we could be subject to enforcement actions or investigations by individual EU or UK data protection authorities or lawsuits by private parties. While we have taken steps to mitigate the impact of such complexities and uncertainties on us by implementing supplementary measures in accordance with the applicable regulations, the efficacy and longevity of these mechanisms remains uncertain due to the fast-moving regulatory environment.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which are likely to increase over time. In addition, such requirements may require us to modify our data processing practices and policies, distract management or divert resources from other initiatives and projects. If we are unable to properly protect the privacy and security of personal information, including protected health information, we could be found to have breached our contracts. In addition, any failure or perceived failure by us to comply with any applicable federal, state or similar foreign laws and regulations relating to data privacy and security could result in damage to our reputation and our relationship with our customers, as well as proceedings or litigation by governmental agencies, customers, partners, collaborators and/or study subjects, including class action privacy litigation in certain jurisdictions, which would subject us to significant fines, sanctions, awards, penalties or judgments, all of which could have a material adverse effect on our business, results of operations, financial condition and prospects.</w:t>
      </w:r>
    </w:p>
    <w:p>
      <w:pPr>
        <w:spacing w:after="0" w:line="185" w:lineRule="exact"/>
        <w:rPr>
          <w:sz w:val="20"/>
          <w:szCs w:val="20"/>
          <w:color w:val="auto"/>
        </w:rPr>
      </w:pPr>
    </w:p>
    <w:p>
      <w:pPr>
        <w:ind w:left="38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59" w:lineRule="exact"/>
        <w:rPr>
          <w:sz w:val="20"/>
          <w:szCs w:val="20"/>
          <w:color w:val="auto"/>
        </w:rPr>
      </w:pPr>
    </w:p>
    <w:p>
      <w:pPr>
        <w:ind w:left="60" w:right="99" w:firstLine="324"/>
        <w:spacing w:after="0" w:line="249" w:lineRule="auto"/>
        <w:rPr>
          <w:sz w:val="20"/>
          <w:szCs w:val="20"/>
          <w:color w:val="auto"/>
        </w:rPr>
      </w:pPr>
      <w:r>
        <w:rPr>
          <w:rFonts w:ascii="Times New Roman" w:cs="Times New Roman" w:eastAsia="Times New Roman" w:hAnsi="Times New Roman"/>
          <w:sz w:val="18"/>
          <w:szCs w:val="18"/>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In addition, Hamas’ attacks against Israelis in Gaza and Israel’s military responses have spawned or may spawn regional military confrontations between Israel and neighboring Arab countries and their respective allies around the world that may cause political and economic disruptions. Moreover, since the end of 2021, tensions between the United States and Russia escalated when Russia amassed large numbers of military ground forces and support personnel on the Ukraine-Russia border and, in February 2022, Russia invaded Ukraine. In response, North Atlantic Treaty Organization, or NATO has deployed additional military forces to Eastern Europe, including to Lithuania, and the Biden administration announced certain sanctions against Russia. The invasion of Ukraine and the retaliatory measures that have been taken, or could be taken in the future, by the United States, NATO, and other countries have created global security concerns that could result in a regional conflict and otherwise have a lasting impact on regional and global economies, any or all of which could disrupt our supply chain, adversely affect our ability to conduct ongoing and future clinical trials of our product candidates, and adversely affect our ability to commercialize our products (subject to regulatory approval) in this region. Currently, none of our clinical development or business activities are conducted directly or otherwise in Russia or Ukraine.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by other business interruption.</w:t>
      </w:r>
    </w:p>
    <w:p>
      <w:pPr>
        <w:spacing w:after="0" w:line="20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vast majority of our operations including our corporate headquarters are located in Ecublens, near Lausanne, Canton of Vaud,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85" w:lineRule="exact"/>
        <w:rPr>
          <w:sz w:val="20"/>
          <w:szCs w:val="20"/>
          <w:color w:val="auto"/>
        </w:rPr>
      </w:pPr>
    </w:p>
    <w:p>
      <w:pPr>
        <w:ind w:left="38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15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third parties.</w:t>
      </w:r>
    </w:p>
    <w:p>
      <w:pPr>
        <w:spacing w:after="0" w:line="183" w:lineRule="exact"/>
        <w:rPr>
          <w:sz w:val="20"/>
          <w:szCs w:val="20"/>
          <w:color w:val="auto"/>
        </w:rPr>
      </w:pPr>
    </w:p>
    <w:p>
      <w:pPr>
        <w:jc w:val="both"/>
        <w:ind w:left="60" w:right="719" w:firstLine="324"/>
        <w:spacing w:after="0" w:line="289" w:lineRule="auto"/>
        <w:rPr>
          <w:sz w:val="20"/>
          <w:szCs w:val="20"/>
          <w:color w:val="auto"/>
        </w:rPr>
      </w:pPr>
      <w:r>
        <w:rPr>
          <w:rFonts w:ascii="Times New Roman" w:cs="Times New Roman" w:eastAsia="Times New Roman" w:hAnsi="Times New Roman"/>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4" w:lineRule="auto"/>
        <w:rPr>
          <w:sz w:val="20"/>
          <w:szCs w:val="20"/>
          <w:color w:val="auto"/>
        </w:rPr>
      </w:pPr>
      <w:r>
        <w:rPr>
          <w:rFonts w:ascii="Times New Roman" w:cs="Times New Roman" w:eastAsia="Times New Roman" w:hAnsi="Times New Roman"/>
          <w:sz w:val="17"/>
          <w:szCs w:val="17"/>
          <w:color w:val="auto"/>
        </w:rPr>
        <w:t>independent sales and marketing organization. Developing a sales and marketing organization requires significant investment, is time-consuming and could delay the launch of our product candidates. We may not be able to build an effective sales and marketing organization. In addition, successful commercialization also requires an enhanced regulatory organization which we currently do not have. If we are unable to build our own distribution and marketing capabilities, are unable to find suitable partners for the commercialization of our product candidates or do not successfully obtain the necessary regulatory capabilities, we may not generate revenues from them or be able to reach or sustain profitability.</w:t>
      </w:r>
    </w:p>
    <w:p>
      <w:pPr>
        <w:spacing w:after="0" w:line="16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the acceptance of user fees payments, and statutory, regulatory, and policy changes. Average review times at the agency have fluctuated in recent years as a result. If a prolonged government shutdown occurs, if the FDA is required to furlough review staff or necessary employees, or if the agency operations are otherwise impacted, it could significantly affect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5" w:lineRule="exact"/>
        <w:rPr>
          <w:sz w:val="20"/>
          <w:szCs w:val="20"/>
          <w:color w:val="auto"/>
        </w:rPr>
      </w:pPr>
    </w:p>
    <w:p>
      <w:pPr>
        <w:ind w:left="380" w:right="5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current strategic relationships with Eli Lilly and Company (Lilly), Janssen Pharmaceuticals Inc. (Janssen) part of the Janssen Pharmaceutical Companies of Johnson &amp; Johnson, Life Molecular Imaging SA (LMI) and other of our current or future strategic partners, our business, commercialization prospects and financial condition may be materially adversely affected.</w:t>
      </w:r>
    </w:p>
    <w:p>
      <w:pPr>
        <w:spacing w:after="0" w:line="184" w:lineRule="exact"/>
        <w:rPr>
          <w:sz w:val="20"/>
          <w:szCs w:val="20"/>
          <w:color w:val="auto"/>
        </w:rPr>
      </w:pPr>
    </w:p>
    <w:p>
      <w:pPr>
        <w:ind w:left="60" w:right="99" w:firstLine="324"/>
        <w:spacing w:after="0" w:line="269" w:lineRule="auto"/>
        <w:rPr>
          <w:sz w:val="20"/>
          <w:szCs w:val="20"/>
          <w:color w:val="auto"/>
        </w:rPr>
      </w:pPr>
      <w:r>
        <w:rPr>
          <w:rFonts w:ascii="Times New Roman" w:cs="Times New Roman" w:eastAsia="Times New Roman" w:hAnsi="Times New Roman"/>
          <w:sz w:val="17"/>
          <w:szCs w:val="17"/>
          <w:color w:val="auto"/>
        </w:rPr>
        <w:t>In December 2018, we signed a license agreement with Lilly to research and develop Morphomer Tau small molecules for the treatment of AD and other neurodegenerative diseases (NDD). This collaboration commenced in Q1 2019. We are in a partnership with Janssen to develop and commercialize therapeutic anti-Tau active immunotherapies for the treatment of AD and potentially other Tauopathies. We also have a diagnostic partnership with LMI for compounds, which bind pathological Tau for use as a PET tracer. Our collaboration partners each have the right to terminate their agreements with us for any reason upon providing us with a certain notice period. If Lilly, Janssen, LMI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78" w:lineRule="exact"/>
        <w:rPr>
          <w:sz w:val="20"/>
          <w:szCs w:val="20"/>
          <w:color w:val="auto"/>
        </w:rPr>
      </w:pPr>
    </w:p>
    <w:p>
      <w:pPr>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Good relationships with Lilly, Janssen, LMI and other of our current or future strategic partners are important for our business prospects. If our relationships with Lilly, Janssen, LMI or other of our current or future strategic partners were to deteriorate substantially or if Lilly, Janssen, LMI or other of our current or future strategic partners were to challenge our use of their intellectual property or our calculations of the payments we are owed under our agreements, our business, financial condition, commercialization prospects and results of operations could be materially adversely affected.</w:t>
      </w:r>
    </w:p>
    <w:p>
      <w:pPr>
        <w:spacing w:after="0" w:line="175" w:lineRule="exact"/>
        <w:rPr>
          <w:sz w:val="20"/>
          <w:szCs w:val="20"/>
          <w:color w:val="auto"/>
        </w:rPr>
      </w:pPr>
    </w:p>
    <w:p>
      <w:pPr>
        <w:ind w:left="60" w:right="339" w:firstLine="324"/>
        <w:spacing w:after="0" w:line="270" w:lineRule="auto"/>
        <w:rPr>
          <w:sz w:val="20"/>
          <w:szCs w:val="20"/>
          <w:color w:val="auto"/>
        </w:rPr>
      </w:pPr>
      <w:r>
        <w:rPr>
          <w:rFonts w:ascii="Times New Roman" w:cs="Times New Roman" w:eastAsia="Times New Roman" w:hAnsi="Times New Roman"/>
          <w:sz w:val="17"/>
          <w:szCs w:val="17"/>
          <w:color w:val="auto"/>
        </w:rPr>
        <w:t>Lastly, our collaboration agreements with Lilly, Janssen and LMI provide each partner with control over, and responsibility for, the clinical development process, including obtaining regulatory and marketing approvals, manufacturing costs and sales and marketing costs. Future collaboration agreements may also relinquish development control to our partners. Our current or future collaboration partners may and do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partners may also fail to fulfill their obligations under the collaboration agreements or may be slow in performing their obligations. Any of these circumstances could result in a material adverse impact on our business, financial condition, commercialization prospects or results of operations.</w:t>
      </w:r>
    </w:p>
    <w:p>
      <w:pPr>
        <w:spacing w:after="0" w:line="172" w:lineRule="exact"/>
        <w:rPr>
          <w:sz w:val="20"/>
          <w:szCs w:val="20"/>
          <w:color w:val="auto"/>
        </w:rPr>
      </w:pPr>
    </w:p>
    <w:p>
      <w:pPr>
        <w:jc w:val="both"/>
        <w:ind w:left="38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75" w:lineRule="exact"/>
        <w:rPr>
          <w:sz w:val="20"/>
          <w:szCs w:val="20"/>
          <w:color w:val="auto"/>
        </w:rPr>
      </w:pPr>
    </w:p>
    <w:p>
      <w:pPr>
        <w:ind w:left="60" w:right="299" w:firstLine="324"/>
        <w:spacing w:after="0" w:line="272" w:lineRule="auto"/>
        <w:rPr>
          <w:sz w:val="20"/>
          <w:szCs w:val="20"/>
          <w:color w:val="auto"/>
        </w:rPr>
      </w:pPr>
      <w:r>
        <w:rPr>
          <w:rFonts w:ascii="Times New Roman" w:cs="Times New Roman" w:eastAsia="Times New Roman" w:hAnsi="Times New Roman"/>
          <w:sz w:val="17"/>
          <w:szCs w:val="17"/>
          <w:color w:val="auto"/>
        </w:rPr>
        <w:t>Our product development programs and the potential commercialization of our product candidates will require substantial additional liquidity to fund expenses and may require expertise, such as sales and marketing expertise, which we do not currently possess. Therefore, in addition to our relationships with Lilly, Janssen and LMI, we may decide to enter into strategic alliances or to create joint ventures or collaborations with pharmaceutical or biopharmaceutical companies for the further development and potential commercialization of those and other of our product candidates.</w:t>
      </w:r>
    </w:p>
    <w:p>
      <w:pPr>
        <w:spacing w:after="0" w:line="175" w:lineRule="exact"/>
        <w:rPr>
          <w:sz w:val="20"/>
          <w:szCs w:val="20"/>
          <w:color w:val="auto"/>
        </w:rPr>
      </w:pPr>
    </w:p>
    <w:p>
      <w:pPr>
        <w:ind w:left="60" w:right="59" w:firstLine="324"/>
        <w:spacing w:after="0" w:line="249"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Collaborations are complex and time-consuming to negotiate, document and manage.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202" w:lineRule="exact"/>
        <w:rPr>
          <w:sz w:val="20"/>
          <w:szCs w:val="20"/>
          <w:color w:val="auto"/>
        </w:rPr>
      </w:pPr>
    </w:p>
    <w:p>
      <w:pPr>
        <w:ind w:left="720" w:right="39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the collaboration partner devotes to the product development program;</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 partner may experience financial difficulties;</w:t>
      </w:r>
    </w:p>
    <w:p>
      <w:pPr>
        <w:spacing w:after="0" w:line="225"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grant or otherwise relinquish important rights such as marketing, distribution and intellectual property rights;</w:t>
      </w:r>
    </w:p>
    <w:p>
      <w:pPr>
        <w:spacing w:after="0" w:line="161"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could move forward with a competing product developed either independently or in collaboration with third parties, including our competitors; or</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collaboration partner’s business strategy may adversely affect our willingness to continue any arrangement.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80"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third-party clinical CROs, to monitor and manage data for our ongoing preclinical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clinical CROs does not relieve us of our regulatory responsibilities. We and our clinical CROs and other vendors are required to comply with current Good Manufacturing Practice (cGMP), current Good Clinical Practice (cGCP), and current Good Laboratory Practice (cGLP), which are regulations and guidelines enforced by the FDA, the Competent Authorities of the Member States of the EU and comparable foreign regulatory authorities for our product candidates in nonclinical and clinical development (where applicable). Regulatory authorities enforce these regulations through periodic inspections of study sponsors, principal investigators, study sites and other contractors. If we or any of our clinical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96"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If any of our relationships with these third-party clinical CROs terminates, we may not be able to enter into arrangements with alternative clinical CROs or do so on commercially reasonable terms. In addition, our clinical CROs are not our employees, and except for remedies available to us under our agreements with such clinical CROs, we cannot control whether or not they devote sufficient time and resources to our ongoing nonclinical and clinical programs. If clinical CROs do not successfully carry out their contractual duties or obligations or meet expected deadlines, if they need to be replaced or if the quality or accuracy of the data they obtain is compromised due to their failure to adhere to our protocols, regulatory requirements, or for other reasons, our clinical studies may be extended, delayed, or terminated and we may not be able to obtain regulatory approval for or successfully commercialize our product candidates. Clinical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93"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Switching or adding additional clinical CROs involves additional cost and requires management time and focus. In addition, there is a natural transition period when a new clinical CRO commences work. As a result, delays occur, which could materially impact our ability to meet our desired clinical development timelines. Though we carefully manage our relationships with our clinical CROs, there can be no assurance that we will not encounter similar challenges or delays in the future or that these delays or challenges will not have a material adverse impact on our business, financial condition and prospects.</w:t>
      </w:r>
    </w:p>
    <w:p>
      <w:pPr>
        <w:spacing w:after="0" w:line="185" w:lineRule="exact"/>
        <w:rPr>
          <w:sz w:val="20"/>
          <w:szCs w:val="20"/>
          <w:color w:val="auto"/>
        </w:rPr>
      </w:pPr>
    </w:p>
    <w:p>
      <w:pPr>
        <w:jc w:val="both"/>
        <w:ind w:left="38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175"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currently rely on, and expect to continue to rely on, third parties for the manufacturing and supply of chemical and biological compounds and formulations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(QC), quality assurance (QA) and qualified personnel. If we are compelled or we wish to find alternative manufacturing facilities, this could significantly impact our ability to develop, obtain regulatory approval for or market our product candidates.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Third-party providers may breach agreements they have with us because of factors beyond our control. Contract manufacturers often encounter difficulties involving production yields, QC and QA, as well as shortages of qualified personnel. They may also terminate or refuse to renew their agreements because of their own financial difficulties or business priorities, potentially at a time that is costly or otherwise inconvenient for us. If we are unable to find adequate replacement or another acceptable solution in time, our clinical studies could be delayed or our commercial activities could be harmed.</w:t>
      </w:r>
    </w:p>
    <w:p>
      <w:pPr>
        <w:spacing w:after="0" w:line="189"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Growth in the costs and expenses of components or raw materials, in particular as a result of rising inflation,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or our collaboration partners’, ability to commercialize any products that receive marketing approval on a timely and competitive basis.</w:t>
      </w:r>
    </w:p>
    <w:p>
      <w:pPr>
        <w:spacing w:after="0" w:line="183" w:lineRule="exact"/>
        <w:rPr>
          <w:sz w:val="20"/>
          <w:szCs w:val="20"/>
          <w:color w:val="auto"/>
        </w:rPr>
      </w:pPr>
    </w:p>
    <w:p>
      <w:pPr>
        <w:ind w:left="380" w:right="7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collaboration arrangements with our strategic partners may make us an attractive target for potential acquisition under certain circumstances.</w:t>
      </w:r>
    </w:p>
    <w:p>
      <w:pPr>
        <w:spacing w:after="0" w:line="171"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Under certain circumstances, due to the structure of our collaboration arrangements with our strategic partners, our strategic partners may prefer to acquire us rather than pay the milestone payments or royalties under the collaboration arrangements, which may bring additional uncertainties to our business development and prospects. For example, under our collaboration arrangements with Lilly and Janssen, we may become entitled to substantial milestone payments and royalties. As a result, rather than paying the milestone payments or royalties, Lilly or Johnson &amp; Johnson, or one of their affiliates may choose to acquire us.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terms to protect our products and business effectively.</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patent is generally 20 years after it is filed. Although various extensions or adjustments may be available, such as adjustments based on certain delays caused by the U.S. Patent and Trademark Office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patents covering our product candidates are obtained and unchallenged, once the patent life has expired for a product, we may be open to competition from generic medications.</w:t>
      </w:r>
    </w:p>
    <w:p>
      <w:pPr>
        <w:spacing w:after="0" w:line="162"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Although patent term extensions under the Hatch-Waxman Act, in the U.S. and under supplementary protection certificates (SPCs) in Europe may be available to extend the patent exclusivity term for our products, we cannot provide any assurances that any such patent term extension will be obtained and, if so, for how long. The Hatch-Waxman Act permits a patent extension term of up to 5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It is not possible to base an SPC in Europe on a patent in a European Member State if that patent expires before the Market Authorization (MA) of the clinical product, protected by the patent, is obtained. As the “product” (active ingredient(s)) must be “protected by a basic patent in force,” only a granted patent that is in force, and remains in force until it reaches the end of its full term, can serve as a “basic patent” upon which an SPC can be based. Therefore, expired patents and pending patent applications cannot serve as the basis for an SPC. Given the relatively long clinical development timelines of biologicals and new chemical entities for therapeutic purposes, we may not be granted any patent extensions as we might fail to apply for the extensions prior to expiration of relevant patents. Moreover, the applicable time period or the scope of patent protection afforded could be less than we request. If we are unable to obtain patent term extension or if the term of any such extension is less than we request, such result could have a material adverse effect on our business.</w:t>
      </w:r>
    </w:p>
    <w:p>
      <w:pPr>
        <w:spacing w:after="0" w:line="192" w:lineRule="exact"/>
        <w:rPr>
          <w:sz w:val="20"/>
          <w:szCs w:val="20"/>
          <w:color w:val="auto"/>
        </w:rPr>
      </w:pPr>
    </w:p>
    <w:p>
      <w:pPr>
        <w:ind w:left="38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licensees and collaborators, any of which could be expensive, time-consuming, and unsuccessful, and may ultimately result in our loss of ownership of intellectual property.</w:t>
      </w:r>
    </w:p>
    <w:p>
      <w:pPr>
        <w:spacing w:after="0" w:line="184" w:lineRule="exact"/>
        <w:rPr>
          <w:sz w:val="20"/>
          <w:szCs w:val="20"/>
          <w:color w:val="auto"/>
        </w:rPr>
      </w:pPr>
    </w:p>
    <w:p>
      <w:pPr>
        <w:ind w:left="60" w:right="79" w:firstLine="324"/>
        <w:spacing w:after="0" w:line="265" w:lineRule="auto"/>
        <w:rPr>
          <w:sz w:val="20"/>
          <w:szCs w:val="20"/>
          <w:color w:val="auto"/>
        </w:rPr>
      </w:pPr>
      <w:r>
        <w:rPr>
          <w:rFonts w:ascii="Times New Roman" w:cs="Times New Roman" w:eastAsia="Times New Roman" w:hAnsi="Times New Roman"/>
          <w:sz w:val="17"/>
          <w:szCs w:val="17"/>
          <w:color w:val="auto"/>
        </w:rPr>
        <w:t>Competitors may infringe our patents or the patents of our licensors or collaborators. To counter such infringement, we may be required to file infringement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the defendant’s products do not infringe our or our licensing collaborators’ patents or that we or our licensing collaborators infringe the defendant’s patents. In patent litigation in the U.S., defendant counterclaims alleging invalidity, unenforceability and non-infringement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U.S. or abroad, even outside the context of litigation. Such mechanisms include re-examination, post-grant review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inter partes </w:t>
      </w:r>
      <w:r>
        <w:rPr>
          <w:rFonts w:ascii="Times New Roman" w:cs="Times New Roman" w:eastAsia="Times New Roman" w:hAnsi="Times New Roman"/>
          <w:sz w:val="17"/>
          <w:szCs w:val="17"/>
          <w:color w:val="auto"/>
        </w:rPr>
        <w:t>review, interference and derivation proceedings as well as equivalent proceedings in foreign jurisdictions,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opposition proceedings in Europe.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395"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Interference, derivation or other proceedings provoked by third parties, brought by us or declared by the USPTO may be necessary to determine the priority of inventions with respect to our patents or patent applications or those of our licensors, licensees or collaborators. An unfavorable outcome could require us or our licensing or collaboration partners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derivation or other proceedings, we may lose our ownership of intellectual property or our patents may be narrowed or invalidated. There can be no assurance as to the outcome of the interference, derivation or other proceedings, and any of the foregoing could result in a material adverse effect on our business, financial condition, results of operations or prospects.</w:t>
      </w:r>
    </w:p>
    <w:p>
      <w:pPr>
        <w:spacing w:after="0" w:line="175"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Our defense of litigation, interference, derivation or other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and research programs or force us to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U.S.</w:t>
      </w:r>
    </w:p>
    <w:p>
      <w:pPr>
        <w:spacing w:after="0" w:line="192"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79" w:lineRule="exact"/>
        <w:rPr>
          <w:sz w:val="20"/>
          <w:szCs w:val="20"/>
          <w:color w:val="auto"/>
        </w:rPr>
      </w:pPr>
    </w:p>
    <w:p>
      <w:pPr>
        <w:ind w:left="380" w:right="3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or our collaboration partners’ ability to successfully commercialize our products and technology may be adversely affected.</w:t>
      </w:r>
    </w:p>
    <w:p>
      <w:pPr>
        <w:spacing w:after="0" w:line="187"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U.S., the EU and other countries with respect to our proprietary technologies and product candidates. In particular, Lilly, Janssen or our other licensing or collaboration partners may be dependent on a license with a third party for the development and future commercialization of our product candidates. If such license is not granted or is terminated, Lilly, Janssen or other licensing or collaboration partners may be required to cease development and commercialization of our product candidates, any of which could have a material adverse effect on our business, financial condition, results of operations or prospects.</w:t>
      </w:r>
    </w:p>
    <w:p>
      <w:pPr>
        <w:spacing w:after="0" w:line="178"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U.S. and abroad related to any of our novel technologies and products that are important to our business. This process is expensive, time-consuming,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9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patent position of pharmaceutical and biopharmaceutical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U.S. or in other foreign countries, or fail to effectively prevent others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commercializing competitive technologies and product candidates. Changes in either the patent laws or interpretation of the patent laws in the U.S. and other countries may diminish the value of our patents or narrow the scope of our patent protection.</w:t>
      </w:r>
    </w:p>
    <w:p>
      <w:pPr>
        <w:spacing w:after="0" w:line="17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or our collaboration partners’ inability to manufacture or commercialize products without infringing third-party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or title in our patents or other intellectual property as an inventor or co-inventor. For example, we may have inventorship disputes arise from conflicting obligations of consultants, CROs, CMOs, academic institutions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9" w:lineRule="exact"/>
        <w:rPr>
          <w:sz w:val="20"/>
          <w:szCs w:val="20"/>
          <w:color w:val="auto"/>
        </w:rPr>
      </w:pPr>
    </w:p>
    <w:p>
      <w:pPr>
        <w:ind w:left="38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175"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U.S., EU or elsewhere could increase the uncertainties and costs surrounding the prosecution of patent applications and the enforcement or defense of issued patents. Assuming the other requirements for patentability are met, in the U.S. prior to March 15, 2013, the first to make the claimed invention is entitled to the patent, whereas outside the U.S., the first to file a patent application was entitled to the patent. After March 15, 2013, under the Leahy-Smith America Invents Act (the Leahy-Smith Act), enacted on September 16, 2011, the U.S.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attack the validity of a patent by the USPTO administered during post grant proceedings, including re-examination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derivation proceedings. Therefore, the Leahy-Smith Act and its implementation increases the uncertainties and costs surrounding the prosecution of our patent applications and the enforcement or defense of our issued patents, all of which could have a material adverse effect on our business, financial condition, results of operations and prospects. In addition, future actions by the U.S. Congress,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federal courts and the USPTO could cause the laws and regulations governing patents to change in unpredictable ways.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of the foregoing could harm our business, financial condition and results of operations.</w:t>
      </w:r>
    </w:p>
    <w:p>
      <w:pPr>
        <w:spacing w:after="0" w:line="20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Europe, the Unified Patent Court (UPC) entered into force in June 2023. The UPC provides a new centralized forum for pan-European litigation in contracting EU Member States (17 out of 27 EU Member States). Litigation of European patents in European Patent Convention countries outside of the EU (e.g. Switzerland, UK, Turkey) and in non-contracting EU countries (e.g. Spain, Poland) continues to be on a country-by-country basis in front of national courts. During a transition period (initially seven-years), patent owners can elect to keep their European patents outside of the jurisdiction of the UPC (“opt-out”). Whilst European patents may be opted-out of the UPC during such transition period, after expiry of such transition period EU legislation provides that the UPC jurisdiction will apply, in respect of the UPC contracting states for all European patents. Accordingly, the emergence of the UPC and its implementation increase the uncertainties surrounding the enforcement or defense of issued patents and related costs, which could have a material adverse effect on our business, financial condition, results of operations and prospects.</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in the U.S.</w:t>
      </w:r>
    </w:p>
    <w:p>
      <w:pPr>
        <w:spacing w:after="0" w:line="183" w:lineRule="exact"/>
        <w:rPr>
          <w:sz w:val="20"/>
          <w:szCs w:val="20"/>
          <w:color w:val="auto"/>
        </w:rPr>
      </w:pPr>
    </w:p>
    <w:p>
      <w:pPr>
        <w:ind w:left="38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159"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U.S. are less willing or unwilling to protect trade secrets. The EU has introduced a Directive on trade secrets increasing the standards for protection.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master service agreements, if applicable, material transfer agreements, consulting agreements or other similar agreements with our advisors, employees, contractors, consultants, licensing and collaboration partners, and other third parties with confidentiality provisions.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We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third-party contractors and consultants, the need to share intellectual property and other confidential information increases the risk that such confidential information becomes known by our competitors, is inadvertently incorporated into the product development of others or is disclosed or used in violation of these agreements. Additionally, our grant agreements typically provide for dissemination of results to academic institutions and to the general public. As a result, our information may be disseminated with the loss of protection status.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the physical security of our premises and the physical and electronic security of our information technology systems. Despite our efforts to protect our intellectual property, our competitors may discover our trade secrets through breach of our agreements by third parties, for which we may not have adequate remedies for any breach, or publication of information by any of our CROs, academic partners, funding organizations or our licensing or collaboration partners. Additionally, if the steps we take or that we impose on our CROs to maintain our trade secrets are deemed inadequate by law,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9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187"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Despite confidentiality clauses within our employment and other agreements with employees, we cannot ensure that departing employees will not breach any post-termination commitments in such agreements by allowing others to access our trade secrets.</w:t>
      </w:r>
    </w:p>
    <w:p>
      <w:pPr>
        <w:spacing w:after="0" w:line="172" w:lineRule="exact"/>
        <w:rPr>
          <w:sz w:val="20"/>
          <w:szCs w:val="20"/>
          <w:color w:val="auto"/>
        </w:rPr>
      </w:pPr>
    </w:p>
    <w:p>
      <w:pPr>
        <w:ind w:left="380" w:right="5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document-submission, fee-payment and other requirements imposed by governmental patent agencies, and our patent protection could be reduced or eliminated for noncompliance with these requirements.</w:t>
      </w:r>
    </w:p>
    <w:p>
      <w:pPr>
        <w:spacing w:after="0" w:line="182"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is dependent on third parties.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Although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or our collaboration partners’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312" w:lineRule="auto"/>
        <w:rPr>
          <w:sz w:val="20"/>
          <w:szCs w:val="20"/>
          <w:color w:val="auto"/>
        </w:rPr>
      </w:pPr>
      <w:r>
        <w:rPr>
          <w:rFonts w:ascii="Times New Roman" w:cs="Times New Roman" w:eastAsia="Times New Roman" w:hAnsi="Times New Roman"/>
          <w:sz w:val="17"/>
          <w:szCs w:val="17"/>
          <w:color w:val="auto"/>
        </w:rPr>
        <w:t>Additionally, we may be adversely affected or prejudiced by actions or inactions of our external and internal patent counsels working solely on our projects or our joint patent counsels representing us and our collaboration partners.</w:t>
      </w:r>
    </w:p>
    <w:p>
      <w:pPr>
        <w:spacing w:after="0" w:line="136" w:lineRule="exact"/>
        <w:rPr>
          <w:sz w:val="20"/>
          <w:szCs w:val="20"/>
          <w:color w:val="auto"/>
        </w:rPr>
      </w:pPr>
    </w:p>
    <w:p>
      <w:pPr>
        <w:ind w:left="38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collaboration partners, we could lose intellectual property rights that are important to our business.</w:t>
      </w:r>
    </w:p>
    <w:p>
      <w:pPr>
        <w:spacing w:after="0" w:line="180"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We are a party to a number of intellectual property license and co-ownership agreements and research and development collaborations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93"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176" w:lineRule="exact"/>
        <w:rPr>
          <w:sz w:val="20"/>
          <w:szCs w:val="20"/>
          <w:color w:val="auto"/>
        </w:rPr>
      </w:pPr>
    </w:p>
    <w:p>
      <w:pPr>
        <w:ind w:left="720" w:right="13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agreement, any restrictions in licensed fields and other interpretation-related issues;</w:t>
      </w:r>
    </w:p>
    <w:p>
      <w:pPr>
        <w:spacing w:after="0" w:line="161"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or otherwise violate the intellectual property of any third parties;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patents and other intellectual property rights;</w:t>
      </w:r>
    </w:p>
    <w:p>
      <w:pPr>
        <w:spacing w:after="0" w:line="225"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diligence, development and commercialization obligations under the agreement and what activities satisfy those obligations;</w:t>
      </w:r>
    </w:p>
    <w:p>
      <w:pPr>
        <w:spacing w:after="0" w:line="161"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or mutual creation or use of intellectual property by our licensors or collaboration partners and us;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non-compete commitments;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consequences for changes in control.</w:t>
      </w:r>
    </w:p>
    <w:p>
      <w:pPr>
        <w:spacing w:after="0" w:line="225"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and other rights that we own, have licensed or co-own prevent or impair our ability to maintain our current licensing or exclusivity arrangements on acceptable terms, we or our collaboration partners may be unable to successfully develop and commercialize the affected product candidates.</w:t>
      </w:r>
    </w:p>
    <w:p>
      <w:pPr>
        <w:spacing w:after="0" w:line="176"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or licensees and collaborators may not be successful in obtaining or maintaining the necessary rights to our product candidates from third parties through acquisitions and in-licenses.</w:t>
      </w:r>
    </w:p>
    <w:p>
      <w:pPr>
        <w:spacing w:after="0" w:line="159" w:lineRule="exact"/>
        <w:rPr>
          <w:sz w:val="20"/>
          <w:szCs w:val="20"/>
          <w:color w:val="auto"/>
        </w:rPr>
      </w:pPr>
    </w:p>
    <w:p>
      <w:pPr>
        <w:ind w:left="60" w:right="99" w:firstLine="324"/>
        <w:spacing w:after="0" w:line="268" w:lineRule="auto"/>
        <w:rPr>
          <w:sz w:val="20"/>
          <w:szCs w:val="20"/>
          <w:color w:val="auto"/>
        </w:rPr>
      </w:pPr>
      <w:r>
        <w:rPr>
          <w:rFonts w:ascii="Times New Roman" w:cs="Times New Roman" w:eastAsia="Times New Roman" w:hAnsi="Times New Roman"/>
          <w:sz w:val="17"/>
          <w:szCs w:val="17"/>
          <w:color w:val="auto"/>
        </w:rPr>
        <w:t>We or our licensors or licensees and collaborators may require the use of proprietary rights held by third parties in the future, and the growth of our business will likely depend in part on our ability to acquire, in-license, maintain or use these proprietary rights. In addition, our product candidates may require specific processes and/or formulations to work effectively and efficiently and the rights to these processes and/or formulations may be held by others. We or our licensors or licensees may be unable to acquire or in-license from third parties any compositions, methods of use, processes, or other third-party intellectual property rights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or our licensors or licensees also may be unable to license or acquire third-party intellectual property rights on terms that would allow us to make an appropriate return on our investment.</w:t>
      </w:r>
    </w:p>
    <w:p>
      <w:pPr>
        <w:spacing w:after="0" w:line="162"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If we are unable to successfully obtain a license to third-party intellectual property rights necessary for the</w:t>
      </w:r>
    </w:p>
    <w:p>
      <w:pPr>
        <w:spacing w:after="0" w:line="27" w:lineRule="exact"/>
        <w:rPr>
          <w:sz w:val="20"/>
          <w:szCs w:val="20"/>
          <w:color w:val="auto"/>
        </w:rPr>
      </w:pPr>
    </w:p>
    <w:p>
      <w:pPr>
        <w:ind w:left="60" w:right="659"/>
        <w:spacing w:after="0" w:line="245" w:lineRule="auto"/>
        <w:rPr>
          <w:sz w:val="20"/>
          <w:szCs w:val="20"/>
          <w:color w:val="auto"/>
        </w:rPr>
      </w:pPr>
      <w:r>
        <w:rPr>
          <w:rFonts w:ascii="Times New Roman" w:cs="Times New Roman" w:eastAsia="Times New Roman" w:hAnsi="Times New Roman"/>
          <w:sz w:val="18"/>
          <w:szCs w:val="18"/>
          <w:color w:val="auto"/>
        </w:rPr>
        <w:t>development of a product candidate or program, we may have to abandon development of that product candidate or program and our business and financial condition could suffer.</w:t>
      </w:r>
    </w:p>
    <w:p>
      <w:pPr>
        <w:spacing w:after="0" w:line="190" w:lineRule="exact"/>
        <w:rPr>
          <w:sz w:val="20"/>
          <w:szCs w:val="20"/>
          <w:color w:val="auto"/>
        </w:rPr>
      </w:pPr>
    </w:p>
    <w:p>
      <w:pPr>
        <w:ind w:left="38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expose us to substantial liability or may prevent or delay our or our collaboration partners’ development and commercialization efforts.</w:t>
      </w:r>
    </w:p>
    <w:p>
      <w:pPr>
        <w:spacing w:after="0" w:line="159"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Numerous U.S.- and foreign-issued patents and pending patent applications, which are owned by third parties, exist in the fields in which we are developing product candidates. For example, we are aware of third-party patents or patent applications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or be compelled to enter into onerous licenses with such third parties. There may also be other third-party patents or patent applications with claims to materials, formulations, methods of manufacture or methods of treatment related to the use or manufacture of our product candidates and technology. Although we generally conduct a freedom-to-operate search and review with respect to our product candidates, we cannot guarantee that our search and review is complete and thorough, nor can we be sure that we have identified each and every patent and pending application in the U.S. and abroad that is relevant or necessary to the manufacturing or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file and obtain additional patents in the future and claim that use of our technologies infringes upon these patents.</w:t>
      </w:r>
    </w:p>
    <w:p>
      <w:pPr>
        <w:spacing w:after="0" w:line="19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patents or on patents that may be granted in the future, regardless of merit. Even if we believe such claims are without merit, a court of competent jurisdiction could hold that these third-party patents are valid, enforceable and infringed, which could materially and adversely affect our or our collaboration partners’ ability to commercialize our product candidates or technologies covered by the asserted third-party patents.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Parties making claims against us may also obtain injunctive or other equitable relief, which could effectively block our or our collaboration partners’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92"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In addition, claims that we have misappropriated the confidential information or trade secrets of third parties could have a similar negative impact on our business, financial condition, results of operations and prospects.</w:t>
      </w:r>
    </w:p>
    <w:p>
      <w:pPr>
        <w:spacing w:after="0" w:line="16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patent-holding companies that focus solely on extracting royalties and settlements by enforcing patent rights may target us. As the pharmaceutical and biopharmaceutical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183" w:lineRule="exact"/>
        <w:rPr>
          <w:sz w:val="20"/>
          <w:szCs w:val="20"/>
          <w:color w:val="auto"/>
        </w:rPr>
      </w:pPr>
    </w:p>
    <w:p>
      <w:pPr>
        <w:jc w:val="both"/>
        <w:ind w:left="380" w:right="1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82"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We employ and utilize the services of individuals who were previously employed or provided services to universities or other pharmaceutical or biopharmaceutical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employers or of other third parties. Litigation may be necessary to defend against these claims. If we fail in defending any such claims, in addition to paying monetary damages, we may lose valuable intellectual property rights or personnel, which could have a material adverse effect on our business. Even if we are successful in defending against such claims, litigation could result in substantial costs and be a distraction to management and other employees.</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addition, although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U.S. may be less extensive than those in the U.S. In addition, the laws of some foreign countries do not protect intellectual property rights to the same extent as the laws in the U.S. Consequently, we may not be able to prevent third parties from practicing our inventions in all countries outside the U.S., or from selling or importing products made using our inventions in and into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U.S.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and products in jurisdictions where we have not obtained or are unable to adequately enforce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9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jc w:val="both"/>
        <w:ind w:left="380" w:right="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our names and brands may be misappropriated by third parties, and our business may be adversely affected.</w:t>
      </w:r>
    </w:p>
    <w:p>
      <w:pPr>
        <w:spacing w:after="0" w:line="182" w:lineRule="exact"/>
        <w:rPr>
          <w:sz w:val="20"/>
          <w:szCs w:val="20"/>
          <w:color w:val="auto"/>
        </w:rPr>
      </w:pPr>
    </w:p>
    <w:p>
      <w:pPr>
        <w:ind w:left="60" w:right="159" w:firstLine="324"/>
        <w:spacing w:after="0" w:line="250" w:lineRule="auto"/>
        <w:rPr>
          <w:sz w:val="20"/>
          <w:szCs w:val="20"/>
          <w:color w:val="auto"/>
        </w:rPr>
      </w:pPr>
      <w:r>
        <w:rPr>
          <w:rFonts w:ascii="Times New Roman" w:cs="Times New Roman" w:eastAsia="Times New Roman" w:hAnsi="Times New Roman"/>
          <w:sz w:val="18"/>
          <w:szCs w:val="18"/>
          <w:color w:val="auto"/>
        </w:rPr>
        <w:t>We have filed trademark applications seeking protection for our corporate name, logo, Nasdaq Global Market symbol and selected names of our technology platforms in selected geographies. While we have been granted registrations in certain geographies for certain trademarks, there is no guarantee that our trademark applications will be approved by the respective authorities at all or that we will not be required to narrow the scope of protection in certain or all geographies. Our applications have in the past faced and may in the future face opposition from third parties, potentially resulting in the lack of protection or narrower protection. Our trademarks or trade names may be challenged, infringed, circumvented,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domain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and domain names may be ineffective and could result in substantial costs and diversion of resources, and could adversely affect our business, financial condition, results of operations and growth prospects.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ind w:left="38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company and have a history of operating losses. We anticipate that we will continue to incur losses for the foreseeable future.</w:t>
      </w:r>
    </w:p>
    <w:p>
      <w:pPr>
        <w:spacing w:after="0" w:line="15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Since 2003, although we have received upfront and milestone payments from our collaboration partners and certain other contract revenue, we have also incurred significant operating losses. We incurred net losses (defined as net loss attributable to owners of the Company) of CHF 54.2 million for the year ended December 31, 2023. In addition, we had accumulated losses of CHF 316.2 million as of December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0"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To date, the Company has financed its liquidity requirements primarily from its public offerings, share issuances, contract revenues from license and collaboration agreements and grants. We have no products approved for commercialization and have never generated any revenues from product sales. Biopharmaceutical and 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185" w:lineRule="exact"/>
        <w:rPr>
          <w:sz w:val="20"/>
          <w:szCs w:val="20"/>
          <w:color w:val="auto"/>
        </w:rPr>
      </w:pPr>
    </w:p>
    <w:p>
      <w:pPr>
        <w:ind w:left="380" w:right="3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Although we have generated revenues from upfront and milestone payments related to our license and collaboration agreements, we have never generated any revenue from product sales and may never be profitable.</w:t>
      </w:r>
    </w:p>
    <w:p>
      <w:pPr>
        <w:spacing w:after="0" w:line="13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Although we have generated contract revenue from upfront and milestone payments related to our license and collaboration agreements, we have no products approved for commercialization and have never generated any revenue from product sales. Our ability to generate revenue and achieve profitability depends on our and our licensors’ and collaboration partners’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and our collaboration partners’ success in many areas, including but not limited to:</w:t>
      </w:r>
    </w:p>
    <w:p>
      <w:pPr>
        <w:spacing w:after="0" w:line="192" w:lineRule="exact"/>
        <w:rPr>
          <w:sz w:val="20"/>
          <w:szCs w:val="20"/>
          <w:color w:val="auto"/>
        </w:rPr>
      </w:pPr>
    </w:p>
    <w:p>
      <w:pPr>
        <w:ind w:left="720" w:right="23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research and clinical development of our product candidates, by us or our collaboration partners, as the case may be;</w:t>
      </w:r>
    </w:p>
    <w:p>
      <w:pPr>
        <w:spacing w:after="0" w:line="161" w:lineRule="exact"/>
        <w:rPr>
          <w:rFonts w:ascii="Times New Roman" w:cs="Times New Roman" w:eastAsia="Times New Roman" w:hAnsi="Times New Roman"/>
          <w:sz w:val="18"/>
          <w:szCs w:val="18"/>
          <w:color w:val="auto"/>
        </w:rPr>
      </w:pPr>
    </w:p>
    <w:p>
      <w:pPr>
        <w:ind w:left="720" w:right="159" w:hanging="319"/>
        <w:spacing w:after="0" w:line="255"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for our clinical product candidates, including our active immunotherapies (ACI-35.030, ACI-24.060 and ACI-7104.056), monoclonal antibodies (semorinemab and crenezumab) and diagnostics (Tau-PET tracer PI-2620 and a-syn-PET tracer ACI-12589), for which we or our collaboration partners complete clinical studies;</w:t>
      </w:r>
    </w:p>
    <w:p>
      <w:pPr>
        <w:spacing w:after="0" w:line="186" w:lineRule="exact"/>
        <w:rPr>
          <w:rFonts w:ascii="Times New Roman" w:cs="Times New Roman" w:eastAsia="Times New Roman" w:hAnsi="Times New Roman"/>
          <w:sz w:val="18"/>
          <w:szCs w:val="18"/>
          <w:color w:val="auto"/>
        </w:rPr>
      </w:pPr>
    </w:p>
    <w:p>
      <w:pPr>
        <w:ind w:left="720" w:right="259" w:hanging="319"/>
        <w:spacing w:after="0" w:line="255"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any approved product candidates, and maintaining supply and manufacturing relationships with third parties that can conduct the process and provide adequate (in amount, quality and time) products to support clinical development and the market demand for our product candidates, if approved;</w:t>
      </w:r>
    </w:p>
    <w:p>
      <w:pPr>
        <w:spacing w:after="0" w:line="186"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marketing approval, either directly or with a collaborator or distributor;</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viable treatment or diagnostic options;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225"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similar arrangements into which we may enter;</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acquiring and expanding our portfolio of intellectual property rights, including patents, trade secrets and know-how;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Because of the numerous risks and uncertainties with biopharmaceutical and pharmaceutical product development, we are unable to accurately predict the timing or amount of increased expenses and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the treatment population is narrowed by competition, physician choice or treatment guidelines or other commercial related factors we may not generate significant revenue from sales of such products, even if approved. Accordingly, we may not be profitable in the future from the sale of any approved products.</w:t>
      </w:r>
    </w:p>
    <w:p>
      <w:pPr>
        <w:spacing w:after="0" w:line="19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or our collaboration partners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83" w:lineRule="exact"/>
        <w:rPr>
          <w:sz w:val="20"/>
          <w:szCs w:val="20"/>
          <w:color w:val="auto"/>
        </w:rPr>
      </w:pPr>
    </w:p>
    <w:p>
      <w:pPr>
        <w:ind w:left="38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funding, we may delay, reduce or eliminate our product development programs or commercialization efforts.</w:t>
      </w:r>
    </w:p>
    <w:p>
      <w:pPr>
        <w:spacing w:after="0" w:line="159"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We are currently advancing our clinical product candidates through clinical development, either together with a collaboration partner (ACI-35.030 and PI-2620) or independently (ACI-24.060, ACI-7104.056, ACI-12589 semorinemab and crenezumab). We expect our research and development expenses to continue to increase in connection with our ongoing activities, particularly as we and/or our collaboration partners continue our ongoing studies and initiate new studies of ACI-35.030, ACI-24.060, ACI-7104.056, Morphomer Tau, PI-2620 and ACI-12589 and initiate preclinical and clinical development of our other product candidates.</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CHF 78.5 million and short-term financial assets of CHF 24.6 million resulting in a total liquidity position of CHF 103.1 million. On February 1, 2024, the Company received the milestone payment of CHF 14.8 million due from Janssen for the commencement of first Phase 2b clinical study. We currently believe that our existing capital resources, assuming potential milestone payment of CHF 24.6 million related to achieving a non-disclosed enrollment target for our ACI-35.030 and no other milestones, will be sufficient to meet our projected operating requirements into Q1 2026. We have based this estimate on assumptions that may prove to be wrong, and we could exhaust our capital resources sooner than we currently expect. In addition, changing circumstances, including inflation, may cause us to adjust our projected spending to amounts more than currently expected. We may also need to raise additional funds sooner than we anticipate due to various factors such as the scope and rate of progress of our development activities, regulatory approval outcomes and emergence of competing technologies, among others.</w:t>
      </w:r>
    </w:p>
    <w:p>
      <w:pPr>
        <w:spacing w:after="0" w:line="18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7"/>
          <w:szCs w:val="17"/>
          <w:color w:val="auto"/>
        </w:rPr>
        <w:t>We expect that we will require additional capital to develop and commercialize certain of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distribution and establishing a regulatory structure, depending on where we choose to commercialize. Additional funds may not be available on a timely basis, on favorable terms, or at all, and such funds, if raised, may not be sufficient to enable us to continue to implement our long-term business strategy, in particular as a result of inflation. Additionally, we may be dependent on the status of the capital markets at the time such capital is sought. In addition, our ability to raise sufficient capital under our “at the market” program may be diminished depending on the market price of our shares. If we are not able to raise capital when needed, we could be forced to delay, reduce or eliminate our product development programs or commercialization efforts.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159" w:lineRule="exact"/>
        <w:rPr>
          <w:sz w:val="20"/>
          <w:szCs w:val="20"/>
          <w:color w:val="auto"/>
        </w:rPr>
      </w:pPr>
    </w:p>
    <w:p>
      <w:pPr>
        <w:ind w:left="60" w:right="179" w:firstLine="324"/>
        <w:spacing w:after="0" w:line="25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royalty revenue, we expect to finance our liquidity needs through a combination of equity offerings, debt financings, grants, and license and development agreements in connection with collaborations. In September 2020, the Company established an “at the market offering” (ATM) for the sale of up to USD 80.0 (CHF 68.1) million worth of our common shares from time to time by entering into an Open Market Sale Agreement (Sales Agreement) with Jefferies LLC (Jefferies). In Q2 2021, we filed a new registration statement on Form F-3 and entered into a new Sales Agreement to replace and extend the ATM program. We do not have any material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83"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tax loss carry-forwards in Switzerland may be limited.</w:t>
      </w:r>
    </w:p>
    <w:p>
      <w:pPr>
        <w:spacing w:after="0" w:line="22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we reported tax loss carry-forwards from financial years 2017 until 2023 for purposes of Swiss corporate income tax in the aggregate amount of CHF 313.0 million, which could be available to offset future taxable income. If not used, these tax losses will expire 7 years after the year in which they were incurred. Due to our limited income, there is a high risk that the tax loss carry-forwards will expire partly or entirely and we will not be able to use them to offset future taxable income thereafter for Swiss corporate income tax purposes.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Under our existing agreements, we receive and make a significant amount of payments in Swiss Franc, USD and EUR. As a result, changes and fluctuations in currency exchange rates between the Swiss Franc and other currencies, especially the USD and EUR, could have a materially adverse effect on our operating results. As our reporting currency is the Swiss Franc, financial line items are converted into Swiss Francs at the applicable exchange rates. We also expect that in the future, a significant portion of our revenues and expenses will be denominated in Swiss Franc, USD and EUR. Therefore, unfavorable developments in the value of the Swiss Franc as compared to the USD and EUR or any other currency could have a material adverse effect on our business, financial condition and results of operations.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significant in-process research and development (IPR&amp;D) asset may become impaired.</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Our consolidated balance sheet contains a material IPR&amp;D asset. For an IPR&amp;D asset, the risk of failure is significant, and there can be no certainty that the asset will become a successful candidate. Our ability to realize value on this significant investment is often contingent upon, among other things, regulatory approvals and market acceptance. As such, this IPR&amp;D may become impaired and/or be written off at some time in the future if the associated R&amp;D effort is abandoned or is curtailed. For a complete discussion of our IPR&amp;D asset, see “Note 7. Intangible assets”.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225" w:lineRule="exact"/>
        <w:rPr>
          <w:sz w:val="20"/>
          <w:szCs w:val="20"/>
          <w:color w:val="auto"/>
        </w:rPr>
      </w:pPr>
    </w:p>
    <w:p>
      <w:pPr>
        <w:ind w:left="38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give any assurance that any of our product candidates will receive regulatory approval, which is necessary before they can be commercialized.</w:t>
      </w:r>
    </w:p>
    <w:p>
      <w:pPr>
        <w:spacing w:after="0" w:line="159"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Our future success is dependent on our and our collaboration partners’ ability to successfully develop, obtain regulatory approval for, and then successfully commercialize one or more product candidates. We currently have five product candidates that are in a Phase 2 clinical study and one in a Phase 3 clinical study. We are not permitted to market</w:t>
      </w:r>
    </w:p>
    <w:p>
      <w:pPr>
        <w:sectPr>
          <w:pgSz w:w="11900" w:h="16838" w:orient="portrait"/>
          <w:cols w:equalWidth="0" w:num="1">
            <w:col w:w="9019"/>
          </w:cols>
          <w:pgMar w:left="1440" w:top="513" w:right="1440"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79"/>
        <w:spacing w:after="0" w:line="312" w:lineRule="auto"/>
        <w:rPr>
          <w:sz w:val="20"/>
          <w:szCs w:val="20"/>
          <w:color w:val="auto"/>
        </w:rPr>
      </w:pPr>
      <w:r>
        <w:rPr>
          <w:rFonts w:ascii="Times New Roman" w:cs="Times New Roman" w:eastAsia="Times New Roman" w:hAnsi="Times New Roman"/>
          <w:sz w:val="17"/>
          <w:szCs w:val="17"/>
          <w:color w:val="auto"/>
        </w:rPr>
        <w:t>or promote any of our product candidates before we receive regulatory approval from the FDA, EMA or comparable foreign regulatory authorities, and we may never receive such regulatory approval for any of our product candidates.</w:t>
      </w:r>
    </w:p>
    <w:p>
      <w:pPr>
        <w:spacing w:after="0" w:line="140"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176" w:lineRule="exact"/>
        <w:rPr>
          <w:sz w:val="20"/>
          <w:szCs w:val="20"/>
          <w:color w:val="auto"/>
        </w:rPr>
      </w:pPr>
    </w:p>
    <w:p>
      <w:pPr>
        <w:ind w:left="720" w:right="23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the design or implementation of our clinical studies;</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safety in the full population for which we seek approval;</w:t>
      </w:r>
    </w:p>
    <w:p>
      <w:pPr>
        <w:spacing w:after="0" w:line="16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our interpretation of data from nonclinical or clinical studies;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studies of our product candidates may not be sufficient to support the submission of an NDA or other submission or to obtain regulatory approval in the U.S. or elsewhere;</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EMA or comparable foreign regulatory authorities that a product candidate’s benefit-risk ratio for its proposed indication is acceptable;</w:t>
      </w:r>
    </w:p>
    <w:p>
      <w:pPr>
        <w:spacing w:after="0" w:line="161" w:lineRule="exact"/>
        <w:rPr>
          <w:rFonts w:ascii="Times New Roman" w:cs="Times New Roman" w:eastAsia="Times New Roman" w:hAnsi="Times New Roman"/>
          <w:sz w:val="18"/>
          <w:szCs w:val="18"/>
          <w:color w:val="auto"/>
        </w:rPr>
      </w:pPr>
    </w:p>
    <w:p>
      <w:pPr>
        <w:jc w:val="both"/>
        <w:ind w:left="720" w:right="259" w:hanging="319"/>
        <w:spacing w:after="0" w:line="258"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196"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comparable foreign regulatory authorities may change significantly in a manner rendering our clinical data insufficient for approval.</w:t>
      </w:r>
    </w:p>
    <w:p>
      <w:pPr>
        <w:spacing w:after="0" w:line="162" w:lineRule="exact"/>
        <w:rPr>
          <w:sz w:val="20"/>
          <w:szCs w:val="20"/>
          <w:color w:val="auto"/>
        </w:rPr>
      </w:pPr>
    </w:p>
    <w:p>
      <w:pPr>
        <w:ind w:left="60" w:right="79" w:firstLine="324"/>
        <w:spacing w:after="0" w:line="215" w:lineRule="exact"/>
        <w:rPr>
          <w:sz w:val="20"/>
          <w:szCs w:val="20"/>
          <w:color w:val="auto"/>
        </w:rPr>
      </w:pPr>
      <w:r>
        <w:rPr>
          <w:rFonts w:ascii="Times New Roman" w:cs="Times New Roman" w:eastAsia="Times New Roman" w:hAnsi="Times New Roman"/>
          <w:sz w:val="18"/>
          <w:szCs w:val="18"/>
          <w:color w:val="auto"/>
        </w:rPr>
        <w:t>In response to scrutiny of the accelerated approval pathway, Section 3210 of the FDORA (incorporated in the 2023 Appropriations Act) revised this pathway to, among other things: require the FDA to specify the conditions for required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trials; permit the FDA to require such trials to be underway prior to approval, or within a specific period after approval; require sponsors to provide reports on postmarketing trial progress no later than 180 days after approval and every 180 days thereafter until such trials are completed; make the failure to conduct required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trials with due diligence and the failure to submit the required reports prohibited acts; and detail procedures the FDA must follow to withdraw an accelerated approval on an expedited basis. This legislation did not, however, change the standard for accelerated approval. Even prior to this legislation, the FDA had held Oncologic Drugs Advisory Committee meetings to discuss accelerated approvals for which confirmatory trials have not verified clinical benefit, resulting in voluntary withdrawals of certain products and indications approved on an accelerated basis. While it is not clear at this time how these legislative and regulatory initiatives will affect our ability to pursue accelerated approval for any of our product candidates, these developments may have a material adverse impact on our business, financial condition, and results of operations.</w:t>
      </w:r>
    </w:p>
    <w:p>
      <w:pPr>
        <w:spacing w:after="0" w:line="205"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generally plan to seek regulatory approval to commercialize our product candidates in the U.S., the EU and in additional foreign countries where we have commercial and typically intellectual property rights. To obtain regulatory approval in other countries, we must comply with numerous and varying regulatory requirements of such other countries regarding safety, efficacy, chemistry, manufacturing and controls, clinical studies, commercial sales, pricing, marketing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 and results of operations.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180" w:lineRule="exact"/>
        <w:rPr>
          <w:sz w:val="20"/>
          <w:szCs w:val="20"/>
          <w:color w:val="auto"/>
        </w:rPr>
      </w:pPr>
    </w:p>
    <w:p>
      <w:pPr>
        <w:ind w:left="60" w:right="119" w:firstLine="324"/>
        <w:spacing w:after="0" w:line="268" w:lineRule="auto"/>
        <w:rPr>
          <w:sz w:val="20"/>
          <w:szCs w:val="20"/>
          <w:color w:val="auto"/>
        </w:rPr>
      </w:pPr>
      <w:r>
        <w:rPr>
          <w:rFonts w:ascii="Times New Roman" w:cs="Times New Roman" w:eastAsia="Times New Roman" w:hAnsi="Times New Roman"/>
          <w:sz w:val="17"/>
          <w:szCs w:val="17"/>
          <w:color w:val="auto"/>
        </w:rPr>
        <w:t>To obtain the necessary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pharmaceutical or biopharmaceutical industry, including us, have suffered significant setbacks in advanced clinical studies due to lack of efficacy or adverse safety profiles, notwithstanding promising results in earlier studies. Our future clinical study results may not be successful.</w:t>
      </w:r>
    </w:p>
    <w:p>
      <w:pPr>
        <w:spacing w:after="0" w:line="16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Clinical studies must be conducted in accordance with the legal requirements, regulations and guidelines of the FDA, EMA and comparable foreign regulatory authorities, and are subject to oversight by these governmental agencies and Institutional Review Boards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7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To date, neither we nor our collaboration partners have completed all clinical studies required for the approval of any of our product candidates.</w:t>
      </w:r>
    </w:p>
    <w:p>
      <w:pPr>
        <w:spacing w:after="0" w:line="162"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completion of clinical studies for our product candidates may be delayed, suspended or terminated as a result of many factors, including but not limited to:</w:t>
      </w:r>
    </w:p>
    <w:p>
      <w:pPr>
        <w:spacing w:after="0" w:line="162" w:lineRule="exact"/>
        <w:rPr>
          <w:sz w:val="20"/>
          <w:szCs w:val="20"/>
          <w:color w:val="auto"/>
        </w:rPr>
      </w:pPr>
    </w:p>
    <w:p>
      <w:pPr>
        <w:ind w:left="720" w:right="19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or refusal of regulators or IRBs to authorize us to commence or amend a clinical study at a prospective study site or changes in regulatory requirements, policies and guidelines;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enrollment and variability in the number and types of patients available for clinical studies;</w:t>
      </w:r>
    </w:p>
    <w:p>
      <w:pPr>
        <w:spacing w:after="0" w:line="225"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studies to ensure adequate statistical power to detect statistically significant treatment effects;</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which may require us to conduct additional preclinical or clinical studies or to abandon projects that we expected to be promising;</w:t>
      </w:r>
    </w:p>
    <w:p>
      <w:pPr>
        <w:spacing w:after="0" w:line="161"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tolerability concerns, which could cause us to suspend or terminate a study if we find that the participants are being exposed to unacceptable health risks;</w:t>
      </w:r>
    </w:p>
    <w:p>
      <w:pPr>
        <w:spacing w:after="0" w:line="161"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retention rates of patients and volunteers in clinical studies;</w:t>
      </w:r>
    </w:p>
    <w:p>
      <w:pPr>
        <w:spacing w:after="0" w:line="225" w:lineRule="exact"/>
        <w:rPr>
          <w:rFonts w:ascii="Times New Roman" w:cs="Times New Roman" w:eastAsia="Times New Roman" w:hAnsi="Times New Roman"/>
          <w:sz w:val="18"/>
          <w:szCs w:val="18"/>
          <w:color w:val="auto"/>
        </w:rPr>
      </w:pPr>
    </w:p>
    <w:p>
      <w:pPr>
        <w:ind w:left="720" w:right="779" w:hanging="319"/>
        <w:spacing w:after="0" w:line="312" w:lineRule="auto"/>
        <w:tabs>
          <w:tab w:leader="none" w:pos="7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CROs or clinical study sites failing to comply with regulatory requirements or meet their contractual obligations to us in a timely manner, or at all, deviating from the protocol or dropping out of a study;</w:t>
      </w:r>
    </w:p>
    <w:p>
      <w:pPr>
        <w:spacing w:after="0" w:line="13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relating to adding new clinical study sites;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the product candidate falling below acceptable standards;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or obtain sufficient quantities of the product candidate to complete clinical studies;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left="60" w:right="459" w:firstLine="324"/>
        <w:spacing w:after="0" w:line="261" w:lineRule="auto"/>
        <w:rPr>
          <w:sz w:val="20"/>
          <w:szCs w:val="20"/>
          <w:color w:val="auto"/>
        </w:rPr>
      </w:pPr>
      <w:r>
        <w:rPr>
          <w:rFonts w:ascii="Times New Roman" w:cs="Times New Roman" w:eastAsia="Times New Roman" w:hAnsi="Times New Roman"/>
          <w:sz w:val="18"/>
          <w:szCs w:val="18"/>
          <w:color w:val="auto"/>
        </w:rPr>
        <w:t>Further, with the passage of FDORA, Congress clarified the FDA’s authority to conduct inspections by expressly permitting inspection of facilities involved in the preparation, conduct or analysis of clinical and nonclinical studies submitted to FDA, as well as of other persons holding study records or otherwise involved in the study process, which could delay or add complexity to our clinical trials.</w:t>
      </w:r>
    </w:p>
    <w:p>
      <w:pPr>
        <w:spacing w:after="0" w:line="180"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Any delays in completing our clinical studies will increase our costs, slow our product candidate development and approval process, and jeopardize our ability to commence product sales and generate sales revenues. Any of these occurrences may significantly harm our business, financial condition and prospects. In addition, many of the factors that cause, or lead to, a delay in the commencement or completion of clinical studies may also ultimately lead to the denial of regulatory approval of our product candidates.</w:t>
      </w:r>
    </w:p>
    <w:p>
      <w:pPr>
        <w:spacing w:after="0" w:line="183" w:lineRule="exact"/>
        <w:rPr>
          <w:sz w:val="20"/>
          <w:szCs w:val="20"/>
          <w:color w:val="auto"/>
        </w:rPr>
      </w:pPr>
    </w:p>
    <w:p>
      <w:pPr>
        <w:ind w:left="38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175"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Sales by us of our approved drugs will be subject to U.S. and non-U.S. regulatory requirements governing clinical studies and regulatory approval, and we plan to seek regulatory approval to commercialize our product candidates in the U.S., the European Economic Area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the regulatory authorities in other countries or jurisdictions, and similarly, approval by a non-U.S. regulatory authority, such as the EMA, does not ensure approval by regulatory authorities in other countries, including by the FDA.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U.S., a product candidate must be approved for reimbursement before it can be approved for sale in that country. In some cases, the price that would be charged for a drug is also subject to approval. Regulatory authorities in other countries also have their own requirements for approval of product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5"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If a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or our collaboration partners’ ability to commercialize such products. These requirements include submissions of safety and other post-marketing information and reports, registration, as well as continued compliance with cGMP and cGCP requirements for any clinical studies that we conduct post-approval. Later discovery of previously unknown problems with a product, including AEs of unanticipated severity or frequency, or with our third-party manufacturers or manufacturing processes, or failure to comply with regulatory requirements, may result in, among other things:</w:t>
      </w:r>
    </w:p>
    <w:p>
      <w:pPr>
        <w:spacing w:after="0" w:line="195" w:lineRule="exact"/>
        <w:rPr>
          <w:sz w:val="20"/>
          <w:szCs w:val="20"/>
          <w:color w:val="auto"/>
        </w:rPr>
      </w:pPr>
    </w:p>
    <w:p>
      <w:pPr>
        <w:ind w:left="720" w:right="4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studies;</w:t>
      </w:r>
    </w:p>
    <w:p>
      <w:pPr>
        <w:spacing w:after="0" w:line="225" w:lineRule="exact"/>
        <w:rPr>
          <w:rFonts w:ascii="Times New Roman" w:cs="Times New Roman" w:eastAsia="Times New Roman" w:hAnsi="Times New Roman"/>
          <w:sz w:val="18"/>
          <w:szCs w:val="18"/>
          <w:color w:val="auto"/>
        </w:rPr>
      </w:pPr>
    </w:p>
    <w:p>
      <w:pPr>
        <w:jc w:val="both"/>
        <w:ind w:left="720" w:right="139" w:hanging="319"/>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an applicable foreign regulatory authority to approve pending applications or supplements to approved applications filed by us or our collaborations partners, or suspension or revocation of product license approvals;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constraints in promotion and distribution of drug products in various markets;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or those of an applicable foreign regulatory authority’s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3" w:lineRule="exact"/>
        <w:rPr>
          <w:sz w:val="20"/>
          <w:szCs w:val="20"/>
          <w:color w:val="auto"/>
        </w:rPr>
      </w:pPr>
    </w:p>
    <w:p>
      <w:pPr>
        <w:ind w:left="38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conduct clinical studies for our product candidates outside the U.S., and the FDA and applicable foreign regulatory authorities may not accept data from such studies.</w:t>
      </w:r>
    </w:p>
    <w:p>
      <w:pPr>
        <w:spacing w:after="0" w:line="15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We have conducted and may in the future choose to conduct one or more of our clinical studies outside the U.S., including in Germany, Austria, Denmark, Sweden, Finland, the UK, Poland, Spain and the Netherlands. The acceptance of study data from clinical studies conducted outside the U.S. or another jurisdiction by the FDA or applicable foreign regulatory authority may be subject to certain conditions. In cases where data from foreign clinical studies are intended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to serve as the basis for marketing approval in the U.S., the FDA will not approve the application on the basis of foreign data alone unless the following are true: the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in which the studies are conducted. There can be no assurance that the FDA or any applicable foreign regulatory authority will accept data from studies conducted outside of the U.S.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product candidates not receiving approval or clearance for commercialization in the applicable jurisdiction.</w:t>
      </w:r>
    </w:p>
    <w:p>
      <w:pPr>
        <w:spacing w:after="0" w:line="193" w:lineRule="exact"/>
        <w:rPr>
          <w:sz w:val="20"/>
          <w:szCs w:val="20"/>
          <w:color w:val="auto"/>
        </w:rPr>
      </w:pPr>
    </w:p>
    <w:p>
      <w:pPr>
        <w:ind w:left="38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145"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In the U.S., the EU and some foreign jurisdictions, there have been a number of adopted and proposed legislative and regulatory changes regarding the healthcare system that could prevent or delay regulatory approval of our product candidates, restrict or regulate post-approval activities and affect our ability to profitably sell any of our product candidates for which we obtain regulatory approval.</w:t>
      </w:r>
    </w:p>
    <w:p>
      <w:pPr>
        <w:spacing w:after="0" w:line="180" w:lineRule="exact"/>
        <w:rPr>
          <w:sz w:val="20"/>
          <w:szCs w:val="20"/>
          <w:color w:val="auto"/>
        </w:rPr>
      </w:pPr>
    </w:p>
    <w:p>
      <w:pPr>
        <w:ind w:left="60" w:right="279" w:firstLine="324"/>
        <w:spacing w:after="0" w:line="253" w:lineRule="auto"/>
        <w:rPr>
          <w:sz w:val="20"/>
          <w:szCs w:val="20"/>
          <w:color w:val="auto"/>
        </w:rPr>
      </w:pPr>
      <w:r>
        <w:rPr>
          <w:rFonts w:ascii="Times New Roman" w:cs="Times New Roman" w:eastAsia="Times New Roman" w:hAnsi="Times New Roman"/>
          <w:sz w:val="18"/>
          <w:szCs w:val="18"/>
          <w:color w:val="auto"/>
        </w:rPr>
        <w:t>In the U.S., the Medicare Prescription Drug, Improvement, and Modernization Act of 2003 (“MMA”) changed the way Medicare covers and pays for pharmaceutical products. Cost reduction initiatives and other provisions of this legislation could limit the coverage and reimbursement rate that we receive for any of our approved product candidates. While the MMA only applies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9"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(collectively, the Health Care Reform Law), was enacted. The Health Care Reform Law was intended to broaden access to health insurance, reduce or constrain the growth of healthcare spending, enhance remedies against healthcare fraud and abuse, add new transparency requirements for healthcare and health insurance industries, impose new taxes and fees on the health industry and impose additional health policy reforms. The Health Care Reform Law increased manufacturers’ rebate liability under the Medicaid Drug Rebate Program by increasing the minimum rebate amount for both branded and generic drugs and revised the definition of “average manufacturer price” (“AMP”), which may also increase the amount of Medicaid drug rebates manufacturers are required to pay to states. The legislation also expanded Medicaid drug rebates and created an alternative rebate formula for certain new formulations of certain existing products that is intended to increase the rebates due on those drugs. The Centers for Medicare &amp; Medicaid Services, which administers the Medicaid Drug Rebate Program, also has proposed to expand Medicaid rebates to the utilization that occurs in the territories of the U.S., such as Puerto Rico and the Virgin Islands. Further, beginning in 2011, the Health Care Reform Law imposed a significant annual fee on companies that manufacture or import branded prescription drug products. Legislative and regulatory proposals have been introduced at both the state and federal level to expand post-approval requirements and restrict sales and promotional activities for pharmaceutical products.</w:t>
      </w:r>
    </w:p>
    <w:p>
      <w:pPr>
        <w:spacing w:after="0" w:line="19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are not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approval testing and other requirements.</w:t>
      </w:r>
    </w:p>
    <w:p>
      <w:pPr>
        <w:spacing w:after="0" w:line="18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 addition,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0" w:lineRule="auto"/>
        <w:rPr>
          <w:sz w:val="20"/>
          <w:szCs w:val="20"/>
          <w:color w:val="auto"/>
        </w:rPr>
      </w:pPr>
      <w:r>
        <w:rPr>
          <w:rFonts w:ascii="Times New Roman" w:cs="Times New Roman" w:eastAsia="Times New Roman" w:hAnsi="Times New Roman"/>
          <w:sz w:val="18"/>
          <w:szCs w:val="18"/>
          <w:color w:val="auto"/>
        </w:rPr>
        <w:t>product pricing, review the relationship between pricing and manufacturer patient programs, and reform government program reimbursement methodologies for products. At both the federal and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One significant example of recent legislative action is the Inflation Reduction Act of 2022 (the “IRA”), which has been considered a scaled-back version of the Build Back Better Act. The IRA was signed into law on August 16, 2022. While the IRA is still subject to rulemaking (with more information to come via guidance documents from the responsible federal agencies), the IRA, as written, will, among other changes, give HHS the ability and authority to directly negotiate with manufacturers the price that Medicare will pay for certain high-priced drugs. The IRA will also require manufacturers of certain Part B and Part D drugs to issue to HHS rebates based on certain calculations and triggers (i.e. when drug prices increase and outpace the rate of inflation). On March 15, 2023 and June 30, 2023, HHS issued guidance regarding implementation of the Medicare drug price negotiation program in initial price applicability year 2026. HHS stated it would provide additional information in the future related to implementation for initial price applicability years 2027 and beyond. Several manufacturers and industry groups have challenged the drug price negotiation program for Medicare Parts B and D in federal court. These lawsuits are ongoing, and additional lawsuits may be filed in the future related to provisions of the IRA. It is unknown whether such litigation or other litigation, if brought, will be successful. For these and other reasons, we cannot predict the implications the IRA provisions will have on our business.</w:t>
      </w:r>
    </w:p>
    <w:p>
      <w:pPr>
        <w:spacing w:after="0" w:line="19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Additionally, in the EU, the new clinical trial regulation came into force on January 31, 2022. This new legislation enforces the centralization of clinical trial applications (CTAs) and approvals, which eliminates redundancy, but in some cases, this may extend timelines for clinical study approvals, due to potentially longer wait times. Austerity measures in certain European nations may also affect the prices we are able to seek if our products are approved. Both in the U.S. and in the EU, legislative and regulatory proposals have been made to expand post-approval requirements and restrict sales and promotional activities for pharmaceutical and biopharmaceutical products. We do not know whether additional legislative changes will be enacted, whether the regulations, guidance or interpretations will be changed, or what the impact of such changes on the marketing approvals of our product candidates, if any, may be.</w:t>
      </w:r>
    </w:p>
    <w:p>
      <w:pPr>
        <w:spacing w:after="0" w:line="188" w:lineRule="exact"/>
        <w:rPr>
          <w:sz w:val="20"/>
          <w:szCs w:val="20"/>
          <w:color w:val="auto"/>
        </w:rPr>
      </w:pPr>
    </w:p>
    <w:p>
      <w:pPr>
        <w:ind w:left="38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1"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human substances and wastes. Our operations involve the use of hazardous and flammable materials, including chemicals and biological materials that produce hazardous waste products. We generally contract with third parties for the disposal of these materials and wastes. We cannot eliminate the risk of contamination or injury from these materials or wastes either at our sites or at third-party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human substances or other work-related injuries, this insurance may not provide adequate coverage against potential liabilities.</w:t>
      </w:r>
    </w:p>
    <w:p>
      <w:pPr>
        <w:spacing w:after="0" w:line="188"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clinical centers are, and potentials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8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which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87" w:lineRule="exact"/>
        <w:rPr>
          <w:sz w:val="20"/>
          <w:szCs w:val="20"/>
          <w:color w:val="auto"/>
        </w:rPr>
      </w:pPr>
    </w:p>
    <w:p>
      <w:pPr>
        <w:ind w:left="720" w:right="219" w:hanging="319"/>
        <w:spacing w:after="0" w:line="281" w:lineRule="auto"/>
        <w:tabs>
          <w:tab w:leader="none" w:pos="7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148" w:lineRule="exact"/>
        <w:rPr>
          <w:rFonts w:ascii="Times New Roman" w:cs="Times New Roman" w:eastAsia="Times New Roman" w:hAnsi="Times New Roman"/>
          <w:sz w:val="17"/>
          <w:szCs w:val="17"/>
          <w:color w:val="auto"/>
        </w:rPr>
      </w:pPr>
    </w:p>
    <w:p>
      <w:pPr>
        <w:ind w:left="720" w:right="19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 False Claims Act imposes criminal and civil penalties, including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168"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HIPAA imposes criminal and civil liability for executing a scheme to defraud any healthcare benefit program or making false statements relating to healthcare matters;</w:t>
      </w:r>
    </w:p>
    <w:p>
      <w:pPr>
        <w:spacing w:after="0" w:line="161"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175"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166" w:lineRule="exact"/>
        <w:rPr>
          <w:rFonts w:ascii="Times New Roman" w:cs="Times New Roman" w:eastAsia="Times New Roman" w:hAnsi="Times New Roman"/>
          <w:sz w:val="18"/>
          <w:szCs w:val="18"/>
          <w:color w:val="auto"/>
        </w:rPr>
      </w:pPr>
    </w:p>
    <w:p>
      <w:pPr>
        <w:ind w:left="720" w:right="79" w:hanging="319"/>
        <w:spacing w:after="0" w:line="253"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laws and regulations, such as state anti-kickback and false claims laws, will apply to sales or marketing arrangements, consultancy and service agreements, and claims involving healthcare items or services reimbursed by nongovernmental third-party payors, including private insurers, and some state laws require pharmaceutical and biopharmaceutical companies to comply with the pharmaceutical and biopharmaceutical industries’ voluntary compliance guidelines and the relevant compliance guidance promulgated by the federal government, in addition to requiring manufacturers to report information related to payments to physicians and other healthcare providers or marketing expenditures.</w:t>
      </w:r>
    </w:p>
    <w:p>
      <w:pPr>
        <w:spacing w:after="0" w:line="187"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healthcare-reform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left="60" w:right="299" w:firstLine="324"/>
        <w:spacing w:after="0" w:line="281" w:lineRule="auto"/>
        <w:rPr>
          <w:sz w:val="20"/>
          <w:szCs w:val="20"/>
          <w:color w:val="auto"/>
        </w:rPr>
      </w:pPr>
      <w:r>
        <w:rPr>
          <w:rFonts w:ascii="Times New Roman" w:cs="Times New Roman" w:eastAsia="Times New Roman" w:hAnsi="Times New Roman"/>
          <w:sz w:val="17"/>
          <w:szCs w:val="17"/>
          <w:color w:val="auto"/>
        </w:rPr>
        <w:t>Jurisdictions outside of the U.S. have enacted laws and regulations defining the framework of business practices of pharmaceutical organizations in their interactions with government offices, medical institutions and healthcare professionals (HCP) in order to safeguard the independence of medical judgement and of prescription and purchasing decisions. These regulations typically prohibit illegitimate payments and other transfers of values to institutional players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and HCPs and regulate the bases for their remuneration, such as for consultancy and other service arrangements, as well as the reimbursement of costs; in certain jurisdictions, regulations prescribe the disclosure of the existing relationships and/or the remunerations paid. In addition to government regulations, pharmaceutical industry associations, such as the European Federation of Pharmaceutical Industries and Associations (EFPIA), of which we have been a member since 2021, have enacted industry codes of conduct providing their own rules of compliance for their members’ interactions with government offices, medical institutions and HCPs.</w:t>
      </w:r>
    </w:p>
    <w:p>
      <w:pPr>
        <w:spacing w:after="0" w:line="187"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government-funded healthcare programs, such as Medicare and Medicaid, other foreign healthcare reimbursement and procurement programs, and the curtailment or restructuring of our operations. If any of the physicians or other providers or entities with whom we expect to do business with is found to be not in compliance with applicable laws, they may be subject to criminal, civil or administrative sanctions, including exclusions from government-funded healthcare programs.</w:t>
      </w:r>
    </w:p>
    <w:p>
      <w:pPr>
        <w:spacing w:after="0" w:line="189" w:lineRule="exact"/>
        <w:rPr>
          <w:sz w:val="20"/>
          <w:szCs w:val="20"/>
          <w:color w:val="auto"/>
        </w:rPr>
      </w:pPr>
    </w:p>
    <w:p>
      <w:pPr>
        <w:ind w:left="38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5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collaborators, or other parties, which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operating results, our ability to conduct business and our reputation.</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In June 2023, we amended our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5" w:lineRule="exact"/>
        <w:rPr>
          <w:sz w:val="20"/>
          <w:szCs w:val="20"/>
          <w:color w:val="auto"/>
        </w:rPr>
      </w:pPr>
    </w:p>
    <w:p>
      <w:pPr>
        <w:ind w:left="38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Foreign Corrupt Practices Act (FCPA), and similar anti-bribery and anti-corruption laws.</w:t>
      </w:r>
    </w:p>
    <w:p>
      <w:pPr>
        <w:spacing w:after="0" w:line="14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or biopharmaceuticals and the investigators who perform our studies are employed by their government, and the purchasers of pharmaceuticals are government entities; therefore, our dealings with these decision makers are subject to regulation under the FCPA. The SEC and the Department of Justice have increased their FCPA enforcement activities with respect to pharmaceutical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companies. There is no certainty that all of our employees, agents, contractors, collaborators, or other parties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shares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shares is volatile and may fluctuate due to factors beyond our control.</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share prices of publicly traded pharmaceutical,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76"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of testing and clinical studies by us, strategic partners, or competitors;</w:t>
      </w:r>
    </w:p>
    <w:p>
      <w:pPr>
        <w:spacing w:after="0" w:line="225" w:lineRule="exact"/>
        <w:rPr>
          <w:rFonts w:ascii="Times New Roman" w:cs="Times New Roman" w:eastAsia="Times New Roman" w:hAnsi="Times New Roman"/>
          <w:sz w:val="18"/>
          <w:szCs w:val="18"/>
          <w:color w:val="auto"/>
        </w:rPr>
      </w:pPr>
    </w:p>
    <w:p>
      <w:pPr>
        <w:ind w:left="720" w:right="619" w:hanging="319"/>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189" w:lineRule="exact"/>
        <w:rPr>
          <w:rFonts w:ascii="Times New Roman" w:cs="Times New Roman" w:eastAsia="Times New Roman" w:hAnsi="Times New Roman"/>
          <w:sz w:val="18"/>
          <w:szCs w:val="18"/>
          <w:color w:val="auto"/>
        </w:rPr>
      </w:pPr>
    </w:p>
    <w:p>
      <w:pPr>
        <w:ind w:left="720" w:right="459" w:hanging="319"/>
        <w:spacing w:after="0" w:line="258"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sentiment of retail investors, including the perception of our clinical trial results by such retail investors, which investors may be subject to the influence of information provided by social media, third party investor websites and independent authors distributing information on the internet;</w:t>
      </w:r>
    </w:p>
    <w:p>
      <w:pPr>
        <w:spacing w:after="0" w:line="19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commercial product introductions by us or our collaboration partners or competitors;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relating to the commercial value or safety of any of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comments by securities or industry analysts or key opinion leaders;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the pharmaceutical or biopharmaceutical industry or in the economy as a whole;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beyond our control.</w:t>
      </w:r>
    </w:p>
    <w:p>
      <w:pPr>
        <w:spacing w:after="0" w:line="225"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Broad market and industry factors may materially affect the market price of companies’ stock, including ours, regardless of actual operating performance. Furthermore, issuers such as ourselves, whose securities have historically had limited trading volumes and/or have been susceptible to relatively high volatility levels, can be particularly vulnerable to short-seller attacks and trading in our common shares by non-fundamental investors such as hedge funds and others who may enter and exit positions in our common shares frequently and suddenly, causing increased volatility of our share price. Short selling is the practice of selling securities that the seller does not own but rather has borrowed or intends to borrow from a third party with the intention of buying identical securities at a later date to return to the lender, and profit from a decline in the value of the securities in the process. The publication of any commentary by short sellers with the intent of creating negative market momentum may bring about a temporary, or possibly long-term, decline in the market price of our common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only a limited free float of our common shares; this may have a negative impact on the liquidity of and the market price for our common shares.</w:t>
      </w:r>
    </w:p>
    <w:p>
      <w:pPr>
        <w:spacing w:after="0" w:line="15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As of the date hereof, certain principal shareholders controlling 5% or more of our common shares as well as our executive officers and directors together beneficially own approximately 54.7% of our common shares. The limited free float may have a negative impact on the liquidity of our common shares and result in a low trading volume of our common shares, which could adversely affect the price of our common shares.</w:t>
      </w:r>
    </w:p>
    <w:p>
      <w:pPr>
        <w:spacing w:after="0" w:line="176" w:lineRule="exact"/>
        <w:rPr>
          <w:sz w:val="20"/>
          <w:szCs w:val="20"/>
          <w:color w:val="auto"/>
        </w:rPr>
      </w:pPr>
    </w:p>
    <w:p>
      <w:pPr>
        <w:ind w:left="380" w:right="2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of our existing shareholders exercise significant control over us, and your interests may conflict with the interests of such shareholders.</w:t>
      </w:r>
    </w:p>
    <w:p>
      <w:pPr>
        <w:spacing w:after="0" w:line="171"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Certain principal shareholders as well as our executive officers and directors together beneficially own approximately 54.7%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183" w:lineRule="exact"/>
        <w:rPr>
          <w:sz w:val="20"/>
          <w:szCs w:val="20"/>
          <w:color w:val="auto"/>
        </w:rPr>
      </w:pPr>
    </w:p>
    <w:p>
      <w:pPr>
        <w:ind w:left="38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common shares could adversely affect the price of our common shares.</w:t>
      </w:r>
    </w:p>
    <w:p>
      <w:pPr>
        <w:spacing w:after="0" w:line="15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 In 2019, we adopted a new omnibus equity incentive plan under which we have the discretion to grant a broad range of equity-based awards to eligible participants. These shares were registered pursuant to the registration statement on Form S-8 that we filed with the SEC and, therefore, can be freely sold in the public market upon issuance, subject to volume limitations applicable to affiliates. If a large number of our common shares are sold in the public market after they become eligible for sale, the sales could reduce the trading price of our common shares and impede our ability to raise future capital.</w:t>
      </w:r>
    </w:p>
    <w:p>
      <w:pPr>
        <w:spacing w:after="0" w:line="186" w:lineRule="exact"/>
        <w:rPr>
          <w:sz w:val="20"/>
          <w:szCs w:val="20"/>
          <w:color w:val="auto"/>
        </w:rPr>
      </w:pPr>
    </w:p>
    <w:p>
      <w:pPr>
        <w:ind w:left="38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short-term financial assets (liquidity) and may not use them effectively.</w:t>
      </w:r>
    </w:p>
    <w:p>
      <w:pPr>
        <w:spacing w:after="0" w:line="159" w:lineRule="exact"/>
        <w:rPr>
          <w:sz w:val="20"/>
          <w:szCs w:val="20"/>
          <w:color w:val="auto"/>
        </w:rPr>
      </w:pPr>
    </w:p>
    <w:p>
      <w:pPr>
        <w:ind w:left="60" w:right="279" w:firstLine="324"/>
        <w:spacing w:after="0" w:line="250" w:lineRule="auto"/>
        <w:rPr>
          <w:sz w:val="20"/>
          <w:szCs w:val="20"/>
          <w:color w:val="auto"/>
        </w:rPr>
      </w:pPr>
      <w:r>
        <w:rPr>
          <w:rFonts w:ascii="Times New Roman" w:cs="Times New Roman" w:eastAsia="Times New Roman" w:hAnsi="Times New Roman"/>
          <w:sz w:val="18"/>
          <w:szCs w:val="18"/>
          <w:color w:val="auto"/>
        </w:rPr>
        <w:t>Our management has broad discretion in the application of our cash and cash equivalents and short-term financial assets. Our or our collaboration partners’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we make incorrect determinations regarding the viability or market potential of any of our programs or product candidates or misread trends in the pharmaceutical or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Based on Swiss law and our articles of association, the declaration of dividends requires a resolution passed by a simple majority of the votes cast at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shareholders’ meeting regardless of abstentions and empty or invalid votes. The proposal to pay future dividends to shareholders will in addition effectively be at the discretion of our board of directors after considering various factors including our business prospects, liquidity requirements, financial performance and new product development. In addition, payment of future dividends is subject to certain limitations pursuant to Swiss law or by our articles of association compliance with which must be confirmed by our auditors. Accordingly, investors cannot rely on dividend income from our common shares and any returns on an investment in our common shares will likely depend entirely upon any future appreciation in the price of our common shares.</w:t>
      </w:r>
    </w:p>
    <w:p>
      <w:pPr>
        <w:spacing w:after="0" w:line="144" w:lineRule="exact"/>
        <w:rPr>
          <w:sz w:val="20"/>
          <w:szCs w:val="20"/>
          <w:color w:val="auto"/>
        </w:rPr>
      </w:pPr>
    </w:p>
    <w:p>
      <w:pPr>
        <w:ind w:left="38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Swiss corporation. The rights of our shareholders may be different from the rights of shareholders in companies governed by the laws of U.S. jurisdictions.</w:t>
      </w:r>
    </w:p>
    <w:p>
      <w:pPr>
        <w:spacing w:after="0" w:line="15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We are a Swiss corporation. Our corporate affairs are governed by our articles of association and by the laws</w:t>
      </w:r>
    </w:p>
    <w:p>
      <w:pPr>
        <w:spacing w:after="0" w:line="16" w:lineRule="exact"/>
        <w:rPr>
          <w:sz w:val="20"/>
          <w:szCs w:val="20"/>
          <w:color w:val="auto"/>
        </w:rPr>
      </w:pPr>
    </w:p>
    <w:p>
      <w:pPr>
        <w:ind w:left="60" w:right="99"/>
        <w:spacing w:after="0" w:line="249" w:lineRule="auto"/>
        <w:rPr>
          <w:sz w:val="20"/>
          <w:szCs w:val="20"/>
          <w:color w:val="auto"/>
        </w:rPr>
      </w:pPr>
      <w:r>
        <w:rPr>
          <w:rFonts w:ascii="Times New Roman" w:cs="Times New Roman" w:eastAsia="Times New Roman" w:hAnsi="Times New Roman"/>
          <w:sz w:val="18"/>
          <w:szCs w:val="18"/>
          <w:color w:val="auto"/>
        </w:rPr>
        <w:t>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first, then of our shareholders, our employees and other stakeholders, in all cases, with due observation of their fiduciary duties of care and loyalty.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their fiduciary duties by the directors. As a matter of Swiss law, shareholder claims against a member of our board of directors for breach of fiduciary duty would have to be brought in Lausanne, Switzerland, or the country in which the relevant member of our board of directors is domiciled. In addition, under Swiss law, any claims by our shareholders against us must be in principle brought exclusively in Lausanne, Switzerland (except for certain U.S. securities and other claims that may be brought in U.S. federal court).</w:t>
      </w:r>
    </w:p>
    <w:p>
      <w:pPr>
        <w:spacing w:after="0" w:line="154" w:lineRule="exact"/>
        <w:rPr>
          <w:sz w:val="20"/>
          <w:szCs w:val="20"/>
          <w:color w:val="auto"/>
        </w:rPr>
      </w:pPr>
    </w:p>
    <w:p>
      <w:pPr>
        <w:ind w:left="38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shares are issued under the laws of Switzerland, which may not protect investors in a similar fashion afforded by incorporation in a U.S. state.</w:t>
      </w:r>
    </w:p>
    <w:p>
      <w:pPr>
        <w:spacing w:after="0" w:line="159" w:lineRule="exact"/>
        <w:rPr>
          <w:sz w:val="20"/>
          <w:szCs w:val="20"/>
          <w:color w:val="auto"/>
        </w:rPr>
      </w:pPr>
    </w:p>
    <w:p>
      <w:pPr>
        <w:jc w:val="both"/>
        <w:ind w:left="60" w:right="519" w:firstLine="324"/>
        <w:spacing w:after="0" w:line="258" w:lineRule="auto"/>
        <w:rPr>
          <w:sz w:val="20"/>
          <w:szCs w:val="20"/>
          <w:color w:val="auto"/>
        </w:rPr>
      </w:pPr>
      <w:r>
        <w:rPr>
          <w:rFonts w:ascii="Times New Roman" w:cs="Times New Roman" w:eastAsia="Times New Roman" w:hAnsi="Times New Roman"/>
          <w:sz w:val="18"/>
          <w:szCs w:val="18"/>
          <w:color w:val="auto"/>
        </w:rPr>
        <w:t>We are organized under the laws of Switzerland. There can be no assurance that Swiss law will not change in the future in a way detrimental to shareholders or that it will serve to protect investors in a similar fashion afforded under corporate law principles in the U.S., which could adversely affect the rights of investors.</w:t>
      </w:r>
    </w:p>
    <w:p>
      <w:pPr>
        <w:spacing w:after="0" w:line="179" w:lineRule="exact"/>
        <w:rPr>
          <w:sz w:val="20"/>
          <w:szCs w:val="20"/>
          <w:color w:val="auto"/>
        </w:rPr>
      </w:pPr>
    </w:p>
    <w:p>
      <w:pPr>
        <w:ind w:left="380" w:right="1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3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 Swiss law effective at the time according to which our current Articles were established allowed our shareholders to authorize share capital that can be issued by the board of directors without additional shareholder approval. This authorization is limited to 50% of the existing registered share capital and may be renewed by the shareholders once expired. As of January 1, 2023, the new Swiss corporate law introducing the capital band mechanism has come into force. It will no longer be possible to renew the Company's current Authorized Share Capital beyond June 24, 2024. Instead, the Company can only introduce the capital band pursuant to Article 653s et seq. of the revised Swiss Code of Obligations which requires an amendment of the Articles of Association by way of a resolution of a duly convened general meeting of shareholders of the Company. Under the capital band mechanism, the general meeting of shareholders can authorize the board of directors at any time within a maximum term of five years to increase or decrease the share capital by a maximum amount of 50% of the current share capital.</w:t>
      </w:r>
    </w:p>
    <w:p>
      <w:pPr>
        <w:spacing w:after="0" w:line="149"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Additionally, as a principle, Swiss law grants pre-emptive subscription rights to existing shareholders to subscribe to any new issuance of shares. Any common share capital increase resolution preserving pre-emptive subscription rights expires after 3 months and requires a simple majority of the votes cast at the shareholder’s meeting regardless of abstentions and empty or invalid votes. Swiss law also does not provide as much flexibility in the various terms that can attach to different classes of shares as do the laws of some other jurisdictions. Swiss law also reserves for approval by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in which greater flexibility would have provided substantial benefits to our shareholders.</w:t>
      </w:r>
    </w:p>
    <w:p>
      <w:pPr>
        <w:spacing w:after="0" w:line="139" w:lineRule="exact"/>
        <w:rPr>
          <w:sz w:val="20"/>
          <w:szCs w:val="20"/>
          <w:color w:val="auto"/>
        </w:rPr>
      </w:pPr>
    </w:p>
    <w:p>
      <w:pPr>
        <w:ind w:left="60" w:right="99" w:firstLine="324"/>
        <w:spacing w:after="0" w:line="268" w:lineRule="auto"/>
        <w:rPr>
          <w:sz w:val="20"/>
          <w:szCs w:val="20"/>
          <w:color w:val="auto"/>
        </w:rPr>
      </w:pPr>
      <w:r>
        <w:rPr>
          <w:rFonts w:ascii="Times New Roman" w:cs="Times New Roman" w:eastAsia="Times New Roman" w:hAnsi="Times New Roman"/>
          <w:sz w:val="17"/>
          <w:szCs w:val="17"/>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Times New Roman" w:cs="Times New Roman" w:eastAsia="Times New Roman" w:hAnsi="Times New Roman"/>
          <w:sz w:val="17"/>
          <w:szCs w:val="17"/>
          <w:i w:val="1"/>
          <w:iCs w:val="1"/>
          <w:color w:val="auto"/>
        </w:rPr>
        <w:t>apports de capital</w:t>
      </w:r>
      <w:r>
        <w:rPr>
          <w:rFonts w:ascii="Times New Roman" w:cs="Times New Roman" w:eastAsia="Times New Roman" w:hAnsi="Times New Roman"/>
          <w:sz w:val="17"/>
          <w:szCs w:val="17"/>
          <w:color w:val="auto"/>
        </w:rPr>
        <w:t>, contributions received from shareholders) in the “reserve from capital contributions.” Distributions may be made out of issued share capital—the aggregate nominal value of a company’s issued shares—only by way of a capital reduction. To the extent the Company introduces the capital band in 2024, only net proceeds from capital increase using the capital band (less certain expenses and net of repayments from the Company) will be recognized as reserves from capital contributions at the end of validity period of the respective capital band). As of December 31, 2023, the Company has CHF 432.5 million of reserves from capital contributions confirmed by the Swiss Federal Tax Administration and CHF 2,082,858 of issued share capital (consisting of 104,142,905 common shares each with a nominal value of CHF 0.02 and no preferred shares) on its audited statutory balance sheet. Of the total issued shares and issued share capital, the Company holds 5,243,958 fully paid-in treasury shares representing CHF 104,879 of issued share capital.</w:t>
      </w:r>
    </w:p>
    <w:p>
      <w:pPr>
        <w:spacing w:after="0" w:line="175"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reserves from capital contributions accumulated on or after January 1, 1997. We expect the aggregate of the reserves from capital contributions confirmed by the Swiss Federal Tax Administration and share capital, less the total losses brought forward (to the extent set off against reserves from capital contributions or share capital), less the treasury shares (to the extent booked against reserves from capital contributions), less the lowest legally possible issued share capital and legal reserve to represent the maximum amount potentially available for future dividends or capital reductions on a Swiss withholding tax-free basis.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54"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8"/>
          <w:szCs w:val="18"/>
          <w:color w:val="auto"/>
        </w:rPr>
        <w:t>A U.S. investor who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reserves from capital contributions to pay dividends free from Swiss withholding tax, or that Swiss withholding tax rules will not be changed in the future. In addition, we cannot provide assurance that the current Swiss law with respect to distributions out of reserves from capital contributions will not be changed or that a change in Swiss law will not adversely affect us or our shareholders, in particular as a result of distributions out of reserves from capital contributions becoming subject to additional corporate law or other restrictions. If we are unable to make a distribution through a reduction in nominal value or out of confirmed reserves from capital contributions, we will not be able to make distributions without subjecting our shareholders to Swiss withholding taxes.</w:t>
      </w:r>
    </w:p>
    <w:p>
      <w:pPr>
        <w:spacing w:after="0" w:line="163" w:lineRule="exact"/>
        <w:rPr>
          <w:sz w:val="20"/>
          <w:szCs w:val="20"/>
          <w:color w:val="auto"/>
        </w:rPr>
      </w:pPr>
    </w:p>
    <w:p>
      <w:pPr>
        <w:ind w:left="3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145"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We are organized under the laws of Switzerland and our registered office and domicile is located in Ecublens, near Lausanne, Canton of Vaud, Switzerland. Moreover, a number of our directors and executive officers are not residents of the U.S., and all or a substantial portion of the assets of such persons are located outside the U.S. As a result, it may not be possible for investors to effect service of process within the U.S. upon us or upon such persons or to enforce against them judgments obtained in U.S. courts, including judgments in actions predicated upon the civil liability provisions of the federal securities laws of the U.S. We have been advised by our Swiss counsel that there is doubt as to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enforceability in Switzerland of original actions, or of actions for enforcement of judgments of U.S. courts, for civil liabilities to the extent solely predicated upon the federal and state securities laws of the U.S.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Additionally, certain mandatory provisions of Swiss law may be applicable regardless of any other law that would otherwise apply.</w:t>
      </w:r>
    </w:p>
    <w:p>
      <w:pPr>
        <w:spacing w:after="0" w:line="148" w:lineRule="exact"/>
        <w:rPr>
          <w:sz w:val="20"/>
          <w:szCs w:val="20"/>
          <w:color w:val="auto"/>
        </w:rPr>
      </w:pPr>
    </w:p>
    <w:p>
      <w:pPr>
        <w:ind w:left="60" w:right="319" w:firstLine="324"/>
        <w:spacing w:after="0" w:line="255" w:lineRule="auto"/>
        <w:rPr>
          <w:sz w:val="20"/>
          <w:szCs w:val="20"/>
          <w:color w:val="auto"/>
        </w:rPr>
      </w:pPr>
      <w:r>
        <w:rPr>
          <w:rFonts w:ascii="Times New Roman" w:cs="Times New Roman" w:eastAsia="Times New Roman" w:hAnsi="Times New Roman"/>
          <w:sz w:val="18"/>
          <w:szCs w:val="18"/>
          <w:color w:val="auto"/>
        </w:rPr>
        <w:t>Switzerland and the U.S. do not have a treaty providing for reciprocal recognition and enforcement of judgments in civil and commercial matters. The recognition and enforcement of a judgment of the courts of the U.S. in Switzerland is governed by the principles set forth in the Swiss Federal Act on Private International Law. This statute provides in principle that a judgment rendered by a non-Swiss court may be enforced in Switzerland only if:</w:t>
      </w:r>
    </w:p>
    <w:p>
      <w:pPr>
        <w:spacing w:after="0" w:line="187"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non-Swiss court had jurisdiction pursuant to the Swiss Federal Act on Private International Law;</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such non-Swiss court has become final and non-appealable;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does not contravene Swiss public policy;</w:t>
      </w:r>
    </w:p>
    <w:p>
      <w:pPr>
        <w:spacing w:after="0" w:line="225"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procedures and the service of documents leading to the judgment were in accordance with the due process of law; and</w:t>
      </w:r>
    </w:p>
    <w:p>
      <w:pPr>
        <w:spacing w:after="0" w:line="161" w:lineRule="exact"/>
        <w:rPr>
          <w:rFonts w:ascii="Times New Roman" w:cs="Times New Roman" w:eastAsia="Times New Roman" w:hAnsi="Times New Roman"/>
          <w:sz w:val="18"/>
          <w:szCs w:val="18"/>
          <w:color w:val="auto"/>
        </w:rPr>
      </w:pPr>
    </w:p>
    <w:p>
      <w:pPr>
        <w:ind w:left="720" w:right="399" w:hanging="319"/>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involving the same parties and the same subject matter was first brought in Switzerland, or adjudicated in Switzerland, or was earlier adjudicated in a third state for which the decision is recognizable in Switzerland.</w:t>
      </w:r>
    </w:p>
    <w:p>
      <w:pPr>
        <w:spacing w:after="0" w:line="172" w:lineRule="exact"/>
        <w:rPr>
          <w:sz w:val="20"/>
          <w:szCs w:val="20"/>
          <w:color w:val="auto"/>
        </w:rPr>
      </w:pPr>
    </w:p>
    <w:p>
      <w:pPr>
        <w:ind w:left="38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5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or authorize our board of directors, to increase our share capital. Although under the current Swiss law our shareholders may resolve a capital band which authorizes the board of directors to increase or decrease the share capital without additional shareholder approval, Swiss law limits this authorization to 50% of the issued share capital at the time of the authorization. The authorization, furthermore, has a limited duration of up to five years and must be renewed by the shareholders from time to time thereafter.</w:t>
      </w:r>
    </w:p>
    <w:p>
      <w:pPr>
        <w:spacing w:after="0" w:line="151"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Since January 1, 2023, the new Swiss corporate law introducing the capital band mechanism has come into force. It will no longer be possible to renew the Company's current Authorized Share Capital beyond June 24, 2024. Instead, the Company can only introduce the capital band pursuant to Article 653s et seq. of the revised Swiss Code of Obligations which requires an amendment of the Articles of Association by way of a resolution of a duly convened general meeting of shareholders of the Company.</w:t>
      </w:r>
    </w:p>
    <w:p>
      <w:pPr>
        <w:spacing w:after="0" w:line="143" w:lineRule="exact"/>
        <w:rPr>
          <w:sz w:val="20"/>
          <w:szCs w:val="20"/>
          <w:color w:val="auto"/>
        </w:rPr>
      </w:pPr>
    </w:p>
    <w:p>
      <w:pPr>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Swiss law restricts our ability to pay dividends.</w:t>
      </w:r>
    </w:p>
    <w:p>
      <w:pPr>
        <w:spacing w:after="0" w:line="229"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information—E. Taxation—Swiss tax considerations” for a summary of certain Swiss tax consequences regarding dividends distributed to holders of our common shares.</w:t>
      </w:r>
    </w:p>
    <w:p>
      <w:pPr>
        <w:spacing w:after="0" w:line="158" w:lineRule="exact"/>
        <w:rPr>
          <w:sz w:val="20"/>
          <w:szCs w:val="20"/>
          <w:color w:val="auto"/>
        </w:rPr>
      </w:pPr>
    </w:p>
    <w:p>
      <w:pPr>
        <w:ind w:left="38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in countries with a currency other than the Swiss Franc face additional investment risks from currency exchange rate fluctuations in connection with their holding of our common shares.</w:t>
      </w:r>
    </w:p>
    <w:p>
      <w:pPr>
        <w:spacing w:after="0" w:line="159" w:lineRule="exact"/>
        <w:rPr>
          <w:sz w:val="20"/>
          <w:szCs w:val="20"/>
          <w:color w:val="auto"/>
        </w:rPr>
      </w:pPr>
    </w:p>
    <w:p>
      <w:pPr>
        <w:jc w:val="both"/>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Any future payments of dividends, if any, will likely be denominated in Swiss Francs. The foreign currency equivalent of any dividend, if any, paid on our common shares or received in connection with any sale of our common shares could be adversely affected by the depreciation of the Swiss Franc against such other currency.</w:t>
      </w:r>
    </w:p>
    <w:p>
      <w:pPr>
        <w:spacing w:after="0" w:line="179" w:lineRule="exact"/>
        <w:rPr>
          <w:sz w:val="20"/>
          <w:szCs w:val="20"/>
          <w:color w:val="auto"/>
        </w:rPr>
      </w:pPr>
    </w:p>
    <w:p>
      <w:pPr>
        <w:ind w:left="38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75" w:lineRule="exact"/>
        <w:rPr>
          <w:sz w:val="20"/>
          <w:szCs w:val="20"/>
          <w:color w:val="auto"/>
        </w:rPr>
      </w:pPr>
    </w:p>
    <w:p>
      <w:pPr>
        <w:ind w:left="60" w:right="179" w:firstLine="324"/>
        <w:spacing w:after="0" w:line="251" w:lineRule="auto"/>
        <w:rPr>
          <w:sz w:val="20"/>
          <w:szCs w:val="20"/>
          <w:color w:val="auto"/>
        </w:rPr>
      </w:pPr>
      <w:r>
        <w:rPr>
          <w:rFonts w:ascii="Times New Roman" w:cs="Times New Roman" w:eastAsia="Times New Roman" w:hAnsi="Times New Roman"/>
          <w:sz w:val="18"/>
          <w:szCs w:val="18"/>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their liability for insiders who profit from trades made in a short period of time; and (iii) the</w:t>
      </w:r>
    </w:p>
    <w:p>
      <w:pPr>
        <w:spacing w:after="0" w:line="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7"/>
          <w:szCs w:val="17"/>
          <w:color w:val="auto"/>
        </w:rPr>
        <w:t>rules under the Exchange Act requiring the filing with the SEC of quarterly reports on Form 10-Q containing unaudited financial and other specified information, or of current reports on Form 8-K, upon the occurrence of specified significant events. In addition, foreign private issuers are not required to file their annual report on Form 20-F until 4 months after the end of each financial year, whereas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76" w:lineRule="exact"/>
        <w:rPr>
          <w:sz w:val="20"/>
          <w:szCs w:val="20"/>
          <w:color w:val="auto"/>
        </w:rPr>
      </w:pPr>
    </w:p>
    <w:p>
      <w:pPr>
        <w:ind w:left="38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5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As a result, in accordance with Nasdaq Listing Rule 5615(a)(3), we comply with home country (in this case, Swiss)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14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While Swiss law also requires that our board of directors elects an audit and finance committee from among its members, as a foreign private issuer, the independence of the members of such committee is determined by home country regulations and the conditions of Section 10B of the Securities Exchange Act, excluding any Nasdaq Listing Rules. Section 10B of the Securities Exchange Act also prescribes qualification requirements for the audit and finance committee. Swiss law also requires that we elect a compensation committee, we follow home country requirements with respect to such committee and our compensation, nomination and corporate governance committee is tasked with certain director nomination and governance responsibilities.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68" w:lineRule="auto"/>
        <w:rPr>
          <w:sz w:val="20"/>
          <w:szCs w:val="20"/>
          <w:color w:val="auto"/>
        </w:rPr>
      </w:pPr>
      <w:r>
        <w:rPr>
          <w:rFonts w:ascii="Times New Roman" w:cs="Times New Roman" w:eastAsia="Times New Roman" w:hAnsi="Times New Roman"/>
          <w:sz w:val="17"/>
          <w:szCs w:val="17"/>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Our practice varies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35" w:lineRule="exact"/>
        <w:rPr>
          <w:sz w:val="20"/>
          <w:szCs w:val="20"/>
          <w:color w:val="auto"/>
        </w:rPr>
      </w:pPr>
    </w:p>
    <w:p>
      <w:pPr>
        <w:ind w:left="60" w:right="299" w:firstLine="324"/>
        <w:spacing w:after="0" w:line="312" w:lineRule="auto"/>
        <w:rPr>
          <w:sz w:val="20"/>
          <w:szCs w:val="20"/>
          <w:color w:val="auto"/>
        </w:rPr>
      </w:pPr>
      <w:r>
        <w:rPr>
          <w:rFonts w:ascii="Times New Roman" w:cs="Times New Roman" w:eastAsia="Times New Roman" w:hAnsi="Times New Roman"/>
          <w:sz w:val="17"/>
          <w:szCs w:val="17"/>
          <w:color w:val="auto"/>
        </w:rPr>
        <w:t>For an overview of our corporate governance principles, see “Item 16G. Corporate governance.” As a result of the above, you may not have the same protections afforded to shareholders of companies that are not foreign private issuers.</w:t>
      </w:r>
    </w:p>
    <w:p>
      <w:pPr>
        <w:spacing w:after="0" w:line="136" w:lineRule="exact"/>
        <w:rPr>
          <w:sz w:val="20"/>
          <w:szCs w:val="20"/>
          <w:color w:val="auto"/>
        </w:rPr>
      </w:pPr>
    </w:p>
    <w:p>
      <w:pPr>
        <w:ind w:left="38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59"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2024 (or the end of our second fiscal quarter in any subsequent fiscal year), which would require us to comply with all of the periodic disclosure and current reporting requirements of the Exchange Act applicable to U.S. domestic issuers as of January 1, 2025 (or the first day of the fiscal year immediately succeeding the end of such second quarter). In order to maintain our current status as a foreign private issuer, either (a) a majority of our common shares must be either directly or indirectly owned of record by non-residents of the U.S. or (b) (i) a majority of our executive officers or directors may not be U.S. citizens or residents, (ii) more than 50 percent of our assets cannot be located in the U.S. and (iii) our business must be administered principally outside the U.S.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56" w:lineRule="exact"/>
        <w:rPr>
          <w:sz w:val="20"/>
          <w:szCs w:val="20"/>
          <w:color w:val="auto"/>
        </w:rPr>
      </w:pPr>
    </w:p>
    <w:p>
      <w:pPr>
        <w:ind w:left="380" w:right="1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5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controls over financial reporting. Effective internal controls over financial reporting are necessary for us to provide reliable financial reports and, together with adequate disclosure controls and procedures, are designed to prevent fraud, among other objectives. Any failure to implement any required new or improved controls, or difficulties encountered in their implementation could cause us to fail to meet our reporting obligations. In addition, any testing by us conducted in connection with Section 404 of the Sarbanes-Oxley Act of 2002, or any testing by our independent registered public accounting firm, may reveal deficiencies in our internal controls over financial reporting, which are deemed to be material weaknesses or that may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require prospective or retroactive changes to our consolidated financial statements or identify other areas for further attention or improvement.</w:t>
      </w:r>
    </w:p>
    <w:p>
      <w:pPr>
        <w:spacing w:after="0" w:line="135"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48" w:lineRule="exact"/>
        <w:rPr>
          <w:sz w:val="20"/>
          <w:szCs w:val="20"/>
          <w:color w:val="auto"/>
        </w:rPr>
      </w:pPr>
    </w:p>
    <w:p>
      <w:pPr>
        <w:ind w:left="38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5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183" w:lineRule="exact"/>
        <w:rPr>
          <w:sz w:val="20"/>
          <w:szCs w:val="20"/>
          <w:color w:val="auto"/>
        </w:rPr>
      </w:pPr>
    </w:p>
    <w:p>
      <w:pPr>
        <w:ind w:left="22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were likely a passive foreign investment company (a “PFIC”) for our 2019, 2020 and 2022 taxable years. Although we believe we were likely not a PFIC for 2023, there can be no assurance that the Internal Revenue Service will agree. We cannot express any expectation regarding our PFIC status for 2024 or future taxable years. If we are a PFIC for any taxable year during which a U.S. investor owns our common shares, the investor generally will be subject to adverse U.S. federal income tax consequences.</w:t>
      </w:r>
    </w:p>
    <w:p>
      <w:pPr>
        <w:spacing w:after="0" w:line="143"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Under the Internal Revenue Code of 1986, as amended (the “Code”), we will be a PFIC for any taxable year in which, after the application of certain look-through rules with respect to subsidiaries, either (i) 75% or more of our gross income consists of passive income (the “income test”) or (ii) 50% or more of the average value of our assets (generally determined on a quarterly basis) consists of assets that produce, or are held for the production of, passive income (the “asset test”). Passive income generally includes dividends, interest, certain non-active rents and royalties, and gains from financial investments. Cash is generally a passive asset. Goodwill and other intangible assets (the value of which may be determined by reference to the excess of the sum of a corporation’s market capitalization and liabilities over the value of its assets) are generally active assets to the extent attributable to business activities that produce active income. For purposes of the above calculations, we will be treated as if we hold our proportionate share of the assets of, and directly receive our proportionate share of the income of, any other corporation in which we directly or indirectly own at least 25% of the shares of such corporation by value.</w:t>
      </w:r>
    </w:p>
    <w:p>
      <w:pPr>
        <w:spacing w:after="0" w:line="166"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Although, the application of the income test to a company like us (whose overall losses from research and development activities significantly exceed its gross income) is not entirely clear, we will be a PFIC for any taxable year under the income test if 75% or more of our gross income (as determined for U.S. federal income tax purposes) for such year consists of interest and other passive income. Prior to the commercialization and sales of any of our product candidates, our gross income may consist primarily of upfront or milestone payments and grants (which we believe are likely to be treated as active income) and interest (which is passive income). The receipt of upfront payments is non-recurring in nature, and the receipt of grants or milestone payments is subject to various conditions. Therefore, there can be no assurance as to the amount of grants, milestone payments or upfront payments (if any) that we will receive for any taxable year. Moreover, we may earn income from sublicensing, which may be passive unless certain conditions are satisfied. There is no assurance that the Internal Revenue Service (“IRS”) will not challenge the classification of any of our income items for PFIC purposes for any taxable year. Accordingly, there is no assurance that we will not be a PFIC for any taxable year under the income test.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In addition, we currently hold, and expect to continue to hold, a substantial amount of passive assets, including cash. The average value of our assets (including goodwill and other intangible assets) for purposes of determining our PFIC status for any taxable year may be determined, in large part, by reference to our market capitalization, which has fluctuated substantially over time and may continue to be volatile. Due to the volatility of our market capitalization, we may be a PFIC under the asset test for any taxable year if our cash and other passive assets constitute 50% or more of the value of our total assets.</w:t>
      </w:r>
    </w:p>
    <w:p>
      <w:pPr>
        <w:spacing w:after="0" w:line="14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As discussed in our Annual Reports on Form 20-F for 2019, 2020, and 2022, we were likely a PFIC for these years. If we were a PFIC for 2019, 2020 or 2022, or any other taxable year, we generally will continue to be treated as a PFIC with respect to a U.S. investor who owned our common shares during any portion of such years, even if we are not a PFIC for 2023 or any subsequent taxable year, unless the U.S. investor makes a “deemed sale” election with respect to our common shares.</w:t>
      </w:r>
    </w:p>
    <w:p>
      <w:pPr>
        <w:spacing w:after="0" w:line="16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Although we have not obtained valuations of our assets (including goodwill or going concern value) for 2023 and thus are not in a position to make a definitive determination regarding whether we were a PFIC for 2023, based on the composition of our income and assets during 2023 and the estimated value of our assets (which is based on our average market capitalization during 2023), we believe that we were likely not a PFIC for 2023. However, for the reasons described above there can be no assurance that the IRS will agree. Because our PFIC status is a factual annual determination that can be determined only after the end of the relevant taxable year, we cannot express a view regarding our PFIC status for 2024 or any future taxable year.</w:t>
      </w:r>
    </w:p>
    <w:p>
      <w:pPr>
        <w:spacing w:after="0" w:line="14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U.S. investors that own our common shares during any taxable year in which we are (or were) a PFIC generally will be subject to adverse U.S. federal income tax consequences, including (i) the treatment of all or a portion of any gain on disposition of our common shares as ordinary income, (ii) the application of a deferred interest charge on such gain and the receipt of certain dividends and (iii) the requirement to file certain reports to the IRS. We do not intend to provide the information that would enable investors to make a “qualified electing fund” election which, if available, could materially affect the U.S. federal income tax consequences to investors if we are a PFIC for any taxable year.</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further discussion, see “Item 10. Additional information—Section E.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227"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general telephone number is (41) 21 345 91 21 and our internet address is www.acimmune.com. References to our website address do not constitute incorporation by reference of the information contained on the website, and the information contained on the website is not part of this document or any other document that we file with or furnish to the SEC. The SEC maintains an internet site that contains reports, proxy and information statements and other information regarding issuers that file electronically with the SEC, which can be found at http://www.sec.gov. Our agent for service of process in the United States is Cogency Global Inc. located at 122 East 42nd Street, 18th Floor, New York, New York 10168.</w:t>
      </w:r>
    </w:p>
    <w:p>
      <w:pPr>
        <w:spacing w:after="0" w:line="187"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Our principal expenditures since January 1, 2021 have been our research and development expenses, as more fully described elsewhere in this Annual Report.</w:t>
      </w:r>
    </w:p>
    <w:p>
      <w:pPr>
        <w:spacing w:after="0" w:line="15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22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AC Immune is a leading, clinical stage biopharmaceutical company advancing one of the broadest portfolios focused on pioneering Precision Medicine for neurodegenerative diseases. Our highly differentiated approach integrates novel therapeutics and diagnostics to overcome the fundamental challenge in this therapeutic area – the high number of co-pathologies driving disease development and progression and the urgent need for more tailored therapeutic regimens.</w:t>
      </w:r>
    </w:p>
    <w:p>
      <w:pPr>
        <w:spacing w:after="0" w:line="187"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16 therapeutic and diagnostic programs, with one in a Phase 3 and five in Phase 2 clinical trials, targeting five different types of misfolded pathological proteins related to Alzheimer’s disease (AD), Parkinson’s disease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 by shifting it towards Precision Medicine and disease prevention.</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 AC Immune investment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182880</wp:posOffset>
            </wp:positionV>
            <wp:extent cx="5417820" cy="2837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1782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99" w:hanging="10"/>
        <w:spacing w:after="0" w:line="262" w:lineRule="auto"/>
        <w:tabs>
          <w:tab w:leader="none" w:pos="23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2023; excluding treasury shares; (2) Including CHF 14.8 million milestone from Janssen, which was received on February 1, 2024; (3) Assumes second ACI-35-related milestone payment of CHF 24.6 million to be received in 2025 and no other milestones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have assembled an outstanding management team with relevant scientific, clinical and regulatory expertise. Our scientific founders, Jean-Marie Lehn, Claude Nicolau, and Fred van Leuven, are regarded as pioneers in their respective scientific domains, including in the study of AD. Our co-founder and Chief Executive Officer, Andrea Pfeifer, a Pharmacologist with a Ph.D. in cancer research and a former National Institute of Health researcher, has a 30-year track record in product innovation and implementation, and was formerly Head of Nestlé Global Research and the co-founder of Nestlé Venture Fund. Madiha Derouazi, our Chief Scientific Officer, has an international track record as immunologist, entrepreneur and active immunotherapy developer. Nuno Mendonça, our Chief Medical Officer, is a certified Neurologist with international industry experience in the clinical development of investigational therapeutics for neurodegenerative diseases, including in senior roles at leading global pharmaceutical companies.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Unmet need in neurodegenerative diseases</w:t>
      </w:r>
    </w:p>
    <w:p>
      <w:pPr>
        <w:spacing w:after="0" w:line="229" w:lineRule="exact"/>
        <w:rPr>
          <w:sz w:val="20"/>
          <w:szCs w:val="20"/>
          <w:color w:val="auto"/>
        </w:rPr>
      </w:pPr>
    </w:p>
    <w:p>
      <w:pPr>
        <w:ind w:left="60" w:right="339" w:firstLine="324"/>
        <w:spacing w:after="0" w:line="255" w:lineRule="auto"/>
        <w:rPr>
          <w:sz w:val="20"/>
          <w:szCs w:val="20"/>
          <w:color w:val="auto"/>
        </w:rPr>
      </w:pPr>
      <w:r>
        <w:rPr>
          <w:rFonts w:ascii="Times New Roman" w:cs="Times New Roman" w:eastAsia="Times New Roman" w:hAnsi="Times New Roman"/>
          <w:sz w:val="18"/>
          <w:szCs w:val="18"/>
          <w:color w:val="auto"/>
        </w:rPr>
        <w:t>Neurodegenerative diseases, including dementias and motor disorders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183" w:lineRule="exact"/>
        <w:rPr>
          <w:sz w:val="20"/>
          <w:szCs w:val="20"/>
          <w:color w:val="auto"/>
        </w:rPr>
      </w:pPr>
    </w:p>
    <w:p>
      <w:pPr>
        <w:jc w:val="both"/>
        <w:ind w:left="720" w:right="159" w:hanging="319"/>
        <w:spacing w:after="0" w:line="268"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World Health Organization recognizes dementia as a global public health priority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Worldwide, there is a new case of dementia every 3 seconds, with an estimated global patient population of greater than 50 million in 2020. This is predicted to increase to 139 million by 2050 (Alzheimer’s Disease International).</w:t>
      </w:r>
    </w:p>
    <w:p>
      <w:pPr>
        <w:spacing w:after="0" w:line="174" w:lineRule="exact"/>
        <w:rPr>
          <w:rFonts w:ascii="Times New Roman" w:cs="Times New Roman" w:eastAsia="Times New Roman" w:hAnsi="Times New Roman"/>
          <w:sz w:val="18"/>
          <w:szCs w:val="18"/>
          <w:color w:val="auto"/>
        </w:rPr>
      </w:pPr>
    </w:p>
    <w:p>
      <w:pPr>
        <w:ind w:left="720" w:right="179" w:hanging="319"/>
        <w:spacing w:after="0" w:line="265"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total healthcare costs for the treatment of Alzheimer’s disease in the United States in 2022 is USD 321 billion per the Alzheimer’s Association. The worldwide cost for dementia is expected to increase to approximately USD 2.8 trillion annually by 2030 as the population ages (Alzheimer’s Disease International). If the estimated global costs of dementia were a country, it would be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largest economy in the world.</w:t>
      </w:r>
    </w:p>
    <w:p>
      <w:pPr>
        <w:sectPr>
          <w:pgSz w:w="11900" w:h="16838" w:orient="portrait"/>
          <w:cols w:equalWidth="0" w:num="1">
            <w:col w:w="9019"/>
          </w:cols>
          <w:pgMar w:left="1440" w:top="513" w:right="1440"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 Neurodegenerative diseases represent a large and growing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156845</wp:posOffset>
            </wp:positionV>
            <wp:extent cx="5280660" cy="2211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8066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 xml:space="preserve">(1) Alzheimer’s Disease International 2019; (2) Gustavsson </w:t>
      </w:r>
      <w:r>
        <w:rPr>
          <w:rFonts w:ascii="Times New Roman" w:cs="Times New Roman" w:eastAsia="Times New Roman" w:hAnsi="Times New Roman"/>
          <w:sz w:val="13"/>
          <w:szCs w:val="13"/>
          <w:i w:val="1"/>
          <w:iCs w:val="1"/>
          <w:color w:val="auto"/>
        </w:rPr>
        <w:t>et al.</w:t>
      </w:r>
      <w:r>
        <w:rPr>
          <w:rFonts w:ascii="Times New Roman" w:cs="Times New Roman" w:eastAsia="Times New Roman" w:hAnsi="Times New Roman"/>
          <w:sz w:val="13"/>
          <w:szCs w:val="13"/>
          <w:color w:val="auto"/>
        </w:rPr>
        <w:t>, 2023 (3) Alzheimer’s disease; (4) Monoclonal antibody</w:t>
      </w:r>
    </w:p>
    <w:p>
      <w:pPr>
        <w:spacing w:after="0" w:line="217" w:lineRule="exact"/>
        <w:rPr>
          <w:sz w:val="20"/>
          <w:szCs w:val="20"/>
          <w:color w:val="auto"/>
        </w:rPr>
      </w:pPr>
    </w:p>
    <w:p>
      <w:pPr>
        <w:ind w:left="60" w:right="279" w:firstLine="324"/>
        <w:spacing w:after="0" w:line="252" w:lineRule="auto"/>
        <w:rPr>
          <w:sz w:val="20"/>
          <w:szCs w:val="20"/>
          <w:color w:val="auto"/>
        </w:rPr>
      </w:pPr>
      <w:r>
        <w:rPr>
          <w:rFonts w:ascii="Times New Roman" w:cs="Times New Roman" w:eastAsia="Times New Roman" w:hAnsi="Times New Roman"/>
          <w:sz w:val="18"/>
          <w:szCs w:val="18"/>
          <w:color w:val="auto"/>
        </w:rPr>
        <w:t>Diagnosis typically takes the form of observation of cognitive, functional and behavioral impairment and other symptoms of the diseases, which are generally only apparent after irreversible neuronal damage has already occurred. In the United States, through Q1 2024, there were only two approved disease-modifying therapies for AD. These provided incomplete clinical efficacy, presented non-negligible safety risks or failed to halt disease progression. A subcutaneously administered formulation of one of the approved products resulted in a higher rate of ARIA-E (amyloid related imaging abnormalities – edema related) and still required frequent dosing making it unsuitable for prevention. Despite these shortcomings, marketed therapies, such as Eisai and Pfizer’s Aricept which only address symptoms, have achieved peak annual global sales of approximately USD 2.4 billion prior to loss of exclusivity. Similarly, in the treatment of PD, the current standard of care is intended only to alleviate clinical symptoms.</w:t>
      </w:r>
    </w:p>
    <w:p>
      <w:pPr>
        <w:spacing w:after="0" w:line="190"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July 2022, the FDA accepted Eisai Co., Ltd.’s Biologics License Application (BLA) for lecanemab, an investigational anti-Abeta (amyloid beta) protofibril antibody for early AD that is partnered with Biogen Inc. In September 2022, Eisai and Biogen announced that lecanemab’s confirmatory Phase 3 AD study met its primary endpoint. As a result, lecanemab was granted accelerated approval as a treatment for AD in the U.S. by the U.S. FDA on January 6, 2023. On July 6, 2023, FDA converted lecanemab’s accelerated approval to a traditional approval for the treatment of Alzheimer’s disease.</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In Europe, Eisai submitted marketing authorization application to the EMA on January 9, 2023. In China, Eisai initiated submission of data for BLA to the National Medical Products Administration (NMPA) on December 23, 2022 and was approved for the treatment of AD on January 9, 2024. On September 25, 2023, lecanemab was approved in Japan as a treatment for slowing progression of mild cognitive impairment (MCI) and mild dementia due to Alzheimer’s disease (AD). The administration by intravenous infusion every 2 weeks remains a significant inconvenience for vulnerable patients and their care givers as well as a further burden on healthcare infrastructure.</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Neurodegenerative disease overview</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Folding and unfolding of proteins are important ways of regulating the biological activity and cellular location of those proteins. Misfolding of proteins occurs due to a breakdown of cellular quality control systems and is a common feature of many neurodegenerative diseases. Misfolded proteins are unable to carry out their normal functions and aggregate to form insoluble deposits in the brain, which eventually lead to neuronal damage and cell death. The progression of neurodegenerative diseases, such as AD and PD, is linked to the spread of misfolded, pathological protein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239"/>
        <w:spacing w:after="0" w:line="282" w:lineRule="auto"/>
        <w:rPr>
          <w:sz w:val="20"/>
          <w:szCs w:val="20"/>
          <w:color w:val="auto"/>
        </w:rPr>
      </w:pPr>
      <w:r>
        <w:rPr>
          <w:rFonts w:ascii="Times New Roman" w:cs="Times New Roman" w:eastAsia="Times New Roman" w:hAnsi="Times New Roman"/>
          <w:sz w:val="18"/>
          <w:szCs w:val="18"/>
          <w:color w:val="auto"/>
        </w:rPr>
        <w:t>aggregates throughout the brain. Figure 3 shows how misfolded proteins play a key role in the pathology of neurodegenerative diseases.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Figure 3: Misfolded proteins key impact on the pathology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156845</wp:posOffset>
            </wp:positionV>
            <wp:extent cx="5349240" cy="2100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Typically, protein misfolding occurs in response to cellular stress, which can be triggered by many different, largely unknown, causes. A cascade of molecular events begins with the misfolding of single proteins within a cell, which then aggregate and ultimately form larger aggregates including plaques and tangles. These misfolded proteins are then exported or shed from dying neurons where they can spread to healthy cells nearby. Once inside, misfolded proteins can interact with normal proteins and cause them to misfold in a process known as “seeding,” leading to spreading of the disease pathology throughout the brain, increased neuronal death and a progressive decline in cognitive function.</w:t>
      </w:r>
    </w:p>
    <w:p>
      <w:pPr>
        <w:spacing w:after="0" w:line="18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Figure above also shows how our therapies are designed to intervene and prevent key pathological steps in the progression of neurodegenerative diseases. They are designed to (i) prevent initial misfolding; (ii) promote disaggregation of misfolded proteins; (iii) inhibit spreading of pathological protein to healthy cells; (iv) prevent seeding of new misfolded protein aggregates inside healthy cells; and (v) inhibit downstream neurodegeneration. This robust approach to targeting neurodegenerative diseases is enabled by our two validated technology platforms, SupraAntigen and Morphomer, which generate highly specific biologics and small molecule inhibitors that can distinguish normal from misfolded proteins and inhibit key disease pathways both inside and outside of cells.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strategic vision</w:t>
      </w:r>
    </w:p>
    <w:p>
      <w:pPr>
        <w:spacing w:after="0" w:line="22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Our goal is to continue leveraging our proprietary discovery platforms, SupraAntigen and Morphomer, to shift the treatment paradigm for neurodegenerative disease towards Precision Medicine and disease prevention. We are executing a clear business strategy built on three pillars: (i) accelerate development of novel therapeutics in AD with our partners;</w:t>
      </w:r>
    </w:p>
    <w:p>
      <w:pPr>
        <w:spacing w:after="0" w:line="1" w:lineRule="exact"/>
        <w:rPr>
          <w:sz w:val="20"/>
          <w:szCs w:val="20"/>
          <w:color w:val="auto"/>
        </w:rPr>
      </w:pPr>
    </w:p>
    <w:p>
      <w:pPr>
        <w:jc w:val="both"/>
        <w:ind w:left="60" w:right="99" w:hanging="10"/>
        <w:spacing w:after="0" w:line="255" w:lineRule="auto"/>
        <w:tabs>
          <w:tab w:leader="none" w:pos="3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strategic focus in Parkinson’ disease (PD) and non-AD neurodegenerative diseases, including NeuroOrphan indications and limbic-predominant age-related TDP-43 encephalopathy (LATE); and (iii) a continued focus on diagnostics enabling Precision Medicine to be an ultimate differentiator for the Company.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4: AC Immune’s three-pillar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156845</wp:posOffset>
            </wp:positionV>
            <wp:extent cx="5434965" cy="22459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3496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Alzheimer’s disease; (2) Down syndrome; (3) alpha-synuclein; (4) TAR DNA-binding protein 43</w:t>
      </w:r>
    </w:p>
    <w:p>
      <w:pPr>
        <w:spacing w:after="0" w:line="215"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combination in order to slow or stop the disease course. Ultimately, it is our belief that Precision Medicine will increase the chance of treatment success by enabling clinical trial participants to be better defined by their various proteinopathies, allowing for treatment with the right therapies at the right time.</w:t>
      </w:r>
    </w:p>
    <w:p>
      <w:pPr>
        <w:spacing w:after="0" w:line="175"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AC Immune has established itself as a leader in developing Precision Medicines for neurodegenerative diseases by utilizing our diagnostic capabilities to enable improved diagnosis of co-pathologies, patient selection and assessment of clinical trial outcomes. Our dual technology platforms allow for a multi-modal approach encompassing a portfolio of active immunotherapies, antibodies and small molecules tailored to the underlying pathology driving patients’ disease. In addition to generating targeted monotherapies, this approach creates the potential for combination regimens, which may treat a broader spectrum of disease and offer greater efficacy.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Precision Medicine for neurodegenerative diseases</w:t>
      </w:r>
    </w:p>
    <w:p>
      <w:pPr>
        <w:spacing w:after="0" w:line="21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development of therapeutics for neurodegenerative diseases is moving towards treating early-stage disease to delay or prevent progression by preserving neurological function before it is irretrievably lost. Therefore, early detection of neurodegenerative diseases will be critical to enhancing the effectiveness of both symptomatic and disease-modifying therapies.</w:t>
      </w:r>
    </w:p>
    <w:p>
      <w:pPr>
        <w:spacing w:after="0" w:line="19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This begins with a real challenge. The commonly used approach of taking a biopsy of the affected tissue to detect the corresponding pathology is not possible with diseases of the brain. Given these complexities, it becomes more important that we develop improved methods to fully characterize the underlying pathologies in different patients to ultimately provide better opportunities for therapeutic intervention at all stages of disease. Samples of blood or cerebrospinal fluid can be used to monitor biomarker levels indirectly but neither of these fluids provide exact anatomical information on where protein misfolding and aggregation occur.</w:t>
      </w:r>
    </w:p>
    <w:p>
      <w:pPr>
        <w:spacing w:after="0" w:line="203"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At AC Immune, we have a strong track record in discovering highly sensitive and specific imaging agents to detect and quantify pathological proteins and their aggregated forms directly in patients’ brains using PET scans. These agents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can provide critical information to confirm or exclude certain diagnoses and thus to determine which might be the most appropriate therapeutic strategy for a patient.</w:t>
      </w:r>
    </w:p>
    <w:p>
      <w:pPr>
        <w:spacing w:after="0" w:line="175"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We are developing an integrated diagnostic and therapeutic strategy to deliver Precision Medicine for patients with neurodegenerative conditions. This will lead to a combination therapy approach to treat each patient's unique disease by addressing the right proteinopathy, in the right patient, at the right time.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Active immunotherapies for Alzheimer’s and Parkinson’s disease</w:t>
      </w:r>
    </w:p>
    <w:p>
      <w:pPr>
        <w:spacing w:after="0" w:line="24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Consistent with this approach, we are progressing our active immunotherapies targeting the hallmark proteins driving neurodegenerative diseases such as Abeta, Tau, and alpha-synuclein (a-syn). Our clinical stage active immunotherapy programs, ACI-24.060 (anti-Abeta active immunotherapy), ACI-35.030 (anti-pTau active immunotherapy), and ACI-7104.056 (anti-a-syn active immunotherapy) have been shown to stimulate a patient’s own immune system to produce antibodies directed specifically against the pathological species of these target proteins.</w:t>
      </w:r>
    </w:p>
    <w:p>
      <w:pPr>
        <w:spacing w:after="0" w:line="201" w:lineRule="exact"/>
        <w:rPr>
          <w:sz w:val="20"/>
          <w:szCs w:val="20"/>
          <w:color w:val="auto"/>
        </w:rPr>
      </w:pPr>
    </w:p>
    <w:p>
      <w:pPr>
        <w:ind w:left="60" w:right="59" w:firstLine="321"/>
        <w:spacing w:after="0" w:line="258" w:lineRule="auto"/>
        <w:rPr>
          <w:sz w:val="20"/>
          <w:szCs w:val="20"/>
          <w:color w:val="auto"/>
        </w:rPr>
      </w:pPr>
      <w:r>
        <w:rPr>
          <w:rFonts w:ascii="Times New Roman" w:cs="Times New Roman" w:eastAsia="Times New Roman" w:hAnsi="Times New Roman"/>
          <w:sz w:val="18"/>
          <w:szCs w:val="18"/>
          <w:color w:val="auto"/>
        </w:rPr>
        <w:t>We believe that these antibodies will modify the course of disease by supporting clearance of toxic protein aggregates (as recent clinical data from certain monoclonal antibodies have shown), or by preventing their spreading and accumulation, thereby preserving neuronal health and function. Importantly, the use of active immunotherapies over the longer-term and in people identified as “at risk” before symptomatic disease development will provide the rational, targeted approach consistent with our Precision Medicine strategy.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elements of our approach include:</w:t>
      </w:r>
    </w:p>
    <w:p>
      <w:pPr>
        <w:spacing w:after="0" w:line="225" w:lineRule="exact"/>
        <w:rPr>
          <w:sz w:val="20"/>
          <w:szCs w:val="20"/>
          <w:color w:val="auto"/>
        </w:rPr>
      </w:pPr>
    </w:p>
    <w:p>
      <w:pPr>
        <w:ind w:left="380" w:right="739" w:hanging="6"/>
        <w:spacing w:after="0" w:line="286" w:lineRule="auto"/>
        <w:tabs>
          <w:tab w:leader="none" w:pos="704"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Execution on advancing our product candidates, in partnership or alone, from clinical development to regulatory approval and potential commercialization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5: Our broad and robust clinical stage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2400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5498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hanging="170"/>
        <w:spacing w:after="0"/>
        <w:tabs>
          <w:tab w:leader="none" w:pos="2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Alzheimer’s disease; (2) Down syndrome-related Alzheimer’s disease; (3) Refers to expected readouts from the ABATE Phase 1b/2 trial of ACI-24.060 in patients with AD;</w:t>
      </w:r>
    </w:p>
    <w:p>
      <w:pPr>
        <w:spacing w:after="0" w:line="26" w:lineRule="exact"/>
        <w:rPr>
          <w:rFonts w:ascii="Times New Roman" w:cs="Times New Roman" w:eastAsia="Times New Roman" w:hAnsi="Times New Roman"/>
          <w:sz w:val="12"/>
          <w:szCs w:val="12"/>
          <w:color w:val="auto"/>
        </w:rPr>
      </w:pPr>
    </w:p>
    <w:p>
      <w:pPr>
        <w:ind w:left="60" w:right="299" w:hanging="10"/>
        <w:spacing w:after="0" w:line="280" w:lineRule="auto"/>
        <w:tabs>
          <w:tab w:leader="none" w:pos="23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alpha-synuclein; (5) Parkinson’s disease; (6) Positron emission tomography; (7) Progressive supranuclear palsy; (8) Multiple system atrophy; * licensed to Genentech (a member of the Roche Group) until April 19, 2024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clinical stage product candidates include:</w:t>
      </w:r>
    </w:p>
    <w:p>
      <w:pPr>
        <w:spacing w:after="0" w:line="221"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ACI-24.060 for AD and for AD in DS. </w:t>
      </w:r>
      <w:r>
        <w:rPr>
          <w:rFonts w:ascii="Times New Roman" w:cs="Times New Roman" w:eastAsia="Times New Roman" w:hAnsi="Times New Roman"/>
          <w:sz w:val="18"/>
          <w:szCs w:val="18"/>
          <w:color w:val="auto"/>
        </w:rPr>
        <w:t>Based on safety, tolerability, immunogenicity, and pharmacodynamics</w:t>
      </w:r>
    </w:p>
    <w:p>
      <w:pPr>
        <w:spacing w:after="0" w:line="53" w:lineRule="exact"/>
        <w:rPr>
          <w:rFonts w:ascii="Times New Roman" w:cs="Times New Roman" w:eastAsia="Times New Roman" w:hAnsi="Times New Roman"/>
          <w:sz w:val="18"/>
          <w:szCs w:val="18"/>
          <w:color w:val="auto"/>
        </w:rPr>
      </w:pPr>
    </w:p>
    <w:p>
      <w:pPr>
        <w:ind w:left="720" w:right="159"/>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with an earlier version of ACI-24, an enhanced formulation, ACI-24.060, which incorporates Abeta unrelated T-helper cell epitopes to increase the magnitude and the boostability of the antibody response, is currently being tested at 3 different incremental doses in the ABATE Phase 1b/2 trial (NCT05462106) and Abeta plaque reduction is being assessed using Abeta-PET imaging.</w:t>
      </w:r>
    </w:p>
    <w:p>
      <w:pPr>
        <w:spacing w:after="0" w:line="128" w:lineRule="exact"/>
        <w:rPr>
          <w:sz w:val="20"/>
          <w:szCs w:val="20"/>
          <w:color w:val="auto"/>
        </w:rPr>
      </w:pPr>
    </w:p>
    <w:p>
      <w:pPr>
        <w:ind w:left="700" w:right="79"/>
        <w:spacing w:after="0" w:line="270" w:lineRule="auto"/>
        <w:rPr>
          <w:sz w:val="20"/>
          <w:szCs w:val="20"/>
          <w:color w:val="auto"/>
        </w:rPr>
      </w:pPr>
      <w:r>
        <w:rPr>
          <w:rFonts w:ascii="Times New Roman" w:cs="Times New Roman" w:eastAsia="Times New Roman" w:hAnsi="Times New Roman"/>
          <w:sz w:val="18"/>
          <w:szCs w:val="18"/>
          <w:color w:val="auto"/>
        </w:rPr>
        <w:t>ABATE is a multicenter, adaptive, double-blind, randomized, placebo-controlled study designed to assess the safety, tolerability, immunogenicity, and pharmacodynamic effects of ACl-24.060 in subjects with prodromal AD and in adults with DS. The CTA has been approved by the UK Medicines and Healthcare Products Regulatory Agency (MHRA) and Spanish Agency for Medicines and Health Products (AEMPS) with the first AD patient dosed in June 2022. In June 2023, AC Immune received Fast Track designation from the FDA for ACI-24.060, for the treatment of AD. This followed FDA clearance of the Investigational New Drug (IND) application in May 2023 enabling the initiation of the ABATE study to include clinical trial sites to enroll participants with DS in the U.S. Based on the safety profiling and induction of an antibody response post dosing of ACI-24.060 in patients with AD, dosing of the first individual with DS occurred in June 2023.</w:t>
      </w:r>
    </w:p>
    <w:p>
      <w:pPr>
        <w:spacing w:after="0" w:line="114" w:lineRule="exact"/>
        <w:rPr>
          <w:sz w:val="20"/>
          <w:szCs w:val="20"/>
          <w:color w:val="auto"/>
        </w:rPr>
      </w:pPr>
    </w:p>
    <w:p>
      <w:pPr>
        <w:ind w:left="720" w:right="199" w:hanging="319"/>
        <w:spacing w:after="0" w:line="290" w:lineRule="auto"/>
        <w:tabs>
          <w:tab w:leader="none" w:pos="7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ACI-7104.056. </w:t>
      </w:r>
      <w:r>
        <w:rPr>
          <w:rFonts w:ascii="Times New Roman" w:cs="Times New Roman" w:eastAsia="Times New Roman" w:hAnsi="Times New Roman"/>
          <w:sz w:val="17"/>
          <w:szCs w:val="17"/>
          <w:color w:val="auto"/>
        </w:rPr>
        <w:t>ACI-7104.056, the optimized formulation of the clinically-validated PD active immunotherapy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PD01A, is currently being tested in a placebo-controlled, double-blind, adaptive, biomarker-based Phase 2 study (VacSYn; NCT06015841) in the EU and in the UK. This trial is evaluating the safety and immunogenicity of ACI-7104.056 against a-syn and pathological a-syn species in early PD. Additionally, disease-specific imaging and fluid biomarkers and progression of motor and non-motor symptoms of PD will be monitored. The VacSYn trial commenced in July 2023 with the dosing of the first patient, and enrollment of cohort 1 has been completed in December 2023, with 16 patients randomized. No safety concerns have been reported to date.</w:t>
      </w:r>
    </w:p>
    <w:p>
      <w:pPr>
        <w:spacing w:after="0" w:line="101" w:lineRule="exact"/>
        <w:rPr>
          <w:rFonts w:ascii="Times New Roman" w:cs="Times New Roman" w:eastAsia="Times New Roman" w:hAnsi="Times New Roman"/>
          <w:sz w:val="17"/>
          <w:szCs w:val="17"/>
          <w:color w:val="auto"/>
        </w:rPr>
      </w:pPr>
    </w:p>
    <w:p>
      <w:pPr>
        <w:ind w:left="720" w:right="79" w:hanging="319"/>
        <w:spacing w:after="0" w:line="270"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ACI-35.030. </w:t>
      </w:r>
      <w:r>
        <w:rPr>
          <w:rFonts w:ascii="Times New Roman" w:cs="Times New Roman" w:eastAsia="Times New Roman" w:hAnsi="Times New Roman"/>
          <w:sz w:val="18"/>
          <w:szCs w:val="18"/>
          <w:color w:val="auto"/>
        </w:rPr>
        <w:t>AC Immune and Janssen Pharmaceuticals, Inc. (Janssen), part of the Janssen Pharmaceutical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of Johnson &amp; Johnson, have evaluated the anti-phosphorylated-Tau (anti-pTau) active immunotherapy ACI-35.030 in a Phase 1b/2a study in subjects with early AD (NCT04445831). Results showed that ACI-35.030 immunization generated a rapid antibody response (anti-pTau, anti-ePHF and anti-Tau IgG) after the first injection (at week 2) at the 3 tested doses. An apparent dose-effect was observed between low and mid doses but not between the mid and high doses. A boosting effect was observed after each injection especially against pathological Tau species (pTau and ePHF). The antibody response was strongly directed against pathological Tau species but not against non-phosphorylated Tau. Long-term maintenance of the anti-ePHF IgG titers against endogenous pathological Tau was observed at the mid- and high-dose.</w:t>
      </w:r>
    </w:p>
    <w:p>
      <w:pPr>
        <w:spacing w:after="0" w:line="109" w:lineRule="exact"/>
        <w:rPr>
          <w:sz w:val="20"/>
          <w:szCs w:val="20"/>
          <w:color w:val="auto"/>
        </w:rPr>
      </w:pPr>
    </w:p>
    <w:p>
      <w:pPr>
        <w:ind w:left="700" w:right="59"/>
        <w:spacing w:after="0" w:line="270" w:lineRule="auto"/>
        <w:rPr>
          <w:sz w:val="20"/>
          <w:szCs w:val="20"/>
          <w:color w:val="auto"/>
        </w:rPr>
      </w:pPr>
      <w:r>
        <w:rPr>
          <w:rFonts w:ascii="Times New Roman" w:cs="Times New Roman" w:eastAsia="Times New Roman" w:hAnsi="Times New Roman"/>
          <w:sz w:val="18"/>
          <w:szCs w:val="18"/>
          <w:color w:val="auto"/>
        </w:rPr>
        <w:t>In addition to ACI-35.030, an exploratory alternative pTau active immunotherapy candidate, JACI-35.054, was also evaluated in the Phase 1b/2a trial. It generated a more varied antibody response (anti-pTau, anti-ePHF and anti-Tau IgG) after the second injection (at week 10) at the 2 tested doses. While there was no apparent dose-effect between the 2 tested doses, a higher variability of titers was observed at the low dose. A boosting effect was seen against pathological Tau and non-phosphorylated Tau species from the 2nd injection. For JACI-35.054, there was a lower extent of specific antibody response against pathological Tau species compared to non-phosphorylated Tau as observed with ACI-35.030. Both ACI-35.030 and JACI-35.054 showed good safety and tolerability profiles. The majority of adverse events (AEs) were of mild intensity. No death was reported. No AE led to study discontinuation or to study treatment discontinuation. The injection site reactions were one of the most frequently reported AEs in actively treated subjects. Serious adverse events (SAEs) mainly observed in subjects treated with ACI-35.030, did not appear to have any particular relationship to the dose.</w:t>
      </w:r>
    </w:p>
    <w:p>
      <w:pPr>
        <w:spacing w:after="0" w:line="125" w:lineRule="exact"/>
        <w:rPr>
          <w:sz w:val="20"/>
          <w:szCs w:val="20"/>
          <w:color w:val="auto"/>
        </w:rPr>
      </w:pPr>
    </w:p>
    <w:p>
      <w:pPr>
        <w:ind w:left="700" w:right="99"/>
        <w:spacing w:after="0" w:line="281" w:lineRule="auto"/>
        <w:rPr>
          <w:sz w:val="20"/>
          <w:szCs w:val="20"/>
          <w:color w:val="auto"/>
        </w:rPr>
      </w:pPr>
      <w:r>
        <w:rPr>
          <w:rFonts w:ascii="Times New Roman" w:cs="Times New Roman" w:eastAsia="Times New Roman" w:hAnsi="Times New Roman"/>
          <w:sz w:val="18"/>
          <w:szCs w:val="18"/>
          <w:color w:val="auto"/>
        </w:rPr>
        <w:t>Consequently, ACI-35.030 (JNJ-64042056) that is selective for pathological phosphorylated Tau (pTau) is being advanced and will be assessed in subjects with preclinical (ie., pre-symptomatic) AD in a Phase 2b study in which the first patient will be dosed in H1 2024. The trial will randomize approximately 500 participants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00" w:right="539"/>
        <w:spacing w:after="0" w:line="313" w:lineRule="auto"/>
        <w:rPr>
          <w:sz w:val="20"/>
          <w:szCs w:val="20"/>
          <w:color w:val="auto"/>
        </w:rPr>
      </w:pPr>
      <w:r>
        <w:rPr>
          <w:rFonts w:ascii="Times New Roman" w:cs="Times New Roman" w:eastAsia="Times New Roman" w:hAnsi="Times New Roman"/>
          <w:sz w:val="18"/>
          <w:szCs w:val="18"/>
          <w:color w:val="auto"/>
        </w:rPr>
        <w:t>with confirmed early-stage Tau pathology, who will be treated over a four-year period. The trial will include interim analyses potentially allowing for acceleration towards a regulatory filing.</w:t>
      </w:r>
    </w:p>
    <w:p>
      <w:pPr>
        <w:spacing w:after="0" w:line="64" w:lineRule="exact"/>
        <w:rPr>
          <w:sz w:val="20"/>
          <w:szCs w:val="20"/>
          <w:color w:val="auto"/>
        </w:rPr>
      </w:pPr>
    </w:p>
    <w:p>
      <w:pPr>
        <w:ind w:left="720" w:right="99" w:hanging="319"/>
        <w:spacing w:after="0" w:line="291" w:lineRule="auto"/>
        <w:tabs>
          <w:tab w:leader="none" w:pos="7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PI-2620</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PI-2620 is the Tau-PET imaging agent discovered during the collaboration of AC Immune and LMI.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are working with our partner, LMI, to advance PI-2620 as a highly differentiated, best-in-class Tau diagnostic for AD as well as non-AD Tauopathies such as progressive supranuclear palsy (PSP) and corticobasal degeneration (CBD). Results have demonstrated PI-2620’s differentiated characteristics as a diagnostic tool for studying Tau-related diseases. Results on the use of PI-2620 in AD patients from an investigator sponsored Phase 2 trial at the Asan Medical Center (NCT03903211) were presented at the 2022 AAIC. Following these results, LMI moved PI-2620 into late-stage clinical development in AD and made a milestone payment. The first Alzheimer’s patient in ADvance, the pivotal Phase 3 histopathology study in AD (NCT05641688), was imaged in January 2023.</w:t>
      </w:r>
    </w:p>
    <w:p>
      <w:pPr>
        <w:spacing w:after="0" w:line="88" w:lineRule="exact"/>
        <w:rPr>
          <w:rFonts w:ascii="Times New Roman" w:cs="Times New Roman" w:eastAsia="Times New Roman" w:hAnsi="Times New Roman"/>
          <w:sz w:val="17"/>
          <w:szCs w:val="17"/>
          <w:color w:val="auto"/>
        </w:rPr>
      </w:pPr>
    </w:p>
    <w:p>
      <w:pPr>
        <w:ind w:left="720" w:right="79" w:hanging="319"/>
        <w:spacing w:after="0" w:line="270"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ACI-12589. </w:t>
      </w:r>
      <w:r>
        <w:rPr>
          <w:rFonts w:ascii="Times New Roman" w:cs="Times New Roman" w:eastAsia="Times New Roman" w:hAnsi="Times New Roman"/>
          <w:sz w:val="18"/>
          <w:szCs w:val="18"/>
          <w:color w:val="auto"/>
        </w:rPr>
        <w:t>Our Morphomer platform has delivered the first clinically validated a-syn-PET tracer which now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support the differential diagnosis of multiple system atrophy (MSA) from other neurodegenerative disease and allow precision medicine approaches and biomarker-based clinical development in this indication. ACI-12589 preclinical and clinical data have been published in October 2023 in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In addition, medicinal chemistry optimization strategies have allowed the identification of our next-generation clinical candidate, ACI-15916. Compared to ACI-12589, ACI-15916 shows significantly higher target occupancy in brain slices from idiopathic forms of Parkinson’s disease (PD) and has therefore the potential to enable imaging of a-syn pathology in patients with PD. IND/CTA-enabling studies for ACI-15196 will be initiated in Q1 2024 with the regulatory submission planned in Q4 2024.</w:t>
      </w:r>
    </w:p>
    <w:p>
      <w:pPr>
        <w:spacing w:after="0" w:line="118" w:lineRule="exact"/>
        <w:rPr>
          <w:rFonts w:ascii="Times New Roman" w:cs="Times New Roman" w:eastAsia="Times New Roman" w:hAnsi="Times New Roman"/>
          <w:sz w:val="18"/>
          <w:szCs w:val="18"/>
          <w:color w:val="auto"/>
        </w:rPr>
      </w:pPr>
    </w:p>
    <w:p>
      <w:pPr>
        <w:ind w:left="720" w:right="99" w:hanging="319"/>
        <w:spacing w:after="0" w:line="275"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Morphomer Tau aggregation inhibitors. </w:t>
      </w:r>
      <w:r>
        <w:rPr>
          <w:rFonts w:ascii="Times New Roman" w:cs="Times New Roman" w:eastAsia="Times New Roman" w:hAnsi="Times New Roman"/>
          <w:sz w:val="18"/>
          <w:szCs w:val="18"/>
          <w:color w:val="auto"/>
        </w:rPr>
        <w:t>In collaboration with our partner, Lilly, we are researching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small molecule Tau aggregation inhibitors with plans to evaluate candidates in AD and NeuroOrphan Tauopathies. Continued candidate characterization across the research program has also identified new and highly differentiated candidates with excellent cerebrospinal fluid exposure and selectivity for pathological aggregated Tau.</w:t>
      </w:r>
    </w:p>
    <w:p>
      <w:pPr>
        <w:spacing w:after="0" w:line="96" w:lineRule="exact"/>
        <w:rPr>
          <w:rFonts w:ascii="Times New Roman" w:cs="Times New Roman" w:eastAsia="Times New Roman" w:hAnsi="Times New Roman"/>
          <w:sz w:val="18"/>
          <w:szCs w:val="18"/>
          <w:color w:val="auto"/>
        </w:rPr>
      </w:pPr>
    </w:p>
    <w:p>
      <w:pPr>
        <w:ind w:left="720" w:right="99" w:hanging="319"/>
        <w:spacing w:after="0" w:line="270"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Semorinemab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Semorinemab is an investigational monoclonal anti-Tau antibody that targets the N-terminal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the Tau protein and is designed to bind to Tau and slow its spread between neurons for the treatment of AD. As announced on January 22, 2024, AC Immune will regain the global rights to semorinemab following termination of the collaboration agreement with Genentech, a member of the Roche Group, which termination will be effective in April 2024. Semorinemab has been studied in two Phase 2 studies: Tauriel in early (prodromal-to-mild) AD, where the primary efficacy endpoint was not met; and Lauriet in mild-to-moderate AD. In Lauriet, a strongly positive and highly statistically significant effect was seen on ADAS-Cog11 (one of two co-primary endpoints) plus statistically significant effects on several key biomarkers, including total Tau and pTau217 in CSF and plasma. The second co-primary endpoint, ADCS-ADL and the secondary efficacy endpoints did not reach significance. Final open label extension results from the Lauriet trial will be reviewed when they become available and are received in full by AC Immune. The Company will then carefully review and evaluate available data sets, before decisions are made on potential further development and other opportunities.</w:t>
      </w:r>
    </w:p>
    <w:p>
      <w:pPr>
        <w:spacing w:after="0" w:line="121" w:lineRule="exact"/>
        <w:rPr>
          <w:rFonts w:ascii="Times New Roman" w:cs="Times New Roman" w:eastAsia="Times New Roman" w:hAnsi="Times New Roman"/>
          <w:sz w:val="18"/>
          <w:szCs w:val="18"/>
          <w:color w:val="auto"/>
        </w:rPr>
      </w:pPr>
    </w:p>
    <w:p>
      <w:pPr>
        <w:ind w:left="720" w:right="239" w:hanging="319"/>
        <w:spacing w:after="0" w:line="288" w:lineRule="auto"/>
        <w:tabs>
          <w:tab w:leader="none" w:pos="7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Crenezumab. </w:t>
      </w:r>
      <w:r>
        <w:rPr>
          <w:rFonts w:ascii="Times New Roman" w:cs="Times New Roman" w:eastAsia="Times New Roman" w:hAnsi="Times New Roman"/>
          <w:sz w:val="17"/>
          <w:szCs w:val="17"/>
          <w:color w:val="auto"/>
        </w:rPr>
        <w:t>Crenezumab is a humanized monoclonal antibody, an investigational treatment designed to slow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 progression by neutralizing neurotoxic Abeta oligomers. It was designed by AC Immune to be a conformation-specific monoclonal antibody targeting multiple forms of misfolded Abeta. As announced on January 22, 2024, AC Immune will regain the global rights to crenezumab following termination of the collaboration agreement with Genentech, a member of the Roche Group, which termination will be effective in April 2024. Crenezumab has an antibody backbone (IgG4) designed to minimize the inflammatory response in the brain, which may result in a lower incidence of side effects known as ARIA (Amyloid-Related Imaging Abnormalities). The investigational medicine has demonstrated excellent safety (e.g. less than 1% of ARIA-E cases in the Phase 3 studies; Ostrowitzki et al., JAMA Neurology, 2022) and encouraging efficacy signals while</w:t>
      </w:r>
    </w:p>
    <w:p>
      <w:pPr>
        <w:sectPr>
          <w:pgSz w:w="11900" w:h="16838" w:orient="portrait"/>
          <w:cols w:equalWidth="0" w:num="1">
            <w:col w:w="9019"/>
          </w:cols>
          <w:pgMar w:left="1440" w:top="513"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99"/>
        <w:spacing w:after="0" w:line="275" w:lineRule="auto"/>
        <w:rPr>
          <w:sz w:val="20"/>
          <w:szCs w:val="20"/>
          <w:color w:val="auto"/>
        </w:rPr>
      </w:pPr>
      <w:r>
        <w:rPr>
          <w:rFonts w:ascii="Times New Roman" w:cs="Times New Roman" w:eastAsia="Times New Roman" w:hAnsi="Times New Roman"/>
          <w:sz w:val="18"/>
          <w:szCs w:val="18"/>
          <w:color w:val="auto"/>
        </w:rPr>
        <w:t>undergoing extensive Phase 2 clinical testing. While the Colombian autosomal-dominant AD prevention trial was not sufficiently powered to show significant cognitive benefits, crenezumab was proven to be safe with numeric trends on the primary and vast majority of secondary and exploratory endpoints in its favor. The lessons from this study provided useful insights regarding the desired anti-amyloid immunotherapy profile and designs for prevention trials. AC Immune will carefully review and evaluate available data sets, before decisions are made on potential further development and other opportunities.</w:t>
      </w:r>
    </w:p>
    <w:p>
      <w:pPr>
        <w:spacing w:after="0" w:line="85" w:lineRule="exact"/>
        <w:rPr>
          <w:sz w:val="20"/>
          <w:szCs w:val="20"/>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Expand product development into NeuroOrphan and additional neurodegenerative diseases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Beyond AD, we are pursuing additional neurodegenerative diseases such as Parkinson’s disease (PD) and NeuroOrphan indications, specifically Tau-, a-syn- and TDP-43-driven diseases, such as FTLD-Tau (e.g. PSP, CBD, FTLD-MAPT), MSA, and ALS and FTLD-TDP, respectively. As part of this strategic move, AC Immune acquired certain a-syn assets from Affiris in 2021, gaining an advanced, clinical stage and validated a-syn active immunotherapy candidate for development against PD in the process.</w:t>
      </w:r>
    </w:p>
    <w:p>
      <w:pPr>
        <w:spacing w:after="0" w:line="17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Pursuing NeuroOrphan indications may enable us to obtain a streamlined regulatory approval pathway and favorable reimbursement for any approved products. In addition, we are accelerating our novel therapeutic and diagnostic candidates targeting a-syn as a primary pathology in Parkinson’s disease and other a-synucleinopathies. See Figure 6 for a summary of our early-stage diversified novel targets pipeline including non-AD neurodegenerative diseases, with an in-house focus on NeuroOrphan indications.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6: Robust novel targets pipeline: diversification into non-AD</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and non-CNS</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103505</wp:posOffset>
            </wp:positionV>
            <wp:extent cx="5554980" cy="1825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5498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 w:right="199" w:hanging="10"/>
        <w:spacing w:after="0" w:line="303" w:lineRule="auto"/>
        <w:tabs>
          <w:tab w:leader="none" w:pos="23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Alzheimer’s disease; (2) Central nervous system; (3) TAR DNA-binding protein 43; (4) Limbic-predominant age-related TDP-43 encephalopathy; (5) alpha-synuclein; (6) Parkinson’s disease; (7) (NOD)-like receptor protein 3; (8) Apoptosis-associated speck-like protein containing a CARD, also PYCARD; (9) Positron emission tomography</w:t>
      </w:r>
    </w:p>
    <w:p>
      <w:pPr>
        <w:spacing w:after="0" w:line="160" w:lineRule="exact"/>
        <w:rPr>
          <w:rFonts w:ascii="Times New Roman" w:cs="Times New Roman" w:eastAsia="Times New Roman" w:hAnsi="Times New Roman"/>
          <w:sz w:val="12"/>
          <w:szCs w:val="12"/>
          <w:color w:val="auto"/>
        </w:rPr>
      </w:pPr>
    </w:p>
    <w:p>
      <w:pPr>
        <w:ind w:left="720" w:hanging="319"/>
        <w:spacing w:after="0"/>
        <w:tabs>
          <w:tab w:leader="none" w:pos="720" w:val="left"/>
        </w:tabs>
        <w:numPr>
          <w:ilvl w:val="1"/>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Accelerating the advancement of our diagnostic portfolio</w:t>
      </w:r>
    </w:p>
    <w:p>
      <w:pPr>
        <w:spacing w:after="0" w:line="22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Early detection of neurodegenerative diseases may be critical to enhancing the effectiveness of both symptomatic and disease-modifying therapies. As a result, therapeutic development for AD increasingly focuses on treating early-stage disease to delay or prevent progression and to preserve the maximum amount of cognitive function before it is irreversibly lost. Most clinical studies now target mild or even preclinical stages of the disease increasing the need for accurate diagnosis that is independent of potentially subjective cognitive metrics. At least one study estimates that as many as one third of patients in previous AD studies did not in fact have AD. Accurate and early diagnosis of AD is thus a substantial unmet market need, and diagnostic products will have a key role in generating a new treatment paradigm, including by selecting more uniform and stage-specific clinical study subjects, tracking patient progress and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managing patients who are receiving treatment, and ultimately diagnosing disease at its earliest stage for immediate treatment.</w:t>
      </w:r>
    </w:p>
    <w:p>
      <w:pPr>
        <w:spacing w:after="0" w:line="158" w:lineRule="exact"/>
        <w:rPr>
          <w:sz w:val="20"/>
          <w:szCs w:val="20"/>
          <w:color w:val="auto"/>
        </w:rPr>
      </w:pPr>
    </w:p>
    <w:p>
      <w:pPr>
        <w:jc w:val="center"/>
        <w:ind w:left="1580" w:right="500"/>
        <w:spacing w:after="0" w:line="286" w:lineRule="auto"/>
        <w:rPr>
          <w:sz w:val="20"/>
          <w:szCs w:val="20"/>
          <w:color w:val="auto"/>
        </w:rPr>
      </w:pPr>
      <w:r>
        <w:rPr>
          <w:rFonts w:ascii="Times New Roman" w:cs="Times New Roman" w:eastAsia="Times New Roman" w:hAnsi="Times New Roman"/>
          <w:sz w:val="18"/>
          <w:szCs w:val="18"/>
          <w:b w:val="1"/>
          <w:bCs w:val="1"/>
          <w:color w:val="auto"/>
        </w:rPr>
        <w:t>Figure 7: The need for Precision Medicine in AD: improved clinical trials, diagnosis and treatment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112395</wp:posOffset>
            </wp:positionV>
            <wp:extent cx="5434965" cy="2305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3496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alpha-synuclein; (2) TAR DNA-binding protein 43; (3) Amyotrophic lateral sclerosis; (4) Limbic-predominant age-related TDP-43 encephalopathy</w:t>
      </w:r>
    </w:p>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Refs: Attems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Newcastle University, AAIC 2017; Nelson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Brain, 2019</w:t>
      </w:r>
    </w:p>
    <w:p>
      <w:pPr>
        <w:spacing w:after="0" w:line="349" w:lineRule="exact"/>
        <w:rPr>
          <w:sz w:val="20"/>
          <w:szCs w:val="20"/>
          <w:color w:val="auto"/>
        </w:rPr>
      </w:pPr>
    </w:p>
    <w:p>
      <w:pPr>
        <w:jc w:val="both"/>
        <w:ind w:left="60" w:right="419" w:firstLine="324"/>
        <w:spacing w:after="0" w:line="289" w:lineRule="auto"/>
        <w:rPr>
          <w:sz w:val="20"/>
          <w:szCs w:val="20"/>
          <w:color w:val="auto"/>
        </w:rPr>
      </w:pPr>
      <w:r>
        <w:rPr>
          <w:rFonts w:ascii="Times New Roman" w:cs="Times New Roman" w:eastAsia="Times New Roman" w:hAnsi="Times New Roman"/>
          <w:sz w:val="17"/>
          <w:szCs w:val="17"/>
          <w:color w:val="auto"/>
        </w:rPr>
        <w:t>We are developing a suite of diagnostics designed to be first-in-class or best-in-class, which will enable improved diagnosis of pathologies, patient selection and assessment of clinical trial outcomes. We currently have four diagnostic programs in our pipeline, developed using our proprietary technology platforms and targeting: Tau, a-syn and TDP-43.</w:t>
      </w:r>
    </w:p>
    <w:p>
      <w:pPr>
        <w:spacing w:after="0" w:line="158"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Leveraging our Morphomer platform, we are developing proprietary PET imaging diagnostics for diseases resulting from the misfolding of a-syn and TDP-43 proteins. No such diagnostics are currently available for these important pathologies and AC Immune has identified promising compounds with high affinity and target specificity, as well as favorable central nervous system (CNS) pharmacokinetic properties.</w:t>
      </w:r>
    </w:p>
    <w:p>
      <w:pPr>
        <w:spacing w:after="0" w:line="18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Our various PET Tracers, including for a-syn and TDP-43, have been validated through prestigious and competitive grants from the MJFF, EU Joint Programme – Neurodegenerative Disease Research’ (JPND) amongst and Target ALS Foundation. If validated clinically, our tracers could become the first in the world to effectively diagnose these respective proteinopathies, which are highly relevant for multiple neurodegenerative diseases.</w:t>
      </w:r>
    </w:p>
    <w:p>
      <w:pPr>
        <w:spacing w:after="0" w:line="176" w:lineRule="exact"/>
        <w:rPr>
          <w:sz w:val="20"/>
          <w:szCs w:val="20"/>
          <w:color w:val="auto"/>
        </w:rPr>
      </w:pPr>
    </w:p>
    <w:p>
      <w:pPr>
        <w:ind w:left="380" w:right="919" w:hanging="6"/>
        <w:spacing w:after="0" w:line="271" w:lineRule="auto"/>
        <w:tabs>
          <w:tab w:leader="none" w:pos="704"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Continuing to optimize our long-term growth by selectively partnering product candidates for global development and commercialization</w:t>
      </w:r>
    </w:p>
    <w:p>
      <w:pPr>
        <w:spacing w:after="0" w:line="171"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have a strong track record of establishing value-driving collaboration agreements with leading pharmaceutical companies, such as Janssen, Lilly and LMI. This strategy allows us to leverage our partners’ scientific, development, manufacturing and commercialization expertise and other resources while partially monetizing our investments, de-risking and accelerating the development of our product candidates. This strategy also enables us to use non-dilutive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partnership revenue to bolster our investment into our early-stage proprietary programs and fuel our continued growth. Our collaboration agreements are summarized in the table below:</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8: External validation and cash generation through external collaborations</w:t>
      </w:r>
      <w:r>
        <w:rPr>
          <w:rFonts w:ascii="Times New Roman" w:cs="Times New Roman" w:eastAsia="Times New Roman" w:hAnsi="Times New Roman"/>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103505</wp:posOffset>
            </wp:positionV>
            <wp:extent cx="5503545" cy="1937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0354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hanging="170"/>
        <w:spacing w:after="0"/>
        <w:tabs>
          <w:tab w:leader="none" w:pos="2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Disclosure limited due to confidentiality agreements with collaboration partners; (2) In millions; (3) Total payments received from partner until termination of agreement;</w:t>
      </w:r>
    </w:p>
    <w:p>
      <w:pPr>
        <w:spacing w:after="0" w:line="24" w:lineRule="exact"/>
        <w:rPr>
          <w:rFonts w:ascii="Times New Roman" w:cs="Times New Roman" w:eastAsia="Times New Roman" w:hAnsi="Times New Roman"/>
          <w:sz w:val="12"/>
          <w:szCs w:val="12"/>
          <w:color w:val="auto"/>
        </w:rPr>
      </w:pPr>
    </w:p>
    <w:p>
      <w:pPr>
        <w:ind w:left="60" w:right="79" w:hanging="10"/>
        <w:spacing w:after="0" w:line="239" w:lineRule="auto"/>
        <w:tabs>
          <w:tab w:leader="none" w:pos="23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Positron emission tomography; (5) In Alzheimer’s disease; (6) Phase 1 completed; (7) Equity investment; (8) Converted to CHF on date of receipt; (9) Excludes convertible note agreement of USD 50 million ; * licensed to Genentech (a member of the Roche Group) until April 19, 2024</w:t>
      </w:r>
    </w:p>
    <w:p>
      <w:pPr>
        <w:spacing w:after="0" w:line="201"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For any additional product candidates targeting large markets, we may, if appropriate, selectively partner with leading companies that we believe can contribute development, manufacturing and marketing expertise, geographic reach and/or other resources that can enhance the value of our wholly-owned products. We will continue to seek to retain certain indications (e.g. NeuroOrphan) and/or geographies, such that we could begin to grow our own marketing capabilities and develop AC Immune into a fully integrated pharmaceutical company.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benefits of our clinically-validated, proprietary technology platforms</w:t>
      </w:r>
    </w:p>
    <w:p>
      <w:pPr>
        <w:spacing w:after="0" w:line="216"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engines that drive our growth are our two unique proprietary and versatile technology platforms: our SupraAntigen platform, which is our biological and immunological platform, and our Morphomer platform, which is our chemical platform. These platforms generate biologics (active immunotherapies and antibodies) and small molecules, respectively, which are designed to selectively interact with the misfolded proteins that are common in a broad range of neurodegenerative diseases. These clinically-validated platforms form the basis of our ongoing pipeline development and the value-driving strategic partnerships we have established to date.</w:t>
      </w:r>
    </w:p>
    <w:p>
      <w:pPr>
        <w:spacing w:after="0" w:line="187"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The key aspect of both our SupraAntigen and Morphomer technology platforms is conformational specificity, which we believe is central to the development of effective and safe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prevents the formation of new misfolded proteins in healthy neighboring cells through a seeding mechanism. Small molecules derived from our Morphomer platform, which we refer to as Morphomers, not only inhibit aggregation of pathological proteins, but also promote disaggregation of already formed aggregates, thereby potentially enhancing their therapeutic potential even in established disease states.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9: SupraAntigen and Morphomer platforms: an integrated approach to CNS-specific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156845</wp:posOffset>
            </wp:positionV>
            <wp:extent cx="5434965" cy="21170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3496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Nanomolar; (2) Picomolar; (3) Central nervous system; (4) Blood-brain barrier; (5) alpha-synuclein; (6) TAR DNA-binding protein 43</w:t>
      </w:r>
    </w:p>
    <w:p>
      <w:pPr>
        <w:spacing w:after="0" w:line="21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SupraAntigen platform was first developed by AC Immune’s scientific co-founders to overcome a challenge common to neurodegenerative diseases: the lack of immunogenicity of disease-causing self-proteins. The SupraAntigen platform uses liposomes (small spherical vesicles formed by a lipid bilayer) to present specific antigens designed to evoke an immune response. SupraAntigen is used to generate conformation-specific antibodies for immunotherapy in neurodegenerative diseases. The overarching idea behind the platform is that antibodies, which are large in size, are well-suited to target extracellular proteins, interrupt spreading of pathological proteins, and break up and clear aggregates of misfolded proteins through phagocytosis.</w:t>
      </w:r>
    </w:p>
    <w:p>
      <w:pPr>
        <w:spacing w:after="0" w:line="187"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AC Immune has acquired advanced mastery of the design and manipulation of liposomes to develop either passive or active immunization techniques to generate antibodies targeting neurodegenerative diseases. When pursuing active immunization approaches, we use liposomes carrying a specific antigen as an active immunotherapy. After treatment with an active immunotherapy, antibodies that specifically target the pathological forms of the target proteins are produced naturally by the host with very high affinity without further optimization. This immune response can be long-lasting and may be ideal to prevent the onset of a disease, as the immune system is now primed to rapidly identify disease-causing misfolded proteins.</w:t>
      </w:r>
    </w:p>
    <w:p>
      <w:pPr>
        <w:spacing w:after="0" w:line="187"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Product candidates generated utilizing the SupraAntigen platform include active immunotherapies (i) ACI-35.030, which has now been advanced into a large Phase 2b clinical trial in preclinical in early AD, and (ii) ACI-24.060 in the ABATE Phase 1b/2 study in subjects with prodromal AD and in adults with DS. Antibodies include: the preclinical candidates targeting a-syn, TDP-43 and ASC (apoptosis-associated speck-like protein containing a C-terminal caspase recruitment domain) for PD and NeuroOrphan indications.</w:t>
      </w:r>
    </w:p>
    <w:p>
      <w:pPr>
        <w:spacing w:after="0" w:line="183"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The Morphomer platform is designed to enable the development of small molecules (Morphomers) able to bind/interact with beta-sheets containing fibrillary aggregates from candidate selection through preclinical proof-of-concept. Morphomers can target pathological protein aggregates in any brain compartment and are equally well suited for therapeutic and diagnostic applications.</w:t>
      </w:r>
    </w:p>
    <w:p>
      <w:pPr>
        <w:spacing w:after="0" w:line="18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first key component of the Morphomer platform is its library of rationally designed, CNS-optimized non-dye compounds. AC Immune’s extensive know-how has enabled the identification of CNS compounds that penetrate the brain and demonstrate high selectivity for the target. This knowledge has been used to focus the Morphomer library to approximately 16,000 compounds that display these favorable characteristics, making this library an ideal starting point when developing molecules to target human proteinopathies of the CNS. Thus, rather than using the non-directed trial and error strategy of the typical drug development process, the Morphomer platform utilizes its bias for successful CNS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89" w:lineRule="auto"/>
        <w:rPr>
          <w:sz w:val="20"/>
          <w:szCs w:val="20"/>
          <w:color w:val="auto"/>
        </w:rPr>
      </w:pPr>
      <w:r>
        <w:rPr>
          <w:rFonts w:ascii="Times New Roman" w:cs="Times New Roman" w:eastAsia="Times New Roman" w:hAnsi="Times New Roman"/>
          <w:sz w:val="17"/>
          <w:szCs w:val="17"/>
          <w:color w:val="auto"/>
        </w:rPr>
        <w:t>candidates to improve efficiency and accelerate the early stages of the drug development process. Extensive expertise in medicinal chemistry and a suite of proprietary assays developed to screen and validate candidate compounds enables AC Immune to rapidly optimize multiple, highly diversified lead compounds for further preclinical and clinical development.</w:t>
      </w:r>
    </w:p>
    <w:p>
      <w:pPr>
        <w:spacing w:after="0" w:line="15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Therapeutic product candidates generated by the Morphomer platform include our Morphomer Tau candidates. We also have Morphomer a-syn candidates and the diagnostic programs PI-2620 in Phase 3, respectively, and ACI-12589 in a Phase 1 clinical trial in PD, MSA and other synucleinopathies. Finally, we also have- TDP-43-PET imaging agents and Morphomer a-syn candidates.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Shifting the current treatment paradigm for neurodegenerative diseases</w:t>
      </w:r>
    </w:p>
    <w:p>
      <w:pPr>
        <w:spacing w:after="0" w:line="229" w:lineRule="exact"/>
        <w:rPr>
          <w:sz w:val="20"/>
          <w:szCs w:val="20"/>
          <w:color w:val="auto"/>
        </w:rPr>
      </w:pPr>
    </w:p>
    <w:p>
      <w:pPr>
        <w:ind w:left="60" w:right="239" w:firstLine="324"/>
        <w:spacing w:after="0" w:line="252" w:lineRule="auto"/>
        <w:rPr>
          <w:sz w:val="20"/>
          <w:szCs w:val="20"/>
          <w:color w:val="auto"/>
        </w:rPr>
      </w:pPr>
      <w:r>
        <w:rPr>
          <w:rFonts w:ascii="Times New Roman" w:cs="Times New Roman" w:eastAsia="Times New Roman" w:hAnsi="Times New Roman"/>
          <w:sz w:val="18"/>
          <w:szCs w:val="18"/>
          <w:color w:val="auto"/>
        </w:rPr>
        <w:t>Modifying the progression of the disease requires targeting the specific underlying biological processes that drive disease progression. Unfortunately, these processes evolve over the course of many years prior to manifestation of symptoms and a high percentage of neurons may be lost prior to clinical manifestation. Earlier intervention or prevention of the disease could have a major impact, but it requires accurate disease detection prior to developing symptoms. Due to recent advancement in biomarker research, people at risk of developing AD can be diagnosed 10-20 years before symptoms occur. This is opening a completely new market segment for the prevention of NDD in which active immunization will play a key role. This early, and potentially preventative, Precision Medicine approach may ultimately lead to better disease management for patients with neurodegenerative diseases.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10: Active immunotherapies as a new class of treatment for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156845</wp:posOffset>
            </wp:positionV>
            <wp:extent cx="5520690" cy="2400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2069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Given the inherent advantages of active immunotherapies compared to monoclonal antibodies, we believe that our programs could have a profound global social and economic impact as a new class of therapy for neurogenerative diseases in various settings.</w:t>
      </w:r>
    </w:p>
    <w:p>
      <w:pPr>
        <w:spacing w:after="0" w:line="176" w:lineRule="exact"/>
        <w:rPr>
          <w:sz w:val="20"/>
          <w:szCs w:val="20"/>
          <w:color w:val="auto"/>
        </w:rPr>
      </w:pPr>
    </w:p>
    <w:p>
      <w:pPr>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With regard to treatment, active immunotherapies have potentially improved safety and efficacy profiles. By stimulating the patient’s own immune system to produce antibodies, we believe safety and tolerability would be enhanced by avoiding the need to introduce repeated large doses of externally manufactured antibodies. Additionally, due to their ability to target multiple epitopes with a long-lasting and consistent immune response, the polyclonal antibody response generated by an active immunotherapy could potentially address multiple pathological species of the targeted protein.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Active immunotherapies are also much simpler to administer. They are amenable to convenient annual or biannual dosing whereas monoclonal antibodies require frequent intravenous infusions (up to twice per month). These dosing regimens position active immunotherapies as an obvious solution for a maintenance therapy for patients who have previously achieved plaque clearance with antibodies. This approach will reduce the burden for infusion centers and enhance access to a broader patient population.</w:t>
      </w:r>
    </w:p>
    <w:p>
      <w:pPr>
        <w:spacing w:after="0" w:line="183"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addition to these advantages, active immunotherapies allow for more simplified distribution logistics and cost-effectiveness. These factors are crucial to enable their global application as preventative therapies. Given the irreversible nature of neuronal damage, earlier intervention, even before symptoms become visible, promises to be the best strategy to preserve patient function and quality of life.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11: Market opportunities targeting key primary and co-pathologies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18770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5498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hanging="170"/>
        <w:spacing w:after="0"/>
        <w:tabs>
          <w:tab w:leader="none" w:pos="2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Alzheimer’s Association; (2) (NOD)-like receptor protein; (3) Apoptosis-associated speck-like protein containing a CARD, also PYCARD; (4) GBD 2016 Parkinson’s</w:t>
      </w:r>
    </w:p>
    <w:p>
      <w:pPr>
        <w:spacing w:after="0" w:line="13" w:lineRule="exact"/>
        <w:rPr>
          <w:rFonts w:ascii="Times New Roman" w:cs="Times New Roman" w:eastAsia="Times New Roman" w:hAnsi="Times New Roman"/>
          <w:sz w:val="13"/>
          <w:szCs w:val="13"/>
          <w:color w:val="auto"/>
        </w:rPr>
      </w:pPr>
    </w:p>
    <w:p>
      <w:pPr>
        <w:ind w:left="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 xml:space="preserve">Disease Collaborators </w:t>
      </w:r>
      <w:r>
        <w:rPr>
          <w:rFonts w:ascii="Times New Roman" w:cs="Times New Roman" w:eastAsia="Times New Roman" w:hAnsi="Times New Roman"/>
          <w:sz w:val="12"/>
          <w:szCs w:val="12"/>
          <w:i w:val="1"/>
          <w:iCs w:val="1"/>
          <w:color w:val="auto"/>
        </w:rPr>
        <w:t>Lancet Neurology</w:t>
      </w:r>
      <w:r>
        <w:rPr>
          <w:rFonts w:ascii="Times New Roman" w:cs="Times New Roman" w:eastAsia="Times New Roman" w:hAnsi="Times New Roman"/>
          <w:sz w:val="12"/>
          <w:szCs w:val="12"/>
          <w:color w:val="auto"/>
        </w:rPr>
        <w:t xml:space="preserve"> 2018; (5) Limbic-predominant age-related TDP-43 encephalopathy; (6) Nelson et. al. </w:t>
      </w:r>
      <w:r>
        <w:rPr>
          <w:rFonts w:ascii="Times New Roman" w:cs="Times New Roman" w:eastAsia="Times New Roman" w:hAnsi="Times New Roman"/>
          <w:sz w:val="12"/>
          <w:szCs w:val="12"/>
          <w:i w:val="1"/>
          <w:iCs w:val="1"/>
          <w:color w:val="auto"/>
        </w:rPr>
        <w:t>Brain</w:t>
      </w:r>
      <w:r>
        <w:rPr>
          <w:rFonts w:ascii="Times New Roman" w:cs="Times New Roman" w:eastAsia="Times New Roman" w:hAnsi="Times New Roman"/>
          <w:sz w:val="12"/>
          <w:szCs w:val="12"/>
          <w:color w:val="auto"/>
        </w:rPr>
        <w:t xml:space="preserve"> 2019; (7) TAR DNA-binding protein 43;</w:t>
      </w:r>
    </w:p>
    <w:p>
      <w:pPr>
        <w:spacing w:after="0" w:line="10" w:lineRule="exact"/>
        <w:rPr>
          <w:rFonts w:ascii="Times New Roman" w:cs="Times New Roman" w:eastAsia="Times New Roman" w:hAnsi="Times New Roman"/>
          <w:sz w:val="13"/>
          <w:szCs w:val="13"/>
          <w:color w:val="auto"/>
        </w:rPr>
      </w:pPr>
    </w:p>
    <w:p>
      <w:pPr>
        <w:ind w:left="60" w:right="259" w:hanging="10"/>
        <w:spacing w:after="0" w:line="239" w:lineRule="auto"/>
        <w:tabs>
          <w:tab w:leader="none" w:pos="238"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National Institute of Neurological Disorders and Stroke (NINDS) Progressive Supranuclear Palsy Fact Sheet; (9) NINDS Multiple System Atrophy Fact Sheer; (10) ALS Association </w:t>
      </w:r>
      <w:r>
        <w:rPr>
          <w:rFonts w:ascii="Times New Roman" w:cs="Times New Roman" w:eastAsia="Times New Roman" w:hAnsi="Times New Roman"/>
          <w:sz w:val="13"/>
          <w:szCs w:val="13"/>
          <w:i w:val="1"/>
          <w:iCs w:val="1"/>
          <w:color w:val="auto"/>
        </w:rPr>
        <w:t>Rare Disease</w:t>
      </w:r>
      <w:r>
        <w:rPr>
          <w:rFonts w:ascii="Times New Roman" w:cs="Times New Roman" w:eastAsia="Times New Roman" w:hAnsi="Times New Roman"/>
          <w:sz w:val="13"/>
          <w:szCs w:val="13"/>
          <w:color w:val="auto"/>
        </w:rPr>
        <w:t xml:space="preserve"> 2013; (199) NINDS Amyotrophic Lateral Sclerosis Fact Sheer; (12) Knopman and Roberts </w:t>
      </w:r>
      <w:r>
        <w:rPr>
          <w:rFonts w:ascii="Times New Roman" w:cs="Times New Roman" w:eastAsia="Times New Roman" w:hAnsi="Times New Roman"/>
          <w:sz w:val="13"/>
          <w:szCs w:val="13"/>
          <w:i w:val="1"/>
          <w:iCs w:val="1"/>
          <w:color w:val="auto"/>
        </w:rPr>
        <w:t>J. Mol. Neurosci.</w:t>
      </w:r>
      <w:r>
        <w:rPr>
          <w:rFonts w:ascii="Times New Roman" w:cs="Times New Roman" w:eastAsia="Times New Roman" w:hAnsi="Times New Roman"/>
          <w:sz w:val="13"/>
          <w:szCs w:val="13"/>
          <w:color w:val="auto"/>
        </w:rPr>
        <w:t xml:space="preserve"> 2011</w:t>
      </w:r>
    </w:p>
    <w:p>
      <w:pPr>
        <w:spacing w:after="0" w:line="201"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Due to the high level of co-pathologies involved in neurodegenerative diseases, future treatment paradigms may involve different combinations of disease modifiers at various stages of a disease. Therefore, combination therapies may include combinations of immunotherapies or combinations of small and large molecules targeting proteinopathies and neuroinflammation. Our therapeutic product candidates seek to modify the course of AD by intervening at an earlier stage of the disease progression, prior to irreversible neuronal damage. Beyond AD, we believe that we can leverage our proprietary platforms to generate and employ molecules that address the pathologies of other neurodegenerative diseases.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support of shifting the current treatment paradigm from treatment to prevention, we are the leader in discovering new PET imaging agents to improve the timing and accuracy of diagnoses in neurodegenerative diseases. In our pipeline, we have three families of diagnostic candidates that were developed through our Morphomer platform, which target Tau, a-syn and TDP-43. We believe our Tau-PET imaging program has received external validation through our partnership with LMI, a leader in imaging agents, as well as from several investigator-sponsored trials. We are also developing a-syn and TDP-43 PET imaging agents for PD and other neurodegenerative diseases.</w:t>
      </w:r>
    </w:p>
    <w:p>
      <w:pPr>
        <w:spacing w:after="0" w:line="189" w:lineRule="exact"/>
        <w:rPr>
          <w:sz w:val="20"/>
          <w:szCs w:val="20"/>
          <w:color w:val="auto"/>
        </w:rPr>
      </w:pPr>
    </w:p>
    <w:p>
      <w:pPr>
        <w:jc w:val="both"/>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With our unique integrated approach focused on Precision Medicine, we believe that our diagnostic product candidate pipeline will complement our disease-modifying treatment product candidate pipeline and potentially reshape the clinical course and treatment of neurodegenerative diseases.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694690</wp:posOffset>
            </wp:positionV>
            <wp:extent cx="5546090" cy="23660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4609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clinical programs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ACI-24.060</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ACI-24.060 derives from AC Immune’s anti-Abeta active immunotherapy, ACI-24, that was assessed in patients with AD and in subjects with DS. As ACI-24 was shown to be safe and well tolerated with preliminary evidence of immunogenicity and pharmacodynamic effects in these two study populations, the enhanced version ACI-24.060 was created. ACI-24.060 contains additional Abeta unrelated T-helper cell epitopes and has demonstrated similar safety and tolerability in NHPs with superior immunogenicity in mouse and NHP studies as compared to the original ACI-24.</w:t>
      </w:r>
    </w:p>
    <w:p>
      <w:pPr>
        <w:spacing w:after="0" w:line="17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aim of the active immunotherapy is to stimulate the patient’s immune system to produce and maintain antibodies that bind and remove pathological Abeta with the goal to prevent plaque accumulation and enhance clearance of toxic Abeta species. The Company is pursuing clinical development of ACI-24.060 in early AD as well as in people living with DS exhibiting the presence of brain amyloid pathology.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ACI-24.060 is proprietarily owned.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Mechanism of Action</w:t>
      </w:r>
    </w:p>
    <w:p>
      <w:pPr>
        <w:spacing w:after="0" w:line="229" w:lineRule="exact"/>
        <w:rPr>
          <w:sz w:val="20"/>
          <w:szCs w:val="20"/>
          <w:color w:val="auto"/>
        </w:rPr>
      </w:pPr>
    </w:p>
    <w:p>
      <w:pPr>
        <w:ind w:left="720" w:right="79" w:hanging="319"/>
        <w:spacing w:after="0" w:line="25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ACI-24.060 consists of an immunogenic peptide (Pal1-15) containing the amino acid sequence 1-15 of the human Abeta1-42 protein, an antigenic peptide with Abeta unrelated T-helper cell epitopes and an adjuvant, formulated together as a liposomal suspension. In this formulation, the immunogenic peptide, Pal1-15, is presented to B cells of the immune cells on the surface of the liposomes in a conformational format mimicking the pathological form of the protein. This presentation optimally drives antigen-specific antibody responses that bind to the pathological forms of Abeta, i.e. oligomeric and pyroglutamate (pyroGlu) Abeta. The incorporation of the Abeta-unrelated T-helper cell epitopes aims to prime, boost and maintain a strong anti-Abeta IgG response while preserving the safety profile observed with the original formulation of ACI-24;</w:t>
      </w:r>
    </w:p>
    <w:p>
      <w:pPr>
        <w:spacing w:after="0" w:line="191" w:lineRule="exact"/>
        <w:rPr>
          <w:rFonts w:ascii="Times New Roman" w:cs="Times New Roman" w:eastAsia="Times New Roman" w:hAnsi="Times New Roman"/>
          <w:sz w:val="18"/>
          <w:szCs w:val="18"/>
          <w:color w:val="auto"/>
        </w:rPr>
      </w:pPr>
    </w:p>
    <w:p>
      <w:pPr>
        <w:ind w:left="720" w:right="219" w:hanging="319"/>
        <w:spacing w:after="0" w:line="258"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preclinical proof-of-concept studies in models of Abeta pathology, treatment with the immunogen, Pal1-15 in the original ACI-24 formulation demonstrated anti-Abeta IgG titers with concomitant plaque reduction and restoration of memory;</w:t>
      </w:r>
    </w:p>
    <w:p>
      <w:pPr>
        <w:spacing w:after="0" w:line="196" w:lineRule="exact"/>
        <w:rPr>
          <w:rFonts w:ascii="Times New Roman" w:cs="Times New Roman" w:eastAsia="Times New Roman" w:hAnsi="Times New Roman"/>
          <w:sz w:val="18"/>
          <w:szCs w:val="18"/>
          <w:color w:val="auto"/>
        </w:rPr>
      </w:pPr>
    </w:p>
    <w:p>
      <w:pPr>
        <w:ind w:left="720" w:right="519" w:hanging="319"/>
        <w:spacing w:after="0" w:line="258"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preclinical safety studies, treatment of NHPs with ACI-24.060 led to the anticipated enhanced anti-Abeta IgG titers (as compared to ACI-24) while maintaining with boosting effect the favorable safety profile, confirming the suitability to add the Abeta-unrelated T-helper cell epitopes to the active immunotherapy;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39" w:hanging="319"/>
        <w:spacing w:after="0" w:line="256"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assessment of the kinetics and binding profile of the antibodies elicited by immunization of NHPs with ACI-24.060 demonstrated enhanced antigen-specific antibody titers with immunization as well as target binding to Abeta oligomers and pyroGlu Abeta, in quantities similar to pK profiles achieved with clinically validated lecanemab and donanemab (antibody titers against Abeta1-42 and pyroGlu Abeta shown in the Figure 12). Of note, antibodies raised in NHPs have &gt;1000-fold preference for oligomers over monomers, similar to lecanemab (antibody titers against oligomeric Abeta shown in the Figure 13);</w:t>
      </w:r>
    </w:p>
    <w:p>
      <w:pPr>
        <w:spacing w:after="0" w:line="171" w:lineRule="exact"/>
        <w:rPr>
          <w:rFonts w:ascii="Times New Roman" w:cs="Times New Roman" w:eastAsia="Times New Roman" w:hAnsi="Times New Roman"/>
          <w:sz w:val="18"/>
          <w:szCs w:val="18"/>
          <w:color w:val="auto"/>
        </w:rPr>
      </w:pPr>
    </w:p>
    <w:p>
      <w:pPr>
        <w:ind w:left="720" w:right="779" w:hanging="319"/>
        <w:spacing w:after="0" w:line="315" w:lineRule="auto"/>
        <w:tabs>
          <w:tab w:leader="none" w:pos="7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Target engagement was confirmed </w:t>
      </w:r>
      <w:r>
        <w:rPr>
          <w:rFonts w:ascii="Times New Roman" w:cs="Times New Roman" w:eastAsia="Times New Roman" w:hAnsi="Times New Roman"/>
          <w:sz w:val="17"/>
          <w:szCs w:val="17"/>
          <w:i w:val="1"/>
          <w:iCs w:val="1"/>
          <w:color w:val="auto"/>
        </w:rPr>
        <w:t>in situ,</w:t>
      </w:r>
      <w:r>
        <w:rPr>
          <w:rFonts w:ascii="Times New Roman" w:cs="Times New Roman" w:eastAsia="Times New Roman" w:hAnsi="Times New Roman"/>
          <w:sz w:val="17"/>
          <w:szCs w:val="17"/>
          <w:color w:val="auto"/>
        </w:rPr>
        <w:t xml:space="preserve"> using sections from AD patients in which sera from the NHPs immunized with ACI-24.060 bound to the Abeta plaques while showing no reactivity to other tissues.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12: Abeta1-42 and pyroGlu Abeta IgG titers in NHP immunized with ACI-24.060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156845</wp:posOffset>
            </wp:positionV>
            <wp:extent cx="4612005" cy="22199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61200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 Fiorini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CTAD 2023</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60" w:right="60"/>
        <w:spacing w:after="0" w:line="286" w:lineRule="auto"/>
        <w:rPr>
          <w:sz w:val="20"/>
          <w:szCs w:val="20"/>
          <w:color w:val="auto"/>
        </w:rPr>
      </w:pPr>
      <w:r>
        <w:rPr>
          <w:rFonts w:ascii="Times New Roman" w:cs="Times New Roman" w:eastAsia="Times New Roman" w:hAnsi="Times New Roman"/>
          <w:sz w:val="18"/>
          <w:szCs w:val="18"/>
          <w:b w:val="1"/>
          <w:bCs w:val="1"/>
          <w:color w:val="auto"/>
        </w:rPr>
        <w:t>Figure 13: Oligomeric Abeta IgG titers in NHP immunized with ACI-24.060 and preferential binding over Abeta monomers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112395</wp:posOffset>
            </wp:positionV>
            <wp:extent cx="5074920" cy="4354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74920" cy="435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 Fiorini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CTAD 2023</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ABATE Phase 1b/2</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ABATE Phase 1b/2 study design</w:t>
      </w:r>
    </w:p>
    <w:p>
      <w:pPr>
        <w:spacing w:after="0" w:line="227"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ABATE clinical study (NCT05462106) is a multicenter, adaptive, placebo-controlled, dose-escalation, double-blind, randomized study containing two parts.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Study part 1:</w:t>
      </w:r>
    </w:p>
    <w:p>
      <w:pPr>
        <w:spacing w:after="0" w:line="227"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Study part 1 is currently conducted in subjects with prodromal AD to assess the effect of study treatment (ACI-24.060 at three different incremental doses or placebo) administered over 48 weeks.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study drug is being administered via intramuscular injections.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Randomized AD subjects receive five study drug injections (ACI-24.060 or placebo) at weeks 0, 4, 12, 24, and 48. For each study subject, the treatment period is followed by a 26-week follow-up period.</w:t>
      </w:r>
    </w:p>
    <w:p>
      <w:pPr>
        <w:spacing w:after="0" w:line="162"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Up to four cohorts may be included in study part 1. Each cohort may differ from the others in terms of the dose per injection and/or the administration regimen with the possibility to expand any cohort at any time point to better understand antibody response and/or safety and tolerability. The initiation of randomization in the subsequent cohort(s) is based on interim safety and tolerability data review from the previous cohort(s) and Data and Safety Monitoring Board (DSMB) approval.</w:t>
      </w:r>
    </w:p>
    <w:p>
      <w:pPr>
        <w:spacing w:after="0" w:line="170"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Interim analyses on safety/tolerability and immunogenicity are being conducted in each cohort at different predefined study time points.</w:t>
      </w:r>
    </w:p>
    <w:p>
      <w:pPr>
        <w:spacing w:after="0" w:line="162"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No clinically relevant safety concerns related to study drug have been observed to date in prodromal AD subjects as per the periodic review by the DSMB, especially no case of ARIA-E (Amyloid-Related Imaging Abnormalities- vasogenic edema) has been reported to date at brain MRI.</w:t>
      </w:r>
    </w:p>
    <w:p>
      <w:pPr>
        <w:spacing w:after="0" w:line="176"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data from the initial blinded interim analyses on immunogenicity of ACI-24.060 have shown clear evidence of anti-Abeta antibody responses against toxic Abeta species.</w:t>
      </w:r>
    </w:p>
    <w:p>
      <w:pPr>
        <w:spacing w:after="0" w:line="148"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Abeta positron emission tomography (PET) imaging interim results from the expanded second dose-level cohort in subjects with prodromal AD after 6-months of treatment are expected in H1 2024, and Abeta-PET interim data after 12-months of treatment are expected in H2 2024.</w:t>
      </w:r>
    </w:p>
    <w:p>
      <w:pPr>
        <w:spacing w:after="0" w:line="176"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Company’s CTA received approval from the UK MHRA in Q2 2022 and from the AEMPS in Q3 2022 to initiate development of the enhanced formulation of ACI-24 in patients with prodromal AD and in adult subjects with DS with presence of brain amyloid pathology.</w:t>
      </w:r>
    </w:p>
    <w:p>
      <w:pPr>
        <w:spacing w:after="0" w:line="176"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Study part 1 is being conducted in several centers located in the UK and Spain. Dosing in prodromal AD subjects was initiated in June 2022.</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Study part 2:</w:t>
      </w:r>
    </w:p>
    <w:p>
      <w:pPr>
        <w:spacing w:after="0" w:line="22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Study part 2 is planned to be conducted in up to 88 non-demented adults living with DS and with confirmed presence of amyloid pathology by PET scan. The goal is to assess the effect of study treatment (ACI-24.060 or placebo) administered over 74 weeks.</w:t>
      </w:r>
    </w:p>
    <w:p>
      <w:pPr>
        <w:spacing w:after="0" w:line="176" w:lineRule="exact"/>
        <w:rPr>
          <w:sz w:val="20"/>
          <w:szCs w:val="20"/>
          <w:color w:val="auto"/>
        </w:rPr>
      </w:pPr>
    </w:p>
    <w:p>
      <w:pPr>
        <w:ind w:left="60" w:right="539" w:firstLine="324"/>
        <w:spacing w:after="0" w:line="289" w:lineRule="auto"/>
        <w:rPr>
          <w:sz w:val="20"/>
          <w:szCs w:val="20"/>
          <w:color w:val="auto"/>
        </w:rPr>
      </w:pPr>
      <w:r>
        <w:rPr>
          <w:rFonts w:ascii="Times New Roman" w:cs="Times New Roman" w:eastAsia="Times New Roman" w:hAnsi="Times New Roman"/>
          <w:sz w:val="17"/>
          <w:szCs w:val="17"/>
          <w:color w:val="auto"/>
        </w:rPr>
        <w:t>Randomized subjects with DS receive their first five injections (ACI-24.060 or placebo) according to the same schedule administered in study part 1, at weeks 0, 4, 12, 24, 48, plus an additional injection at week 74 in order to boost/maintain the response. For each study subject, the treatment period is followed by a 26-week follow-up period.</w:t>
      </w:r>
    </w:p>
    <w:p>
      <w:pPr>
        <w:spacing w:after="0" w:line="158" w:lineRule="exact"/>
        <w:rPr>
          <w:sz w:val="20"/>
          <w:szCs w:val="20"/>
          <w:color w:val="auto"/>
        </w:rPr>
      </w:pPr>
    </w:p>
    <w:p>
      <w:pPr>
        <w:ind w:left="60" w:right="719" w:firstLine="324"/>
        <w:spacing w:after="0" w:line="266" w:lineRule="auto"/>
        <w:rPr>
          <w:sz w:val="20"/>
          <w:szCs w:val="20"/>
          <w:color w:val="auto"/>
        </w:rPr>
      </w:pPr>
      <w:r>
        <w:rPr>
          <w:rFonts w:ascii="Times New Roman" w:cs="Times New Roman" w:eastAsia="Times New Roman" w:hAnsi="Times New Roman"/>
          <w:sz w:val="18"/>
          <w:szCs w:val="18"/>
          <w:color w:val="auto"/>
        </w:rPr>
        <w:t>Dosing in DS subject in study part 2 has been initiated in June 2023 with the first dose-level of ACI-24.060 in prodromal AD subjects that was previously shown to be immunogenic, safe and well tolerated.</w:t>
      </w:r>
    </w:p>
    <w:p>
      <w:pPr>
        <w:spacing w:after="0" w:line="176"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dose level of ACI-24.060 may need to be adjusted in the DS study population based on immunogenicity and safety/tolerability data.</w:t>
      </w:r>
    </w:p>
    <w:p>
      <w:pPr>
        <w:spacing w:after="0" w:line="162"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Interim analyses may be conducted at different predefined study time points, during the treatment period and during the follow-up period.</w:t>
      </w:r>
    </w:p>
    <w:p>
      <w:pPr>
        <w:spacing w:after="0" w:line="162" w:lineRule="exact"/>
        <w:rPr>
          <w:sz w:val="20"/>
          <w:szCs w:val="20"/>
          <w:color w:val="auto"/>
        </w:rPr>
      </w:pPr>
    </w:p>
    <w:p>
      <w:pPr>
        <w:jc w:val="both"/>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In June 2023, AC Immune also received Fast Track designation from the FDA for ACI-24.060, for the treatment of AD. This followed FDA clearance of the Investigational New Drug (IND) application enabling expansion of the ABATE study to include clinical trial sites and participants in the USA.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Dosing of DS subjects from study part 2 has been initiated in Spain and in the UK. Study part 2 is now being actively expanded in the USA where the IND approval has been granted in May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ACI-24 development in AD in DS</w:t>
      </w:r>
    </w:p>
    <w:p>
      <w:pPr>
        <w:spacing w:after="0" w:line="229" w:lineRule="exact"/>
        <w:rPr>
          <w:sz w:val="20"/>
          <w:szCs w:val="20"/>
          <w:color w:val="auto"/>
        </w:rPr>
      </w:pPr>
    </w:p>
    <w:p>
      <w:pPr>
        <w:jc w:val="both"/>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AD pathology that commonly develops in people with DS bears remarkable similarities to familial and sporadic forms of AD, and is characterized by a progressive accumulation in the brain of Abeta into amyloid plaques leading to the appearance of AD-related cognitive decline and a modification of other relevant biomarkers. The Company is pioneering the development of its anti-Abeta active immunotherapy in AD patients and subjects with DS.</w:t>
      </w:r>
    </w:p>
    <w:p>
      <w:pPr>
        <w:spacing w:after="0" w:line="166"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Individuals with DS have an extra copy of chromosome 21, which is where the gene for amyloid precursor protein (APP) resides. These individuals develop AD at a rate that is three to five times that of the general population and develop the disease at a much younger age. At autopsy, AD pathology has been reported in 80% of people with DS over the age of 40 and 100% over the age of 60 years. The prevalence of AD in people with DS is more than 50% over the age of 50 and 75–100% over the age of 60 years (Strydom, 2018). It is estimated that there are six million people with DS worldwide, with 250,000 in the U.S. Preclinical results published by AC Immune in collaboration with Dr. Mobley of the University of California, San Diego in March 2016, showed, in a DS mouse model (Ts65Dn), a significant 20% memory improvement and a 27% reduction of Abeta in the brain following immunization with ACI-DS-01, the mouse equivalent of ACI-24.</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ACI-7104.056 – anti-a-syn active immunotherapy</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ACI-7104.056 is an optimized peptide-conjugate active immunotherapy formulation designed to induce a-syn-specific antibodies recognizing aggregated a-syn species that have been demonstrated to be toxic to neurons. In contrast, ACI-7104.056-induced antibodies do not bind to the monomeric, physiological form of a-syn and do not cross-react with other members of the synuclein family such as beta- and gamma-synuclein.</w:t>
      </w:r>
    </w:p>
    <w:p>
      <w:pPr>
        <w:spacing w:after="0" w:line="180"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 substantial package of preclinical and clinical data has been generated with PD01 (predecessor of ACI-7104.056). This candidate was tested in two different transgenic mouse models of PD and Dementia with Lewy bodies (DLB), the mThy1- and the PDGF-human a-syn transgenic mice. Active immunization with PD01 resulted in decreased a-syn pathology in brain areas most affected by transgene overexpression, including the substantia nigra and the striatum. This decrease was accompanied by a reduced neurodegeneration in both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and by improvements in motor and memory deficits in the mThy1 and the PDGF-human a-syn transgenic mice, respectively. Furthermore, ACI-7104.056 has been shown to be highly immunogenic in non-human primates, with induced antibodies binding selectively to pathological forms of a-syn.</w:t>
      </w:r>
    </w:p>
    <w:p>
      <w:pPr>
        <w:spacing w:after="0" w:line="19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PD01 was the first active immunotherapy candidate against pathological a-syn to be tested in a clinical study involving patients with early PD. A series of Phase 1 studies were completed in June 2018. The first dosing in the Phase 2 VacSYn trial in early PD patients to evaluate ACI-7104.056 was performed in July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Mechanism of action</w:t>
      </w:r>
    </w:p>
    <w:p>
      <w:pPr>
        <w:spacing w:after="0" w:line="229" w:lineRule="exact"/>
        <w:rPr>
          <w:sz w:val="20"/>
          <w:szCs w:val="20"/>
          <w:color w:val="auto"/>
        </w:rPr>
      </w:pPr>
    </w:p>
    <w:p>
      <w:pPr>
        <w:ind w:left="720" w:right="259" w:hanging="319"/>
        <w:spacing w:after="0" w:line="266"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ACI-7104.056 comprises a short engineered antigenic a-syn peptide. This peptide coupled to a carrier protein facilitates the induction of an a-syn-specific antibody response that binds to toxic aggregated a-syn species with high selectivity (Mandler M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Acta Neuropathol, 2014).</w:t>
      </w:r>
    </w:p>
    <w:p>
      <w:pPr>
        <w:spacing w:after="0" w:line="175" w:lineRule="exact"/>
        <w:rPr>
          <w:rFonts w:ascii="Times New Roman" w:cs="Times New Roman" w:eastAsia="Times New Roman" w:hAnsi="Times New Roman"/>
          <w:sz w:val="18"/>
          <w:szCs w:val="18"/>
          <w:color w:val="auto"/>
        </w:rPr>
      </w:pPr>
    </w:p>
    <w:p>
      <w:pPr>
        <w:jc w:val="both"/>
        <w:ind w:left="720" w:right="99" w:hanging="319"/>
        <w:spacing w:after="0" w:line="266"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Immunization of wild-type and transgenic mice, resulted in high antibody titres in plasma, which crossed into the cerebrospinal fluid (CSF) and recognized a-syn aggregates. Immunization resulted in a decreased aggregation and accumulation of a-syn oligomers in brains of transgenic animals (Mandler M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Acta Neuropathol, 2014).</w:t>
      </w:r>
    </w:p>
    <w:p>
      <w:pPr>
        <w:spacing w:after="0" w:line="173" w:lineRule="exact"/>
        <w:rPr>
          <w:rFonts w:ascii="Times New Roman" w:cs="Times New Roman" w:eastAsia="Times New Roman" w:hAnsi="Times New Roman"/>
          <w:sz w:val="18"/>
          <w:szCs w:val="18"/>
          <w:color w:val="auto"/>
        </w:rPr>
      </w:pPr>
    </w:p>
    <w:p>
      <w:pPr>
        <w:jc w:val="both"/>
        <w:ind w:left="720" w:right="159" w:hanging="319"/>
        <w:spacing w:after="0" w:line="275"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Clearance of a-syn was accompanied by reduced neurodegeneration in both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and by improvements in motor and memory deficits the mThy1 and the PDGF-human a-syn transgenic mice, respectively (Mandler M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Acta Neuropathol, 2014).</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1 study design</w:t>
      </w:r>
    </w:p>
    <w:p>
      <w:pPr>
        <w:spacing w:after="0" w:line="22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safety, tolerability and immunogenicity of the ACI-7104.056 anti-a-syn active immunotherapy predecessor were studied over a three-and-a-half-year period in 24 early PD subjects and have been previously published (Volc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The Lancet Neurology, 2020). There were four consecutive studies in this group of patients, with patients randomized to receive a lower or higher dose of the alpha synuclein active immunotherapy. After four priming doses, subjects were re-randomized to receive a booster injection at one of the two doses, followed by a second booster injection at the high dose.</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Safety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Phase 1 study series demonstrated a favorable long-term safety profile for PD01.</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Antibody response</w:t>
      </w:r>
    </w:p>
    <w:p>
      <w:pPr>
        <w:spacing w:after="0" w:line="227"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PD01 induced a long lasting and boostable antibody response (Figure 14, left). Such induced antibodies have been shown to bind preferentially the aggregated species of a-syn. The induced antibodies were also demonstrated to bind to a-syn aggregates in human PD and DLB brain tissue.</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Pharmacological and clinical effect</w:t>
      </w:r>
    </w:p>
    <w:p>
      <w:pPr>
        <w:spacing w:after="0" w:line="212"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Evidence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target engagement and signals for clinical efficacy have been observed in these Phase 1 studies in PD, as immunization was associated with a decrease in oligomeric a-syn in CSF of treated patients and with a stabilization of clinical scores as shown by the MDS-UPDRS Part III scores (Volc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The Lancet Neurology, 2020). Post hoc analyses of this study series delivered highly encouraging data with respect to target engagement and identification of a potential biomarker for PD, including:</w:t>
      </w:r>
    </w:p>
    <w:p>
      <w:pPr>
        <w:spacing w:after="0" w:line="183" w:lineRule="exact"/>
        <w:rPr>
          <w:sz w:val="20"/>
          <w:szCs w:val="20"/>
          <w:color w:val="auto"/>
        </w:rPr>
      </w:pPr>
    </w:p>
    <w:p>
      <w:pPr>
        <w:ind w:left="720" w:right="399" w:hanging="319"/>
        <w:spacing w:after="0" w:line="284"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target engagement of induced antibodies was demonstrated by lowering of oligomeric a-syn in CSF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immunized subjects (Figure 14, middle).</w:t>
      </w:r>
    </w:p>
    <w:p>
      <w:pPr>
        <w:spacing w:after="0" w:line="160"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highly significant correlation between oligomeric a-syn concentration in CSF and MDS-UPDRS III score (motor-symptoms) in PD patients at baseline was shown for the first time.</w:t>
      </w:r>
    </w:p>
    <w:p>
      <w:pPr>
        <w:spacing w:after="0" w:line="161"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oligomeric a-syn in CSF correlated significantly with clinical improvement, the changes in MDS-UPDRS III score over time (Figure 14, right).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14: Pharmacokinetic and pharmacodynamic effect of PD01 immunization in early PD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156845</wp:posOffset>
            </wp:positionV>
            <wp:extent cx="5434965" cy="21170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3496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right="439" w:hanging="10"/>
        <w:spacing w:after="0" w:line="262" w:lineRule="auto"/>
        <w:tabs>
          <w:tab w:leader="none" w:pos="238"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from 75 ug dose group; (4) Cerebrospinal fluid; (5) Change in oligomeric a-syn calculated at week 26, change in UPDRS III calculated at week 100; (6) Unified Parkinson’s Disease Rating Scale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Volc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Lancet Neurology, 2020</w:t>
      </w:r>
    </w:p>
    <w:p>
      <w:pPr>
        <w:spacing w:after="0" w:line="227"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These combined data provide a validation of the role of a-syn in disease progression and demonstrate that a-syn directed immunization has the potential to positively impact clinical outcome. The optimized formulation, ACI-7104.056, is now being tested in early PD subjects in EU and in the UK in a Phase 2, multicenter, placebo-controlled, double-blind, randomized study (VacSYn study; NCT06015841). The study profile includes a screening period of up to 8 weeks, a 74-week double-blind treatment period, and a 26-week post-treatment follow-up period. The first dosing was performed in July 2023 and enrollment of cohort 1 was completed by the end of 2023. Following the DSMB review, no safety concerns have been raised to date, consistent with previous results, triggering the initial expansion of cohort 1 up to 32 subjects. Updates on safety and immunogenicity interim analyses from the trial will be reported in H2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ACI-35.030 – anti-pTau active immunotherapy</w:t>
      </w:r>
    </w:p>
    <w:p>
      <w:pPr>
        <w:spacing w:after="0" w:line="229" w:lineRule="exact"/>
        <w:rPr>
          <w:sz w:val="20"/>
          <w:szCs w:val="20"/>
          <w:color w:val="auto"/>
        </w:rPr>
      </w:pPr>
    </w:p>
    <w:p>
      <w:pPr>
        <w:ind w:left="60" w:right="239" w:firstLine="324"/>
        <w:spacing w:after="0" w:line="252" w:lineRule="auto"/>
        <w:rPr>
          <w:sz w:val="20"/>
          <w:szCs w:val="20"/>
          <w:color w:val="auto"/>
        </w:rPr>
      </w:pPr>
      <w:r>
        <w:rPr>
          <w:rFonts w:ascii="Times New Roman" w:cs="Times New Roman" w:eastAsia="Times New Roman" w:hAnsi="Times New Roman"/>
          <w:sz w:val="18"/>
          <w:szCs w:val="18"/>
          <w:color w:val="auto"/>
        </w:rPr>
        <w:t>ACI-35.030, AC Immune’s active immunotherapy developed in collaboration with Janssen, is selective for pathological phosphorylated Tau (pTau) and is being advanced into a Phase 2b study that is planned to be initiated in H1 2024. ACI-35.030 (JNJ-64042056) will be assessed in subjects with preclinical (ie., pre-symptomatic) AD. The trial will randomize approximately 500 participants with confirmed early-stage Tau pathology who will be treated over a four-year period. The trial will include analysis of Tau PET as a potential surrogate biomarker, which might be used for an accelerated regulatory filing. Developed using our SupraAntigen technology, ACI-35.030 (JNJ-64042056) is designed to stimulate a patient’s immune system to produce antibodies against pathological phosphorylated Tau, which aggregates to create the neurofibrillary tangles that characterize AD.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Potential advantages of anti-pTau active immunotherapy over other therapeutic approaches</w:t>
      </w:r>
    </w:p>
    <w:p>
      <w:pPr>
        <w:spacing w:after="0" w:line="21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 xml:space="preserve">ACI-35.030 induces a specific, early, long-lasting and boostable polyclonal antibody response against pathological Tau species. Compared to anti-tau monoclonal antibodies, which typically show much shorter half-lives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require more frequent administration of higher drug volumes (delivered iv or sc), ACI-35.030 may thus offer a more cost effective and less burdensome approach for the treatment of Tau pathology. This may be particularly relevant for addressing chronic neurodegenerative Tauopathies such as AD.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ACI-35.030</w:t>
      </w:r>
    </w:p>
    <w:p>
      <w:pPr>
        <w:spacing w:after="0" w:line="229"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ACI-35.030 is an optimized liposomal anti-pTau active immunotherapy formulation designed to elicit antibodies against extracellular pTau protein in order to prevent and reduce the spread and development of Tau pathology within the brain. In non-clinical studies, ACI-35.030 demonstrated an excellent non-clinical safety profile and highly specific antibody response against pTau that was improved compared to the initial formulation, ACI-35. ACI-35.030 (JNJ-64042056) is now entering a Phase 2b clinical study with potential pathways for acceleration with Janssen, in accordance with our collaboration agreement.</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Mechanism of action</w:t>
      </w:r>
    </w:p>
    <w:p>
      <w:pPr>
        <w:spacing w:after="0" w:line="229" w:lineRule="exact"/>
        <w:rPr>
          <w:sz w:val="20"/>
          <w:szCs w:val="20"/>
          <w:color w:val="auto"/>
        </w:rPr>
      </w:pPr>
    </w:p>
    <w:p>
      <w:pPr>
        <w:ind w:left="720" w:right="179" w:hanging="319"/>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ACI-35.030 comprises a pTau peptide and a T-cell epitope capable of binding to human leukocyte antigen-major histocompatibility complex, class II (HLA-DR) molecules.</w:t>
      </w:r>
    </w:p>
    <w:p>
      <w:pPr>
        <w:spacing w:after="0" w:line="161" w:lineRule="exact"/>
        <w:rPr>
          <w:rFonts w:ascii="Times New Roman" w:cs="Times New Roman" w:eastAsia="Times New Roman" w:hAnsi="Times New Roman"/>
          <w:sz w:val="18"/>
          <w:szCs w:val="18"/>
          <w:color w:val="auto"/>
        </w:rPr>
      </w:pPr>
    </w:p>
    <w:p>
      <w:pPr>
        <w:ind w:left="720" w:right="219" w:hanging="319"/>
        <w:spacing w:after="0" w:line="261"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rhesus monkeys, ACI-35.030 induced IgG antibodies with a strong specificity towards the pTau peptide, with very low binding to the non-pTau peptide (Figure 15). This is meaningful as Tau hyper-phosphorylation is considered an early event in the development of Tau pathology, occurring even several decades before the onset of Tau deposits.</w:t>
      </w:r>
    </w:p>
    <w:p>
      <w:pPr>
        <w:spacing w:after="0" w:line="16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Figure 15: pTau-specific IgG titers in Non-Human Primate (NHP) induced by ACI-35.030 and JACI-35.054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121285</wp:posOffset>
            </wp:positionV>
            <wp:extent cx="3651885" cy="19030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5188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Kosco-Vilbois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CTAD 2022</w:t>
      </w:r>
    </w:p>
    <w:p>
      <w:pPr>
        <w:spacing w:after="0" w:line="227" w:lineRule="exact"/>
        <w:rPr>
          <w:sz w:val="20"/>
          <w:szCs w:val="20"/>
          <w:color w:val="auto"/>
        </w:rPr>
      </w:pPr>
    </w:p>
    <w:p>
      <w:pPr>
        <w:jc w:val="both"/>
        <w:ind w:left="720" w:right="279" w:hanging="319"/>
        <w:spacing w:after="0" w:line="258"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Sera from rhesus monkeys immunized with ACI-35.030 binds specifically to pathological Tau in brain sections with AD as compared to healthy human brain tissue (Kosco-Vilbois, KOL event ‘Untangling’ Tau Pathology to Treat Alzheimer’s and Neurodegenerative Diseases NYC, Nov 2019).</w:t>
      </w:r>
    </w:p>
    <w:p>
      <w:pPr>
        <w:spacing w:after="0" w:line="196"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Epitope mapping analyses revealed that immunization of NHPs with ACI-35.030 induces a wide range of antibodies covering the pTau antigenic sequence (Kosco-Vilbois, CTAD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JACI-35.054</w:t>
      </w:r>
    </w:p>
    <w:p>
      <w:pPr>
        <w:spacing w:after="0" w:line="229" w:lineRule="exact"/>
        <w:rPr>
          <w:sz w:val="20"/>
          <w:szCs w:val="20"/>
          <w:color w:val="auto"/>
        </w:rPr>
      </w:pPr>
    </w:p>
    <w:p>
      <w:pPr>
        <w:jc w:val="both"/>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JACI-35.054 is an alternative pTau active immunotherapy, which was developed with Janssen in accordance with our collaboration agreement. In non-clinical studies, JACI-35.054 showed good safety and induced a strong antibody response against pTau.</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Mechanism of action</w:t>
      </w:r>
    </w:p>
    <w:p>
      <w:pPr>
        <w:spacing w:after="0" w:line="229" w:lineRule="exact"/>
        <w:rPr>
          <w:sz w:val="20"/>
          <w:szCs w:val="20"/>
          <w:color w:val="auto"/>
        </w:rPr>
      </w:pPr>
    </w:p>
    <w:p>
      <w:pPr>
        <w:ind w:left="720" w:right="239" w:hanging="319"/>
        <w:spacing w:after="0" w:line="282"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JACI-35.054 is an alternative anti-pTau active immunotherapy comprising a pTau peptide antigen conjugated to an immunogenic carrier protein CRM197, combined with adjuvants.</w:t>
      </w:r>
    </w:p>
    <w:p>
      <w:pPr>
        <w:spacing w:after="0" w:line="16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CRM197 is a well-defined recombinant protein that is a commercially available version of a non-toxic mutant of diphtheria toxin-A (DTA) chain and has been shown to be a safe carrier protein in commercial prophylactic active immunotherapies and clinical trials for a plethora of different active immunotherapy candidates.</w:t>
      </w:r>
    </w:p>
    <w:p>
      <w:pPr>
        <w:spacing w:after="0" w:line="175"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Immunization of rhesus monkeys with JACI-35.054 induced antibodies that bind to pathological Tau structures in human AD brain, although they bind similarly to pTau and non-pTau peptides (Figure 15).</w:t>
      </w:r>
    </w:p>
    <w:p>
      <w:pPr>
        <w:spacing w:after="0" w:line="162" w:lineRule="exact"/>
        <w:rPr>
          <w:sz w:val="20"/>
          <w:szCs w:val="20"/>
          <w:color w:val="auto"/>
        </w:rPr>
      </w:pPr>
    </w:p>
    <w:p>
      <w:pPr>
        <w:ind w:left="60" w:right="499" w:firstLine="324"/>
        <w:spacing w:after="0" w:line="261" w:lineRule="auto"/>
        <w:rPr>
          <w:sz w:val="20"/>
          <w:szCs w:val="20"/>
          <w:color w:val="auto"/>
        </w:rPr>
      </w:pPr>
      <w:r>
        <w:rPr>
          <w:rFonts w:ascii="Times New Roman" w:cs="Times New Roman" w:eastAsia="Times New Roman" w:hAnsi="Times New Roman"/>
          <w:sz w:val="18"/>
          <w:szCs w:val="18"/>
          <w:color w:val="auto"/>
        </w:rPr>
        <w:t>Following a head-to-head comparison between ACI-35.030 and JACI-35.054 described below, ACI-35.030 was selected over JACI-35.054 to progress into the next clinical phase based on an earlier trigger of the antibody response (shortly after the first immunization) and a more specific antibody response profile against pathological Tau species (notably against the endogenous ePHF).</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1b/2a study</w:t>
      </w:r>
    </w:p>
    <w:p>
      <w:pPr>
        <w:spacing w:after="0" w:line="214"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Phase 1b/2a study (NCT04445831) was a randomized, multicenter, double-blind, placebo-controlled clinical study with a primary objective to assess the safety, tolerability and immunogenicity of different dosages of ACI-35.030 and JACI-35.054 in participants with early AD. Secondary objectives assessed additional immunogenicity parameters, while exploratory endpoints included notable biomarkers of progression of AD as well as clinical assessments. This Phase 1b/2a study conducted in Europe aimed at evaluating ACI-35.030 and JACI-35.054. The clinical trial was completed in September 2023. The clinical study report will be finalized in H1 2024.</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Safety (data will be consolidated in the final clinical study report)</w:t>
      </w:r>
    </w:p>
    <w:p>
      <w:pPr>
        <w:spacing w:after="0" w:line="214"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A total of 57 subjects were randomized, of which 41 subjects were randomized into the Cohort 1 (low-, mid-, or high-dose levels of ACI-35.030 or placebo), and 16 subjects were randomized into the Cohort 2 (low- or mid-dose levels of JACI-35.054 or placebo). The active/placebo ratio was 3:1 in each Cohort.</w:t>
      </w:r>
    </w:p>
    <w:p>
      <w:pPr>
        <w:spacing w:after="0" w:line="176"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ACI-35.030 and JACI-35.054 showed a good safety and tolerability profile. The majority of adverse events (AEs) were of mild intensity. No death was reported. No AE led to study discontinuation or to study treatment discontinuation. Injection site reactions were one of the most frequently reported AEs in actively treated subjects. The serious adverse events (SAEs) were mainly observed in subjects treated with ACI-35.030 with no relationship to dose. They were considered unlikely to be related to the study drug (except one episode of injection site reaction and dizziness in one subject in whom hospitalization occurred, as a precaution, since the subject was anxious to return home alone). No clinically relevant findings were reported at MRI. There was no difference in the incidence of cardiovascular disorders between the active and placebo arms. One case of sinus node dysfunction was observed in one subject treated with the low dose of ACI-35.030.</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Antibody response (data will be consolidated in the final clinical study report)</w:t>
      </w:r>
    </w:p>
    <w:p>
      <w:pPr>
        <w:spacing w:after="0" w:line="22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ACI-35.030 (liposomal formulation) generated a rapid antibody response (anti-pTau, anti-ePHF and anti-Tau IgG) after the first injection (at week 2) at all three tested doses. A dose-effect was observed between low and mid doses but not between the mid and high doses. A boosting effect was observed after each injection especially against pathological Tau species (pTau and ePHF). The antibody response was strongly directed against pathological Tau species but not against non-phosphorylated Tau. A long-lasting response, observed in the anti-ePHF IgG titers against endogenous pathological Tau, was observed at the mid- and high-dose.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A more varied antibody response (anti-pTau, anti-ePHF and anti-Tau IgG) was elicited after the second injection of JACI-35.054 (carrier-protein formulation) at week 10 at the two tested doses. While there was no apparent dose-effect between the two tested doses, a higher variability of titers was observed at the low dose. A boosting effect was seen against pathological Tau and non-phosphorylated Tau species from the second injection. The specificity of the antibody response against pathological Tau species compared to non-phosphorylated Tau was of a lesser extent than observed with ACI-35.030.</w:t>
      </w:r>
    </w:p>
    <w:p>
      <w:pPr>
        <w:spacing w:after="0" w:line="183" w:lineRule="exact"/>
        <w:rPr>
          <w:sz w:val="20"/>
          <w:szCs w:val="20"/>
          <w:color w:val="auto"/>
        </w:rPr>
      </w:pPr>
    </w:p>
    <w:p>
      <w:pPr>
        <w:ind w:left="60" w:right="1259"/>
        <w:spacing w:after="0" w:line="271" w:lineRule="auto"/>
        <w:rPr>
          <w:sz w:val="20"/>
          <w:szCs w:val="20"/>
          <w:color w:val="auto"/>
        </w:rPr>
      </w:pPr>
      <w:r>
        <w:rPr>
          <w:rFonts w:ascii="Times New Roman" w:cs="Times New Roman" w:eastAsia="Times New Roman" w:hAnsi="Times New Roman"/>
          <w:sz w:val="18"/>
          <w:szCs w:val="18"/>
          <w:b w:val="1"/>
          <w:bCs w:val="1"/>
          <w:color w:val="auto"/>
        </w:rPr>
        <w:t>Figure 16: ACI-35.030 generates antibody response with preference for pathological Tau (ePHF) and phosphorylated Tau (pTau), over non-phosphorylated Tau (Tau)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146050</wp:posOffset>
            </wp:positionV>
            <wp:extent cx="5332095" cy="2348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3209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ACI-35.030 original sub-cohort 1.2 data; (2) Enriched paired helical filaments; (3) Phosphorylated Tau; (4) Alzheimer’s disease; (5) Antibody</w:t>
      </w:r>
    </w:p>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Streffer,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2022 CTAD</w:t>
      </w:r>
    </w:p>
    <w:p>
      <w:pPr>
        <w:spacing w:after="0" w:line="214" w:lineRule="exact"/>
        <w:rPr>
          <w:sz w:val="20"/>
          <w:szCs w:val="20"/>
          <w:color w:val="auto"/>
        </w:rPr>
      </w:pPr>
    </w:p>
    <w:p>
      <w:pPr>
        <w:ind w:left="60" w:right="179" w:firstLine="324"/>
        <w:spacing w:after="0" w:line="277" w:lineRule="auto"/>
        <w:rPr>
          <w:sz w:val="20"/>
          <w:szCs w:val="20"/>
          <w:color w:val="auto"/>
        </w:rPr>
      </w:pPr>
      <w:r>
        <w:rPr>
          <w:rFonts w:ascii="Times New Roman" w:cs="Times New Roman" w:eastAsia="Times New Roman" w:hAnsi="Times New Roman"/>
          <w:sz w:val="17"/>
          <w:szCs w:val="17"/>
          <w:color w:val="auto"/>
        </w:rPr>
        <w:t>High responder rates were observed for ACI-35.030 after the first and all following immunizations, across all dose levels. At all time points measured, a 100% response rate for pTau was observed at the mid-dose (i.e. higher than a pretreatment value multiplied by a threshold factor of greater than 2x). A higher responder rate on ePHF was observed for the mid-dose compared to the high dose at all time points measured. JACI 35.054 generates a potent antibody response without preference for pathological Tau (ePHF) or phosphorylated Tau (pTau), over non-phosphorylated Tau (Tau).</w:t>
      </w:r>
    </w:p>
    <w:p>
      <w:pPr>
        <w:spacing w:after="0" w:line="168"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polyclonal sera at week 26 from 7/8 subjects immunized with either ACI-35.030 or placebo, and from 8/8 subjects immunized with JACI-35.054 or placebo, were analyzed for their binding profiles to the pTau or Tau peptide, either without or including 1 additional amino acid (1aa) onto the C-terminal end of the peptide.</w:t>
      </w:r>
    </w:p>
    <w:p>
      <w:pPr>
        <w:spacing w:after="0" w:line="18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Binding analyses show that the polyclonal antibodies induced by ACI-35.030 bind preferentially to pTau peptide without binding to the truncated C-terminal end of the peptide (Streffer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CTAD 2022). In contrast, JACI-35.054 induces antibodies mostly binding to the C-terminus of the peptide in a non-phospho specific manner. Together, these data indicate that the presentation of the B-cell peptide upon the surface of the liposomes in ACI-35.030 drives the antibody response towards pathological Tau species.</w:t>
      </w:r>
    </w:p>
    <w:p>
      <w:pPr>
        <w:spacing w:after="0" w:line="183" w:lineRule="exact"/>
        <w:rPr>
          <w:sz w:val="20"/>
          <w:szCs w:val="20"/>
          <w:color w:val="auto"/>
        </w:rPr>
      </w:pPr>
    </w:p>
    <w:p>
      <w:pPr>
        <w:jc w:val="both"/>
        <w:ind w:left="60" w:right="139" w:firstLine="324"/>
        <w:spacing w:after="0" w:line="296" w:lineRule="auto"/>
        <w:rPr>
          <w:sz w:val="20"/>
          <w:szCs w:val="20"/>
          <w:color w:val="auto"/>
        </w:rPr>
      </w:pPr>
      <w:r>
        <w:rPr>
          <w:rFonts w:ascii="Times New Roman" w:cs="Times New Roman" w:eastAsia="Times New Roman" w:hAnsi="Times New Roman"/>
          <w:sz w:val="17"/>
          <w:szCs w:val="17"/>
          <w:color w:val="auto"/>
        </w:rPr>
        <w:t>On December 15, 2023, the Company announced that its collaborator has programmed the launch of Phase 2b clinical study to evaluate ACI-35.030 (JNJ-64042056) in patients with preclinical AD, i.e. individuals not yet showing symptoms.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Tau diagnostics</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severity of cognitive impairment in patients with AD is correlated with the presence of Tau protein tangles, leading us to believe that an imaging agent for Tau is equally, if not more important than Abeta-PET to assess spreading of pathology in the brain. In May 2020, Eli Lilly received FDA approval for the first Tau-PET tracer TAUVID (flortaucipir F18 injection). However, TAUVID received approval only for a pathology indication (i.e. correlation with histopathology findings in Braak 5 and 6 patients), but has not received a prognostic label (i.e. prediction of cognitive deterioration based on a positive Tau-PET scan.)</w:t>
      </w:r>
    </w:p>
    <w:p>
      <w:pPr>
        <w:spacing w:after="0" w:line="174"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Our Tau-PET tracers are designed to bind specifically to the pathological forms of human Tau in AD and other Tauopathies. They have demonstrated an excellent PET tracer profile with their ability to cross the blood brain barrier and a high selectivity to pathological Tau even in the early-stage disease.</w:t>
      </w:r>
    </w:p>
    <w:p>
      <w:pPr>
        <w:spacing w:after="0" w:line="176" w:lineRule="exact"/>
        <w:rPr>
          <w:sz w:val="20"/>
          <w:szCs w:val="20"/>
          <w:color w:val="auto"/>
        </w:rPr>
      </w:pPr>
    </w:p>
    <w:p>
      <w:pPr>
        <w:ind w:left="60" w:right="159" w:firstLine="324"/>
        <w:spacing w:after="0" w:line="228" w:lineRule="auto"/>
        <w:rPr>
          <w:sz w:val="20"/>
          <w:szCs w:val="20"/>
          <w:color w:val="auto"/>
        </w:rPr>
      </w:pPr>
      <w:r>
        <w:rPr>
          <w:rFonts w:ascii="Times New Roman" w:cs="Times New Roman" w:eastAsia="Times New Roman" w:hAnsi="Times New Roman"/>
          <w:sz w:val="18"/>
          <w:szCs w:val="18"/>
          <w:color w:val="auto"/>
        </w:rPr>
        <w:t xml:space="preserve">In May 2014, we established a license and collaboration agreement for our Tau-PET imaging program with LMI. The Phase 1 clinical study of our clinical candidate PI-2620 in AD was completed in Q1 2018. The Phase 2 longitudinal study in AD in South Korea (Asan Medical Center, NCT03903211) was completed in Q4 2021 and results presented at AAIC 2022. The study showed that Tau accumulation measured by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F-PI-2620 in early onset subjects (&lt;65 years with positive Abeta-PET) showed rapid accumulation in Braak III-V areas and correlated with deterioration of the visuospatial function and verbal memory, suggesting that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F-PI-2620 PET is a potential biomarker for therapeutic target selection and for monitoring treatment effect of Tau-targeting therapeutics (Oh M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Alzheimer’s Dement, 2023 (Suppl. 3)). The pivotal ADvance Phase 3 histopathology study in AD (NCT05641688) was initiated in December 2022 and the first Alzheimer’s patient imaged with PI-2620 in January 2023.</w:t>
      </w:r>
    </w:p>
    <w:p>
      <w:pPr>
        <w:spacing w:after="0" w:line="202" w:lineRule="exact"/>
        <w:rPr>
          <w:sz w:val="20"/>
          <w:szCs w:val="20"/>
          <w:color w:val="auto"/>
        </w:rPr>
      </w:pPr>
    </w:p>
    <w:p>
      <w:pPr>
        <w:jc w:val="both"/>
        <w:ind w:left="60" w:right="119" w:firstLine="324"/>
        <w:spacing w:after="0" w:line="213" w:lineRule="auto"/>
        <w:rPr>
          <w:sz w:val="20"/>
          <w:szCs w:val="20"/>
          <w:color w:val="auto"/>
        </w:rPr>
      </w:pPr>
      <w:r>
        <w:rPr>
          <w:rFonts w:ascii="Times New Roman" w:cs="Times New Roman" w:eastAsia="Times New Roman" w:hAnsi="Times New Roman"/>
          <w:sz w:val="18"/>
          <w:szCs w:val="18"/>
          <w:color w:val="auto"/>
        </w:rPr>
        <w:t xml:space="preserve">The ADvance study will be performed exclusively in the US and will enroll approximately 200 end-of-life subjects. The primary objective is to determine the sensitivity and specificity of the visual assessment of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F-PI-2620 PET imaging compared to postmortem histopathological verification of tau neurofibrillary pathology associated with AD as the standard of truth.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F-PI-2620 is a potentially best-in-class Tau-PET tracer with high binding affinity and selectivity for aggregated Tau.</w:t>
      </w:r>
    </w:p>
    <w:p>
      <w:pPr>
        <w:spacing w:after="0" w:line="201"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PI-2620 is selective for Tau over Abeta and other “off-target” binding compared with current published Tau-PET agents in development, as no binding to Abeta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no “off-target” retention in basal ganglia or choroid plexus was observed. In addition, PI-2620 was shown to be suitable for measuring longitudinal Tau accumulation. A major differentiator for PI-2620 is its ability to bind 4-repeat (4R) Tau isoforms, which are present in varying amounts in different neurodegenerative diseases. Most Tau-PET tracers in development are not able to bind 4R Tau and are of limited use for certain diseases driven by these Tau species.</w:t>
      </w:r>
    </w:p>
    <w:p>
      <w:pPr>
        <w:spacing w:after="0" w:line="181" w:lineRule="exact"/>
        <w:rPr>
          <w:sz w:val="20"/>
          <w:szCs w:val="20"/>
          <w:color w:val="auto"/>
        </w:rPr>
      </w:pPr>
    </w:p>
    <w:p>
      <w:pPr>
        <w:ind w:left="60" w:right="59" w:firstLine="324"/>
        <w:spacing w:after="0" w:line="210" w:lineRule="auto"/>
        <w:rPr>
          <w:sz w:val="20"/>
          <w:szCs w:val="20"/>
          <w:color w:val="auto"/>
        </w:rPr>
      </w:pPr>
      <w:r>
        <w:rPr>
          <w:rFonts w:ascii="Times New Roman" w:cs="Times New Roman" w:eastAsia="Times New Roman" w:hAnsi="Times New Roman"/>
          <w:sz w:val="18"/>
          <w:szCs w:val="18"/>
          <w:color w:val="auto"/>
        </w:rPr>
        <w:t xml:space="preserve">The Tau PET tracer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F-PI-2620 was included into a sub-study of the MissionAD trial of elenbecestat to evaluate Tau deposition in Abeta positive subjects with a diagnosis of mild cognitive impairment (MCI) due to AD or mild AD dementia (Bullich 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Alzheimers Res Ther., 2022). The findings support the hypothesis that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F-PI-2620 PET imaging of neuropathologic Tau deposits may reflect underlying neurodegeneration in AD. Significant correlations were observed with hippocampal volume and CSF biomarkers, and an association between Tau and Abeta load. Quantifiable increases in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F-PI-2620 PET SUVR over 1 year were observed in regions with early Tau deposition and the results are consistent with the hypothesis that cortical Tau is associated with cognitive impairment. This study supports the utility of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F-PI-2620 PET to assess Tau load in an early AD population. Quantifiable Tau load and its corresponding increase in early AD could be a relevant target engagement marker of anti-Tau but also anti-amyloid clinical trials.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17: PI-2620 – Ability to detect Tau deposits in an early AD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156845</wp:posOffset>
            </wp:positionV>
            <wp:extent cx="4491990" cy="2803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491990" cy="280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Bullich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Alzheimer's Research &amp; Therapy, 2022</w:t>
      </w:r>
    </w:p>
    <w:p>
      <w:pPr>
        <w:spacing w:after="0" w:line="219" w:lineRule="exact"/>
        <w:rPr>
          <w:sz w:val="20"/>
          <w:szCs w:val="20"/>
          <w:color w:val="auto"/>
        </w:rPr>
      </w:pPr>
    </w:p>
    <w:p>
      <w:pPr>
        <w:jc w:val="both"/>
        <w:ind w:left="60" w:right="259" w:firstLine="324"/>
        <w:spacing w:after="0" w:line="226" w:lineRule="auto"/>
        <w:rPr>
          <w:sz w:val="20"/>
          <w:szCs w:val="20"/>
          <w:color w:val="auto"/>
        </w:rPr>
      </w:pPr>
      <w:r>
        <w:rPr>
          <w:rFonts w:ascii="Times New Roman" w:cs="Times New Roman" w:eastAsia="Times New Roman" w:hAnsi="Times New Roman"/>
          <w:sz w:val="18"/>
          <w:szCs w:val="18"/>
          <w:color w:val="auto"/>
        </w:rPr>
        <w:t xml:space="preserve">Figure 17 shows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F-PI-2620 SUVR PET images (scalp stripped) registered to the T1-weighted MRI illustrating the tracer distribution in a Tau negative subject (upper row), a Tau-positive subject with uptake in the mesial temporal cortex (center row), and a Tau-positive subject with extensive neocortical uptake (bottom row).</w:t>
      </w:r>
    </w:p>
    <w:p>
      <w:pPr>
        <w:spacing w:after="0" w:line="193" w:lineRule="exact"/>
        <w:rPr>
          <w:sz w:val="20"/>
          <w:szCs w:val="20"/>
          <w:color w:val="auto"/>
        </w:rPr>
      </w:pPr>
    </w:p>
    <w:p>
      <w:pPr>
        <w:ind w:left="60" w:right="279" w:firstLine="324"/>
        <w:spacing w:after="0" w:line="228" w:lineRule="auto"/>
        <w:rPr>
          <w:sz w:val="20"/>
          <w:szCs w:val="20"/>
          <w:color w:val="auto"/>
        </w:rPr>
      </w:pPr>
      <w:r>
        <w:rPr>
          <w:rFonts w:ascii="Times New Roman" w:cs="Times New Roman" w:eastAsia="Times New Roman" w:hAnsi="Times New Roman"/>
          <w:sz w:val="18"/>
          <w:szCs w:val="18"/>
          <w:color w:val="auto"/>
        </w:rPr>
        <w:t xml:space="preserve">Malarte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Mol. Psychiatry, 2022 showed that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H-PI-2620 has comparable binding affinity in AD, CBD and PSP brain tissue, although the binding site density can vary between these pathologies in the order: AD &gt; CBD &gt; PSP. Competitive binding studies indicate that PI-2620 can detect multiple binding sites in AD, CBD and PSP brain tissue. Importantly, in CBD and PSP brains, PI-2620 displayed high specificity which was not observed with other tracers.</w:t>
      </w:r>
    </w:p>
    <w:p>
      <w:pPr>
        <w:spacing w:after="0" w:line="199" w:lineRule="exact"/>
        <w:rPr>
          <w:sz w:val="20"/>
          <w:szCs w:val="20"/>
          <w:color w:val="auto"/>
        </w:rPr>
      </w:pPr>
    </w:p>
    <w:p>
      <w:pPr>
        <w:ind w:left="60" w:right="99" w:firstLine="324"/>
        <w:spacing w:after="0" w:line="267" w:lineRule="auto"/>
        <w:rPr>
          <w:sz w:val="20"/>
          <w:szCs w:val="20"/>
          <w:color w:val="auto"/>
        </w:rPr>
      </w:pPr>
      <w:r>
        <w:rPr>
          <w:rFonts w:ascii="Times New Roman" w:cs="Times New Roman" w:eastAsia="Times New Roman" w:hAnsi="Times New Roman"/>
          <w:sz w:val="18"/>
          <w:szCs w:val="18"/>
          <w:color w:val="auto"/>
        </w:rPr>
        <w:t xml:space="preserve">Franzmeier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Nat. Communications, 2022 compared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Tau-PET analyses to independent post-mortem samples thereby providing further evidence that PI-2620 binds to 4R Tau. This study demonstrated a close link between 4R Tau deposition patterns and connectivity supporting the concept of trans-neuronal Tau spreading in 4R Tauopathies.</w:t>
      </w:r>
    </w:p>
    <w:p>
      <w:pPr>
        <w:spacing w:after="0" w:line="175" w:lineRule="exact"/>
        <w:rPr>
          <w:sz w:val="20"/>
          <w:szCs w:val="20"/>
          <w:color w:val="auto"/>
        </w:rPr>
      </w:pPr>
    </w:p>
    <w:p>
      <w:pPr>
        <w:jc w:val="both"/>
        <w:ind w:left="60" w:right="99" w:firstLine="324"/>
        <w:spacing w:after="0" w:line="226" w:lineRule="auto"/>
        <w:rPr>
          <w:sz w:val="20"/>
          <w:szCs w:val="20"/>
          <w:color w:val="auto"/>
        </w:rPr>
      </w:pPr>
      <w:r>
        <w:rPr>
          <w:rFonts w:ascii="Times New Roman" w:cs="Times New Roman" w:eastAsia="Times New Roman" w:hAnsi="Times New Roman"/>
          <w:sz w:val="18"/>
          <w:szCs w:val="18"/>
          <w:color w:val="auto"/>
        </w:rPr>
        <w:t xml:space="preserve">PSP and CBD are atypical parkinsonisms (APs) that are classified as tauopathies. Patients with these APs may present with similar early clinical manifestations to PD, but they prove unresponsive to anti-parkinsonian medications. Mena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Mov Disord Clin Pract., 2023 found that the second-generation tracer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F-PI-2620 was the most optimal of those included in this study for imaging Tau in PSP and CBD.</w:t>
      </w:r>
    </w:p>
    <w:p>
      <w:pPr>
        <w:spacing w:after="0" w:line="200" w:lineRule="exact"/>
        <w:rPr>
          <w:sz w:val="20"/>
          <w:szCs w:val="20"/>
          <w:color w:val="auto"/>
        </w:rPr>
      </w:pPr>
    </w:p>
    <w:p>
      <w:pPr>
        <w:ind w:left="60" w:right="459" w:firstLine="324"/>
        <w:spacing w:after="0" w:line="261" w:lineRule="auto"/>
        <w:rPr>
          <w:sz w:val="20"/>
          <w:szCs w:val="20"/>
          <w:color w:val="auto"/>
        </w:rPr>
      </w:pPr>
      <w:r>
        <w:rPr>
          <w:rFonts w:ascii="Times New Roman" w:cs="Times New Roman" w:eastAsia="Times New Roman" w:hAnsi="Times New Roman"/>
          <w:sz w:val="18"/>
          <w:szCs w:val="18"/>
          <w:color w:val="auto"/>
        </w:rPr>
        <w:t>Tau diagnostics are a major market opportunity that will be driven by the growth in the aging population and the testing and availability of disease-modifying drugs. We believe a best-in-class Tau tracer has the potential to achieve a substantial global market share in this large and growing market, which includes AD as well as other important Tauopathies.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A-syn diagnostics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are also developing PET imaging agents to detect a-syn aggregates, which progressively accumulate in the brains of PD patients and are believed to be central to the neurodegenerative process of PD, as well as several other disorders, including Lewy body dementia and MSA, making it a priority target for development of therapeutics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79"/>
        <w:spacing w:after="0" w:line="312" w:lineRule="auto"/>
        <w:rPr>
          <w:sz w:val="20"/>
          <w:szCs w:val="20"/>
          <w:color w:val="auto"/>
        </w:rPr>
      </w:pPr>
      <w:r>
        <w:rPr>
          <w:rFonts w:ascii="Times New Roman" w:cs="Times New Roman" w:eastAsia="Times New Roman" w:hAnsi="Times New Roman"/>
          <w:sz w:val="17"/>
          <w:szCs w:val="17"/>
          <w:color w:val="auto"/>
        </w:rPr>
        <w:t>diagnostics. We have identified molecules leveraging our Morphomer technology that selectively bind to a-syn pathological structures from human PD brain with high affinity and selectivity versus common co-pathologies.</w:t>
      </w:r>
    </w:p>
    <w:p>
      <w:pPr>
        <w:spacing w:after="0" w:line="140"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are advancing clinical development of ACI-12589, the first molecule capable to detect pathological a-syn in the brain of patients with MSA and to differentiate them from controls, other synucleinopathies and more generally other neurodegenerative diseases (Figure 18). The preclinical and clinical data were published in October 2023 in Nature Communications. Currently, ACI-12589 has completed the biodistribution study in healthy volunteers and all the manufacturing activities required to advance into later stage of clinical development, including PET studies to monitor the longitudinal progression of the a-syn pathology in MSA.</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18: ACI-12589 PET signal in patients with MSA compared to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156845</wp:posOffset>
            </wp:positionV>
            <wp:extent cx="2383155" cy="20656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8315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Smith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Nature Communications, 2023</w:t>
      </w:r>
    </w:p>
    <w:p>
      <w:pPr>
        <w:spacing w:after="0" w:line="227" w:lineRule="exact"/>
        <w:rPr>
          <w:sz w:val="20"/>
          <w:szCs w:val="20"/>
          <w:color w:val="auto"/>
        </w:rPr>
      </w:pPr>
    </w:p>
    <w:p>
      <w:pPr>
        <w:ind w:left="60" w:right="279" w:firstLine="321"/>
        <w:spacing w:after="0" w:line="254" w:lineRule="auto"/>
        <w:rPr>
          <w:sz w:val="20"/>
          <w:szCs w:val="20"/>
          <w:color w:val="auto"/>
        </w:rPr>
      </w:pPr>
      <w:r>
        <w:rPr>
          <w:rFonts w:ascii="Times New Roman" w:cs="Times New Roman" w:eastAsia="Times New Roman" w:hAnsi="Times New Roman"/>
          <w:sz w:val="18"/>
          <w:szCs w:val="18"/>
          <w:color w:val="auto"/>
        </w:rPr>
        <w:t>Moreover, in 2023 we have identified our next-generation clinical candidate, ACI-15916. ACI-15916 shows significantly higher binding and target occupancy in human brain tissues from cases with different synucleinopathies, including idiopathic PD, which is the most common form. ACI-15916 also retains the excellent selectivity and pharmacokinetic profile of ACI-12589 and has no major off-target binding. This compound will advance into IND/CTA-enabling studies in Q1 2024 with an anticipated initiation of the FiH in Q1 2025.</w:t>
      </w:r>
    </w:p>
    <w:p>
      <w:pPr>
        <w:spacing w:after="0" w:line="187"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Currently there are no commercialized imaging products that target a-syn. This provides us with the opportunity to become the market leader in a-syn-PET imaging. We believe the ability to image a-syn deposits in the brain will enable a fundamental change in the approach toward diagnosing and treating a-syn-associated diseases.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Morphomer Tau</w:t>
      </w:r>
    </w:p>
    <w:p>
      <w:pPr>
        <w:spacing w:after="0" w:line="216"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Approximately 2,550 compounds have been screened thus far for the Morphomer Tau program. This has allowed for the identification of several chemical series of orally bioavailable small molecules with suitable CNS properties. The lead compounds displayed selectivity for binding to pathological Tau aggregates in preference to other protein aggregates. In addition, the lead compounds were able to prevent Tau aggregation and promote its disaggregation.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ACI-3024</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ACI-3024 is a potent Tau aggregation inhibitor active against the 3R and 4R human Tau isoforms as well as the mutant forms associated with human Tauopathies, such as FTLD-Tau (e.g. PSP, Pick’s disease, corticobasal degeneration). ACI-3024 selectively binds to aggregated Tau and does not bind to the monomeric forms of Tau. Moreover, the binding to Tau aggregates is selective, with no cross-reactivity to aggregates of Abeta and a-syn.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ACI-3024 showed a potent and dose-dependent reduction in spontaneous intracellular Tau aggregation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misfolding, and promoted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disaggregation of Tau neurofibrillary tangles on human AD brain sections.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studies (Ramsden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2005) ACI-3024 reduced aggregated and insoluble hyper-phosphorylated Tau and reduced misfolded Tau with effects proportional to its plasma concentration.</w:t>
      </w:r>
    </w:p>
    <w:p>
      <w:pPr>
        <w:spacing w:after="0" w:line="182"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Total Tau concentration in cerebrospinal fluid (CSF) was inversely correlated with ACI-3024 exposure in plasma, suggesting the possibility of exploring CSF Tau concentrations as a biomarker of target engagement.</w:t>
      </w:r>
    </w:p>
    <w:p>
      <w:pPr>
        <w:spacing w:after="0" w:line="160"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 xml:space="preserve">Preclinical safety assessments demonstrated that ACI-3024 has a good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ADME profile, including low clearance, long half-life and good CNS disposition as assessed by brain and CSF concentrations. ACI-3024 was negative in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genotoxicity assays and cleared extensive toxicology and safety pharmacology assessments.</w:t>
      </w:r>
    </w:p>
    <w:p>
      <w:pPr>
        <w:spacing w:after="0" w:line="164" w:lineRule="exact"/>
        <w:rPr>
          <w:sz w:val="20"/>
          <w:szCs w:val="20"/>
          <w:color w:val="auto"/>
        </w:rPr>
      </w:pPr>
    </w:p>
    <w:p>
      <w:pPr>
        <w:ind w:left="60" w:right="1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ACI-3024 was also shown to potently reduce pathological Tau-induced neuroinflammation in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Phase 1 study</w:t>
      </w:r>
    </w:p>
    <w:p>
      <w:pPr>
        <w:spacing w:after="0" w:line="227" w:lineRule="exact"/>
        <w:rPr>
          <w:sz w:val="20"/>
          <w:szCs w:val="20"/>
          <w:color w:val="auto"/>
        </w:rPr>
      </w:pPr>
    </w:p>
    <w:p>
      <w:pPr>
        <w:ind w:left="60" w:right="319" w:firstLine="324"/>
        <w:spacing w:after="0" w:line="254" w:lineRule="auto"/>
        <w:rPr>
          <w:sz w:val="20"/>
          <w:szCs w:val="20"/>
          <w:color w:val="auto"/>
        </w:rPr>
      </w:pPr>
      <w:r>
        <w:rPr>
          <w:rFonts w:ascii="Times New Roman" w:cs="Times New Roman" w:eastAsia="Times New Roman" w:hAnsi="Times New Roman"/>
          <w:sz w:val="18"/>
          <w:szCs w:val="18"/>
          <w:color w:val="auto"/>
        </w:rPr>
        <w:t>This Phase 1 study was a first-in-human (FiH), randomized, placebo-controlled, double-blind, sequential single and multiple ascending dose study. The study assessed the safety, tolerability, pharmacokinetics, and pharmacodynamics of ACI-3024. Part I included five single ascending doses in healthy volunteers, with a food effect assessment in the fourth dose cohort. In Part II, three escalating multiple dose regimens were evaluated; regimen two was assessed in different populations of healthy volunteers.</w:t>
      </w:r>
    </w:p>
    <w:p>
      <w:pPr>
        <w:spacing w:after="0" w:line="187" w:lineRule="exact"/>
        <w:rPr>
          <w:sz w:val="20"/>
          <w:szCs w:val="20"/>
          <w:color w:val="auto"/>
        </w:rPr>
      </w:pPr>
    </w:p>
    <w:p>
      <w:pPr>
        <w:ind w:left="60" w:right="439" w:firstLine="324"/>
        <w:spacing w:after="0" w:line="312" w:lineRule="auto"/>
        <w:rPr>
          <w:sz w:val="20"/>
          <w:szCs w:val="20"/>
          <w:color w:val="auto"/>
        </w:rPr>
      </w:pPr>
      <w:r>
        <w:rPr>
          <w:rFonts w:ascii="Times New Roman" w:cs="Times New Roman" w:eastAsia="Times New Roman" w:hAnsi="Times New Roman"/>
          <w:sz w:val="17"/>
          <w:szCs w:val="17"/>
          <w:color w:val="auto"/>
        </w:rPr>
        <w:t>ACI-3024 will not be further developed under the collaboration and the Companies have decided to pursue other promising Tau Morphomer candidates from AC Immune’s research platform for potential clinical development in AD.</w:t>
      </w:r>
    </w:p>
    <w:p>
      <w:pPr>
        <w:spacing w:after="0" w:line="140" w:lineRule="exact"/>
        <w:rPr>
          <w:sz w:val="20"/>
          <w:szCs w:val="20"/>
          <w:color w:val="auto"/>
        </w:rPr>
      </w:pPr>
    </w:p>
    <w:p>
      <w:pPr>
        <w:jc w:val="both"/>
        <w:ind w:left="60" w:right="239" w:firstLine="324"/>
        <w:spacing w:after="0" w:line="280" w:lineRule="auto"/>
        <w:rPr>
          <w:sz w:val="20"/>
          <w:szCs w:val="20"/>
          <w:color w:val="auto"/>
        </w:rPr>
      </w:pPr>
      <w:r>
        <w:rPr>
          <w:rFonts w:ascii="Times New Roman" w:cs="Times New Roman" w:eastAsia="Times New Roman" w:hAnsi="Times New Roman"/>
          <w:sz w:val="17"/>
          <w:szCs w:val="17"/>
          <w:color w:val="auto"/>
        </w:rPr>
        <w:t xml:space="preserve">To this end, the Company has successfully identified several additional chemical series of potent small molecule Tau aggregation inhibitors. Biological activity for these compounds is assessed using multiple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ex-vivo</w:t>
      </w:r>
      <w:r>
        <w:rPr>
          <w:rFonts w:ascii="Times New Roman" w:cs="Times New Roman" w:eastAsia="Times New Roman" w:hAnsi="Times New Roman"/>
          <w:sz w:val="17"/>
          <w:szCs w:val="17"/>
          <w:color w:val="auto"/>
        </w:rPr>
        <w:t xml:space="preserve"> assays and using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mouse models. Potent reduction of intracellular misfolded Tau was observed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with a cellular assay.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Semorinemab</w:t>
      </w:r>
    </w:p>
    <w:p>
      <w:pPr>
        <w:spacing w:after="0" w:line="229" w:lineRule="exact"/>
        <w:rPr>
          <w:sz w:val="20"/>
          <w:szCs w:val="20"/>
          <w:color w:val="auto"/>
        </w:rPr>
      </w:pPr>
    </w:p>
    <w:p>
      <w:pPr>
        <w:ind w:left="60" w:right="99" w:firstLine="324"/>
        <w:spacing w:after="0" w:line="233" w:lineRule="auto"/>
        <w:rPr>
          <w:sz w:val="20"/>
          <w:szCs w:val="20"/>
          <w:color w:val="auto"/>
        </w:rPr>
      </w:pPr>
      <w:r>
        <w:rPr>
          <w:rFonts w:ascii="Times New Roman" w:cs="Times New Roman" w:eastAsia="Times New Roman" w:hAnsi="Times New Roman"/>
          <w:sz w:val="18"/>
          <w:szCs w:val="18"/>
          <w:color w:val="auto"/>
        </w:rPr>
        <w:t>Semorinemab is a humanized high-affinity IgG4 isotype antibody candidate that binds all forms of Tau. Semorinemab is designed to intercept extracellular Tau, stopping or slowing cell-to-cell spread and propagation of pathological Tau in the brain. Semorinemab completed two Phase 2 clinical trials in AD. As announced on January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2024, AC Immune will regain the global rights to semorinemab following termination of the collaboration agreement with Genentech, a member of the Roche Group, which termination will be effective in April 2024.</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Following on from successful Phase 1 clinical testing, a Phase 2 clinical trial (Tauriel) commenced in Q4 2017 with the dosing of the first patient. This multicenter trial, which enrolled 457 participants, assessed the safety, tolerability and efficacy of semorinemab in people with prodromal-to-mild AD. Participants received one of three active doses or a placebo for 72 weeks, followed by a 96-week optional open-label extension (OLE). Primary endpoints included safety assessment and the composite functional and cognitive endpoint CDR-SB score.</w:t>
      </w:r>
    </w:p>
    <w:p>
      <w:pPr>
        <w:spacing w:after="0" w:line="183" w:lineRule="exact"/>
        <w:rPr>
          <w:sz w:val="20"/>
          <w:szCs w:val="20"/>
          <w:color w:val="auto"/>
        </w:rPr>
      </w:pPr>
    </w:p>
    <w:p>
      <w:pPr>
        <w:ind w:left="60" w:right="479" w:firstLine="324"/>
        <w:spacing w:after="0" w:line="280" w:lineRule="auto"/>
        <w:rPr>
          <w:sz w:val="20"/>
          <w:szCs w:val="20"/>
          <w:color w:val="auto"/>
        </w:rPr>
      </w:pPr>
      <w:r>
        <w:rPr>
          <w:rFonts w:ascii="Times New Roman" w:cs="Times New Roman" w:eastAsia="Times New Roman" w:hAnsi="Times New Roman"/>
          <w:sz w:val="17"/>
          <w:szCs w:val="17"/>
          <w:color w:val="auto"/>
        </w:rPr>
        <w:t>In September 2020, the Company reported that Genentech informed us of top line results which showed that semorinemab did not meet its primary efficacy endpoint of reducing decline on CDR-SB compared to placebo. Two secondary endpoints, Alzheimer’s Disease Assessment Scale-Cognitive Subscale 13 (ADAS-Cog13) and Alzheimer’s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Disease Cooperative Study Group – Activities of Daily Living Inventory (ADCS-ADL), were also not met. The primary safety endpoint was however met.</w:t>
      </w:r>
    </w:p>
    <w:p>
      <w:pPr>
        <w:spacing w:after="0" w:line="162"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Further analyses revealed a dose-dependent increase in serum pharmacokinetics and evidence of target engagement, measured by an increase in plasma Tau levels, which is consistent with previous Phase 1 study results.</w:t>
      </w:r>
    </w:p>
    <w:p>
      <w:pPr>
        <w:spacing w:after="0" w:line="162"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A second Phase 2 trial (Lauriet) was initiated in Q1 2019. This was a multicenter study enrolling 272 participants, and was designed to evaluate the clinical efficacy, safety, pharmacokinetics and pharmacodynamics of semorinemab in patients with moderate AD.</w:t>
      </w:r>
    </w:p>
    <w:p>
      <w:pPr>
        <w:spacing w:after="0" w:line="162" w:lineRule="exact"/>
        <w:rPr>
          <w:sz w:val="20"/>
          <w:szCs w:val="20"/>
          <w:color w:val="auto"/>
        </w:rPr>
      </w:pPr>
    </w:p>
    <w:p>
      <w:pPr>
        <w:ind w:left="60" w:right="139" w:firstLine="324"/>
        <w:spacing w:after="0" w:line="233" w:lineRule="auto"/>
        <w:rPr>
          <w:sz w:val="20"/>
          <w:szCs w:val="20"/>
          <w:color w:val="auto"/>
        </w:rPr>
      </w:pPr>
      <w:r>
        <w:rPr>
          <w:rFonts w:ascii="Times New Roman" w:cs="Times New Roman" w:eastAsia="Times New Roman" w:hAnsi="Times New Roman"/>
          <w:sz w:val="18"/>
          <w:szCs w:val="18"/>
          <w:color w:val="auto"/>
        </w:rPr>
        <w:t>In August 2021 the Company reported that the Lauriet study had met one of its co-primary endpoints, ADAS-Cog 11. The second co-primary endpoint, ADCS-ADL, was not met. Safety data showed that semorinemab was well tolerated with an acceptable safety profile and no unanticipated safety signals. In November 2021, the Company reported that Genentech had presented the full top-line data from the Lauriet study during a late-breaking session at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Clinical Trials on Alzheimer’s Disease conference.</w:t>
      </w:r>
    </w:p>
    <w:p>
      <w:pPr>
        <w:spacing w:after="0" w:line="20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Lauriet, 272 subjects were randomized into the study and 267 dosed. 49 study centers participated in the U.S., France, Spain and Poland. In a modified intent to treat (mITT) population of all trial participants who had received at least one dose of study drug and had at least one post-baseline ADAS-Cog 11 assessment, there was a 42.2% slowing of cognitive decline compared to placebo, the result being highly statistically significant (p=0.0008).</w:t>
      </w:r>
    </w:p>
    <w:p>
      <w:pPr>
        <w:spacing w:after="0" w:line="187"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There was no apparent effect on global or regional brain Tau load assessed by GTP-1 PET. However, CSF biomarker data were presented by Genentech at CTAD 2022 and showed statistically significant reduction in pTau181, pTau217 and total Tau, but not N-terminal Tau. These results were similar to those observed in the Tauriel study.</w:t>
      </w:r>
    </w:p>
    <w:p>
      <w:pPr>
        <w:spacing w:after="0" w:line="176"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At the Keystone Conference in 2023, Schauer et al. presented additional biomarker data indicating trends towards effects on biomarkers of glial and synaptic function in subjects under treatment wih semornemab in the Lauriet study. In terms of glial function CSF YKL-40 increased significantly after treatment with semorinemab, but no changes were observed in plasma YKL-40. CSF GFAP increased non-significantly over the study period in both arms. Plasma GFAP increased over the study in the placebo group but was stable in the treatment group. Together, these results suggest that semorinemab may moderate reactive astrogliosis. In terms of changes in synaptic biomarkers CSF Ng and SNAP-25 were stable for 49 and 61 weeks in the placebo group but trended towards a decrease in the treatment group.</w:t>
      </w:r>
    </w:p>
    <w:p>
      <w:pPr>
        <w:spacing w:after="0" w:line="187" w:lineRule="exact"/>
        <w:rPr>
          <w:sz w:val="20"/>
          <w:szCs w:val="20"/>
          <w:color w:val="auto"/>
        </w:rPr>
      </w:pPr>
    </w:p>
    <w:p>
      <w:pPr>
        <w:jc w:val="both"/>
        <w:ind w:left="60" w:right="499" w:firstLine="324"/>
        <w:spacing w:after="0" w:line="255" w:lineRule="auto"/>
        <w:rPr>
          <w:sz w:val="20"/>
          <w:szCs w:val="20"/>
          <w:color w:val="auto"/>
        </w:rPr>
      </w:pPr>
      <w:r>
        <w:rPr>
          <w:rFonts w:ascii="Times New Roman" w:cs="Times New Roman" w:eastAsia="Times New Roman" w:hAnsi="Times New Roman"/>
          <w:sz w:val="18"/>
          <w:szCs w:val="18"/>
          <w:color w:val="auto"/>
        </w:rPr>
        <w:t>Safety data indicated that semorinemab was well tolerated, with no difference in the frequency of serious or non-serious adverse events or discontinuations due to adverse events. Infusion related reactions were more common in the semorinemab group compared to placebo (10.4% vs 3.8%, respectively). None were Grade 3 or higher (i.e. severe) in intensity.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Semorinemab’s results provided the first positive cognitive results for an anti-Tau mAb therapy in AD.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19: Positive effect of semorinemab on cognition assessed by ADAS-Cog11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156845</wp:posOffset>
            </wp:positionV>
            <wp:extent cx="4671695" cy="23660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67169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 Monteiro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CTAD 2021</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Crenezumab</w:t>
      </w:r>
    </w:p>
    <w:p>
      <w:pPr>
        <w:spacing w:after="0" w:line="229" w:lineRule="exact"/>
        <w:rPr>
          <w:sz w:val="20"/>
          <w:szCs w:val="20"/>
          <w:color w:val="auto"/>
        </w:rPr>
      </w:pPr>
    </w:p>
    <w:p>
      <w:pPr>
        <w:ind w:left="60" w:right="119" w:firstLine="324"/>
        <w:spacing w:after="0" w:line="237" w:lineRule="auto"/>
        <w:rPr>
          <w:sz w:val="20"/>
          <w:szCs w:val="20"/>
          <w:color w:val="auto"/>
        </w:rPr>
      </w:pPr>
      <w:r>
        <w:rPr>
          <w:rFonts w:ascii="Times New Roman" w:cs="Times New Roman" w:eastAsia="Times New Roman" w:hAnsi="Times New Roman"/>
          <w:sz w:val="18"/>
          <w:szCs w:val="18"/>
          <w:color w:val="auto"/>
        </w:rPr>
        <w:t>Crenezumab is a humanized, conformation-specific monoclonal antibody that targets misfolded Abeta and has a broad binding profile, with high affinity binding to oligomeric Abeta. Its IgG4 backbone reduces microglial activation compared to IgG1 based antibodies, which together with its specificity for oligomeric Abeta leads to an excellent safety profile with ARIA-E comparable to placebo in clinical studies (Cummings et al. 2014:2018; Ostrowitzki et al., JAMA Neurology, 2022). Crenezumab was developed using our proprietary SupraAntigen platform. In 2006, crenezumab was licensed to Genentech. As announced on January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2024, AC Immune will regain the global rights to crenezumab following termination of the collaboration agreement with Genentech, a member of the Roche Group, which termination will be effective in April 2024.</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activity in Phase 2 and 3 clinical trials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Phase 2 studies (ABBY and BLAZE)</w:t>
      </w:r>
    </w:p>
    <w:p>
      <w:pPr>
        <w:spacing w:after="0" w:line="229" w:lineRule="exact"/>
        <w:rPr>
          <w:sz w:val="20"/>
          <w:szCs w:val="20"/>
          <w:color w:val="auto"/>
        </w:rPr>
      </w:pPr>
    </w:p>
    <w:p>
      <w:pPr>
        <w:ind w:left="720" w:right="159" w:hanging="319"/>
        <w:spacing w:after="0" w:line="266"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proof-of-concept Phase 2 studies of crenezumab, a positive trend in cognition was observed, with a greater effect on cognition in patients with a milder stage of AD (MMSE 22–26).</w:t>
      </w:r>
    </w:p>
    <w:p>
      <w:pPr>
        <w:spacing w:after="0" w:line="189"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2 ABBY cognition study, there was a statistically significant 35% reduction in the rate of cognitive decline in the non-pre-specified milder AD patient population (MMSE 22–26) for the high-dose arm.</w:t>
      </w:r>
    </w:p>
    <w:p>
      <w:pPr>
        <w:spacing w:after="0" w:line="189" w:lineRule="exact"/>
        <w:rPr>
          <w:rFonts w:ascii="Times New Roman" w:cs="Times New Roman" w:eastAsia="Times New Roman" w:hAnsi="Times New Roman"/>
          <w:sz w:val="18"/>
          <w:szCs w:val="18"/>
          <w:color w:val="auto"/>
        </w:rPr>
      </w:pPr>
    </w:p>
    <w:p>
      <w:pPr>
        <w:ind w:left="720" w:right="159" w:hanging="319"/>
        <w:spacing w:after="0" w:line="255"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2 BLAZE biomarker study, the high-dose arm showed a consistent trend of reduced Abeta accumulation in the brain over time, as shown in two independent exploratory analyses of florbetapir-PET data. In addition, results have shown that crenezumab has the ability to enhance the removal of these proteins from the brain as evidenced by a significant increase in CSF Abeta, confirming target engagement by crenezumab.</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Phase 3 studies (CREAD and CREAD 2)</w:t>
      </w:r>
    </w:p>
    <w:p>
      <w:pPr>
        <w:spacing w:after="0" w:line="216" w:lineRule="exact"/>
        <w:rPr>
          <w:sz w:val="20"/>
          <w:szCs w:val="20"/>
          <w:color w:val="auto"/>
        </w:rPr>
      </w:pPr>
    </w:p>
    <w:p>
      <w:pPr>
        <w:ind w:left="720" w:right="319" w:hanging="319"/>
        <w:spacing w:after="0" w:line="312" w:lineRule="auto"/>
        <w:tabs>
          <w:tab w:leader="none" w:pos="7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randomized, double-blind, placebo-controlled, parallel-group Phase 3 CREAD study enrolled about 750 participants with prodromal or mild AD at the age of 50−85 years. A high dose of crenezumab (60 mg/kg) was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79"/>
        <w:spacing w:after="0" w:line="282" w:lineRule="auto"/>
        <w:rPr>
          <w:sz w:val="20"/>
          <w:szCs w:val="20"/>
          <w:color w:val="auto"/>
        </w:rPr>
      </w:pPr>
      <w:r>
        <w:rPr>
          <w:rFonts w:ascii="Times New Roman" w:cs="Times New Roman" w:eastAsia="Times New Roman" w:hAnsi="Times New Roman"/>
          <w:sz w:val="18"/>
          <w:szCs w:val="18"/>
          <w:color w:val="auto"/>
        </w:rPr>
        <w:t>administered intravenously once every 4 weeks for 100 weeks. The primary outcome measure was the change from baseline to week 105 in CDR-SB score.</w:t>
      </w:r>
    </w:p>
    <w:p>
      <w:pPr>
        <w:spacing w:after="0" w:line="162" w:lineRule="exact"/>
        <w:rPr>
          <w:sz w:val="20"/>
          <w:szCs w:val="20"/>
          <w:color w:val="auto"/>
        </w:rPr>
      </w:pPr>
    </w:p>
    <w:p>
      <w:pPr>
        <w:ind w:left="720" w:right="299" w:hanging="319"/>
        <w:spacing w:after="0" w:line="258" w:lineRule="auto"/>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2019, Roche, the parent company of our collaboration partner, announced the discontinuation of the CREAD and CREAD 2 (BN29552 and BN29553) Phase 3 studies of crenezumab in people with prodromal-to-mild sporadic AD. The decision came after an interim analysis of the first CREAD study conducted by the IDMC, which indicated that crenezumab was unlikely to meet its primary endpoint of change from baseline in CDR-SB score.</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Favorable safety profile</w:t>
      </w:r>
    </w:p>
    <w:p>
      <w:pPr>
        <w:spacing w:after="0" w:line="229" w:lineRule="exact"/>
        <w:rPr>
          <w:sz w:val="20"/>
          <w:szCs w:val="20"/>
          <w:color w:val="auto"/>
        </w:rPr>
      </w:pPr>
    </w:p>
    <w:p>
      <w:pPr>
        <w:ind w:left="720" w:hanging="319"/>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data from ABBY and BLAZE studies suggested that there were no imbalances in overall rate of AEs.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patients in the studies experienced SAEs that were believed related to the administration of crenezumab.</w:t>
      </w:r>
    </w:p>
    <w:p>
      <w:pPr>
        <w:spacing w:after="0" w:line="225"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 safety profile and lack of induction of ARIA-E was confirmed in the Phase 3 CREAD and CREAD 2 studies, as well as the API prevention study in which there was no increase in incidence of SAEs compared with placebo.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Latest clinical trial, Phase 2 AD prevention study (API-ADAD) completed</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There is increasing understanding from studies in patients at risk of AD due to genetic mutations that the accumulation of Abeta in the brain is a very early event in the condition, starting approximately 25 years before symptoms develop (McDade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2018). To treat the underlying amyloid pathology effectively it may therefore be necessary to use anti-amyloid therapies in a preventive mode, starting in patients in whom symptoms have not yet emerged.</w:t>
      </w:r>
    </w:p>
    <w:p>
      <w:pPr>
        <w:spacing w:after="0" w:line="180" w:lineRule="exact"/>
        <w:rPr>
          <w:sz w:val="20"/>
          <w:szCs w:val="20"/>
          <w:color w:val="auto"/>
        </w:rPr>
      </w:pPr>
    </w:p>
    <w:p>
      <w:pPr>
        <w:ind w:left="60" w:right="459" w:firstLine="324"/>
        <w:spacing w:after="0" w:line="255" w:lineRule="auto"/>
        <w:rPr>
          <w:sz w:val="20"/>
          <w:szCs w:val="20"/>
          <w:color w:val="auto"/>
        </w:rPr>
      </w:pPr>
      <w:r>
        <w:rPr>
          <w:rFonts w:ascii="Times New Roman" w:cs="Times New Roman" w:eastAsia="Times New Roman" w:hAnsi="Times New Roman"/>
          <w:sz w:val="18"/>
          <w:szCs w:val="18"/>
          <w:color w:val="auto"/>
        </w:rPr>
        <w:t>In 2012, crenezumab was independently selected from among 25 product candidates for use in the first-ever AD prevention study of its kind. The study, a collaboration worth USD 100 million between the NIH, Banner Alzheimer’s Institute and Genentech, was the cornerstone of the global Alzheimer’s Prevention Initiative (API). Family members usually develop symptoms before the 45 years of age. 252 subjects were enrolled.</w:t>
      </w:r>
    </w:p>
    <w:p>
      <w:pPr>
        <w:spacing w:after="0" w:line="187" w:lineRule="exact"/>
        <w:rPr>
          <w:sz w:val="20"/>
          <w:szCs w:val="20"/>
          <w:color w:val="auto"/>
        </w:rPr>
      </w:pPr>
    </w:p>
    <w:p>
      <w:pPr>
        <w:ind w:left="60" w:right="79" w:firstLine="321"/>
        <w:spacing w:after="0" w:line="261" w:lineRule="auto"/>
        <w:rPr>
          <w:sz w:val="20"/>
          <w:szCs w:val="20"/>
          <w:color w:val="auto"/>
        </w:rPr>
      </w:pPr>
      <w:r>
        <w:rPr>
          <w:rFonts w:ascii="Times New Roman" w:cs="Times New Roman" w:eastAsia="Times New Roman" w:hAnsi="Times New Roman"/>
          <w:sz w:val="18"/>
          <w:szCs w:val="18"/>
          <w:color w:val="auto"/>
        </w:rPr>
        <w:t>169 carriers of the PSEN1 E280A mutation, who did not have mild cognitive impairment or dementia, were randomized to receive crenezumab (85 subjects) or placebo (84 subjects). A separate group of non-carriers (83 subjects) received a placebo. The mean age of the mutation carriers was 37 years old. This was approximately seven years before the median age for development of mild cognitive impairment.</w:t>
      </w:r>
    </w:p>
    <w:p>
      <w:pPr>
        <w:spacing w:after="0" w:line="166" w:lineRule="exact"/>
        <w:rPr>
          <w:sz w:val="20"/>
          <w:szCs w:val="20"/>
          <w:color w:val="auto"/>
        </w:rPr>
      </w:pPr>
    </w:p>
    <w:p>
      <w:pPr>
        <w:ind w:left="60" w:right="139" w:firstLine="321"/>
        <w:spacing w:after="0" w:line="282" w:lineRule="auto"/>
        <w:rPr>
          <w:sz w:val="20"/>
          <w:szCs w:val="20"/>
          <w:color w:val="auto"/>
        </w:rPr>
      </w:pPr>
      <w:r>
        <w:rPr>
          <w:rFonts w:ascii="Times New Roman" w:cs="Times New Roman" w:eastAsia="Times New Roman" w:hAnsi="Times New Roman"/>
          <w:sz w:val="18"/>
          <w:szCs w:val="18"/>
          <w:color w:val="auto"/>
        </w:rPr>
        <w:t>Subjects were followed under treatment for 5-8 years, with the double-blind treatment continuing until the last subject received treatment for 5 years.</w:t>
      </w:r>
    </w:p>
    <w:p>
      <w:pPr>
        <w:spacing w:after="0" w:line="162" w:lineRule="exact"/>
        <w:rPr>
          <w:sz w:val="20"/>
          <w:szCs w:val="20"/>
          <w:color w:val="auto"/>
        </w:rPr>
      </w:pPr>
    </w:p>
    <w:p>
      <w:pPr>
        <w:ind w:left="60" w:right="79" w:firstLine="321"/>
        <w:spacing w:after="0" w:line="261" w:lineRule="auto"/>
        <w:rPr>
          <w:sz w:val="20"/>
          <w:szCs w:val="20"/>
          <w:color w:val="auto"/>
        </w:rPr>
      </w:pPr>
      <w:r>
        <w:rPr>
          <w:rFonts w:ascii="Times New Roman" w:cs="Times New Roman" w:eastAsia="Times New Roman" w:hAnsi="Times New Roman"/>
          <w:sz w:val="18"/>
          <w:szCs w:val="18"/>
          <w:color w:val="auto"/>
        </w:rPr>
        <w:t>Primary endpoints were the annualized rate of change in the API autosomal dominant AD (ADAD) composite score and the Free and Cued Selective Reminding Test Cueing Index (FCRST). The latter scale was promoted to a coprimary endpoint after a blinded interim analysis had indicated less decline than expected on the composite endpoint. Consequently, in the final assessment the study was not adequately powered for statistical significance.</w:t>
      </w:r>
    </w:p>
    <w:p>
      <w:pPr>
        <w:spacing w:after="0" w:line="180" w:lineRule="exact"/>
        <w:rPr>
          <w:sz w:val="20"/>
          <w:szCs w:val="20"/>
          <w:color w:val="auto"/>
        </w:rPr>
      </w:pPr>
    </w:p>
    <w:p>
      <w:pPr>
        <w:ind w:left="60" w:right="79" w:firstLine="321"/>
        <w:spacing w:after="0" w:line="272" w:lineRule="auto"/>
        <w:rPr>
          <w:sz w:val="20"/>
          <w:szCs w:val="20"/>
          <w:color w:val="auto"/>
        </w:rPr>
      </w:pPr>
      <w:r>
        <w:rPr>
          <w:rFonts w:ascii="Times New Roman" w:cs="Times New Roman" w:eastAsia="Times New Roman" w:hAnsi="Times New Roman"/>
          <w:sz w:val="17"/>
          <w:szCs w:val="17"/>
          <w:color w:val="auto"/>
        </w:rPr>
        <w:t>As reported by Tariot et al. at AAIC 2022, numerical differences favoring crenezumab were observed consistently across a wide range of clinical and biomarker endpoints. Plasma Abeta40 and Abeta42 rose throughout the study indicating peripheral target engagement. A small difference favoring crenezumab was observed in amyloid PET scan measures of fibrillary amyloid. Numerical differences favoring crenezumab compared to placebo were seen for clinical scales including both the two primary endpoints (i.e. API ADAD composite score, FCRST). Results did not reach statistical significance.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1"/>
        <w:spacing w:after="0" w:line="261" w:lineRule="auto"/>
        <w:rPr>
          <w:sz w:val="20"/>
          <w:szCs w:val="20"/>
          <w:color w:val="auto"/>
        </w:rPr>
      </w:pPr>
      <w:r>
        <w:rPr>
          <w:rFonts w:ascii="Times New Roman" w:cs="Times New Roman" w:eastAsia="Times New Roman" w:hAnsi="Times New Roman"/>
          <w:sz w:val="18"/>
          <w:szCs w:val="18"/>
          <w:color w:val="auto"/>
        </w:rPr>
        <w:t>Numerical changes favoring crenezumab were also seen for the secondary endpoints including time to MCI/dementia due to AD, CDR-SB, time to non-zero score on CDR Global Score and RBANS total score. Similarly, numerical differences favoring crenezumab were seen across all reported biomarkers. Only plasma GFAP reached statistical significance (p=0.04, not corrected for multiplicity).</w:t>
      </w:r>
    </w:p>
    <w:p>
      <w:pPr>
        <w:spacing w:after="0" w:line="180" w:lineRule="exact"/>
        <w:rPr>
          <w:sz w:val="20"/>
          <w:szCs w:val="20"/>
          <w:color w:val="auto"/>
        </w:rPr>
      </w:pPr>
    </w:p>
    <w:p>
      <w:pPr>
        <w:jc w:val="both"/>
        <w:ind w:left="60" w:right="139" w:firstLine="321"/>
        <w:spacing w:after="0" w:line="312" w:lineRule="auto"/>
        <w:rPr>
          <w:sz w:val="20"/>
          <w:szCs w:val="20"/>
          <w:color w:val="auto"/>
        </w:rPr>
      </w:pPr>
      <w:r>
        <w:rPr>
          <w:rFonts w:ascii="Times New Roman" w:cs="Times New Roman" w:eastAsia="Times New Roman" w:hAnsi="Times New Roman"/>
          <w:sz w:val="17"/>
          <w:szCs w:val="17"/>
          <w:color w:val="auto"/>
        </w:rPr>
        <w:t>The dose of crenezumab was raised seven-fold during the study in response to emerging data from Phase 2 that higher doses may be more effective. Thus, subjects were exposed to intravenous dosing for less than half of the treatment period.</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Tolerability was good, with low rates of ARIA, no instances of ARIA-E and no macrohemorrhages.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preclinical programs</w:t>
      </w:r>
    </w:p>
    <w:p>
      <w:pPr>
        <w:spacing w:after="0" w:line="229" w:lineRule="exact"/>
        <w:rPr>
          <w:sz w:val="20"/>
          <w:szCs w:val="20"/>
          <w:color w:val="auto"/>
        </w:rPr>
      </w:pPr>
    </w:p>
    <w:p>
      <w:pPr>
        <w:ind w:left="60" w:right="179" w:firstLine="324"/>
        <w:spacing w:after="0" w:line="281" w:lineRule="auto"/>
        <w:rPr>
          <w:sz w:val="20"/>
          <w:szCs w:val="20"/>
          <w:color w:val="auto"/>
        </w:rPr>
      </w:pPr>
      <w:r>
        <w:rPr>
          <w:rFonts w:ascii="Times New Roman" w:cs="Times New Roman" w:eastAsia="Times New Roman" w:hAnsi="Times New Roman"/>
          <w:sz w:val="17"/>
          <w:szCs w:val="17"/>
          <w:color w:val="auto"/>
        </w:rPr>
        <w:t>Using our SupraAntigen and Morphomer platforms, we have generated additional discovery and preclinical stage molecules targeting key pathologies that drive a range of neurodegenerative diseases, including TDP-43, a-syn, and NLRP3-ASC. We are accelerating the development of several therapeutic product candidates currently in preclinical development, including several programs focused on indications outside of AD as a critical part of our expansion strategy.</w:t>
      </w:r>
    </w:p>
    <w:p>
      <w:pPr>
        <w:spacing w:after="0" w:line="164"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Based on the data to date, our technology platforms can be applied to misfolded proteins across a broad range of indications. See our novel targets pipeline above at Figure 6.</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A-syn antibody</w:t>
      </w:r>
    </w:p>
    <w:p>
      <w:pPr>
        <w:spacing w:after="0" w:line="22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a-syn antibodies generated using our SupraAntigen platform have unique binding properties allowing them to bind preferentially to the pathological forms of a-syn. Leveraging the wide collection of anti-a-syn antibodies generated with diverse binding epitopes and sub-nM binding affinities to aggregated a-syn, new immunoassays are being developed for the detection of pathological a-syn in biofluids. A-syn aggregation and spreading are established targets for PD, MSA and other synucleinopathies. Antibodies that interfere with the aggregation and spreading mechanisms of a-syn provide a therapeutic option for the treatment of PD. The a-syn antibodies were able to significantly delay the seeded aggregation of pathological a-syn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aggregation assay, and were able to significantly decrease pathological a-syn spreading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 of PD. Characterization using multiple orthogonal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tests addressing binding, specificity, functionality and pharmacological properties has led to the identification of the lead candidate ACI-5755.</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Lead characterization</w:t>
      </w:r>
    </w:p>
    <w:p>
      <w:pPr>
        <w:spacing w:after="0" w:line="22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ACI-5755 selectively binds to pathological forms of a-syn with low-nanomolar affinity and shows a significant preference over monomeric a-syn. Additionally, ACI-5755 shows strong recognition for pathological a-syn in patient-derived tissues in both PD and MSA. ACI-5755 showed a potent and dose-dependent reduction in the seeding capacity of pathological a-syn in a proprietary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aggregation assay. Moreover, ACI-5755 substantially reduced the propagation of a-syn aggregates in a cell-based model.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of ACI-5755 was evaluated in the M83 propagation mouse model (Luk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2012). Treatment of mice with ACI-5755 significantly decreased pathological a-syn spreading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Furthermore, a significant reduction in the rate of body weight loss compared with the vehicle-treated control group was observed for mice treated with ACI-5755.</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Morphomer a-syn</w:t>
      </w:r>
    </w:p>
    <w:p>
      <w:pPr>
        <w:spacing w:after="0" w:line="229" w:lineRule="exact"/>
        <w:rPr>
          <w:sz w:val="20"/>
          <w:szCs w:val="20"/>
          <w:color w:val="auto"/>
        </w:rPr>
      </w:pPr>
    </w:p>
    <w:p>
      <w:pPr>
        <w:ind w:left="60" w:right="259" w:firstLine="324"/>
        <w:spacing w:after="0" w:line="271" w:lineRule="auto"/>
        <w:rPr>
          <w:sz w:val="20"/>
          <w:szCs w:val="20"/>
          <w:color w:val="auto"/>
        </w:rPr>
      </w:pPr>
      <w:r>
        <w:rPr>
          <w:rFonts w:ascii="Times New Roman" w:cs="Times New Roman" w:eastAsia="Times New Roman" w:hAnsi="Times New Roman"/>
          <w:sz w:val="17"/>
          <w:szCs w:val="17"/>
          <w:color w:val="auto"/>
        </w:rPr>
        <w:t xml:space="preserve">Leveraging our Morphomer platform, we discovered and characterized the first biologically active small molecule inhibitors targeting intracellular a-syn aggregates. Identified compounds, from several distinct chemical series, which significantly decrease a-syn aggregate accumulation in neurons by interfering with the seeding and fibrillation processes. Iterative medicinal chemistry optimization led to the identification of orally available compounds with favorable CNS-penetrant pharmacokinetic properties, which progressed into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proof-of-concept study in an animal model of alpha-synucleinopathies. Treatment with hit compound resulted in significant, dose-dependent decrease of pathological a-syn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 xml:space="preserve">aggregates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Successful medicinal chemistry optimization yielded a new candidate with improved potency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affinity for pathologic a-syn than earlier compounds as well as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safety and pharmacokinetic profiles. This compound progressed into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evaluation in an animal model of Parkinson’s disease. Medicinal chemistry efforts will continue improving properties of lead chemical series, in parallel to identifying structurally diverse compounds fulfilling the target product profile.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TDP-43 antibody</w:t>
      </w:r>
    </w:p>
    <w:p>
      <w:pPr>
        <w:spacing w:after="0" w:line="229" w:lineRule="exact"/>
        <w:rPr>
          <w:sz w:val="20"/>
          <w:szCs w:val="20"/>
          <w:color w:val="auto"/>
        </w:rPr>
      </w:pPr>
    </w:p>
    <w:p>
      <w:pPr>
        <w:ind w:left="60" w:right="639" w:firstLine="324"/>
        <w:spacing w:after="0" w:line="258" w:lineRule="auto"/>
        <w:rPr>
          <w:sz w:val="20"/>
          <w:szCs w:val="20"/>
          <w:color w:val="auto"/>
        </w:rPr>
      </w:pPr>
      <w:r>
        <w:rPr>
          <w:rFonts w:ascii="Times New Roman" w:cs="Times New Roman" w:eastAsia="Times New Roman" w:hAnsi="Times New Roman"/>
          <w:sz w:val="18"/>
          <w:szCs w:val="18"/>
          <w:color w:val="auto"/>
        </w:rPr>
        <w:t>TDP-43 is a recently identified target of growing interest for NeuroOrphan indications such as frontotemporal dementia (FTD) and ALS. Interestingly, TDP-43 also plays an important role in other significant neurodegenerative indications such as AD or LATE.</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Anti-TDP-43 antibodies binding to various regions of TDP-43 were generated by our SupraAntigen platform. A subset displayed conformational selectivity to misfolded TDP-43, while others recognized all TDP-43 isoforms (Figure 20A). Multiple antibodies were generated and characterized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from which two pan-TDP-43 antibodies (ACI-5891 and ACI-5886) were selected for the evaluation of their efficacy in mitigating TDP-43 aggregation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(Figure 20B-C). ACI-5891 showed a high binding affinity for TDP-43 and ability to reduce TDP-43 aggregation </w:t>
      </w:r>
      <w:r>
        <w:rPr>
          <w:rFonts w:ascii="Times New Roman" w:cs="Times New Roman" w:eastAsia="Times New Roman" w:hAnsi="Times New Roman"/>
          <w:sz w:val="18"/>
          <w:szCs w:val="18"/>
          <w:i w:val="1"/>
          <w:iCs w:val="1"/>
          <w:color w:val="auto"/>
        </w:rPr>
        <w:t>in vitro and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vivo</w:t>
      </w:r>
      <w:r>
        <w:rPr>
          <w:rFonts w:ascii="Times New Roman" w:cs="Times New Roman" w:eastAsia="Times New Roman" w:hAnsi="Times New Roman"/>
          <w:sz w:val="18"/>
          <w:szCs w:val="18"/>
          <w:color w:val="auto"/>
        </w:rPr>
        <w:t>. ACI-5891 was successfully humanized and clinical lead selected (ACI-5891.9). The lead molecule shows excellent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pharmacokinetics in non-human primates and good developability profile.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Lead characterization</w:t>
      </w:r>
    </w:p>
    <w:p>
      <w:pPr>
        <w:spacing w:after="0" w:line="227" w:lineRule="exact"/>
        <w:rPr>
          <w:sz w:val="20"/>
          <w:szCs w:val="20"/>
          <w:color w:val="auto"/>
        </w:rPr>
      </w:pPr>
    </w:p>
    <w:p>
      <w:pPr>
        <w:ind w:left="60" w:right="59" w:firstLine="324"/>
        <w:spacing w:after="0" w:line="268" w:lineRule="auto"/>
        <w:rPr>
          <w:sz w:val="20"/>
          <w:szCs w:val="20"/>
          <w:color w:val="auto"/>
        </w:rPr>
      </w:pPr>
      <w:r>
        <w:rPr>
          <w:rFonts w:ascii="Times New Roman" w:cs="Times New Roman" w:eastAsia="Times New Roman" w:hAnsi="Times New Roman"/>
          <w:sz w:val="17"/>
          <w:szCs w:val="17"/>
          <w:color w:val="auto"/>
        </w:rPr>
        <w:t xml:space="preserve">To evaluate the functional efficacy of TDP-43 antibodies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the ability of ACI-5891 to inhibit TDP-43 aggregation was tested. In an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assay with recombinant TDP-43, ACI-5891 significantly inhibited TDP-43 aggregation compared with the isotype control and significantly promoted their phagocytosis by mouse primary and ALS patient-derived microglia. Using FTLD-TDP patient-derived brain extracts to induce templated TDP-43 aggregation </w:t>
      </w:r>
      <w:r>
        <w:rPr>
          <w:rFonts w:ascii="Times New Roman" w:cs="Times New Roman" w:eastAsia="Times New Roman" w:hAnsi="Times New Roman"/>
          <w:sz w:val="17"/>
          <w:szCs w:val="17"/>
          <w:i w:val="1"/>
          <w:iCs w:val="1"/>
          <w:color w:val="auto"/>
        </w:rPr>
        <w:t>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vitro</w:t>
      </w:r>
      <w:r>
        <w:rPr>
          <w:rFonts w:ascii="Times New Roman" w:cs="Times New Roman" w:eastAsia="Times New Roman" w:hAnsi="Times New Roman"/>
          <w:sz w:val="17"/>
          <w:szCs w:val="17"/>
          <w:color w:val="auto"/>
        </w:rPr>
        <w:t>, ACI-5891, which binds to the C-terminal domain of TDP-43, was able to substantially interfere with this process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seeding (Figure 20B). Moreover, ACI-5891 demonstrated functional efficacy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by reducing pathological TDP-43 in two different mouse models of ALS and FTD (Figure 20C). Importantly, these beneficial effects are achieved while preserving physiological TDP-43 activity. Our findings demonstrate, for the first time, that a monoclonal antibody targeting the C-terminal region of TDP-43 limits pathology and neurotoxicity by enabling clearance of misfolded TDP-43 through microglia engagement and support the clinical strategy to target TDP-43 by passive immunotherapy (Afroz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2023).</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20: Key results for TDP-43 antibodies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156845</wp:posOffset>
            </wp:positionV>
            <wp:extent cx="3137535" cy="28460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3753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Afroz, AD/PD 2022</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lead declaration and initiation of IND-enabling studies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ACI-5891 was successfully humanized on a human antibody framework. Several variants had a similar binding capacity for TDP-43 while retaining the potency for inhibition of TDP-43 aggregation as compared to the chimeric monoclonal antibody. The target values were achieved for the lead candidates in terms of target affinity, functional efficacy, and percentage humanness. These variants were then evaluated for pharmacokinetics in non-human primates. The selected clinical lead (ACI-5891.9) shows excellent pharmacokinetics in non-human primates. Developability of clinical lead candidates was further confirmed in manufacturability assessment studies (Ollier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2023). Dose-range finding study to evaluate safety of clinical lead in non-human primates demonstrated dose proportional increase in mAb exposure in serum, no immunogenicity and no adverse effects on all parameters evaluated.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TDP-43 antibody-based biofluid assay</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Since the levels of TDP-43 are low in biofluids, a real-time quaking-induced conversion (RT-QuIC) assay was developed for the detection of pathological TDP-43 seeds. Using this assay, the presence of seeding-competent TDP-43 species was confirmed in CSF of sporadic ALS donors compared to healthy controls (Figure 21A-C). The ability to neutralize seeding-competent species was demonstrated for ACI-5891.9 using this assay Figure 21D-E). In addition, to evaluate target engagement of the clinical lead in vivo, novel assays to measure free TDP-43 in biofluids were established using SIMOA technology. The assay allows the measurement of free TDP-43 in serum and CSF from animals dosed with the clinical lead (Figure 21F).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Figure 21: Biomarker assays to assess the presence of seeding-competent TDP-43 in CSF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28117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5498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Audrain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Brain Communications, 2023</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Neuroinflammation and the NLRP3-ASC inflammasome pathway</w:t>
      </w:r>
    </w:p>
    <w:p>
      <w:pPr>
        <w:spacing w:after="0" w:line="21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 xml:space="preserve">Microglial cells are the main resident immune cells in the brain, which maintain a healthy environment by removing damaged cells and misfolded protein aggregates. When overstimulated, microglia can drive neuroinflammation, leading to increased neuronal death and disease progression. A key molecular pathway that is activated by misfolded proteins related to neurodegenerative and other diseases, is the NLRP3 inflammasome, a multi-protein complex that forms within microglia leading to production of pro-inflammatory factors that exacerbate neuronal atrophy. A critical component of the NLRP3 pathway is ASC (apoptosis-associated speck-like protein containing a C-terminal caspase recruitment domain), which is formed and released by activated microglia. Intracellularly, ASC specks participate in the production of pro-inflammatory cytokines, whereas extracellular ASC specks cause acute inflammatory reactions. ASC specks have been identified in microglia within the CNS of patients with NDD (Venegas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Nature 2017) as well as patients’ body fluids.</w:t>
      </w:r>
    </w:p>
    <w:p>
      <w:pPr>
        <w:spacing w:after="0" w:line="190"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illustrated in Figure 22, pathological species of Abeta, Tau, a-syn and TDP-43 induce NLRP3 inflammasome activation and ASC speck formation. AC Immune is developing multiple small molecule and antibody-based candidates with the potential to inhibit the NLRP3 pathway. Recent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experiments in animal models of AD, PD and ALS have validated this approach.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22: Proteinopathies exacerbate NLRP3-driven neuronal damage and promote further neurodegeneration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156845</wp:posOffset>
            </wp:positionV>
            <wp:extent cx="5143500" cy="28721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99" w:hanging="10"/>
        <w:spacing w:after="0" w:line="262" w:lineRule="auto"/>
        <w:tabs>
          <w:tab w:leader="none" w:pos="238"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Amyotrophic lateral sclerosis; (2) Frontotemporal lobar dementia; (3) TAR DNA-binding protein 43; (4) NOD-like receptor protein 3; (5) Apoptosis-associated speck-like protein containing a CARD, also PYCARD; (6) Neurofibrillary tangle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Targeting NLRP3-ASC in neurodegenerative diseases</w:t>
      </w:r>
    </w:p>
    <w:p>
      <w:pPr>
        <w:spacing w:after="0" w:line="22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AD, Abeta peptides, which accumulate to form the characteristic plaques in AD activate the NLRP3 inflammasome (Halle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Nature Immunology, 2008). The downstream pro-inflammatory factors, IL-1b and IL-18, are increased in cells isolated in these patients (Saresella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Molecular Neurodegeneration, 2016). Further validation of these targets in AD involve crossing NLRP3 or ASC knockout mice to models of Abeta-driven pathology. In these models, neuroinflammation decreased and neuronal and memory function improved (Heneka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Nature, 2013; Dempsey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Brain Behavior and Immunity, 2017; Venegas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Nature, 2017). Recently, ASC speck and IL-18 levels were shown to be higher in human Mild Cognitive Impairment (MCI) and AD brain samples indicating that ASC is a promising biomarker of MCI and AD (Scott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International Journal of Molecular Science, 2020).</w:t>
      </w:r>
    </w:p>
    <w:p>
      <w:pPr>
        <w:spacing w:after="0" w:line="190"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Parkinson’s disease, NLRP3 is activated and ASC formation is upregulated (Gordon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Science Translational Medicine, 2018; Anderson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NPJ Parkinson’s Disease, 2021). Exome sequencing analysis identified multiple single-nucleotide polymorphisms of NLRP3 including rs7525979, which was associated with a significantly reduced risk of developing PD (von Herrmann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NPJ Parkinson’s Disease, 2018). In vitro, NLRP3 inhibition decreases a-syn-mediated inflammasome activation in mouse microglial cells and extracellular ASC release. In multiple PD animal models, targeting NLRP3 effectively mitigates motor deficits, nigrostriatal dopaminergic degeneration and accumulation of a-syn aggregates (Gordon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Science Translational Medicine, 2018). Taken together, NLRP3 is responsible for driving neuroinflammation that results in progressive dopaminergic neuropathology, highlighting NLRP3 as a potential target for PD disease-modifying treatments.</w:t>
      </w:r>
    </w:p>
    <w:p>
      <w:pPr>
        <w:spacing w:after="0" w:line="19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illustrated in Figure 22, extracellular Tau activates NLRP3 and ASC formation in microglia. In patients with frontotemporal dementia, elevated cleavage of caspase-1, increased ASC levels and mature IL-1b are observed (Ising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Nature, 2019). Furthermore, in preclinical models, injection of fibrillar Abeta induces Tau pathology in an NLRP3-dependent manner (Ising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Nature, 2019) and the absence of ASC or inhibition of NLRP3 decreases seeding by Tau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(Stancu</w:t>
      </w:r>
      <w:r>
        <w:rPr>
          <w:rFonts w:ascii="Times New Roman" w:cs="Times New Roman" w:eastAsia="Times New Roman" w:hAnsi="Times New Roman"/>
          <w:sz w:val="18"/>
          <w:szCs w:val="18"/>
          <w:i w:val="1"/>
          <w:iCs w:val="1"/>
          <w:color w:val="auto"/>
        </w:rPr>
        <w:t xml:space="preserve"> et al.</w:t>
      </w:r>
      <w:r>
        <w:rPr>
          <w:rFonts w:ascii="Times New Roman" w:cs="Times New Roman" w:eastAsia="Times New Roman" w:hAnsi="Times New Roman"/>
          <w:sz w:val="18"/>
          <w:szCs w:val="18"/>
          <w:color w:val="auto"/>
        </w:rPr>
        <w:t>, Acta Neuropathologica, 2019). Finally, NLRP3 inhibition ameliorates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 xml:space="preserve">inflammation and ER stress signaling in a model of Tau-driven pathology, as well as partially normalizes phospho-Tau levels (Hull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Neuropharmacology, 2020).</w:t>
      </w:r>
    </w:p>
    <w:p>
      <w:pPr>
        <w:spacing w:after="0" w:line="160"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Concerning ALS, TDP-43-mediated activation of microglia causes motor neuron cell death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(Zhao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Experimental Neurology, 2015) with downstream activation of NF-kB and NLRP3 (Clarke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Brain, 2020) and involves CD14. This finding is clinically relevant as increased CD14 expression by microglia is observed in postmortem spinal cord tissue from patients with ALS, a TDP-43-driven disease (Clarke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Brain, 2020). Furthermore, wildtype and mutant forms of TDP-43 activate microglia to generate IL-1b, which is abolished by NLRP3 inhibition (Deora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Glia, 2020).</w:t>
      </w:r>
    </w:p>
    <w:p>
      <w:pPr>
        <w:spacing w:after="0" w:line="186"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Microglia isolated from the ALS mouse model, SOD1G93A, express elevated levels of NLRP3 (Deora, 2019). When microglia are incubated with soluble or aggregated SOD1G93A, NLRP3 is activated, ASC specks are formed and IL 1b is secreted which is prevented by treatment with an NLRP3 inhibitor (Deora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Glia, 2020).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 for targeting the NLRP3-ASC inflammasome</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AC Immune is exploring this key pathway in order to reduce the unwanted progression of inflammation in diseases and syndromes caused by the hyper-activation of the NLRP3 inflammasome. Our aim is to develop therapeutics that decrease production of pro-inflammatory factors yet maintain normal phagocytosis of debris and misfolded proteins as well as allow the function of other pathogen-sensing pathways. Currently, AC Immune is targeting the NLRP3-ASC pathway using two complementary approaches, derived from our two technology platforms (Figure 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23: Strategy to use our dual proprietary technology platforms to target NLRP3-ASC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156845</wp:posOffset>
            </wp:positionV>
            <wp:extent cx="5229225" cy="2451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2922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right="319" w:hanging="10"/>
        <w:spacing w:after="0" w:line="250" w:lineRule="auto"/>
        <w:tabs>
          <w:tab w:leader="none" w:pos="238"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(NOD)-like receptor protein 3; (2) Neurodegenerative disease; (3) Central nervous system; (4) Nanomolar; (5) Parkinson’s Disease; (6) picomolar affinity to human and mouse ASC; (7) Apoptosis-associated speck-like protein containing a CARD, also PYCARD; (8) Alzheimer’s Disease; (9) Down syndrome; (10) Multiple sclerosis; (11) Cryopyrin-associated periodic syndrome; (12) Hidradenitis suppurativa</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Adapted from Ransohoff, Nature, 2017</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Small molecule inhibitors of NLRP3</w:t>
      </w:r>
    </w:p>
    <w:p>
      <w:pPr>
        <w:spacing w:after="0" w:line="22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Leveraging our proprietary Morphomer platform, several chemical series have been identified that provide compounds that are very potent NLRP3 inhibitors. Numerous compounds, including ACI-19764 (Figure 24A), demonstrate a low nM IC50 when tested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using a standard IL-1b induction assay, and is at least a log more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efficacious than the reference standard compound, MCC950. Furthermore, when tested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using an LPS-ATP-mediated model of systemic inflammation, ACI-19764 inhibited production of IL-1b in a dose dependent matter with 100% inhibition at the low dose of 2 mg/kg.</w:t>
      </w:r>
    </w:p>
    <w:p>
      <w:pPr>
        <w:spacing w:after="0" w:line="171" w:lineRule="exact"/>
        <w:rPr>
          <w:sz w:val="20"/>
          <w:szCs w:val="20"/>
          <w:color w:val="auto"/>
        </w:rPr>
      </w:pPr>
    </w:p>
    <w:p>
      <w:pPr>
        <w:jc w:val="cente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Figure 24: Highly potent inhibition of IL-1β production by ACI-19764 in activated human whole blood and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b w:val="1"/>
          <w:bCs w:val="1"/>
          <w:color w:val="auto"/>
        </w:rPr>
        <w:t xml:space="preserve"> in a mouse model of peripheral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112395</wp:posOffset>
            </wp:positionV>
            <wp:extent cx="5554980" cy="21005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5498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LPS: Lipopolysaccaride; (2) ATP: Adenosine triphosphate</w:t>
      </w:r>
    </w:p>
    <w:p>
      <w:pPr>
        <w:spacing w:after="0" w:line="2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Basco, 5th Inflammasome Therapeutics Summit, 2023</w:t>
      </w:r>
    </w:p>
    <w:p>
      <w:pPr>
        <w:spacing w:after="0" w:line="212"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These exceptional inhibitory properties of ACI-19764 led us to evaluate the pharmacokinetics properties in a 10 day study in mice. For this, the compound was formulated in food pellets to deliver orally a consistent exposure, confirmed by the daily unbound concentration of ACI-19764 in the plasma of the mice (Figure 25). At the termination of the study, the unbound concentration in the cerebral spinal fluid (CSF) and brain was obtained. The data demonstrated a highly impressive brain to plasma ratio of 0.7. Plotting on the same graph (dotted line) the nM concentration of the 80% level of NLRP3 inhibition using mouse microglia, the results demonstrate that the compound has good brain penetration and can reach relevant levels to potently inhibit NLRP3 in the brain. ACI-19764 and other compounds are now being evaluated in mouse models of neurodegenerative disease and with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biopsies obtained from patients with Hidradenitis suppurativa, a painful, long-term skin condition that causes skin abscesses and scarring on the skin.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Figure 25: Evaluation of the level of brain to plasma concentration of ACI-19764 in a 10 day pharmacokinetic study in mice fed with compound formulated in food pellets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112395</wp:posOffset>
            </wp:positionV>
            <wp:extent cx="3909060" cy="2700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90906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Cerebrospinal fluid; (2) NOD-like receptor protein 3; (3) in mouse microglia.</w:t>
      </w: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Ref: Basco, 5th Inflammasome Therapeutics Summit, 2023</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Therapeutic monoclonal antibodies for neuroinflammation (mAb-ASC)</w:t>
      </w:r>
    </w:p>
    <w:p>
      <w:pPr>
        <w:spacing w:after="0" w:line="227" w:lineRule="exact"/>
        <w:rPr>
          <w:sz w:val="20"/>
          <w:szCs w:val="20"/>
          <w:color w:val="auto"/>
        </w:rPr>
      </w:pPr>
    </w:p>
    <w:p>
      <w:pPr>
        <w:ind w:left="60" w:right="99" w:firstLine="319"/>
        <w:spacing w:after="0" w:line="253" w:lineRule="auto"/>
        <w:rPr>
          <w:sz w:val="20"/>
          <w:szCs w:val="20"/>
          <w:color w:val="auto"/>
        </w:rPr>
      </w:pPr>
      <w:r>
        <w:rPr>
          <w:rFonts w:ascii="Times New Roman" w:cs="Times New Roman" w:eastAsia="Times New Roman" w:hAnsi="Times New Roman"/>
          <w:sz w:val="18"/>
          <w:szCs w:val="18"/>
          <w:color w:val="auto"/>
        </w:rPr>
        <w:t>Apoptosis associated speck like protein containing CARD (ASC) is widely researched and recognized as an adaptor protein participating in inflammasome assembly and pyroptosis. It contains a bipartite structure comprising of a pyrin (PYD) and a caspase recruitment domain (CARD) domain. These two domains help ASC function as an adaptor molecule. ASC plays pivotal role in various inflammatory diseases in the CNS as well as peripherally. Thus, the use of antibodies against ASC is an attractive therapeutic approach. It has been shown in the APP/PS1 mouse model of AD, intracellular and extracellular ASC specks are present. Treatment using an anti-ASC antibody, which targets extracellular ASC specks, decreases the Abeta load in these mice (Figure 26).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26: ASC</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specks in AD patients and mouse model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103505</wp:posOffset>
            </wp:positionV>
            <wp:extent cx="3497580" cy="1954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9758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Apoptosis-associated speck-like protein containing a CARD; (2) Amyloid precursor protein/presenilin 1</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Venegas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Nature, 2017</w:t>
      </w:r>
    </w:p>
    <w:p>
      <w:pPr>
        <w:spacing w:after="0" w:line="227" w:lineRule="exact"/>
        <w:rPr>
          <w:sz w:val="20"/>
          <w:szCs w:val="20"/>
          <w:color w:val="auto"/>
        </w:rPr>
      </w:pPr>
    </w:p>
    <w:p>
      <w:pPr>
        <w:ind w:left="60" w:right="219" w:firstLine="324"/>
        <w:spacing w:after="0" w:line="281" w:lineRule="auto"/>
        <w:rPr>
          <w:sz w:val="20"/>
          <w:szCs w:val="20"/>
          <w:color w:val="auto"/>
        </w:rPr>
      </w:pPr>
      <w:r>
        <w:rPr>
          <w:rFonts w:ascii="Times New Roman" w:cs="Times New Roman" w:eastAsia="Times New Roman" w:hAnsi="Times New Roman"/>
          <w:sz w:val="17"/>
          <w:szCs w:val="17"/>
          <w:color w:val="auto"/>
        </w:rPr>
        <w:t>Using our proprietary SupraAntigen platform, numerous monoclonal antibodies (mAbs) were generated that bind to different regions of ASC with picomolar affinities including the CARD and PYD domains. Importantly, binding was confirmed to native ASC or aggregates, called ASC specks, obtain from activated human and mouse macrophages. Using an in house developed assay for ASC polymerization, selected mAbs were also potently able to inhibit aggregation.</w:t>
      </w:r>
    </w:p>
    <w:p>
      <w:pPr>
        <w:spacing w:after="0" w:line="151" w:lineRule="exact"/>
        <w:rPr>
          <w:sz w:val="20"/>
          <w:szCs w:val="20"/>
          <w:color w:val="auto"/>
        </w:rPr>
      </w:pPr>
    </w:p>
    <w:p>
      <w:pPr>
        <w:ind w:left="60" w:right="119" w:firstLine="324"/>
        <w:spacing w:after="0" w:line="274" w:lineRule="auto"/>
        <w:rPr>
          <w:sz w:val="20"/>
          <w:szCs w:val="20"/>
          <w:color w:val="auto"/>
        </w:rPr>
      </w:pPr>
      <w:r>
        <w:rPr>
          <w:rFonts w:ascii="Times New Roman" w:cs="Times New Roman" w:eastAsia="Times New Roman" w:hAnsi="Times New Roman"/>
          <w:sz w:val="17"/>
          <w:szCs w:val="17"/>
          <w:color w:val="auto"/>
        </w:rPr>
        <w:t>With these favorable characteristics of our novel, first in class mAbs, we set up an assay to evaluate the ability to mediate uptake and removal of these pathological ASC polymers by human phagocytic cells. In the absence of the selected anti-ASC mAb, ACI-6635, little uptake is observed over 24 hours by the differentiated macrophages. However, a strong, significant uptake measured by the phagocytosis index was observed within hours. This internalization was mediated by having a full effector function of the antibody as uptake was delayed and reduced when testing a variant of ACI-6635 with reduced effector function (ACI-6635-ER). Thus, the therapeutic candidate is envisioned to retain this feature.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27: ACI-6635 induces the phagocytosis of pathological aggregated species of ASC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148590</wp:posOffset>
            </wp:positionV>
            <wp:extent cx="5160645" cy="1834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6064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Effector-reduced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Basco, 5th Inflammasome Therapeutics Summit, 2023</w:t>
      </w:r>
    </w:p>
    <w:p>
      <w:pPr>
        <w:spacing w:after="0" w:line="223" w:lineRule="exact"/>
        <w:rPr>
          <w:sz w:val="20"/>
          <w:szCs w:val="20"/>
          <w:color w:val="auto"/>
        </w:rPr>
      </w:pPr>
    </w:p>
    <w:p>
      <w:pPr>
        <w:ind w:left="60" w:right="139" w:firstLine="321"/>
        <w:spacing w:after="0" w:line="275" w:lineRule="auto"/>
        <w:rPr>
          <w:sz w:val="20"/>
          <w:szCs w:val="20"/>
          <w:color w:val="auto"/>
        </w:rPr>
      </w:pPr>
      <w:r>
        <w:rPr>
          <w:rFonts w:ascii="Times New Roman" w:cs="Times New Roman" w:eastAsia="Times New Roman" w:hAnsi="Times New Roman"/>
          <w:sz w:val="17"/>
          <w:szCs w:val="17"/>
          <w:color w:val="auto"/>
        </w:rPr>
        <w:t xml:space="preserve">With these data of potent inhibition capacity in various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assays, the efficacy of ACI-6635 was evaluated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using a mouse model of neuroinflammation and demyelination. Post induction of myelin oligodendrocyte glycoprotein (MOG)-induced inflammation, ACI-6635 significantly delayed the onset of paralysis as well as progression of disease (Figure 28A). At the level of the spinal cord, mAb treatment resulted in decreased demyelination (black arrows, Figure 28B) and significantly limited proinflammatory T-cell infiltration (black arrows, Figure 28C). This proprietary, disease-modifying mAb is now being tested in other models of human neurodegeneration as well as peripheral inflammation.</w:t>
      </w:r>
    </w:p>
    <w:p>
      <w:pPr>
        <w:spacing w:after="0" w:line="153" w:lineRule="exact"/>
        <w:rPr>
          <w:sz w:val="20"/>
          <w:szCs w:val="20"/>
          <w:color w:val="auto"/>
        </w:rPr>
      </w:pPr>
    </w:p>
    <w:p>
      <w:pPr>
        <w:jc w:val="center"/>
        <w:ind w:left="1540"/>
        <w:spacing w:after="0" w:line="286" w:lineRule="auto"/>
        <w:rPr>
          <w:sz w:val="20"/>
          <w:szCs w:val="20"/>
          <w:color w:val="auto"/>
        </w:rPr>
      </w:pPr>
      <w:r>
        <w:rPr>
          <w:rFonts w:ascii="Times New Roman" w:cs="Times New Roman" w:eastAsia="Times New Roman" w:hAnsi="Times New Roman"/>
          <w:sz w:val="18"/>
          <w:szCs w:val="18"/>
          <w:b w:val="1"/>
          <w:bCs w:val="1"/>
          <w:color w:val="auto"/>
        </w:rPr>
        <w:t>Figure 28: ACI-6635 significantly delays disease onset and protects from severe disease in a model of demyelination driven by neuroinflammation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112395</wp:posOffset>
            </wp:positionV>
            <wp:extent cx="5452110" cy="15862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5211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Myelin basic protein; (2) Immunohistochemistry</w:t>
      </w:r>
    </w:p>
    <w:p>
      <w:pPr>
        <w:spacing w:after="0" w:line="2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Seredenina, 4th Inflammasome Therapeutics Summit, 2022</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TDP-43 imaging diagnostics</w:t>
      </w:r>
    </w:p>
    <w:p>
      <w:pPr>
        <w:spacing w:after="0" w:line="229"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To complement our pipeline of PET imaging tracers, we also selected TDP-43 as a third target (after Tau and a-syn). Using proprietary assays, a set of small molecular weight compounds from seven chemically distinct series were identified using our Morphomer platform. These bind to patient-derived pathological TDP-43. Several of these compounds demonstrated favorable pharmacokinetic profiles in rodents suggesting suitable properties for further development as PET ligands. Medicinal chemistry optimization led to the identification of two first-in-class TDP-43 ligands, ACI-19278 and ACI-19626, that show: 1) Low nM affinity (Kd) on FTLD-TDP brain tissue, 2) Potential to detect TDP-43 pathology in various indications, including FTLD-TDP, ALS, AD and LATE, 3) Selectivity over common co-pathologies including Abeta, Tau and a-syn, 4) Clean off-target profile, including MAO-A, MAO-B, and 5) Rapid brain uptake and fast washout in non-human primates. ACI-19626 was selected as the clinical candidate for the FiH study that is expected to start in H2 2024. The preclinical, FiH-enabling activities around ACI-19626 have been initiated.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40"/>
        <w:spacing w:after="0" w:line="286" w:lineRule="auto"/>
        <w:rPr>
          <w:sz w:val="20"/>
          <w:szCs w:val="20"/>
          <w:color w:val="auto"/>
        </w:rPr>
      </w:pPr>
      <w:r>
        <w:rPr>
          <w:rFonts w:ascii="Times New Roman" w:cs="Times New Roman" w:eastAsia="Times New Roman" w:hAnsi="Times New Roman"/>
          <w:sz w:val="18"/>
          <w:szCs w:val="18"/>
          <w:b w:val="1"/>
          <w:bCs w:val="1"/>
          <w:color w:val="auto"/>
        </w:rPr>
        <w:t>Figure 29: ACI-19278 and ACI-19626, potential first-in-class TDP-43 PET tracers, identified using the Morphomer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112395</wp:posOffset>
            </wp:positionV>
            <wp:extent cx="5229225" cy="42773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29225" cy="427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Vokali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ALS/MND international conference, 2023</w:t>
      </w:r>
    </w:p>
    <w:p>
      <w:pPr>
        <w:spacing w:after="0" w:line="227" w:lineRule="exact"/>
        <w:rPr>
          <w:sz w:val="20"/>
          <w:szCs w:val="20"/>
          <w:color w:val="auto"/>
        </w:rPr>
      </w:pPr>
    </w:p>
    <w:p>
      <w:pPr>
        <w:jc w:val="both"/>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There are currently no imaging products targeting TDP-43 in the market. We believe the ability to image TDP-43 deposits in the brain will enable fundamental change in the approach toward treating primary and secondary TDP-43 proteinopathies including improved design for AD clinical trials to provide better outcomes for patients.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License agreements and collaborations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Our SupraAntigen and Morphomer platforms have generated large numbers of clinical assets that address multiple diseases related to protein misfolding. Selected key assets in the product pipeline have been licensed for upfront payments, milestones and royalties to help offset the cost of our research and internal product development. We have signed a number of licensing agreements with leading pharmaceutical companies to assist and accelerate the development of our product pipeline, including:</w:t>
      </w:r>
    </w:p>
    <w:p>
      <w:pPr>
        <w:spacing w:after="0" w:line="183" w:lineRule="exact"/>
        <w:rPr>
          <w:sz w:val="20"/>
          <w:szCs w:val="20"/>
          <w:color w:val="auto"/>
        </w:rPr>
      </w:pPr>
    </w:p>
    <w:p>
      <w:pPr>
        <w:ind w:left="720" w:right="299" w:hanging="319"/>
        <w:spacing w:after="0" w:line="258"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licensing agreement with Genentech signed in November 2006 (and amended in March 2009, January 2013, May 2014 and May 2015) for anti-Abeta antibodies for AD. As announced on January 22, 2024, this agreement is being terminated;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39" w:hanging="319"/>
        <w:spacing w:after="0" w:line="282"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licensing agreement with Genentech signed in June 2012 (and amended in December 2015) for anti-Tau antibodies to treat AD. As announced on January 22, 2024, this agreement is being terminated;</w:t>
      </w:r>
    </w:p>
    <w:p>
      <w:pPr>
        <w:spacing w:after="0" w:line="161" w:lineRule="exact"/>
        <w:rPr>
          <w:rFonts w:ascii="Times New Roman" w:cs="Times New Roman" w:eastAsia="Times New Roman" w:hAnsi="Times New Roman"/>
          <w:sz w:val="18"/>
          <w:szCs w:val="18"/>
          <w:color w:val="auto"/>
        </w:rPr>
      </w:pPr>
    </w:p>
    <w:p>
      <w:pPr>
        <w:ind w:left="720" w:right="139" w:hanging="319"/>
        <w:spacing w:after="0" w:line="261"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licensing agreement with Janssen signed in December 2014 (and amended in April 2016, July 2017, January 2019, November 2019, December 2022 and November 2023) for therapeutic anti-Tau active immunotherapies for AD, and potentially other Tauopathies, under which we may become eligible to receive payments totaling up to CHF 500 million, excluding royalties;</w:t>
      </w:r>
    </w:p>
    <w:p>
      <w:pPr>
        <w:spacing w:after="0" w:line="166" w:lineRule="exact"/>
        <w:rPr>
          <w:rFonts w:ascii="Times New Roman" w:cs="Times New Roman" w:eastAsia="Times New Roman" w:hAnsi="Times New Roman"/>
          <w:sz w:val="18"/>
          <w:szCs w:val="18"/>
          <w:color w:val="auto"/>
        </w:rPr>
      </w:pPr>
    </w:p>
    <w:p>
      <w:pPr>
        <w:jc w:val="both"/>
        <w:ind w:left="720" w:right="319" w:hanging="319"/>
        <w:spacing w:after="0" w:line="266"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licensing and collaboration agreement (LCA) with LMI (formerly Piramal Imaging SA) signed in May 2014 (and amended in June 2022) for small-molecule Tau ligands for use as PET tracers under which we may become eligible to receive payments totaling up to EUR 160 (CHF 151) million, excluding royalties; and</w:t>
      </w:r>
    </w:p>
    <w:p>
      <w:pPr>
        <w:spacing w:after="0" w:line="175" w:lineRule="exact"/>
        <w:rPr>
          <w:rFonts w:ascii="Times New Roman" w:cs="Times New Roman" w:eastAsia="Times New Roman" w:hAnsi="Times New Roman"/>
          <w:sz w:val="18"/>
          <w:szCs w:val="18"/>
          <w:color w:val="auto"/>
        </w:rPr>
      </w:pPr>
    </w:p>
    <w:p>
      <w:pPr>
        <w:ind w:left="720" w:right="199" w:hanging="319"/>
        <w:spacing w:after="0" w:line="258"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license agreement with Lilly to research and develop Morphomer Tau small molecules for the treatment of AD and other neurodegenerative diseases, which was entered into in December 2018 (and amended in September 2019 and March 2020). The agreement was deemed effective on January 23, 2019. Under this agreement, we may become eligible to receive payments up to approximately CHF 1.9 billion, excluding royalties.</w:t>
      </w:r>
    </w:p>
    <w:p>
      <w:pPr>
        <w:spacing w:after="0" w:line="170"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Further information concerning details of our agreements and collaborations can be found under “Item 5: Operating and financial review and prospects.”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pharmaceutical and biopharmaceutical industries are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Currently, there are two approved disease-modifying products for AD. Most currently approved therapies seek to treat the symptoms of AD, but do not slow or stop the progression of the disease. In addition, commonly, there is off-label prescription of antidepressant and antipsychotic agents for more patients with advanced AD who may have agitation, aggressive behaviors, psychosis and depression.</w:t>
      </w:r>
    </w:p>
    <w:p>
      <w:pPr>
        <w:spacing w:after="0" w:line="180" w:lineRule="exact"/>
        <w:rPr>
          <w:sz w:val="20"/>
          <w:szCs w:val="20"/>
          <w:color w:val="auto"/>
        </w:rPr>
      </w:pPr>
    </w:p>
    <w:p>
      <w:pPr>
        <w:ind w:left="60" w:right="199" w:firstLine="324"/>
        <w:spacing w:after="0" w:line="280" w:lineRule="auto"/>
        <w:rPr>
          <w:sz w:val="20"/>
          <w:szCs w:val="20"/>
          <w:color w:val="auto"/>
        </w:rPr>
      </w:pPr>
      <w:r>
        <w:rPr>
          <w:rFonts w:ascii="Times New Roman" w:cs="Times New Roman" w:eastAsia="Times New Roman" w:hAnsi="Times New Roman"/>
          <w:sz w:val="17"/>
          <w:szCs w:val="17"/>
          <w:color w:val="auto"/>
        </w:rPr>
        <w:t>Several new classes of disease-modifying agents could enter the AD market. Beyond monoclonal antibodies, our pipeline includes active immunotherapies: ACI-35.030 (targeting aggregated, phosphorylated Tau) and ACI-24.060 (targeting oligomeric and pyroGlu Abeta), and our small molecule Morphomer Tau program (inhibiting Tau aggregation).</w:t>
      </w:r>
    </w:p>
    <w:p>
      <w:pPr>
        <w:spacing w:after="0" w:line="166"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availability of novel diagnostic agents to visualize the disease development in patients with AD is critical for successful clinical development and commercialization of disease-modifying products in AD. At the forefront of this new diagnostic effort are PET agents for imaging of disease pathology, and in particular, Tau-targeting PET agents, which we believe will allow precise assessment of disease in patients with AD. A similar situation is developing in other NDDs, such as PD, where PET imaging is becoming available.</w:t>
      </w:r>
    </w:p>
    <w:p>
      <w:pPr>
        <w:spacing w:after="0" w:line="179" w:lineRule="exact"/>
        <w:rPr>
          <w:sz w:val="20"/>
          <w:szCs w:val="20"/>
          <w:color w:val="auto"/>
        </w:rPr>
      </w:pPr>
    </w:p>
    <w:p>
      <w:pPr>
        <w:ind w:left="60" w:right="5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ACI-35.030. </w:t>
      </w:r>
      <w:r>
        <w:rPr>
          <w:rFonts w:ascii="Times New Roman" w:cs="Times New Roman" w:eastAsia="Times New Roman" w:hAnsi="Times New Roman"/>
          <w:sz w:val="18"/>
          <w:szCs w:val="18"/>
          <w:color w:val="auto"/>
        </w:rPr>
        <w:t>ACI-35.030, if approved, would potentially compete with other Tau-targeting active immunotherapies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being developed. This could include, for example, the AADvac1 active immunotherapy being developed by Axon Neuroscience, which completed a Phase 2 study in 2019 and AV-1980R (Nuravax) which is expected to enter Phase 1 clinical development in the near future.</w:t>
      </w:r>
    </w:p>
    <w:p>
      <w:pPr>
        <w:spacing w:after="0" w:line="180" w:lineRule="exact"/>
        <w:rPr>
          <w:sz w:val="20"/>
          <w:szCs w:val="20"/>
          <w:color w:val="auto"/>
        </w:rPr>
      </w:pPr>
    </w:p>
    <w:p>
      <w:pPr>
        <w:ind w:left="60" w:right="579" w:firstLine="32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ACI-24.060 for AD. </w:t>
      </w:r>
      <w:r>
        <w:rPr>
          <w:rFonts w:ascii="Times New Roman" w:cs="Times New Roman" w:eastAsia="Times New Roman" w:hAnsi="Times New Roman"/>
          <w:sz w:val="17"/>
          <w:szCs w:val="17"/>
          <w:color w:val="auto"/>
        </w:rPr>
        <w:t>ACI-24.060, if approved, would potentially compete with other anti-Abeta-targeting active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immunotherapies currently being developed. This includes the ABvac 40 (Araclon Biotech),which has completed a</w:t>
      </w:r>
    </w:p>
    <w:p>
      <w:pPr>
        <w:sectPr>
          <w:pgSz w:w="11900" w:h="16838" w:orient="portrait"/>
          <w:cols w:equalWidth="0" w:num="1">
            <w:col w:w="9019"/>
          </w:cols>
          <w:pgMar w:left="1440" w:top="513" w:right="1440"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Phase 2 study and UB-311(Vaxxinity), which has completed a Phase 2a study. In addition, Alzinova has completed a Phase 1b evaluation of ALZ-101 (Alzinova) and AV-1959D (Nuravax) is being evaluated in Phase 1 study.</w:t>
      </w:r>
    </w:p>
    <w:p>
      <w:pPr>
        <w:spacing w:after="0" w:line="158" w:lineRule="exact"/>
        <w:rPr>
          <w:sz w:val="20"/>
          <w:szCs w:val="20"/>
          <w:color w:val="auto"/>
        </w:rPr>
      </w:pPr>
    </w:p>
    <w:p>
      <w:pPr>
        <w:ind w:left="60" w:right="11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ACI-24.060 for DS. </w:t>
      </w:r>
      <w:r>
        <w:rPr>
          <w:rFonts w:ascii="Times New Roman" w:cs="Times New Roman" w:eastAsia="Times New Roman" w:hAnsi="Times New Roman"/>
          <w:sz w:val="18"/>
          <w:szCs w:val="18"/>
          <w:color w:val="auto"/>
        </w:rPr>
        <w:t>ACI-24.060 is the first disease-modifying active immunotherapy candidate addressing DS-related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 with a potential preventive and therapeutic application. Although there are symptomatic treatments of DS in clinical development, to our knowledge there are currently no other disease-modifying treatments in clinical development for AD in DS.</w:t>
      </w:r>
    </w:p>
    <w:p>
      <w:pPr>
        <w:spacing w:after="0" w:line="176" w:lineRule="exact"/>
        <w:rPr>
          <w:sz w:val="20"/>
          <w:szCs w:val="20"/>
          <w:color w:val="auto"/>
        </w:rPr>
      </w:pPr>
    </w:p>
    <w:p>
      <w:pPr>
        <w:ind w:left="60" w:right="339"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ACI-7104.056. </w:t>
      </w:r>
      <w:r>
        <w:rPr>
          <w:rFonts w:ascii="Times New Roman" w:cs="Times New Roman" w:eastAsia="Times New Roman" w:hAnsi="Times New Roman"/>
          <w:sz w:val="18"/>
          <w:szCs w:val="18"/>
          <w:color w:val="auto"/>
        </w:rPr>
        <w:t>ACI-7104.056, if approved, would potentially compete with other a-syn-targeting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immunotherapies. This includes the UB-312 active immunotherapy developed by Vaxxinity, for which a Phase 1b study was completed in June 2023.</w:t>
      </w:r>
    </w:p>
    <w:p>
      <w:pPr>
        <w:spacing w:after="0" w:line="17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Tau-PET tracer. </w:t>
      </w:r>
      <w:r>
        <w:rPr>
          <w:rFonts w:ascii="Times New Roman" w:cs="Times New Roman" w:eastAsia="Times New Roman" w:hAnsi="Times New Roman"/>
          <w:sz w:val="18"/>
          <w:szCs w:val="18"/>
          <w:color w:val="auto"/>
        </w:rPr>
        <w:t>Tauvid (previously known as Flortaucipir) was developed by Eli Lilly and approved by FDA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2020. However, should the Company’s PI-2620 be approved, it would also compete with (i) 18F-florzolotau (previously known as APN-1607), a product candidate in a Phase 3 study and being advanced by Aprinoia; (ii) 18F-MK-6240, which is being evaluated by Cerveau/Merck in a Phase 2 clinical trial in patients with ADAD; (iii) 18F-GTP1, which is being developed by Genentech and has completed a Phase 2 study in subjects at risk of developing ADAD, (iv) 18F-RO6958948, for which Roche has completed a Phase 1 study in patients with AD and (v) 18F-JNJ-067, for which Janssen has completed a Phase 1 study in patients with AD.</w:t>
      </w:r>
    </w:p>
    <w:p>
      <w:pPr>
        <w:spacing w:after="0" w:line="187" w:lineRule="exact"/>
        <w:rPr>
          <w:sz w:val="20"/>
          <w:szCs w:val="20"/>
          <w:color w:val="auto"/>
        </w:rPr>
      </w:pPr>
    </w:p>
    <w:p>
      <w:pPr>
        <w:ind w:left="60" w:right="13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ACI-12589. </w:t>
      </w:r>
      <w:r>
        <w:rPr>
          <w:rFonts w:ascii="Times New Roman" w:cs="Times New Roman" w:eastAsia="Times New Roman" w:hAnsi="Times New Roman"/>
          <w:sz w:val="18"/>
          <w:szCs w:val="18"/>
          <w:color w:val="auto"/>
        </w:rPr>
        <w:t>ACI-12589, if approved, would potentially compete with other a-syn-targeting PET tracers. This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18F-UCB-2897 tracer developed by UCB, which is being evaluated in a Phase 1 study.</w:t>
      </w:r>
    </w:p>
    <w:p>
      <w:pPr>
        <w:spacing w:after="0" w:line="155" w:lineRule="exact"/>
        <w:rPr>
          <w:sz w:val="20"/>
          <w:szCs w:val="20"/>
          <w:color w:val="auto"/>
        </w:rPr>
      </w:pPr>
    </w:p>
    <w:p>
      <w:pPr>
        <w:ind w:left="60" w:right="31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Morphomer Tau. </w:t>
      </w:r>
      <w:r>
        <w:rPr>
          <w:rFonts w:ascii="Times New Roman" w:cs="Times New Roman" w:eastAsia="Times New Roman" w:hAnsi="Times New Roman"/>
          <w:sz w:val="18"/>
          <w:szCs w:val="18"/>
          <w:color w:val="auto"/>
        </w:rPr>
        <w:t>In collaboration with Lilly, we are researching and developing small molecule Tau aggregation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inhibitors with plans to evaluate candidates in AD and NeuroOrphan tauopathies. Continued candidate characterization across the research program also identified new and highly differentiated candidates with excellent cerebrospinal fluid exposure and selectivity for pathological aggregated Tau. There are only a few small molecule inhibitors of Tau aggregation in clinical development. TauRx has completed several Phase 3 trials of HMTM (TRx0037) for patients with AD or FTD. OLX07010 (Oligomerix) is undergoing a Phase 1 study.</w:t>
      </w:r>
    </w:p>
    <w:p>
      <w:pPr>
        <w:spacing w:after="0" w:line="184" w:lineRule="exact"/>
        <w:rPr>
          <w:sz w:val="20"/>
          <w:szCs w:val="20"/>
          <w:color w:val="auto"/>
        </w:rPr>
      </w:pPr>
    </w:p>
    <w:p>
      <w:pPr>
        <w:ind w:left="60" w:right="9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Semorinemab. </w:t>
      </w:r>
      <w:r>
        <w:rPr>
          <w:rFonts w:ascii="Times New Roman" w:cs="Times New Roman" w:eastAsia="Times New Roman" w:hAnsi="Times New Roman"/>
          <w:sz w:val="18"/>
          <w:szCs w:val="18"/>
          <w:color w:val="auto"/>
        </w:rPr>
        <w:t>Semorinemab if further developed, would potentially compete with other Tau-targeting monoclonal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antibodies in development. Bepranemab (UCB/Roche) and JNJ-63733657 (Janssen) are being evaluated in Phase 2 studies. E-2814 (Eisai) is being evaluated in a Phase 2/3 prevention study. A Phase 2 study of BMS-986446 (BMS/Prothena) is expected to start in H1 2024. Lu AF87908 (Lundbeck), APNmAb005 (Aprinoia Therapeutics), and MK-2214 (Merck/Teijin Pharma) are being evaluated in Phase 1 studies.</w:t>
      </w:r>
    </w:p>
    <w:p>
      <w:pPr>
        <w:spacing w:after="0" w:line="166" w:lineRule="exact"/>
        <w:rPr>
          <w:sz w:val="20"/>
          <w:szCs w:val="20"/>
          <w:color w:val="auto"/>
        </w:rPr>
      </w:pPr>
    </w:p>
    <w:p>
      <w:pPr>
        <w:ind w:left="60" w:right="59" w:firstLine="32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Crenezumab. </w:t>
      </w:r>
      <w:r>
        <w:rPr>
          <w:rFonts w:ascii="Times New Roman" w:cs="Times New Roman" w:eastAsia="Times New Roman" w:hAnsi="Times New Roman"/>
          <w:sz w:val="17"/>
          <w:szCs w:val="17"/>
          <w:color w:val="auto"/>
        </w:rPr>
        <w:t>Crenezumab, if further developed, would potentially compete with other monoclonal antibodies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targeting Abeta. Eli Lilly is evaluating donanemab in studies of presymptomatic AD and has completed a Phase 3 study of donanemab for early symptomatic AD. Other Phase 3 studies of donanemab and remternetug (Eli Lilly) are ongoing. Aduhelm (Biogen) and Leqembi (BioArctic/Eisai/Biogen) have been approved by FDA under the accelerated (Aduhelm) and traditional (Leqembi) pathways for the treatment of patients with mild cognitive impairment and mild dementia. Eisai/Biogen are currently also developing a subcutaneous formulation of Leqembi. Roche is conducting a Phase 1/2 study of RO7126209 (trontinemab) in patients with mild to moderate AD. Acumen Pharmaceuticals completed a Phase 1 trial evaluating ACU193 in June 2023. Prothena’s Phase 1 trial assessing PRX012 is ongoing and an update is expected in 2024.</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TDP-43 antibodies. </w:t>
      </w:r>
      <w:r>
        <w:rPr>
          <w:rFonts w:ascii="Times New Roman" w:cs="Times New Roman" w:eastAsia="Times New Roman" w:hAnsi="Times New Roman"/>
          <w:sz w:val="18"/>
          <w:szCs w:val="18"/>
          <w:color w:val="auto"/>
        </w:rPr>
        <w:t>To our knowledge, there are no TDP-43 antibodies in the clinic.</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and human resources than we have. Mergers and acquisitions in the pharmaceutical and biotechnology industries may result in even more resources being concentrated among a smaller number of our competitors. Our commercial opportunities and our success will be based in part on our ability to identify, develop and manage a portfolio of product candidates that are safer and more effective than competing products. However, this opportunity could be eroded or even eliminated if our competitors develop</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12" w:lineRule="auto"/>
        <w:rPr>
          <w:sz w:val="20"/>
          <w:szCs w:val="20"/>
          <w:color w:val="auto"/>
        </w:rPr>
      </w:pPr>
      <w:r>
        <w:rPr>
          <w:rFonts w:ascii="Times New Roman" w:cs="Times New Roman" w:eastAsia="Times New Roman" w:hAnsi="Times New Roman"/>
          <w:sz w:val="17"/>
          <w:szCs w:val="17"/>
          <w:color w:val="auto"/>
        </w:rPr>
        <w:t>and/or market products that are novel and have superior safety and efficacy profiles, that may be brought to the market more rapidly due to greater available resources, or that are less costly than our current or future product candidates.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Commercialization strategy</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Our strategy to date has been to focus on identifying partnerships for our early-stage product candidates as both a way to secure non-dilutive capital to fund our other research and development programs and also as a way to accelerate the development of these partnered products by leveraging our partners’ extensive knowledge in clinical studies, drug development, manufacturing and commercialization.</w:t>
      </w:r>
    </w:p>
    <w:p>
      <w:pPr>
        <w:spacing w:after="0" w:line="16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With greater financial resources at our disposal and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w:t>
      </w:r>
    </w:p>
    <w:p>
      <w:pPr>
        <w:spacing w:after="0" w:line="180"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have commenced a Phase 1b/2 study for AD in advance of potentially partnering this program. In the field of diagnostics, the parallel development of therapeutic compounds and companion diagnostics is of growing importance to the pharmaceutical and biopharmaceutical industries.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diagnostics for NDDs which provides additional partnering opportunities.</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Given our current stage of product development, we currently do not have a commercialization infrastructure. If any of our product candidates is granted marketing approval, we intend to focus our initial commercial efforts in the U.S. and select European markets, which we believe represent the largest market opportunities for us. In those markets, we expect our commercial operations to potentially include our own specialty sales force that will target Neurologists and Gerontologists, both in hospitals and in private practice. In other markets, we expect to seek partnerships that would maximize our products’ commercial potential.</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and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70"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Our success will significantly depend on our and our collaboration and licensing partners’ ability to obtain and maintain patent and other proprietary protection for commercially important technology, inventions and know-how related to our business, to defend and enforce patents, to preserve the confidentiality of our trade secrets and to operate our business without infringing any patents and other intellectual property or proprietary rights of third parties. See the section titled “Risk factors— Risks related to intellectual property” for additional information.</w:t>
      </w:r>
    </w:p>
    <w:p>
      <w:pPr>
        <w:spacing w:after="0" w:line="183"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we owned or co-owned with our collaboration and licensing partners, approximately 53 issued U.S. patents and 421 issued patents in other jurisdictions, as well as 37 pending U.S. patent applications and 515 pending foreign patent applications. As of December 31, 2023, we licensed approximately 34 issued U.S. patents and 312 issued patents in other jurisdictions, as well as 10 pending U.S. patent applications and 213 pending foreign patent applications.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patent portfolios for our most advanced product candidates as of December 31, 2023 are summarized below:</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Anti-Tau active immunotherapies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for anti-Tau active immunotherapies includes a patent family with composition-of-matter claims (including claims directed to the ACI-35 antigenic peptide and a pharmaceutical composition comprising such an antigenic peptide), claims directed to treating certain indications using ACI-35 including AD, and claims directed to using ACI-35 to induce an immune response. This patent family currently contains approximately 29 issued patents and two pending patent applications in 27 countries. The issued patents in this patent family, if the appropriate maintenance, renewal, annuity or other governmental fees are paid, are expected to expire in 2030, excluding any additional term for patent term adjustments or patent term extensions.</w:t>
      </w:r>
    </w:p>
    <w:p>
      <w:pPr>
        <w:spacing w:after="0" w:line="18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patent portfolio for anti-Tau active immunotherapies also includes a patent family relating to therapeutic Tau active immunotherapies, including claims directed to a pharmaceutical composition comprising an antigenic Tau peptide, claims directed to using such active immunotherapies to induce an immune response in a subject, and claims directed to methods for preventing or treating a neurodegenerative disease or disorder, including AD, among others. This patent family currently contains 4 issued patents and approximately 51 pending patent applications in 41 countries. The issued patents and any patents issuing in this patent family, if the appropriate maintenance, renewal, annuity or other governmental fees are paid, are expected to expire in 2038, excluding any additional term for patent term adjustments or patent term extensions.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ACI-24</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for ACI-24 includes a patent family with composition-of-matter claims (including claims directed to the ACI-24 antigenic construct), claims directed to treating certain indications using ACI-24 including AD, and claims directed to using ACI-24 to induce an immune response. As of December 31, 2023, in this patent family, we owned approximately 29 issued patents and 4 pending patent applications in 30 countries. With respect to the U.S., we owned two issued U.S. patents. The issued patents in this patent family, if the appropriate maintenance, renewal, annuity or other governmental fees are paid, are expected to expire in 2026, excluding any additional term for patent term adjustments or patent term extensions.</w:t>
      </w:r>
    </w:p>
    <w:p>
      <w:pPr>
        <w:spacing w:after="0" w:line="18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for ACI-24 also includes a patent family directed to the use of the ACI-24 active immunotherapy in the treatment and/or prevention of memory and/or cognitive impairments or abnormalities in the DS population, among others. As of December 31, 2023, in this patent family, we owned approximately 14 issued patents and 5 pending patent applications in 18 countries. Issued patents in this patent family, if the appropriate maintenance, renewal, annuity or other governmental fees are paid, are expected to expire in 2032, excluding any additional term for patent term adjustments or patent term extensions.</w:t>
      </w:r>
    </w:p>
    <w:p>
      <w:pPr>
        <w:spacing w:after="0" w:line="18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for ACI-24 also includes a patent family relating to therapeutic anti-Abeta treatment claims (including claims directed to a pharmaceutical composition comprising an antigenic peptide), and claims directed to using such active immunotherapies in treating, preventing, inducing a protective immune response against or alleviating the symptoms associated with an Abeta-associated disease in a subject, among others. As of December 31, 2023, in this patent family, we owned one issued U.S. patent and approximately 34 pending patent applications in 32 countries. Any issued patents in this patent family, if the appropriate maintenance, renewal, annuity or other governmental fees are paid, are expected to expire in 2039, excluding any additional term for patent term adjustments or patent term extensions.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ACI-7104</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patent portfolio relating to ACI-7104 includes patents and patent applications with composition-of-matter claims (including claims directed to the peptide, as well as pharmaceutical formulations comprising the peptide), and claims directed to the use of compounds comprising the peptide in treating or preventing synucleinopathies including PD and MSA.</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Our patent portfolio relating to ACI-7104 includes patents and patent applications that we own in two different patent families. As of December 31, 2023, in these patent families, we owned approximately 16 issued patents and 16 pending patent applications, in 11 countries. With respect to the U.S., we owned three issued U.S. patents. Issued patents in the basic patent family, if the appropriate maintenance, renewal, annuity or other governmental fees are paid, are expected to expire in 2029, excluding any additional term for patent term adjustments or patent term extensions.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PI-2620</w:t>
      </w:r>
    </w:p>
    <w:p>
      <w:pPr>
        <w:spacing w:after="0" w:line="229"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Our patent portfolio relating to PI-2620 includes patent applications with claims directed to composition of matter (including claims directed to the molecule, its precursor and a diagnostic composition comprising such molecule), claims directed to diagnosis of certain indications using PI-2620 including AD and PSP, and claims directed to a method of manufacturing PI-2620, among others.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relating to PI-2620 includes patent applications that we own or co-own in three different patent families. As of December 31, 2023, we owned or co-owned 12 patents and approximately 6 patent applications in 16 countries in our main patent family directed to the PI-2620 molecule, its precursor and methods of using the PI-2620 to diagnose certain indications, including AD and PSP. This main patent family includes one issued U.S. patent. If the appropriate maintenance, renewal, annuity, or other governmental fees are paid, national-stage applications claiming priority from this PCT patent application, if issued, are expected to expire in 2037, excluding any additional term for patent term adjustments or patent term extensions, as applicable.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ACI-12589</w:t>
      </w:r>
    </w:p>
    <w:p>
      <w:pPr>
        <w:spacing w:after="0" w:line="229"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Our patent portfolio relating to a-syn diagnostics includes composition of matter claims (including claims directed to the ACI-12589 molecule, its precursor, and diagnostic compositions comprising the molecule), and claims directed to use of the molecule in imaging and in diagnostics of a-synucleinopathies including PD and MSA.</w:t>
      </w:r>
    </w:p>
    <w:p>
      <w:pPr>
        <w:spacing w:after="0" w:line="176"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relating to a-syn diagnostics includes patents and patent applications that we own in ten different patent families. As of December 31, 2023, we owned or co-owned approximately 17 patent applications in 17 countries in our main patent family directed to the ACI-12589 molecule, its precursor, diagnostic compositions, and methods of using ACI-12589 for imaging and diagnostics of a-synucleinopathies including PD and MSA. If the appropriate maintenance, renewal, annuity or other governmental fees are paid, any issued patents are expected to provide protection up to 2041, excluding any additional term for patent term adjustments or patent term extensions, as applicable.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Morphomer Tau</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patent portfolio relating to Morphomer Tau therapeutics includes patent applications with claims directed to composition of matter (including claims directed to the molecule, a pharmaceutical composition comprising such molecule and a mixture comprising such molecule), and claims directed to prevention and treatment of certain indications using such molecules including AD and PSP, among others.</w:t>
      </w:r>
    </w:p>
    <w:p>
      <w:pPr>
        <w:spacing w:after="0" w:line="18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relating to the Morphomer Tau therapeutic program includes patent applications that we own or co-own in four different patent families. As of December 31, 2023, we owned approximately 10 pending patent applications and 6 issued patents, including one U.S. issued patent in our main patent family directed to the ACI-3024 small molecule Tau aggregation inhibitor. If the appropriate maintenance, renewal, annuity, or other governmental fees are paid, national-stage applications claiming priority from this PCT patent application, if issued, are expected to expire in 2039, excluding any additional term for patent term adjustments or patent term extensions, as applicable.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Semorinemab</w:t>
      </w:r>
    </w:p>
    <w:p>
      <w:pPr>
        <w:spacing w:after="0" w:line="229"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Our global patent portfolio relating to semorinemab includes patents and patent applications with claims directed to compositions of matter, methods of treatment for certain indications including AD, and methods of use, among others.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Crenezumab</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 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spacing w:after="0" w:line="174"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Our patent portfolio relating to crenezumab includes patents and patent applications that we own or co-own in four different patent families. As of December 31, 2023, we owned or co-owned approximately 51 patents (not including the patents in the individual countries where the issued European patent was validated) and 13 patent applications in 34 countries in our main patent family directed to the crenezumab antibody and methods of using the crenezumab antibody to treat certain indications, including AD. This patent portfolio includes three issued U.S. patents and one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that was filed on July 13, 2007. If the appropriate maintenance, renewal, annuity, or other governmental fees are paid, national-stage applications claiming priority from this PCT patent application, if issued, are expected to expire in 2027, excluding any additional term for patent term adjustments or patent term extensions, as applicable.</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We do not own or operate facilities for the manufacture, testing, packaging, labeling, storage or distribution of preclinical or clinical supplies of any of our product candidates. We instead contract with and rely on third-party CMOs to manufacture, package, label, store, test and distribute all preclinical and clinical supplies of our product candidates, and we plan to continue to do so for the foreseeable future.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governing rules and quality requirements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facilities used by our collaboration partners and CMOs to manufacture our product candidates are systematically audited by local authorities and occasionally inspected by competent authorities where the clinical studies are ongoing. The facilities where the commercial productions are performed will have to be approved by the FDA or other relevant regulatory authorities, pursuant to inspections that are conducted after we submit our NDA or comparable marketing applications. We perform periodic quality audits of the manufacturing facilities and CMOs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QCs and QA systems including personnel qualification.</w:t>
      </w:r>
    </w:p>
    <w:p>
      <w:pPr>
        <w:spacing w:after="0" w:line="19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After manufacturing, our products are submitted to extensive characterization and QC testing plans performed by using either generic or properly developed analytical methods that are qualified or validated; this ensures the accuracy of the results generated and provides evidence of the quality of our products. In addition, our products are submitted to periodic, standardized and controlled stability programs aimed at demonstrating product stability during the storage period and thus assign an expiry date after which the products cannot longer be used; this, in addition to guaranteeing the safety of the products, supports the definition of a suitable supply chain that may encompass the distribution of the products in different continents.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Contractual framework</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have established, with CMOs supplying and testing active pharmaceutical ingredients, drug substances or drug products under cGMP, quality agreements and master service agreements. Quality agreements define the quality standards required to develop, produce and supply the product, and also define the responsibilities related to the collaboration with regards to the quality related aspects. Manufacturing service agreements define the commercial and financial framework under which product manufacturing and testing under cGMP is performed. Any failure to achieve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and maintain compliance with the laws, regulations and standards, suspension of the manufacturing of our product candidates or withdrawals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that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which may offer the chance to rapidly identify alternative contract manufacturers to whom the manufacturing process could be transferred providing continuity for the clinical study. Finally, our contracts may also offer us limited remedies.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Interaction with CMOs</w:t>
      </w:r>
    </w:p>
    <w:p>
      <w:pPr>
        <w:spacing w:after="0" w:line="229" w:lineRule="exact"/>
        <w:rPr>
          <w:sz w:val="20"/>
          <w:szCs w:val="20"/>
          <w:color w:val="auto"/>
        </w:rPr>
      </w:pPr>
    </w:p>
    <w:p>
      <w:pPr>
        <w:jc w:val="both"/>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Finally, our partnerships with CMOs are managed through an efficient project management platform in which teams are formed with the representatives of each key function from both parties. Meetings occur either through virtual on-line conferences aimed at updating short-term actions or face-to-face conferences when mid- to long-term development plans are discussed.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Government regulation and our regulatory department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regulatory department has a strong culture of regulatory compliance, operating under three guiding principles, to:</w:t>
      </w:r>
    </w:p>
    <w:p>
      <w:pPr>
        <w:spacing w:after="0" w:line="225" w:lineRule="exact"/>
        <w:rPr>
          <w:sz w:val="20"/>
          <w:szCs w:val="20"/>
          <w:color w:val="auto"/>
        </w:rPr>
      </w:pPr>
    </w:p>
    <w:p>
      <w:pPr>
        <w:ind w:left="720" w:hanging="319"/>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constructive regulatory input for development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smooth regulatory approvals by anticipating hurdles;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confidence with regulators by continuous communication.</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QA group is included within the regulatory department with the mission to:</w:t>
      </w:r>
    </w:p>
    <w:p>
      <w:pPr>
        <w:spacing w:after="0" w:line="225" w:lineRule="exact"/>
        <w:rPr>
          <w:sz w:val="20"/>
          <w:szCs w:val="20"/>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and maintain a corporate quality management system;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cGCP, cGMP, cGLP and current Good Distribution Practice (cGDP) compliance.</w:t>
      </w:r>
    </w:p>
    <w:p>
      <w:pPr>
        <w:spacing w:after="0" w:line="225"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A science-driven approach is the cornerstone of our interactions and this has helped us to build and maintain a high level of trust with regulators. Besides informal conversations with the authorities, our regulatory department has conducted several pre-Investigational New Drug (pre-IND), Type B and Type C meetings with the FDA (ACI-24.060 for AD and DS, ACI-7104.056 and PI-2620) and Scientific Advice meetings, which are the European equivalent of pre-IND meetings (with the German Paul-Ehrlich-Institut, Swedish Medical Products Agency; UK Medicine &amp; Healthcare Products Regulatory Agency, Finnish Medicines Agency, the Spanish Agency of Medicines and Medical Devices and the EMA). Since 2008, our regulatory department has filed a total of 24 clinical trial applications in the EU (one each in Austria, Denmark, the Netherlands and Poland, two in Spain, three in Germany, three in Sweden, four in Finland and eight in the UK) and 5 INDs in the U.S. Furthermore, our regulatory department successfully applied for and obtained FDA Fast Track designation for ACI-24.060 in AD. Given the seriousness of AD and public pressure for new therapeutics, we consider regulatory agencies to be important stakeholders in our product development strategies. We are committed to working closely with global regulatory authorities to adhere to and achieve the highest levels of safety and quality of our product candidates in the most timely and efficient manner. The transparency we have achieved and our goal of a close working relationship with the regulatory agencies, in particular the FDA and the EMA, are intended to facilitate expeditious execution through the regulatory approval process.</w:t>
      </w:r>
    </w:p>
    <w:p>
      <w:pPr>
        <w:spacing w:after="0" w:line="19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regulatory department contains a QA group. As every quality issue ultimately requires regulatory involvement and input, this approach is intended to lead to rapid resolution of issues and ensure full compliance to satisfy both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2" w:lineRule="auto"/>
        <w:rPr>
          <w:sz w:val="20"/>
          <w:szCs w:val="20"/>
          <w:color w:val="auto"/>
        </w:rPr>
      </w:pPr>
      <w:r>
        <w:rPr>
          <w:rFonts w:ascii="Times New Roman" w:cs="Times New Roman" w:eastAsia="Times New Roman" w:hAnsi="Times New Roman"/>
          <w:sz w:val="18"/>
          <w:szCs w:val="18"/>
          <w:color w:val="auto"/>
        </w:rPr>
        <w:t>reviewers and the inspectors at the government health authorities. Our regulatory department is charged with keeping our entire organization, directly or indirectly involved in the clinical study application process, in a state of “inspection readiness.” To that end, we ensure that the Trial Master Files are complete and regularly updated. Our QA group is also tasked with generating our annual quality plan. The personnel tasked with QA have issued a set of approximately 136 standard operating procedures and working instructions and continuously train the relevant staff. Our QA personnel conduct regular audits, including in-person audits of the contract manufacturers, contract research organizations and laboratories conducting primary endpoint analysis. In addition, we have a full-time QA documentation assistant to ensure good documentation practice and archiving.</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approval process</w:t>
      </w:r>
    </w:p>
    <w:p>
      <w:pPr>
        <w:spacing w:after="0" w:line="22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The clinical studies, manufacturing, labeling, storage, distribution, record-keeping, advertising, promotion, import, export and marketing, among other things, of our product candidates are subject to extensive regulation by governmental authorities in the U.S. and other countries. The U.S. FDA, under the Federal Food, Drug, and Cosmetic Act (FDCA), regulates pharmaceutical products in the U.S. The steps required before a drug may be approved for marketing in the U.S. generally include:</w:t>
      </w:r>
    </w:p>
    <w:p>
      <w:pPr>
        <w:spacing w:after="0" w:line="170" w:lineRule="exact"/>
        <w:rPr>
          <w:sz w:val="20"/>
          <w:szCs w:val="20"/>
          <w:color w:val="auto"/>
        </w:rPr>
      </w:pPr>
    </w:p>
    <w:p>
      <w:pPr>
        <w:ind w:left="720" w:hanging="319"/>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preclinical laboratory tests and animal tests conducted under cGLP regulations;</w:t>
      </w:r>
    </w:p>
    <w:p>
      <w:pPr>
        <w:spacing w:after="0" w:line="22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IND application for human clinical testing, which must become effective before human clinical studies commence;</w:t>
      </w:r>
    </w:p>
    <w:p>
      <w:pPr>
        <w:spacing w:after="0" w:line="161"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 positive opinion from the ethics committee (Europe)/institutional review board (U.S.) to commence study on human subjects;</w:t>
      </w:r>
    </w:p>
    <w:p>
      <w:pPr>
        <w:spacing w:after="0" w:line="16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adequate and well-controlled human clinical studies to establish the safety and efficacy of the product candidate for each proposed indication and conducted in accordance with cGCP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pre-NDA submission meeting with FDA (highly recommended);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NDA;</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acceptance of the NDA;</w:t>
      </w:r>
    </w:p>
    <w:p>
      <w:pPr>
        <w:spacing w:after="0" w:line="225"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(PAI) of the manufacturing facilities at which the product is made to assess compliance with cGMP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review and approval of an NDA prior to any commercial marketing or sale of the drug in the U.S.</w:t>
      </w:r>
    </w:p>
    <w:p>
      <w:pPr>
        <w:spacing w:after="0" w:line="225" w:lineRule="exact"/>
        <w:rPr>
          <w:rFonts w:ascii="Times New Roman" w:cs="Times New Roman" w:eastAsia="Times New Roman" w:hAnsi="Times New Roman"/>
          <w:sz w:val="18"/>
          <w:szCs w:val="18"/>
          <w:color w:val="auto"/>
        </w:rPr>
      </w:pPr>
    </w:p>
    <w:p>
      <w:pPr>
        <w:ind w:left="720" w:right="579" w:hanging="319"/>
        <w:spacing w:after="0" w:line="258"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 a similar process exists as in the US, with the additional involvement of payors early on in the development process. Notably, the possibility of having parallel scientific advice from the EMA or Health Technology Assessment body whereby the payors are involved at the outset (Phase 2), which is intended to facilitate the design of clinical studies to target primarily populations with a high chance of obtaining reimbursement and accelerate the process of time to reimbursement.</w:t>
      </w:r>
    </w:p>
    <w:p>
      <w:pPr>
        <w:spacing w:after="0" w:line="17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The FDA has various programs, including Fast Track, Priority review, Accelerated Approval and Breakthrough Therapy designation, which are intended to increase agency interactions, expedite or facilitate the process for reviewing product candidates, and/or provide for initial approval based on surrogate endpoints. We believe that one or more of our product candidates may qualify for some of these expedited development and review programs, as exemplified by the Fast Track designation granted for ACI-24.060. However, even if a product candidate qualifies for one or more of these programs, the FDA may later decide that the product candidate no longer meets the conditions for qualification.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8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it provides a significant improvement in the treatment, diagnosis or prevention of a disease compared with marketed products. The FDA will attempt to direct additional resources to the evaluation of an application for a new drug designated for Priority Review to facilitate the review. Additionally, a product may be eligible for the Accelerated Approval program. Product candidates that are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as a condition for Accelerated Approval the FDA currently requires pre-approval of promotional materials, which could adversely impact the timing of the commercial launch of the product. The Fast Track, Priority Review and Accelerated Approval programs do not change the standards for approval but may expedite the development or approval process.</w:t>
      </w:r>
    </w:p>
    <w:p>
      <w:pPr>
        <w:spacing w:after="0" w:line="17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7"/>
          <w:szCs w:val="17"/>
          <w:color w:val="auto"/>
        </w:rPr>
        <w:t>The Food and Drug Administration Safety and Innovation Act of 2012 also amended the FDCA to require the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in one or more clinically significant endpoints. A sponsor may request that a drug be designated as a breakthrough therapy at any time during the clinical development of the product. If so designated, the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receipt and timing of any approval is uncertain. Given this paradigm, AD has been given Life-Threatening Disease status by the FDA and therefore AD therapies are eligible for the expanded access program for investigational drugs and other pathways such as Breakthrough Therapy, Accelerated Approval and Priority Review. Additionally, a single well-designed, well-conducted, pivotal clinical study could be sufficient to trigger market approval pending a successful PAI.</w:t>
      </w:r>
    </w:p>
    <w:p>
      <w:pPr>
        <w:spacing w:after="0" w:line="17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automatically become effective 30 days after receipt by the FDA,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unless the FDA raises concerns or questions about the conduct of the studies as outlined in the IND prior to that time. In this case, the IND sponsor and the FDA must resolve any outstanding concerns before clinical studies can proceed.</w:t>
      </w:r>
    </w:p>
    <w:p>
      <w:pPr>
        <w:spacing w:after="0" w:line="162"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Board/Committee. This group provides authorization for whether or not a study may move forward at designated checkpoints based on access to certain data from the study. We may also suspend or terminate a clinical study based on evolving business objectives and/or competitive climate.</w:t>
      </w:r>
    </w:p>
    <w:p>
      <w:pPr>
        <w:spacing w:after="0" w:line="194"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Clinical studies are typically conducted in three sequential phases prior to approval, but the phases may overlap. These phases generally include the following:</w:t>
      </w:r>
    </w:p>
    <w:p>
      <w:pPr>
        <w:spacing w:after="0" w:line="162" w:lineRule="exact"/>
        <w:rPr>
          <w:sz w:val="20"/>
          <w:szCs w:val="20"/>
          <w:color w:val="auto"/>
        </w:rPr>
      </w:pPr>
    </w:p>
    <w:p>
      <w:pPr>
        <w:ind w:left="60" w:right="539" w:firstLine="324"/>
        <w:spacing w:after="0" w:line="266" w:lineRule="auto"/>
        <w:rPr>
          <w:sz w:val="20"/>
          <w:szCs w:val="20"/>
          <w:color w:val="auto"/>
        </w:rPr>
      </w:pPr>
      <w:r>
        <w:rPr>
          <w:rFonts w:ascii="Times New Roman" w:cs="Times New Roman" w:eastAsia="Times New Roman" w:hAnsi="Times New Roman"/>
          <w:sz w:val="18"/>
          <w:szCs w:val="18"/>
          <w:color w:val="auto"/>
        </w:rPr>
        <w:t>Phase 1. 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76"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Phase 2. Phase 2 clinical studies usually involve studies in a limited patient population to (i) evaluate the efficacy of the product candidate for specific indications, (ii) determine dosage tolerance and optimal dosage, and (iii) identify possible adverse effects and safety risks.</w:t>
      </w:r>
    </w:p>
    <w:p>
      <w:pPr>
        <w:spacing w:after="0" w:line="183"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Phase 3. 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7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Phase 4. 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post-marketing requirements or commitments. Failure to conduct any required Phase 4 clinical studies promptly could result in withdrawal of approval.</w:t>
      </w:r>
    </w:p>
    <w:p>
      <w:pPr>
        <w:spacing w:after="0" w:line="187"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user-fee payment. The FDA has substantial discretion in the approval process and may refuse to accept any application or decide that the data is insufficient for approval and require additional preclinical, clinical or other studies.</w:t>
      </w:r>
    </w:p>
    <w:p>
      <w:pPr>
        <w:spacing w:after="0" w:line="170" w:lineRule="exact"/>
        <w:rPr>
          <w:sz w:val="20"/>
          <w:szCs w:val="20"/>
          <w:color w:val="auto"/>
        </w:rPr>
      </w:pPr>
    </w:p>
    <w:p>
      <w:pPr>
        <w:jc w:val="both"/>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We estimate that it generally takes 10 to 15 years, or possibly longer, to discover, develop and bring to market a new pharmaceutical or biopharmaceutical product in the U.S. Several years may be needed to complete each phase, including discovery, preclinical, Phase 1, 2 or 3, or marketing authorization.</w:t>
      </w:r>
    </w:p>
    <w:p>
      <w:pPr>
        <w:spacing w:after="0" w:line="176" w:lineRule="exact"/>
        <w:rPr>
          <w:sz w:val="20"/>
          <w:szCs w:val="20"/>
          <w:color w:val="auto"/>
        </w:rPr>
      </w:pPr>
    </w:p>
    <w:p>
      <w:pPr>
        <w:jc w:val="both"/>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(FDASIA), which was signed into law on July 9, 2012, amended the FDCA. The FDASIA requires that a sponsor who is planning to submit a marketing application for a drug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or biological product that includes a new active ingredient, new indication, new dosage form, new dosing regimen or new route of administration submit an initial Pediatric Study Plan within 60 days of an end-of-Phase-2 meeting or as may be agreed between the sponsor and the FDA. The initial Pediatric Study Plan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Pediatric Study Plan. A sponsor can submit amendments to an agreed-upon initial Pediatric Study Plan at any time if changes to the pediatric plan need to be considered based on data collected from nonclinical studies, early-phase clinical trials, and/or other clinical development programs.</w:t>
      </w:r>
    </w:p>
    <w:p>
      <w:pPr>
        <w:spacing w:after="0" w:line="18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cost of preparing and submitting an NDA is substantial. Under federal law, NDAs are subject to substantial application user fees and the sponsor of an approved NDA is also subject to annual product and establishment user fees. Under the Prescription Drug User Fee Act (PDUFA), as amended, each NDA must be accompanied by a user fee. The FDA adjusts the PDUFA user fees on an annual basis. PDUFA VI eliminates fees for supplements as well as for establishments, although applicants will be assessed for annual prescription drug program fees for prescription drug products, rather than the prescription drug product fee assessed under the previous iteration of PDUFA. According to the FDA’s fee schedule for the 2024 FY, the user fee for each NDA application requiring clinical data is USD 4,048,695 and the annual program fee is USD 416,734.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7"/>
          <w:szCs w:val="17"/>
          <w:color w:val="auto"/>
        </w:rPr>
        <w:t>Once the NDA submission has been submitted, the FDA has 60 days after submission of the NDA to conduct an initial review to determine whether it is sufficient to accept for filing. Under the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 regulations and may also inspect clinical study sites for integrity of the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After the FDA evaluates the NDA and conducts inspections of the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 or studies,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post-marketing studies or clinical studies. Such post-marketing testing may include Phase 4 clinical studies and surveillance to further assess and monitor the product’s safety and effectiveness after commercialization.</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Special protocol assessment</w:t>
      </w:r>
    </w:p>
    <w:p>
      <w:pPr>
        <w:spacing w:after="0" w:line="229" w:lineRule="exact"/>
        <w:rPr>
          <w:sz w:val="20"/>
          <w:szCs w:val="20"/>
          <w:color w:val="auto"/>
        </w:rPr>
      </w:pPr>
    </w:p>
    <w:p>
      <w:pPr>
        <w:ind w:left="60" w:right="479" w:firstLine="324"/>
        <w:spacing w:after="0" w:line="312" w:lineRule="auto"/>
        <w:rPr>
          <w:sz w:val="20"/>
          <w:szCs w:val="20"/>
          <w:color w:val="auto"/>
        </w:rPr>
      </w:pPr>
      <w:r>
        <w:rPr>
          <w:rFonts w:ascii="Times New Roman" w:cs="Times New Roman" w:eastAsia="Times New Roman" w:hAnsi="Times New Roman"/>
          <w:sz w:val="17"/>
          <w:szCs w:val="17"/>
          <w:color w:val="auto"/>
        </w:rPr>
        <w:t>The FDA and an IND sponsor may agree in writing on the design and size of clinical studies intended to form the primary basis of a claim of effectiveness in an NDA. This process is known as a special protocol assessment (SPA).</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Upon a specific request for a SPA by an IND sponsor, the FDA will evaluate the protocol. If an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agreed-upon protocol, or the relevant data, assumptions, or information provided by the IND sponsor when requesting a SPA agreement change, are found to be false statements or misstatements, or are found to omit relevant facts. An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Orphan-drug designation</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a disease or condition that either affects fewer than 200,000 individuals in the U.S., or affects more than 200,000 individuals in the U.S. but there is no reasonable expectation that the cost of developing and making a drug product available in the U.S. for this type of disease or condition will be recovered from sales of the product in the U.S. Orphan-product designation must be requested before submitting an NDA. After the FDA grants orphan-product designation, the identity of the therapeutic agent and its potential orphan use are disclosed publicly by the FDA. Orphan-product designation does not convey any advantage in or shorten the duration of the regulatory review and approval process.</w:t>
      </w:r>
    </w:p>
    <w:p>
      <w:pPr>
        <w:spacing w:after="0" w:line="192" w:lineRule="exact"/>
        <w:rPr>
          <w:sz w:val="20"/>
          <w:szCs w:val="20"/>
          <w:color w:val="auto"/>
        </w:rPr>
      </w:pPr>
    </w:p>
    <w:p>
      <w:pPr>
        <w:ind w:left="60" w:right="79" w:firstLine="324"/>
        <w:spacing w:after="0" w:line="265" w:lineRule="auto"/>
        <w:rPr>
          <w:sz w:val="20"/>
          <w:szCs w:val="20"/>
          <w:color w:val="auto"/>
        </w:rPr>
      </w:pPr>
      <w:r>
        <w:rPr>
          <w:rFonts w:ascii="Times New Roman" w:cs="Times New Roman" w:eastAsia="Times New Roman" w:hAnsi="Times New Roman"/>
          <w:sz w:val="17"/>
          <w:szCs w:val="17"/>
          <w:color w:val="auto"/>
        </w:rPr>
        <w:t>If a product that has orphan designation subsequently receives the first FDA approval for the disease or condition for which it has such designation, the product is entitled to orphan-product exclusivity, which means that the FDA cannot approve any other applications to market the same drug or biological product for the same indication for 7 years, except in limited circumstances, such as a showing of clinical superiority to the product with orphan exclusivity. The designation of such drug also entitles a party to financial incentives such as opportunities for grant funding toward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Orphan-product exclusivity also could block the approval of one of our products for</w:t>
      </w:r>
    </w:p>
    <w:p>
      <w:pPr>
        <w:spacing w:after="0" w:line="6" w:lineRule="exact"/>
        <w:rPr>
          <w:sz w:val="20"/>
          <w:szCs w:val="20"/>
          <w:color w:val="auto"/>
        </w:rPr>
      </w:pPr>
    </w:p>
    <w:p>
      <w:pPr>
        <w:ind w:left="60" w:right="219"/>
        <w:spacing w:after="0" w:line="249" w:lineRule="auto"/>
        <w:rPr>
          <w:sz w:val="20"/>
          <w:szCs w:val="20"/>
          <w:color w:val="auto"/>
        </w:rPr>
      </w:pPr>
      <w:r>
        <w:rPr>
          <w:rFonts w:ascii="Times New Roman" w:cs="Times New Roman" w:eastAsia="Times New Roman" w:hAnsi="Times New Roman"/>
          <w:sz w:val="18"/>
          <w:szCs w:val="18"/>
          <w:color w:val="auto"/>
        </w:rPr>
        <w:t>7 years if a competitor obtains approval of the same drug or biological product as defined by the FDA or if our product candidate is determined to be contained within the competitor’s product for the same indication or disease. If a drug product designated as an orphan product receives marketing approval for an indication broader than what is designated, it may not be entitled to orphan-product exclusivity. Orphan-drug status in the EU has similar but not identical benefits in that jurisdiction.</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be required to be disclosed in the future.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left="60" w:right="199" w:firstLine="324"/>
        <w:spacing w:after="0" w:line="274" w:lineRule="auto"/>
        <w:rPr>
          <w:sz w:val="20"/>
          <w:szCs w:val="20"/>
          <w:color w:val="auto"/>
        </w:rPr>
      </w:pPr>
      <w:r>
        <w:rPr>
          <w:rFonts w:ascii="Times New Roman" w:cs="Times New Roman" w:eastAsia="Times New Roman" w:hAnsi="Times New Roman"/>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user-fee requirements for any marketed products and the establishments at which such products are manufactured, as well as new application fees for supplemental applications with clinical data.</w:t>
      </w:r>
    </w:p>
    <w:p>
      <w:pPr>
        <w:spacing w:after="0" w:line="15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areas of production and QC to maintain cGMP compliance.</w:t>
      </w:r>
    </w:p>
    <w:p>
      <w:pPr>
        <w:spacing w:after="0" w:line="175"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post-marketing studies or clinical studies to assess new safety risks, or imposition of distribution or other restrictions under a REMS program. Other potential consequences include, among other things:</w:t>
      </w:r>
    </w:p>
    <w:p>
      <w:pPr>
        <w:spacing w:after="0" w:line="187" w:lineRule="exact"/>
        <w:rPr>
          <w:sz w:val="20"/>
          <w:szCs w:val="20"/>
          <w:color w:val="auto"/>
        </w:rPr>
      </w:pPr>
    </w:p>
    <w:p>
      <w:pPr>
        <w:ind w:left="720" w:right="559" w:hanging="319"/>
        <w:spacing w:after="0" w:line="282"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22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the use of our product candidates, some of our U.S. patents may be eligible for limited patent term extension under the Drug Price Competition and Patent Term Restoration Act of 1984, referred to as the Hatch-Waxman Act. The Hatch-Waxman Act permits a patent term to be extended up to 5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of the time between the effective date of an IND and the submission date of an NDA, plus the time between the submission date of an NDA and the approval of that application, except that the review period is reduced by any time during which the applicant failed to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exercise due diligence. Only one patent applicable to an approved drug is eligible for the extension. Extensions are not granted as a matter of right and the extension must be applied for prior to expiration of the patent and within a 60-day period from the date the product is first approved for commercial marketing. The USPTO,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 containing it.</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the future, we may apply for patent term restoration for some of our presently owned patents to add patent life</w:t>
      </w:r>
    </w:p>
    <w:p>
      <w:pPr>
        <w:spacing w:after="0" w:line="1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beyond their current expiration date, depending on the expected length of clinical studies and other factors involved in the submission of the relevant NDA; however, there can be no assurance that any such extension will be granted to us.</w:t>
      </w:r>
    </w:p>
    <w:p>
      <w:pPr>
        <w:spacing w:after="0" w:line="183"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provides up to 12 years of non-patent data exclusivity within the U.S. to the first applicant to gain approval of a Biologics License Application for a new biologic product that has not previously been approved by the FDA, which we refer to as a reference product. This 12-year data exclusivity does prohibit the FDA from approving a biosimilar or interchangeable product of such reference product until 12 years after the licensure of such reference product. In addition, the FDA will not accept a biosimilar or interchangeable product application for review until 4 years after the date of first licensure of such reference product. Under 21CFR314.108,</w:t>
      </w:r>
    </w:p>
    <w:p>
      <w:pPr>
        <w:spacing w:after="0" w:line="2" w:lineRule="exact"/>
        <w:rPr>
          <w:sz w:val="20"/>
          <w:szCs w:val="20"/>
          <w:color w:val="auto"/>
        </w:rPr>
      </w:pPr>
    </w:p>
    <w:p>
      <w:pPr>
        <w:ind w:left="60" w:right="359"/>
        <w:spacing w:after="0" w:line="250" w:lineRule="auto"/>
        <w:rPr>
          <w:sz w:val="20"/>
          <w:szCs w:val="20"/>
          <w:color w:val="auto"/>
        </w:rPr>
      </w:pPr>
      <w:r>
        <w:rPr>
          <w:rFonts w:ascii="Times New Roman" w:cs="Times New Roman" w:eastAsia="Times New Roman" w:hAnsi="Times New Roman"/>
          <w:sz w:val="18"/>
          <w:szCs w:val="18"/>
          <w:color w:val="auto"/>
        </w:rPr>
        <w:t>5 years’ exclusivity is also granted to new chemical entities that contain no active moiety that has been approved by the FDA under section 505(b). This market exclusivity bars the FDA from accepting for review any ANDA or 505(b)</w:t>
      </w:r>
    </w:p>
    <w:p>
      <w:pPr>
        <w:spacing w:after="0" w:line="1" w:lineRule="exact"/>
        <w:rPr>
          <w:sz w:val="20"/>
          <w:szCs w:val="20"/>
          <w:color w:val="auto"/>
        </w:rPr>
      </w:pPr>
    </w:p>
    <w:p>
      <w:pPr>
        <w:ind w:left="60" w:right="99" w:hanging="10"/>
        <w:spacing w:after="0" w:line="249" w:lineRule="auto"/>
        <w:tabs>
          <w:tab w:leader="none" w:pos="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for a drug containing the same active moiety for (i) 5 years if an ANDA or 505(b)(2) application does not contain a paragraph IV certification to a listed patent, or (ii) 4 years if an ANDA or 505(b)(2) is submitted containing a paragraph IV certification to a listed patent. Moreover, pediatric exclusivity, if granted, may add 6 months of exclusivity if the reference product has been studied with respect to a pediatric indication in accordance with certain regulatory requirements. A reference product may also be granted 7 years of orphan-drug exclusivity for the treatment of a rare disease or condition under section 527(a) of FDCA, which would run in parallel with the 12 years of data exclusivity of the reference product, if applicable.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Non-U.S. regulation</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order to market any product outside of the U.S.,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U.S. apply similarly in the context of the EU,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EU drug review approval</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the EEA, which is comprised of the 27 Member States of the EU plus Norway, Iceland and Liechtenstein medicinal products can only be commercialized after obtaining a marketing authorization. There are two types of marketing authorization: the Community Marketing Authorization, which is issued by the EC through the Centralized Procedure based on the opinion of the Committee for Medicinal Products for Human Use (CHMP), a body of the EMA, and which is valid throughout the entire territory of the EEA; and the National Marketing Authorization, which is issued by the competent authorities of the Member States of the EEA and authorizes marketing only in that Member State’s national territory and not the EEA as a whole.</w:t>
      </w:r>
    </w:p>
    <w:p>
      <w:pPr>
        <w:spacing w:after="0" w:line="187"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Centralized Procedure is compulsory for human medicines for the treatment of human immunodeficiency virus or acquired immune deficiency syndrome (AIDS), cancer, diabetes, neurodegenerative diseases, autoimmune and other immune dysfunctions, and viral diseases; for veterinary medicines for use as growth or yield enhancers; for medicines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7"/>
          <w:szCs w:val="17"/>
          <w:color w:val="auto"/>
        </w:rPr>
        <w:t>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 The National Marketing Authorization is for products not falling within the mandatory scope of the Centralized Procedure. Where a product has already been authorized for marketing in a Member State of the EEA, this National Marketing Authorization can be recognized in another Member State through the Mutual Recognition Procedure. If the product has not received a National Marketing Authorization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marketing authorization is sought, one of which is selected by the applicant as the Reference Member State (RMS). If the RMS proposes to authorize the product, and the other Member States do not raise objections, the product is granted a National Marketing Authorization in all the Member States in which the authorization was sought. Before granting the marketing authorization, the EMA or the competent authorities of the Member States of the EEA assesses the risk–benefit balance of the product on the basis of scientific criteria concerning its quality, safety and efficacy.</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Regulation in the EU</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Product development, the regulatory approval process, and safety monitoring of medicinal products and their manufacturers in the EU proceed in much the same manner as they do in the U.S. Therefore, many of the issues discussed above apply similarly in the context of the EU. In addition, drugs are subject to the extensive price and reimbursement regulations of the various EU Member States.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w:t>
      </w:r>
    </w:p>
    <w:p>
      <w:pPr>
        <w:spacing w:after="0" w:line="229" w:lineRule="exact"/>
        <w:rPr>
          <w:sz w:val="20"/>
          <w:szCs w:val="20"/>
          <w:color w:val="auto"/>
        </w:rPr>
      </w:pPr>
    </w:p>
    <w:p>
      <w:pPr>
        <w:ind w:left="60" w:right="99" w:firstLine="324"/>
        <w:spacing w:after="0" w:line="249" w:lineRule="auto"/>
        <w:rPr>
          <w:sz w:val="20"/>
          <w:szCs w:val="20"/>
          <w:color w:val="auto"/>
        </w:rPr>
      </w:pPr>
      <w:r>
        <w:rPr>
          <w:rFonts w:ascii="Times New Roman" w:cs="Times New Roman" w:eastAsia="Times New Roman" w:hAnsi="Times New Roman"/>
          <w:sz w:val="18"/>
          <w:szCs w:val="18"/>
          <w:color w:val="auto"/>
        </w:rPr>
        <w:t>As is the case in the U.S., the various phases of preclinical and clinical research in the EU are subject to significant regulatory controls. The new Clinical Trials Regulation (Regulation (EU) No 536/2014) came into force on 31 January 2022. The new Regulation repealed the Clinical Trials Directive (EC) No. 2001/20/EC and national implementing legislation in the EU Member States, which regulated clinical trials in the EU until the Regulation's entry into application. A transition period applies to new clinical trial submissions under the Regulation. New clinical trial applications could be submitted under the Clinical Trials Directive until 30 January 2023, after which all new clinical trial applications were required to be submitted under the Regulation. Ongoing clinical trials under the Clinical Trials Directive have until 30 January 2025 to transition to the Regulation. The Regulation, provides a system for the approval of clinical studies in the European Union via a single online platform known as the Clinical Trials Information System (CTIS) for approval to run a clinical trial in several European countries, making it more efficient to carry out such multinational trials. Under this system, a single application dossier is submitted through CTIS to all Concerned Member States (CMS) where it is intended to conduct the trial. Using a harmonized format, the dossier consists of two parts, Part I contains the more scientific documents, whereas Part II contains the national documents. The review and evaluation is coordinated by one of the Member States, referred to as the Reference Member State (RMS). The Reference Member State is responsible for the evaluation of Part I whereas Part II assessment will be conducted separately by each individual CMS for its own country, including the review by the Ethics Committee. A clinical trial may only be started after the positive assessment by the RMS, and the approval by each CMS.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EEA. European regulators and ethics committees also require the submission of AE reports during a study and a copy of the final study report.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Marketing approval</w:t>
      </w:r>
    </w:p>
    <w:p>
      <w:pPr>
        <w:spacing w:after="0" w:line="216"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Marketing approvals under the EU regulatory system may be obtained through a centralized or decentralized procedure. The centralized procedure results in the grant of a single marketing authorization, which is valid for all (currently 27) EU Member States and the three European Free Trade Association (EFTA) members (Norway, Iceland and Liechtenstein).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Pursuant to Regulation (EC) No. 726/2004, as amended, the centralized procedure is mandatory for drugs developed by means of specified biotechnological processes, advanced-therapy medicinal products, drugs for human use containing a new active substance for which the therapeutic indication is the treatment of specified diseases, including but not limited to AIDS,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8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the marketing authorization application, the applicant must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the manufacturing and control information that should be submitted in a marketing authorization application, and the post-approval measures required to monitor patients and evaluate the long-term efficacy and potential adverse reactions. Although these guidelines are not legally binding, we believe that our compliance with them is likely to be necessary to gain approval for any of our product candidates.</w:t>
      </w:r>
    </w:p>
    <w:p>
      <w:pPr>
        <w:spacing w:after="0" w:line="187"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The maximum timeframe for the evaluation of a marketing authorization application by the CHMP under the centralized procedure is 210 days after receipt of a valid application. This period will be suspended until such time as the supplementary information requested by the CHMP has been provided by the applicant. Likewise, this time limit will be suspended for the time allowed for the applicant to prepare oral or written explanations. When an application is submitted for a marketing authorization in respect of a drug that is of major interest from the viewpoint of public health and in particular therapeutic innovation, the applicant may request an accelerated assessment procedure. If the CHMP accepts such a request, the time limit of 210 days will be reduced to 150 days, but it is possible that the CHMP can revert to the standard time limit for the centralized procedure if it considers that it is no longer appropriate to conduct an accelerated assessment.</w:t>
      </w:r>
    </w:p>
    <w:p>
      <w:pPr>
        <w:spacing w:after="0" w:line="190"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If the CHMP concludes that the quality, safety and efficacy of the product are sufficiently proven, it adopts a positive opinion. This is sent to the EC, which drafts a decision within approximately 67 days following the CHMP opinion. After consulting with the Member States, the EC adopts a decision and grants a marketing authorization, which is valid for the whole of the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EMA has various programs, including accelerated assessment, conditional approval and PRIority MEdicines (PRIME), which are intended to increase agency interactions, expedite or facilitate the process for reviewing product candidates, and/or provide for initial approval on the basis of surrogate endpoints. One or more of our product candidates may qualify for some of these expedited development and review programs. However, even if a product candidate qualifies for one or more of these programs, the EMA may later decide that the product candidate no longer meets the conditions for qualification. Eligibility to the PRIME scheme is limited to products considered to offer a major therapeutic advantage in populations with high unmet need. PRIME is a voluntary scheme aimed at enhancing interaction and early dialogue with developers of promising medicines through achieving the early appointment of the Rapporteur for the product, optimizing development plans and speeding up evaluation so these medicines can reach patients earlier. Products benefiting from PRIME can expect to be eligible for accelerated assessment at the time of application for a marketing authorization application.</w:t>
      </w:r>
    </w:p>
    <w:p>
      <w:pPr>
        <w:spacing w:after="0" w:line="174"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EU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a complete independent data package benefit from 8 years of data exclusivity and an additional 2 years of market exclusivity. Data exclusivity prevents regulatory authorities in the EU from referencing the innovator’s data to assess a generic (abbreviated) application. During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additional 2-year period of market exclusivity, a generic marketing authorization can be submitted, and the innovator’s data may be referenced, but no generic medicinal product can be marketed until the expiration of the market exclusivity. The overall 10-year period will be extended to a maximum of 11 years if, during the first 8 years of those 10 years, the marketing authorization holder (MAH) obtains an authorization for one or more new therapeutic indications that, during the scientific evaluation prior to their authorization, are held to bring a significant clinical benefit in comparison with existing therapies. Even if a compound is considered to be a new chemical entity and the innovator can gain the period of data exclusivity, another company nevertheless could also market another version of the drug if such company obtained marketing authorization based on a marketing authorization application with a completely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an SPC of up to 5 years’, pursuant to Regulation (EC) No. 469/2009. Such SPCs extend the rights under the basic patent for the drug.</w:t>
      </w:r>
    </w:p>
    <w:p>
      <w:pPr>
        <w:spacing w:after="0" w:line="19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In the EU, the pediatric regulation [Regulation (EC) No 1901/2006 as amended] requires sponsors to submit a pediatric investigation plan at the end of Phase 1. This plan will provide the details of the quality, non-clinical and clinical studies required to support the authorization of a pediatric indication. 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an orphan medicinal product pursuant to Regulation (EC) No. 141/2000, as amended. Instead, a medicinal product designated as an orphan medicinal product may enjoy an extension of the 10-year market exclusivity period granted under Regulation (EC) No. 141/2000 to 12 years subject to the conditions applicable to orphan drugs.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Orphan drug regulation</w:t>
      </w:r>
    </w:p>
    <w:p>
      <w:pPr>
        <w:spacing w:after="0" w:line="22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In the EU, Regulation (EC) No. 141/2000, as amended, states that a drug will be designated as an orphan drug if its sponsor can establish:</w:t>
      </w:r>
    </w:p>
    <w:p>
      <w:pPr>
        <w:spacing w:after="0" w:line="162" w:lineRule="exact"/>
        <w:rPr>
          <w:sz w:val="20"/>
          <w:szCs w:val="20"/>
          <w:color w:val="auto"/>
        </w:rPr>
      </w:pPr>
    </w:p>
    <w:p>
      <w:pPr>
        <w:ind w:left="720" w:right="439" w:hanging="319"/>
        <w:spacing w:after="0" w:line="254"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intended for the diagnosis, prevention or treatment of a life-threatening or chronically debilitating condition affecting not more than 5 in 10,000 persons in the EU when the application is made, or that it is intended for the diagnosis, prevention or treatment of a life-threatening, seriously debilitating or serious and chronic condition in the EU and that without incentives it is unlikely that the marketing of the drug in the EU would generate sufficient return to justify the necessary investment; and</w:t>
      </w:r>
    </w:p>
    <w:p>
      <w:pPr>
        <w:spacing w:after="0" w:line="187"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exists no satisfactory method of diagnosis, prevention or treatment of the condition in question that has been authorized in the EU or, if such method exists, that the drug will be of significant benefit to those affected by that condition.</w:t>
      </w:r>
    </w:p>
    <w:p>
      <w:pPr>
        <w:spacing w:after="0" w:line="176"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76"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If an EU-wide community marketing authorization in respect of an orphan drug is granted or if all the EU Member States have granted marketing authorizations in accordance with the procedures for mutual recognition, the EU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6 years if, at the end of the fifth year, it is established, with respect to the drug concerned, that the criteria for orphan-drug designation are no longer met; in other words, when it is shown on the basis of available evidence that the product is sufficiently profitable not to justify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maintenance of market exclusivity. Notwithstanding the foregoing, a marketing authorization may be granted, for the same therapeutic indication, to a similar drug if:</w:t>
      </w:r>
    </w:p>
    <w:p>
      <w:pPr>
        <w:spacing w:after="0" w:line="162" w:lineRule="exact"/>
        <w:rPr>
          <w:sz w:val="20"/>
          <w:szCs w:val="20"/>
          <w:color w:val="auto"/>
        </w:rPr>
      </w:pPr>
    </w:p>
    <w:p>
      <w:pPr>
        <w:ind w:left="720" w:right="759" w:hanging="319"/>
        <w:spacing w:after="0" w:line="282" w:lineRule="auto"/>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drug has given its consent to the second applicant;</w:t>
      </w:r>
    </w:p>
    <w:p>
      <w:pPr>
        <w:spacing w:after="0" w:line="161"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drug is unable to supply sufficient quantities of the drug; or</w:t>
      </w:r>
    </w:p>
    <w:p>
      <w:pPr>
        <w:spacing w:after="0" w:line="161"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the application that the second drug, although similar to the orphan drug already authorized, is safer, more effective or otherwise clinically superior.</w:t>
      </w:r>
    </w:p>
    <w:p>
      <w:pPr>
        <w:spacing w:after="0" w:line="162"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Other incentives available to orphan drugs in the EU include financial incentives such as a reduction of fees or fee waivers and protocol assistance. Orphan-drug designation does not shorten the duration of the regulatory review and approval process.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manufacturers’ license</w:t>
      </w:r>
    </w:p>
    <w:p>
      <w:pPr>
        <w:spacing w:after="0" w:line="229"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Wholesale distribution and license</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cGDP.</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ind w:left="60" w:right="319" w:firstLine="324"/>
        <w:spacing w:after="0" w:line="274" w:lineRule="auto"/>
        <w:rPr>
          <w:sz w:val="20"/>
          <w:szCs w:val="20"/>
          <w:color w:val="auto"/>
        </w:rPr>
      </w:pPr>
      <w:r>
        <w:rPr>
          <w:rFonts w:ascii="Times New Roman" w:cs="Times New Roman" w:eastAsia="Times New Roman" w:hAnsi="Times New Roman"/>
          <w:sz w:val="17"/>
          <w:szCs w:val="17"/>
          <w:color w:val="auto"/>
        </w:rPr>
        <w:t xml:space="preserve">In the EU, the promotion of prescription medicines is subject to intense regulation and control, including EU and national legislation as well as self-regulatory codes (industry codes). Advertising legislation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xml:space="preserve"> includes a prohibition on direct-to-consumer advertising. All advertising of prescription medicines must be consistent with the product’s approved Summary of Product Characteristics, and must be factual, accurate, balanced and not misleading. Advertising of prescription medicines pre-approval or off-label is not allowed. Some jurisdictions require that all promotional materials for prescription medicines be subjected to prior review and approval, either internal or regulatory.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An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The obligations of an MAH include the following:</w:t>
      </w:r>
    </w:p>
    <w:p>
      <w:pPr>
        <w:spacing w:after="0" w:line="225" w:lineRule="exact"/>
        <w:rPr>
          <w:sz w:val="20"/>
          <w:szCs w:val="20"/>
          <w:color w:val="auto"/>
        </w:rPr>
      </w:pPr>
    </w:p>
    <w:p>
      <w:pPr>
        <w:ind w:left="720" w:right="179" w:hanging="319"/>
        <w:spacing w:after="0" w:line="290" w:lineRule="auto"/>
        <w:tabs>
          <w:tab w:leader="none" w:pos="7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Manufacturing and batch release</w:t>
      </w:r>
      <w:r>
        <w:rPr>
          <w:rFonts w:ascii="Times New Roman" w:cs="Times New Roman" w:eastAsia="Times New Roman" w:hAnsi="Times New Roman"/>
          <w:sz w:val="17"/>
          <w:szCs w:val="17"/>
          <w:color w:val="auto"/>
        </w:rPr>
        <w:t>—MAHs should guarantee that all manufacturing operations comply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relevant laws and regulations, applicable GMPs, and the product specifications and manufacturing conditions set out in the marketing authorization, and that each batch of product is subject to appropriate release formalities.</w:t>
      </w:r>
    </w:p>
    <w:p>
      <w:pPr>
        <w:spacing w:after="0" w:line="155" w:lineRule="exact"/>
        <w:rPr>
          <w:rFonts w:ascii="Times New Roman" w:cs="Times New Roman" w:eastAsia="Times New Roman" w:hAnsi="Times New Roman"/>
          <w:sz w:val="17"/>
          <w:szCs w:val="17"/>
          <w:color w:val="auto"/>
        </w:rPr>
      </w:pPr>
    </w:p>
    <w:p>
      <w:pPr>
        <w:ind w:left="720" w:right="79" w:hanging="319"/>
        <w:spacing w:after="0" w:line="258"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and continuous supply</w:t>
      </w:r>
      <w:r>
        <w:rPr>
          <w:rFonts w:ascii="Times New Roman" w:cs="Times New Roman" w:eastAsia="Times New Roman" w:hAnsi="Times New Roman"/>
          <w:sz w:val="18"/>
          <w:szCs w:val="18"/>
          <w:color w:val="auto"/>
        </w:rPr>
        <w:t>—Pursuant to Directive 2001/83/EC, as transposed into the national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States, the MAH for a medicinal product and the distributors of the said medicinal product actually placed on the market in a Member State shall, within the limits of their responsibilities, ensure appropriate and continued supplies of that medical product to pharmacies and persons authorized to supply medicinal products so that the needs of patients in the Member State in question are covered.</w:t>
      </w:r>
    </w:p>
    <w:p>
      <w:pPr>
        <w:spacing w:after="0" w:line="169" w:lineRule="exact"/>
        <w:rPr>
          <w:rFonts w:ascii="Times New Roman" w:cs="Times New Roman" w:eastAsia="Times New Roman" w:hAnsi="Times New Roman"/>
          <w:sz w:val="18"/>
          <w:szCs w:val="18"/>
          <w:color w:val="auto"/>
        </w:rPr>
      </w:pPr>
    </w:p>
    <w:p>
      <w:pPr>
        <w:ind w:left="720" w:right="179" w:hanging="319"/>
        <w:spacing w:after="0" w:line="267"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Pharmacovigilance</w:t>
      </w:r>
      <w:r>
        <w:rPr>
          <w:rFonts w:ascii="Times New Roman" w:cs="Times New Roman" w:eastAsia="Times New Roman" w:hAnsi="Times New Roman"/>
          <w:sz w:val="18"/>
          <w:szCs w:val="18"/>
          <w:color w:val="auto"/>
        </w:rPr>
        <w:t>—MAHs are obliged to establish and maintain a pharmacovigilance system, including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person responsible for oversight, to submit safety reports to the regulators and to comply with the good pharmacovigilance practice guidelines adopted by the EMA.</w:t>
      </w:r>
    </w:p>
    <w:p>
      <w:pPr>
        <w:spacing w:after="0" w:line="173" w:lineRule="exact"/>
        <w:rPr>
          <w:rFonts w:ascii="Times New Roman" w:cs="Times New Roman" w:eastAsia="Times New Roman" w:hAnsi="Times New Roman"/>
          <w:sz w:val="18"/>
          <w:szCs w:val="18"/>
          <w:color w:val="auto"/>
        </w:rPr>
      </w:pPr>
    </w:p>
    <w:p>
      <w:pPr>
        <w:ind w:left="720" w:right="199" w:hanging="319"/>
        <w:spacing w:after="0" w:line="258"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Advertising and promotion</w:t>
      </w:r>
      <w:r>
        <w:rPr>
          <w:rFonts w:ascii="Times New Roman" w:cs="Times New Roman" w:eastAsia="Times New Roman" w:hAnsi="Times New Roman"/>
          <w:sz w:val="18"/>
          <w:szCs w:val="18"/>
          <w:color w:val="auto"/>
        </w:rPr>
        <w:t>—MAHs remain responsible for all advertising and promotion of their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promotional activities by 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169" w:lineRule="exact"/>
        <w:rPr>
          <w:rFonts w:ascii="Times New Roman" w:cs="Times New Roman" w:eastAsia="Times New Roman" w:hAnsi="Times New Roman"/>
          <w:sz w:val="18"/>
          <w:szCs w:val="18"/>
          <w:color w:val="auto"/>
        </w:rPr>
      </w:pPr>
    </w:p>
    <w:p>
      <w:pPr>
        <w:ind w:left="720" w:right="159" w:hanging="319"/>
        <w:spacing w:after="0" w:line="284"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Medical affairs/scientific service</w:t>
      </w:r>
      <w:r>
        <w:rPr>
          <w:rFonts w:ascii="Times New Roman" w:cs="Times New Roman" w:eastAsia="Times New Roman" w:hAnsi="Times New Roman"/>
          <w:sz w:val="18"/>
          <w:szCs w:val="18"/>
          <w:color w:val="auto"/>
        </w:rPr>
        <w:t>—MAHs are required to disseminate scientific and medical information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medicinal products to healthcare professionals, regulators and patients.</w:t>
      </w:r>
    </w:p>
    <w:p>
      <w:pPr>
        <w:spacing w:after="0" w:line="158" w:lineRule="exact"/>
        <w:rPr>
          <w:rFonts w:ascii="Times New Roman" w:cs="Times New Roman" w:eastAsia="Times New Roman" w:hAnsi="Times New Roman"/>
          <w:sz w:val="18"/>
          <w:szCs w:val="18"/>
          <w:color w:val="auto"/>
        </w:rPr>
      </w:pPr>
    </w:p>
    <w:p>
      <w:pPr>
        <w:ind w:left="720" w:right="339" w:hanging="319"/>
        <w:spacing w:after="0" w:line="284"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representation and distributor issues</w:t>
      </w:r>
      <w:r>
        <w:rPr>
          <w:rFonts w:ascii="Times New Roman" w:cs="Times New Roman" w:eastAsia="Times New Roman" w:hAnsi="Times New Roman"/>
          <w:sz w:val="18"/>
          <w:szCs w:val="18"/>
          <w:color w:val="auto"/>
        </w:rPr>
        <w:t>—MAHs are responsible for regulatory actions or inactions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agents.</w:t>
      </w:r>
    </w:p>
    <w:p>
      <w:pPr>
        <w:spacing w:after="0" w:line="158" w:lineRule="exact"/>
        <w:rPr>
          <w:rFonts w:ascii="Times New Roman" w:cs="Times New Roman" w:eastAsia="Times New Roman" w:hAnsi="Times New Roman"/>
          <w:sz w:val="18"/>
          <w:szCs w:val="18"/>
          <w:color w:val="auto"/>
        </w:rPr>
      </w:pPr>
    </w:p>
    <w:p>
      <w:pPr>
        <w:ind w:left="720" w:right="99" w:hanging="319"/>
        <w:spacing w:after="0" w:line="253"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Preparation, filing and maintenance of the application and subsequent marketing authorization</w:t>
      </w:r>
      <w:r>
        <w:rPr>
          <w:rFonts w:ascii="Times New Roman" w:cs="Times New Roman" w:eastAsia="Times New Roman" w:hAnsi="Times New Roman"/>
          <w:sz w:val="18"/>
          <w:szCs w:val="18"/>
          <w:color w:val="auto"/>
        </w:rPr>
        <w:t>— MAHs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appropriate records, 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Pricing and reimbursement</w:t>
      </w:r>
    </w:p>
    <w:p>
      <w:pPr>
        <w:spacing w:after="0" w:line="227"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In the EU,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to the entry of new products are being erected and some EU countries require the completion of studies that compare the cost-effectiveness of a particular product candidate with that of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w:t>
      </w:r>
    </w:p>
    <w:p>
      <w:pPr>
        <w:spacing w:after="0" w:line="229" w:lineRule="exact"/>
        <w:rPr>
          <w:sz w:val="20"/>
          <w:szCs w:val="20"/>
          <w:color w:val="auto"/>
        </w:rPr>
      </w:pPr>
    </w:p>
    <w:p>
      <w:pPr>
        <w:ind w:left="60" w:right="519" w:firstLine="324"/>
        <w:spacing w:after="0" w:line="261"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or biopharmaceutical products, federal and state healthcare laws restrict certain business practices in the pharmaceutical and biopharmaceutical industries. These laws include, but are not limited to, anti-kickback, false claims, data privacy and security, and transparency statutes and regulations.</w:t>
      </w:r>
    </w:p>
    <w:p>
      <w:pPr>
        <w:spacing w:after="0" w:line="180"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 xml:space="preserve">The U.S.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and biopharmaceutical manufacturers on the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the criteria for a statutory exception or safe harbor protection. Practices involving remuneration that may be alleged to be intended to induce prescribing, purchases or recommendations may be subject to scrutiny if they do not qualify for an exception or safe harbor. Failure to meet all the 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healthcare-covered business, the statute has been violated. The Patient Protection and Affordable Care Act as amended by the Health Care and Education Reconciliation Act (collectively, the Health Care Reform Law),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the Health Care Reform Law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Law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95"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Additionally, the Health Care Reform Law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Additionally, many states have similar healthcare statutes or regulations that apply to items and services reimbursed under Medicaid and other state programs, or, in several states, apply regardless of the payor. Certain states require the posting of information relating to clinical studies, and require pharmaceutical companies to implement a comprehensive compliance program that includes a limit on expenditures for, or payments to, individual medical or health professionals and to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implementation of corporate compliance programs and reporting of payments or transfers of value to healthcare professionals.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29"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 xml:space="preserve">In addition, we may be subject to international, federal and state data privacy and security laws, regulations, rules and standards. Internationally, laws, regulations and standards in many jurisdictions, such as the GDPR, the Swiss Federal Data Protection Act and the UK GDPR, apply broadly to the collection, use, retention, security, disclosure, transfer and other processing of personal information. At the federal level, HIPAA, as amended by the Health Information Technology for Economic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to seek attorneys’ fees and costs associated with pursuing federal civil actions. In addition, state laws, (such as the CCPA and the CPRA,) govern the privacy and security of health and other personal information in certain circumstances, many of which differ from each other in significant ways and may not have the same effect, thus complicating compliance efforts. Non-compliance with these laws, regulations, rules and standards could result in significant penalties or legal liability. Although we take steps to comply with applicable laws, rules and regulations, we cannot ensure that we will not be subject to regulatory or private actions, investigations, disputes and litigation, which may include substantial fines or other legal liability for noncompliance of data privacy and security laws, rules and regulations, including in the event of a cybersecurity breach or other security incident. We could be adversely affected if legislation or regulations are expanded to require changes in our or our third-party service providers’ business practices or if governing jurisdictions interpret or implement their legislation or regulations in ways that negatively affect our business, results of operations or financial condition. See “Risk Factors— </w:t>
      </w:r>
      <w:r>
        <w:rPr>
          <w:rFonts w:ascii="Times New Roman" w:cs="Times New Roman" w:eastAsia="Times New Roman" w:hAnsi="Times New Roman"/>
          <w:sz w:val="18"/>
          <w:szCs w:val="18"/>
          <w:i w:val="1"/>
          <w:iCs w:val="1"/>
          <w:color w:val="auto"/>
        </w:rPr>
        <w:t>Changes in laws, rules or regulations relating to data privacy and security, or any actual or perceived failure by us to comply with such laws, rules, regulations and standards, or contractual or other obligations relating to data privacy and security, could have a material adverse effect on our reputation, results of operations, financial condition and cash flows.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In both domestic and foreign markets, our or our collaboration partners’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or biopharmaceutical companies. Additionally, third-party payors may refuse to include a particular branded drug in their formularies or otherwise restrict patient access to a branded drug when a less costly generic equivalent or another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we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9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Furthermore, in many foreign countries, particularly the countries of the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or biopharmaceutical products. In addition, there may be importation of foreign products that compete with our own products, which could negatively impact our profitability.</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the U.S., EU and other jurisdictions, there have been, and we expect there will continue to be, a number of legislative and regulatory changes to the healthcare system that could affect our future results of operations as we begin to commercialize our products directly.</w:t>
      </w:r>
    </w:p>
    <w:p>
      <w:pPr>
        <w:spacing w:after="0" w:line="1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8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are not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approval testing and other requirements.</w:t>
      </w:r>
    </w:p>
    <w:p>
      <w:pPr>
        <w:spacing w:after="0" w:line="18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 addition,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product pricing, review the relationship between pricing and manufacturer patient programs, and reform government program reimbursement methodologies for products. At both the federal and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One significant example of recent legislative action is the IRA, which has been considered a scaled-back version of the Build Back Better Act. The IRA was signed into law on August 16, 2022. While the IRA is still subject to rulemaking (with more information to come via guidance documents from the responsible federal agencies), the IRA, as written, will, among other changes, give HHS the ability and authority to directly negotiate with manufacturers the price that Medicare will pay for certain high-priced drugs. The IRA will also require manufacturers of certain Part B and Part D drugs to issue to HHS rebates based on certain calculations and triggers (i.e. when drug prices increase and outpace the rate of inflation). At this time, we cannot predict the implications the IRA provisions will have on our business.</w:t>
      </w:r>
    </w:p>
    <w:p>
      <w:pPr>
        <w:spacing w:after="0" w:line="19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the future, there may continue to be additional proposals relating to the reform of the U.S.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cost-containment and healthcare-reform measures. Such policy actions could have a material adverse impact on our profitability.</w:t>
      </w:r>
    </w:p>
    <w:p>
      <w:pPr>
        <w:spacing w:after="0" w:line="17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Moreover, the federal Drug Supply Chain Security Act imposes new obligations on manufacturers of pharmaceutical or biopharmaceutical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that are otherwise unfit for distribution such that they would be reasonably likely to result in serious health consequences or death.</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Physician Payment Sunshine Act and transparency</w:t>
      </w:r>
    </w:p>
    <w:p>
      <w:pPr>
        <w:spacing w:after="0" w:line="229" w:lineRule="exact"/>
        <w:rPr>
          <w:sz w:val="20"/>
          <w:szCs w:val="20"/>
          <w:color w:val="auto"/>
        </w:rPr>
      </w:pPr>
    </w:p>
    <w:p>
      <w:pPr>
        <w:ind w:left="60" w:right="99" w:firstLine="324"/>
        <w:spacing w:after="0" w:line="269" w:lineRule="auto"/>
        <w:rPr>
          <w:sz w:val="20"/>
          <w:szCs w:val="20"/>
          <w:color w:val="auto"/>
        </w:rPr>
      </w:pPr>
      <w:r>
        <w:rPr>
          <w:rFonts w:ascii="Times New Roman" w:cs="Times New Roman" w:eastAsia="Times New Roman" w:hAnsi="Times New Roman"/>
          <w:sz w:val="17"/>
          <w:szCs w:val="17"/>
          <w:color w:val="auto"/>
        </w:rPr>
        <w:t>The Physician Payment Sunshine Act requires most pharmaceutical and biopharmaceutical manufacturers to report annually to the Secretary of Health and Human Services any and all financial arrangements, payments, or other transfers of value made by that entity to physicians and teaching hospitals. The payment information is made publicly available in a searchable format on a content management system website. Once we have an approved product,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 In addition, the Code of Ethics from the EFPIA requires certain disclosures of interactions with institutions and healthcare professionals, depending on the jurisdictions in which we operate.</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Environmental, health and safety laws and regulations</w:t>
      </w:r>
    </w:p>
    <w:p>
      <w:pPr>
        <w:spacing w:after="0" w:line="229" w:lineRule="exact"/>
        <w:rPr>
          <w:sz w:val="20"/>
          <w:szCs w:val="20"/>
          <w:color w:val="auto"/>
        </w:rPr>
      </w:pPr>
    </w:p>
    <w:p>
      <w:pPr>
        <w:ind w:left="60" w:right="399" w:firstLine="324"/>
        <w:spacing w:after="0" w:line="275"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that legal or regulatory changes may occur in the future, they could result in, among other things, increased costs to us or the impairment of our research, development or production efforts.</w:t>
      </w:r>
    </w:p>
    <w:p>
      <w:pPr>
        <w:spacing w:after="0" w:line="179"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7"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general telephone number is (41) 21 345 91 21 and our internet address is www.acimmune.com. References to our website address do not constitute incorporation by reference of the information contained on the website, and the information contained on the website is not part of this document or any other document that we file with or furnish to the SEC. The SEC maintains an internet site that contains reports, proxy and information statements and other information regarding issuers that file electronically with the SEC, which can be found at http://www.sec.gov. Our agent for service of process in the United States is Cogency Global Inc. located at 122 East 42nd Street, 18th Floor, New York, New York 10168.</w:t>
      </w:r>
    </w:p>
    <w:p>
      <w:pPr>
        <w:spacing w:after="0" w:line="18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Company controls a fully-owned subsidiary, AC Immune USA, Inc. (“AC Immune USA” or “Subsidiary”), which was registered and organized under the laws of Delaware, USA in Q2 2021. The Company and its Subsidiary form the Group.</w:t>
      </w:r>
    </w:p>
    <w:p>
      <w:pPr>
        <w:spacing w:after="0" w:line="179"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Company’s capital expenditures were CHF 0.8 million in 2023 with CHF 0.5 million for laboratory equipment and leasehold improvements. These investments were made to enhance our research facilities.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We do not own any real property. The table below details the sizes and uses of our leased facilities as of December 31, 2023:</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Primary Function</w:t>
            </w:r>
          </w:p>
        </w:tc>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Approximate Size</w:t>
            </w:r>
          </w:p>
        </w:tc>
      </w:tr>
      <w:tr>
        <w:trPr>
          <w:trHeight w:val="198"/>
        </w:trPr>
        <w:tc>
          <w:tcPr>
            <w:tcW w:w="2980" w:type="dxa"/>
            <w:vAlign w:val="bottom"/>
            <w:tcBorders>
              <w:top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École Polytechnique Fédérale Lausanne</w:t>
            </w:r>
          </w:p>
        </w:tc>
        <w:tc>
          <w:tcPr>
            <w:tcW w:w="3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Headquarters</w:t>
            </w:r>
          </w:p>
        </w:tc>
        <w:tc>
          <w:tcPr>
            <w:tcW w:w="28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29,000 square feet</w:t>
            </w:r>
          </w:p>
        </w:tc>
      </w:tr>
      <w:tr>
        <w:trPr>
          <w:trHeight w:val="216"/>
        </w:trPr>
        <w:tc>
          <w:tcPr>
            <w:tcW w:w="3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(EPFL)</w:t>
            </w: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Innovation Park Building B,</w:t>
            </w: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discovery, preclinical and</w:t>
            </w:r>
          </w:p>
        </w:tc>
        <w:tc>
          <w:tcPr>
            <w:tcW w:w="2560" w:type="dxa"/>
            <w:vAlign w:val="bottom"/>
            <w:shd w:val="clear" w:color="auto" w:fill="CCEEFF"/>
          </w:tcPr>
          <w:p>
            <w:pPr>
              <w:spacing w:after="0"/>
              <w:rPr>
                <w:sz w:val="18"/>
                <w:szCs w:val="18"/>
                <w:color w:val="auto"/>
              </w:rPr>
            </w:pPr>
          </w:p>
        </w:tc>
      </w:tr>
      <w:tr>
        <w:trPr>
          <w:trHeight w:val="248"/>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1015</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Lausanne, Vaud, Switzerland</w:t>
            </w: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development</w:t>
            </w:r>
          </w:p>
        </w:tc>
        <w:tc>
          <w:tcPr>
            <w:tcW w:w="2560" w:type="dxa"/>
            <w:vAlign w:val="bottom"/>
            <w:shd w:val="clear" w:color="auto" w:fill="CCEEFF"/>
          </w:tcPr>
          <w:p>
            <w:pPr>
              <w:spacing w:after="0"/>
              <w:rPr>
                <w:sz w:val="21"/>
                <w:szCs w:val="21"/>
                <w:color w:val="auto"/>
              </w:rPr>
            </w:pPr>
          </w:p>
        </w:tc>
      </w:tr>
      <w:tr>
        <w:trPr>
          <w:trHeight w:val="445"/>
        </w:trPr>
        <w:tc>
          <w:tcPr>
            <w:tcW w:w="38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Chemistry manufacturing and control</w:t>
            </w:r>
          </w:p>
        </w:tc>
        <w:tc>
          <w:tcPr>
            <w:tcW w:w="2560" w:type="dxa"/>
            <w:vAlign w:val="bottom"/>
            <w:shd w:val="clear" w:color="auto" w:fill="CCEEFF"/>
          </w:tcPr>
          <w:p>
            <w:pPr>
              <w:spacing w:after="0"/>
              <w:rPr>
                <w:sz w:val="24"/>
                <w:szCs w:val="24"/>
                <w:color w:val="auto"/>
              </w:rPr>
            </w:pPr>
          </w:p>
        </w:tc>
      </w:tr>
      <w:tr>
        <w:trPr>
          <w:trHeight w:val="198"/>
        </w:trPr>
        <w:tc>
          <w:tcPr>
            <w:tcW w:w="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1230</w:t>
            </w:r>
          </w:p>
        </w:tc>
        <w:tc>
          <w:tcPr>
            <w:tcW w:w="29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Avenue of the Americas</w:t>
            </w:r>
          </w:p>
        </w:tc>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 operations</w:t>
            </w:r>
          </w:p>
        </w:tc>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1,600 square feet</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Suite 1634</w:t>
            </w: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4"/>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York, New York 10020</w:t>
            </w:r>
          </w:p>
        </w:tc>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right="499" w:firstLine="324"/>
        <w:spacing w:after="0" w:line="312" w:lineRule="auto"/>
        <w:rPr>
          <w:sz w:val="20"/>
          <w:szCs w:val="20"/>
          <w:color w:val="auto"/>
        </w:rPr>
      </w:pPr>
      <w:r>
        <w:rPr>
          <w:rFonts w:ascii="Times New Roman" w:cs="Times New Roman" w:eastAsia="Times New Roman" w:hAnsi="Times New Roman"/>
          <w:sz w:val="17"/>
          <w:szCs w:val="17"/>
          <w:color w:val="auto"/>
        </w:rPr>
        <w:t>The Innovation Park of the EPFL serves as our corporate headquarters, our research facility and laboratories. We believe that using the EPFL facilities instead of building our own infrastructure helps us to maximize the value of our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research and development capital and make efficient use of our funds as we continue to build and develop our pipeline. We believe that the space of our existing facilities is sufficient to meet our current needs.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audited consolidated financial statements, including the notes thereto, included in this Annual Report. The following discussion is based on our financial information prepared in accordance with IFRS as issued by the IASB, which might differ in material respects from generally accepted accounting principles in other jurisdictions.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and elsewhere in this Annual Report.</w:t>
      </w:r>
    </w:p>
    <w:p>
      <w:pPr>
        <w:spacing w:after="0" w:line="183" w:lineRule="exact"/>
        <w:rPr>
          <w:sz w:val="20"/>
          <w:szCs w:val="20"/>
          <w:color w:val="auto"/>
        </w:rPr>
      </w:pPr>
    </w:p>
    <w:p>
      <w:pPr>
        <w:ind w:left="60" w:right="7299" w:hanging="10"/>
        <w:spacing w:after="0" w:line="495" w:lineRule="auto"/>
        <w:tabs>
          <w:tab w:leader="none" w:pos="38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Overview</w:t>
      </w:r>
    </w:p>
    <w:p>
      <w:pPr>
        <w:spacing w:after="0" w:line="1"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proceeds from our public offerings, share issuances, contract revenues from license and collaboration agreements and grants. We have no products approved for commercialization and have never generated any revenues from product sales. Pharmaceutical and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we have received upfront and milestone payments from our collaboration partners and certain other revenue. However, we have also incurred significant operating losses. We incurred net losses of CHF 54.2 million for the fiscal year ended December 31, 2023 and have an accumulated losses balance of CHF 316.2 million as of December 31, 2023.</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Strategic collaborations and licensing agreements</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Since our inception, we have entered into strategic collaboration agreements with a range of partners covering a number of our product candidates. We entered into a strategic collaboration with Genentech in November 2006 (as amended in March 2009, January 2013, May 2014 and May 2015) regarding the development, manufacture and commercialization of anti-Abeta antibodies including crenezumab, and we refer to this agreement as the 2006 Agreement. As announced on January 22, 2024, AC Immune will regain the global rights to crenezumab following termination of the collaboration agreement with Genentech, which termination will be effective in April 2024.</w:t>
      </w:r>
    </w:p>
    <w:p>
      <w:pPr>
        <w:spacing w:after="0" w:line="18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June 2012, we entered into an additional strategic collaboration agreement with Genentech regarding the development, manufacture and commercialization of anti-Tau antibodies, which covers semorinemab, and we refer to this agreement as the 2012 Agreement. As announced on January 22, 2024, AC Immune will regain the global rights to semorinemab following termination of the collaboration agreement with Genentech, which termination will be effective in April 2024.</w:t>
      </w:r>
    </w:p>
    <w:p>
      <w:pPr>
        <w:spacing w:after="0" w:line="183"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 May 2014 (as amended in June 2022), we entered into a license and collaboration agreement with LMI (formerly Piramal Imaging SA) covering our Tau-PET Imaging tracers.</w:t>
      </w:r>
    </w:p>
    <w:p>
      <w:pPr>
        <w:spacing w:after="0" w:line="176" w:lineRule="exact"/>
        <w:rPr>
          <w:sz w:val="20"/>
          <w:szCs w:val="20"/>
          <w:color w:val="auto"/>
        </w:rPr>
      </w:pPr>
    </w:p>
    <w:p>
      <w:pPr>
        <w:ind w:left="60" w:right="699" w:firstLine="324"/>
        <w:spacing w:after="0" w:line="289" w:lineRule="auto"/>
        <w:rPr>
          <w:sz w:val="20"/>
          <w:szCs w:val="20"/>
          <w:color w:val="auto"/>
        </w:rPr>
      </w:pPr>
      <w:r>
        <w:rPr>
          <w:rFonts w:ascii="Times New Roman" w:cs="Times New Roman" w:eastAsia="Times New Roman" w:hAnsi="Times New Roman"/>
          <w:sz w:val="17"/>
          <w:szCs w:val="17"/>
          <w:color w:val="auto"/>
        </w:rPr>
        <w:t>In December 2014 (as amended in April 2016, July 2017, January 2019, November 2019, December 2022 and November 2023), we entered into a strategic collaboration agreement with Janssen regarding the development, manufacture and commercialization of anti-Tau active immunotherapies, which covers ACI-35.030. We expect to</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capitalize on Johnson &amp; Johnson’s extensive regulatory expertise and experience in developing, manufacturing and, if approved, commercializing active immunotherapies to bring ACI-35.030 to market.</w:t>
      </w:r>
    </w:p>
    <w:p>
      <w:pPr>
        <w:spacing w:after="0" w:line="16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entered into a license agreement with Lilly in December 2018 (as amended in September 2019 and March 2020) to research and develop Morphomer Tau small molecules for the treatment of AD and other neurodegenerative diseases. Under the terms of this agreement, we have completed a Phase 1 clinical study with ACI-3024. Lilly is responsible for leading and funding further clinical development for small molecule Tau aggregation inhibitors with plans to evaluate candidates in AD and NeuroOrphan tauopathies. Lilly will also retain global commercialization rights for all indications.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Genentech, a member of the Roche Group</w:t>
      </w:r>
    </w:p>
    <w:p>
      <w:pPr>
        <w:spacing w:after="0" w:line="229"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As mentioned above, the Company announced on January 22, 2024 that it will regain the global rights to crenezumab and semorinemab following termination of the collaboration agreements with Genentech, which will be effective in April 2024.</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Anti-Abeta antibody in AD – 2006 agreement</w:t>
      </w:r>
    </w:p>
    <w:p>
      <w:pPr>
        <w:spacing w:after="0" w:line="227" w:lineRule="exact"/>
        <w:rPr>
          <w:sz w:val="20"/>
          <w:szCs w:val="20"/>
          <w:color w:val="auto"/>
        </w:rPr>
      </w:pPr>
    </w:p>
    <w:p>
      <w:pPr>
        <w:ind w:left="60" w:right="479" w:firstLine="324"/>
        <w:spacing w:after="0" w:line="258" w:lineRule="auto"/>
        <w:rPr>
          <w:sz w:val="20"/>
          <w:szCs w:val="20"/>
          <w:color w:val="auto"/>
        </w:rPr>
      </w:pPr>
      <w:r>
        <w:rPr>
          <w:rFonts w:ascii="Times New Roman" w:cs="Times New Roman" w:eastAsia="Times New Roman" w:hAnsi="Times New Roman"/>
          <w:sz w:val="18"/>
          <w:szCs w:val="18"/>
          <w:color w:val="auto"/>
        </w:rPr>
        <w:t>In November 2006, we signed an exclusive, worldwide licensing agreement for crenezumab, our humanized monoclonal therapeutic antibody targeting misfolded Abeta. The agreement was amended March 2009, January 2013, May 2014 and May 2015. The collaboration agreement will be terminated effective April 2024.</w:t>
      </w:r>
    </w:p>
    <w:p>
      <w:pPr>
        <w:spacing w:after="0" w:line="183"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have received total milestone payments of USD 65 (CHF 70.1) million comprised of an upfront payment of USD 25 (CHF 31.6) million and of USD 40 (CHF 38.2) million for clinical development milestones achieved, all prior to January 1, 2017.</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Anti-Tau antibody in AD – 2012 agreement</w:t>
      </w:r>
    </w:p>
    <w:p>
      <w:pPr>
        <w:spacing w:after="0" w:line="227"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In June 2012, we entered into a second agreement with Genentech to research, develop and commercialize our anti-Tau antibodies for use as immunotherapeutics and diagnostics. The agreement was amended in December 2015. This collaboration agreement will be terminated effective April 2024.</w:t>
      </w:r>
    </w:p>
    <w:p>
      <w:pPr>
        <w:spacing w:after="0" w:line="16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have received payments totaling CHF 59 million, including a milestone payment of CHF 14 million received and recognized in Q4 2017 associated with the first patient dosing in a Phase 2 clinical trial for AD with an anti-Tau monoclonal body known as semorinemab, a milestone payment of CHF 14 million recognized in Q2 2016 and received in July 2016, associated with the announcement of the commencement of the Phase 1 clinical study of semorinemab, and a milestone payment of CHF 14 million received in 2015 in connection with the ED-GO decision.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Janssen Pharmaceuticals, Inc.</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Tau Active Immunotherapy in AD – 2014 agreement</w:t>
      </w:r>
    </w:p>
    <w:p>
      <w:pPr>
        <w:spacing w:after="0" w:line="214" w:lineRule="exact"/>
        <w:rPr>
          <w:sz w:val="20"/>
          <w:szCs w:val="20"/>
          <w:color w:val="auto"/>
        </w:rPr>
      </w:pPr>
    </w:p>
    <w:p>
      <w:pPr>
        <w:ind w:left="60" w:right="119" w:firstLine="324"/>
        <w:spacing w:after="0" w:line="251" w:lineRule="auto"/>
        <w:rPr>
          <w:sz w:val="20"/>
          <w:szCs w:val="20"/>
          <w:color w:val="auto"/>
        </w:rPr>
      </w:pPr>
      <w:r>
        <w:rPr>
          <w:rFonts w:ascii="Times New Roman" w:cs="Times New Roman" w:eastAsia="Times New Roman" w:hAnsi="Times New Roman"/>
          <w:sz w:val="18"/>
          <w:szCs w:val="18"/>
          <w:color w:val="auto"/>
        </w:rPr>
        <w:t>In December 2014, we entered into an agreement with Janssen Pharmaceuticals, Inc. (Janssen), part of the Janssen Pharmaceutical Companies of Johnson &amp; Johnson, to develop and commercialize therapeutic anti-Tau active immunotherapies for the treatment of AD and potentially other Tauopathies. The value of this collaboration is potentially up to CHF 500 million and includes upfront and clinical, regulatory and commercial milestones. In addition to milestones, we will be eligible to receive royalties on sales at a percentage rate ranging from the low-double digits to the mid-teens for the ACI-35.030 active immunotherapy program. In April 2016, July 2017, January 2019, November 2019, December 2022 and November 2023, the companies entered into the first, second, third, fourth, fifth and sixth amendments, respectively. These amendments allow for the alignment of certain payment and activity provisions with the Development Plan and Research Plan activities. We and Janssen have completed the co-development of the second-generation lead active immunotherapies, ACI-35.030 and JACI-35.054, through Phase 1b/2a. In November 2022, it was announced that ACI-35.030 was selected to advance into further development based on interim data from the ongoing Phase 1b/2a trial. In December 2023, it was announced that Janssen has programmed the launch of the Phase 2b clinical study to evaluate ACI-35.030 (JNJ-64042056) in patients with preclinical AD, those individuals not yet showing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symptoms.AC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ACI-35.030.</w:t>
      </w:r>
    </w:p>
    <w:p>
      <w:pPr>
        <w:spacing w:after="0" w:line="1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Company received an upfront, non-refundable license fee of CHF 25.9 million, which we recognized as revenue in 2014. In May 2016, we received a payment of CHF 4.9 million for reaching a clinical milestone in the Phase 1b study. In December 2023, we were entitled to receive a milestone payment of CHF 14.8 million for the commencement of the first Phase 2b clinical study. The Company recognized this income as revenue because we deemed it highly probable that this milestone would be obtained and would not be subject to reversal in the future.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structure of the collaboration agreement is as follows:</w:t>
      </w:r>
    </w:p>
    <w:p>
      <w:pPr>
        <w:spacing w:after="0" w:line="225" w:lineRule="exact"/>
        <w:rPr>
          <w:sz w:val="20"/>
          <w:szCs w:val="20"/>
          <w:color w:val="auto"/>
        </w:rPr>
      </w:pPr>
    </w:p>
    <w:p>
      <w:pPr>
        <w:ind w:left="720" w:hanging="319"/>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right-of-use license.</w:t>
      </w:r>
    </w:p>
    <w:p>
      <w:pPr>
        <w:spacing w:after="0" w:line="223" w:lineRule="exact"/>
        <w:rPr>
          <w:rFonts w:ascii="Times New Roman" w:cs="Times New Roman" w:eastAsia="Times New Roman" w:hAnsi="Times New Roman"/>
          <w:sz w:val="18"/>
          <w:szCs w:val="18"/>
          <w:color w:val="auto"/>
        </w:rPr>
      </w:pPr>
    </w:p>
    <w:p>
      <w:pPr>
        <w:ind w:left="720" w:right="79" w:hanging="319"/>
        <w:spacing w:after="0" w:line="254"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milestone payments</w:t>
      </w:r>
      <w:r>
        <w:rPr>
          <w:rFonts w:ascii="Times New Roman" w:cs="Times New Roman" w:eastAsia="Times New Roman" w:hAnsi="Times New Roman"/>
          <w:sz w:val="18"/>
          <w:szCs w:val="18"/>
          <w:color w:val="auto"/>
        </w:rPr>
        <w:t>: payable upon reaching certain milestones in the Phase 1b study, commencement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Phase 2b development, upon reaching enrollment thresholds in the first Phase 2b, commencement of the first Phase 3 trial or regulatory filing of a product for AD indication based on Phase 2b data without a Phase 3 trial. In addition, for a second indication, clinical milestone payments would be payable upon commencement of a Phase 3 clinical study, which would be payable concurrently with the first regulatory milestone, if Janssen were to file for regulatory approval based on Phase 2 clinical data.</w:t>
      </w:r>
    </w:p>
    <w:p>
      <w:pPr>
        <w:spacing w:after="0" w:line="184" w:lineRule="exact"/>
        <w:rPr>
          <w:rFonts w:ascii="Times New Roman" w:cs="Times New Roman" w:eastAsia="Times New Roman" w:hAnsi="Times New Roman"/>
          <w:sz w:val="18"/>
          <w:szCs w:val="18"/>
          <w:color w:val="auto"/>
        </w:rPr>
      </w:pPr>
    </w:p>
    <w:p>
      <w:pPr>
        <w:ind w:left="720" w:right="319" w:hanging="319"/>
        <w:spacing w:after="0" w:line="261"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milestone payments</w:t>
      </w:r>
      <w:r>
        <w:rPr>
          <w:rFonts w:ascii="Times New Roman" w:cs="Times New Roman" w:eastAsia="Times New Roman" w:hAnsi="Times New Roman"/>
          <w:sz w:val="18"/>
          <w:szCs w:val="18"/>
          <w:color w:val="auto"/>
        </w:rPr>
        <w:t>: payable upon making regulatory filings in the U.S., Europe, and Japan,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In addition, for a second indication, similar regulatory milestones would be payable. For a second indication, additional regulatory milestone payments are payable by Janssen to us upon receipt of each of the regulatory approvals in the U.S., Europe and Japan.</w:t>
      </w:r>
    </w:p>
    <w:p>
      <w:pPr>
        <w:spacing w:after="0" w:line="166" w:lineRule="exact"/>
        <w:rPr>
          <w:rFonts w:ascii="Times New Roman" w:cs="Times New Roman" w:eastAsia="Times New Roman" w:hAnsi="Times New Roman"/>
          <w:sz w:val="18"/>
          <w:szCs w:val="18"/>
          <w:color w:val="auto"/>
        </w:rPr>
      </w:pPr>
    </w:p>
    <w:p>
      <w:pPr>
        <w:ind w:left="720" w:right="499" w:hanging="319"/>
        <w:spacing w:after="0" w:line="284"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Commercialization milestones</w:t>
      </w:r>
      <w:r>
        <w:rPr>
          <w:rFonts w:ascii="Times New Roman" w:cs="Times New Roman" w:eastAsia="Times New Roman" w:hAnsi="Times New Roman"/>
          <w:sz w:val="18"/>
          <w:szCs w:val="18"/>
          <w:color w:val="auto"/>
        </w:rPr>
        <w:t>: payable upon making a first commercial sale in each of the U.S., Europe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Japan, and upon achieving certain commercial milestones.</w:t>
      </w:r>
    </w:p>
    <w:p>
      <w:pPr>
        <w:spacing w:after="0" w:line="158" w:lineRule="exact"/>
        <w:rPr>
          <w:rFonts w:ascii="Times New Roman" w:cs="Times New Roman" w:eastAsia="Times New Roman" w:hAnsi="Times New Roman"/>
          <w:sz w:val="18"/>
          <w:szCs w:val="18"/>
          <w:color w:val="auto"/>
        </w:rPr>
      </w:pPr>
    </w:p>
    <w:p>
      <w:pPr>
        <w:ind w:left="720" w:right="419" w:hanging="319"/>
        <w:spacing w:after="0" w:line="267"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 payable on sales, with royalty rates differing based on the level of annual sales. We may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royalties on sales at a percentage rate ranging from the low-double digits to the mid-teens for the ACI-35.030 active immunotherapy program.</w:t>
      </w:r>
    </w:p>
    <w:p>
      <w:pPr>
        <w:spacing w:after="0" w:line="175"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LMI (formerly Piramal Imaging SA)</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Tau-PET imaging agent – 2014 agreement</w:t>
      </w:r>
    </w:p>
    <w:p>
      <w:pPr>
        <w:spacing w:after="0" w:line="214"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May 2014 (as amended in June 2022),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160 (CHF 151) million, plus royalties on sales at a percentage rate ranging from mid-single digits to low-teens. LMI may terminate the LCA at any time by providing 3 months’ notice to us.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structure of the collaboration agreement is as follows:</w:t>
      </w:r>
    </w:p>
    <w:p>
      <w:pPr>
        <w:spacing w:after="0" w:line="225" w:lineRule="exact"/>
        <w:rPr>
          <w:sz w:val="20"/>
          <w:szCs w:val="20"/>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right-of-use license.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720" w:right="259" w:hanging="319"/>
        <w:spacing w:after="0" w:line="267"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milestone payments</w:t>
      </w:r>
      <w:r>
        <w:rPr>
          <w:rFonts w:ascii="Times New Roman" w:cs="Times New Roman" w:eastAsia="Times New Roman" w:hAnsi="Times New Roman"/>
          <w:sz w:val="18"/>
          <w:szCs w:val="18"/>
          <w:color w:val="auto"/>
        </w:rPr>
        <w:t>: payable upon the commencement of the Phase 1, 2 and 3 studies for generation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intended to support a regulatory submission in the U.S. or the EU. We would be entitled to further clinical milestone payments for the commencement of a Phase 2 and 3 study for a second indication.</w:t>
      </w:r>
    </w:p>
    <w:p>
      <w:pPr>
        <w:spacing w:after="0" w:line="173"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milestone payments</w:t>
      </w:r>
      <w:r>
        <w:rPr>
          <w:rFonts w:ascii="Times New Roman" w:cs="Times New Roman" w:eastAsia="Times New Roman" w:hAnsi="Times New Roman"/>
          <w:sz w:val="18"/>
          <w:szCs w:val="18"/>
          <w:color w:val="auto"/>
        </w:rPr>
        <w:t>: payable upon acceptance of Regulatory filing (NDA) and Regulatory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Commercialization in the U.S. or the EU.</w:t>
      </w:r>
    </w:p>
    <w:p>
      <w:pPr>
        <w:spacing w:after="0" w:line="15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Commercialization milestones</w:t>
      </w:r>
      <w:r>
        <w:rPr>
          <w:rFonts w:ascii="Times New Roman" w:cs="Times New Roman" w:eastAsia="Times New Roman" w:hAnsi="Times New Roman"/>
          <w:sz w:val="18"/>
          <w:szCs w:val="18"/>
          <w:color w:val="auto"/>
        </w:rPr>
        <w:t>: tied to specific annual net sales amounts.</w:t>
      </w:r>
    </w:p>
    <w:p>
      <w:pPr>
        <w:spacing w:after="0" w:line="225" w:lineRule="exact"/>
        <w:rPr>
          <w:rFonts w:ascii="Times New Roman" w:cs="Times New Roman" w:eastAsia="Times New Roman" w:hAnsi="Times New Roman"/>
          <w:sz w:val="18"/>
          <w:szCs w:val="18"/>
          <w:color w:val="auto"/>
        </w:rPr>
      </w:pPr>
    </w:p>
    <w:p>
      <w:pPr>
        <w:ind w:left="720" w:right="619" w:hanging="319"/>
        <w:spacing w:after="0" w:line="284"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payable on sales, with royalty rates differing based on the level of annual sales. We may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royalties on sales at a percentage rate ranging from the mid-single digits to the low-teens.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Morphomer Tau small molecule – 2018 license agreement</w:t>
      </w:r>
    </w:p>
    <w:p>
      <w:pPr>
        <w:spacing w:after="0" w:line="227"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In December 2018, we entered into an exclusive, worldwide licensing agreement with Eli Lilly and Company (Lilly) to research and develop Morphomer Tau small molecules for the treatment of AD and other neurodegenerative diseases. Per the terms of the agreement, the Company received an initial upfront payment of CHF 80 million in Q1 2019 for the rights granted by the Company to Lilly. To date, the Company has completed a Phase 1 clinical study with ACI-3024.</w:t>
      </w:r>
    </w:p>
    <w:p>
      <w:pPr>
        <w:spacing w:after="0" w:line="16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 Lilly is responsible for leading and funding further clinical development and will retain global commercialization rights for all indications.</w:t>
      </w:r>
    </w:p>
    <w:p>
      <w:pPr>
        <w:spacing w:after="0" w:line="187" w:lineRule="exact"/>
        <w:rPr>
          <w:sz w:val="20"/>
          <w:szCs w:val="20"/>
          <w:color w:val="auto"/>
        </w:rPr>
      </w:pPr>
    </w:p>
    <w:p>
      <w:pPr>
        <w:ind w:left="60" w:right="259" w:firstLine="324"/>
        <w:spacing w:after="0" w:line="276" w:lineRule="auto"/>
        <w:rPr>
          <w:sz w:val="20"/>
          <w:szCs w:val="20"/>
          <w:color w:val="auto"/>
        </w:rPr>
      </w:pPr>
      <w:r>
        <w:rPr>
          <w:rFonts w:ascii="Times New Roman" w:cs="Times New Roman" w:eastAsia="Times New Roman" w:hAnsi="Times New Roman"/>
          <w:sz w:val="17"/>
          <w:szCs w:val="17"/>
          <w:color w:val="auto"/>
        </w:rPr>
        <w:t>Per the terms of the agreement, the Company may become eligible to receive additional milestone payments totaling up to approximately CHF 1.9 billion. In addition to milestones, we will be eligible to receive royalties on sales at</w:t>
      </w:r>
    </w:p>
    <w:p>
      <w:pPr>
        <w:spacing w:after="0" w:line="1" w:lineRule="exact"/>
        <w:rPr>
          <w:sz w:val="20"/>
          <w:szCs w:val="20"/>
          <w:color w:val="auto"/>
        </w:rPr>
      </w:pPr>
    </w:p>
    <w:p>
      <w:pPr>
        <w:ind w:left="60" w:right="79"/>
        <w:spacing w:after="0" w:line="249" w:lineRule="auto"/>
        <w:rPr>
          <w:sz w:val="20"/>
          <w:szCs w:val="20"/>
          <w:color w:val="auto"/>
        </w:rPr>
      </w:pPr>
      <w:r>
        <w:rPr>
          <w:rFonts w:ascii="Times New Roman" w:cs="Times New Roman" w:eastAsia="Times New Roman" w:hAnsi="Times New Roman"/>
          <w:sz w:val="18"/>
          <w:szCs w:val="18"/>
          <w:color w:val="auto"/>
        </w:rPr>
        <w:t>a percentage rate ranging from the low double-digits to the mid-teens. The agreement became effective in January 2019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the EU.</w:t>
      </w:r>
    </w:p>
    <w:p>
      <w:pPr>
        <w:spacing w:after="0" w:line="194"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received an initial upfront payment of CHF 80 million in February 2019. We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structure of the collaboration agreement is as follows.</w:t>
      </w:r>
    </w:p>
    <w:p>
      <w:pPr>
        <w:spacing w:after="0" w:line="223" w:lineRule="exact"/>
        <w:rPr>
          <w:sz w:val="20"/>
          <w:szCs w:val="20"/>
          <w:color w:val="auto"/>
        </w:rPr>
      </w:pPr>
    </w:p>
    <w:p>
      <w:pPr>
        <w:ind w:left="720" w:right="139" w:hanging="319"/>
        <w:spacing w:after="0" w:line="259" w:lineRule="auto"/>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i w:val="1"/>
          <w:iCs w:val="1"/>
          <w:color w:val="auto"/>
        </w:rPr>
        <w:t xml:space="preserve"> exclusive license: </w:t>
      </w:r>
      <w:r>
        <w:rPr>
          <w:rFonts w:ascii="Times New Roman" w:cs="Times New Roman" w:eastAsia="Times New Roman" w:hAnsi="Times New Roman"/>
          <w:sz w:val="18"/>
          <w:szCs w:val="18"/>
          <w:color w:val="auto"/>
        </w:rPr>
        <w:t>granted by us to Lilly under certain of our intellectual property to develop, manufacture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products containing Morphomer Tau small molecules for the treatment of AD and other neurodegenerative diseases throughout the world in any indication.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right="159" w:hanging="319"/>
        <w:spacing w:after="0" w:line="284" w:lineRule="auto"/>
        <w:tabs>
          <w:tab w:leader="none" w:pos="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milestone payment</w:t>
      </w:r>
      <w:r>
        <w:rPr>
          <w:rFonts w:ascii="Times New Roman" w:cs="Times New Roman" w:eastAsia="Times New Roman" w:hAnsi="Times New Roman"/>
          <w:sz w:val="18"/>
          <w:szCs w:val="18"/>
          <w:color w:val="auto"/>
        </w:rPr>
        <w:t>s: payable upon completion of the Lilly preclinical activities period and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patient dosed in a Phase 2 and Phase 3 clinical study of a licensed product in the U.S. or the EU.</w:t>
      </w:r>
    </w:p>
    <w:p>
      <w:pPr>
        <w:spacing w:after="0" w:line="158" w:lineRule="exact"/>
        <w:rPr>
          <w:rFonts w:ascii="Times New Roman" w:cs="Times New Roman" w:eastAsia="Times New Roman" w:hAnsi="Times New Roman"/>
          <w:sz w:val="18"/>
          <w:szCs w:val="18"/>
          <w:color w:val="auto"/>
        </w:rPr>
      </w:pPr>
    </w:p>
    <w:p>
      <w:pPr>
        <w:ind w:left="720" w:right="299" w:hanging="319"/>
        <w:spacing w:after="0" w:line="267" w:lineRule="auto"/>
        <w:tabs>
          <w:tab w:leader="none" w:pos="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milestone payments</w:t>
      </w:r>
      <w:r>
        <w:rPr>
          <w:rFonts w:ascii="Times New Roman" w:cs="Times New Roman" w:eastAsia="Times New Roman" w:hAnsi="Times New Roman"/>
          <w:sz w:val="18"/>
          <w:szCs w:val="18"/>
          <w:color w:val="auto"/>
        </w:rPr>
        <w:t>: payable within 60 days after obtaining regulatory approval for any licensed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in the first indication and any licensed product in certain additional indications in the U.S., Europe and Japan, respectively.</w:t>
      </w:r>
    </w:p>
    <w:p>
      <w:pPr>
        <w:spacing w:after="0" w:line="17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Commercialization milestones</w:t>
      </w:r>
      <w:r>
        <w:rPr>
          <w:rFonts w:ascii="Times New Roman" w:cs="Times New Roman" w:eastAsia="Times New Roman" w:hAnsi="Times New Roman"/>
          <w:sz w:val="18"/>
          <w:szCs w:val="18"/>
          <w:color w:val="auto"/>
        </w:rPr>
        <w:t>: payable upon achieving certain commercial sales milestones.</w:t>
      </w:r>
    </w:p>
    <w:p>
      <w:pPr>
        <w:spacing w:after="0" w:line="225" w:lineRule="exact"/>
        <w:rPr>
          <w:rFonts w:ascii="Times New Roman" w:cs="Times New Roman" w:eastAsia="Times New Roman" w:hAnsi="Times New Roman"/>
          <w:sz w:val="18"/>
          <w:szCs w:val="18"/>
          <w:color w:val="auto"/>
        </w:rPr>
      </w:pPr>
    </w:p>
    <w:p>
      <w:pPr>
        <w:ind w:left="720" w:right="99" w:hanging="319"/>
        <w:spacing w:after="0" w:line="284" w:lineRule="auto"/>
        <w:tabs>
          <w:tab w:leader="none" w:pos="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 payable on sales with royalty rates differing based on the level of annual sales of licensed products.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receive royalties on sales at a percentage rate ranging from the low double-digits to the mid-teens.</w:t>
      </w:r>
    </w:p>
    <w:p>
      <w:pPr>
        <w:spacing w:after="0" w:line="16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agreement will terminate by the date of expiration of the last royalty term for the last licensed product. However, under the terms of the agreement, Lilly may terminate the agreement at any time after March 31, 2020 by providing 3 months’ notice to us.</w:t>
      </w:r>
    </w:p>
    <w:p>
      <w:pPr>
        <w:spacing w:after="0" w:line="176" w:lineRule="exact"/>
        <w:rPr>
          <w:sz w:val="20"/>
          <w:szCs w:val="20"/>
          <w:color w:val="auto"/>
        </w:rPr>
      </w:pPr>
    </w:p>
    <w:p>
      <w:pPr>
        <w:jc w:val="both"/>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We and Lilly also entered into a convertible note agreement that became effective in January 2019 for USD 50 (CHF 50.3) million from Lilly. In Q2 2019, the Convertible Note Agreement with Lilly automatically converted in line with the terms of the agreement. As a result of this conversion, 3,615,328 of our common shares were issued to Lilly. This note is now fully settled and there is no further equity or cash consideration due to Lilly thereunder.</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Grants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Michael J. Fox Foundation for Parkinson’s Research</w:t>
      </w:r>
    </w:p>
    <w:p>
      <w:pPr>
        <w:spacing w:after="0" w:line="22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May 2020, the Company, as part of a joint arrangement with Skåne University Hospital (Skåne) in Sweden, was awarded a USD 3.2 (CHF 3.0) million grant from the MJFF’s Ken Griffin Alpha-synuclein Imaging Competition. As part of this grant, AC Immune was eligible to receive USD 2.5 (CHF 2.3) million directly from the MJFF. Skåne was to receive USD 0.7 (CHF 0.7) million of the total grant directly from the MJFF over two years to conduct and support the clinical arm of the project. In August 2022, the Company received follow-on grant funding as part of its joint arrangement with Skåne totaling USD 0.5 (CHF 0.5) million for the continued development of its alpha-synuclein PET imaging diagnostic agent. As part of this grant, the Company received USD 0.4 (CHF 0.4) million directly from the MJFF. Skåne received USD 0.1 (CHF 0.1) million of the total grant directly from the MJFF over the duration of the grant period.</w:t>
      </w:r>
    </w:p>
    <w:p>
      <w:pPr>
        <w:spacing w:after="0" w:line="19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In December 2021, the Company announced that it had been awarded two grants totaling USD 1.5 (CHF 1.4) million to advance small molecule PD programs. One award supported an existing early-stage program to develop small molecules that can prevent intracellular aggregation and spreading of a-syn. The other award funded research on the therapeutic potential of chemically and mechanistically novel, brain penetrant small molecule inhibitors of NLRP3 inflammasome activation for the treatment of PD.</w:t>
      </w:r>
    </w:p>
    <w:p>
      <w:pPr>
        <w:spacing w:after="0" w:line="170"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In February 2023, the Company announced that it had been awarded a new grant totaling USD 0.5 (CHF 0.4) million from the MJFF to support the development of its TDP-43 PET tracer program.</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Grant from the Target ALS Foundation</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Q1 2021, AC Immune was awarded a USD 0.3 (CHF 0.2) million grant from Target ALS. This grant funded a collaboration between the Company and the Investigators at the Healey Center for ALS at Massachusetts General Hospital (MGH) to accelerate the development of the Company’s proprietary immunoassays to detect disease-associated forms of TDP-43 in CSF and blood samples. The Company was awarded an additional one-year grant in December 2022 for USD 0.1 (CHF 0.1) million to continue the project, which was completed in 2023. Subsequently, in December 2023, AC Immune was awarded another one-year grant for the same amount, USD 0.1 (CHF 0.1) million, to continue its work.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right="99"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May 2014, the IASB issued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which amends the guidance for accounting for revenues from contracts with customers. This IFRS replaces all current revenue standards in IFRS including IAS 11 </w:t>
      </w:r>
      <w:r>
        <w:rPr>
          <w:rFonts w:ascii="Times New Roman" w:cs="Times New Roman" w:eastAsia="Times New Roman" w:hAnsi="Times New Roman"/>
          <w:sz w:val="18"/>
          <w:szCs w:val="18"/>
          <w:i w:val="1"/>
          <w:iCs w:val="1"/>
          <w:color w:val="auto"/>
        </w:rPr>
        <w:t>Construction Contracts</w:t>
      </w:r>
      <w:r>
        <w:rPr>
          <w:rFonts w:ascii="Times New Roman" w:cs="Times New Roman" w:eastAsia="Times New Roman" w:hAnsi="Times New Roman"/>
          <w:sz w:val="18"/>
          <w:szCs w:val="18"/>
          <w:color w:val="auto"/>
        </w:rPr>
        <w:t xml:space="preserve">, IAS 18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and various interpretations.</w:t>
      </w:r>
    </w:p>
    <w:p>
      <w:pPr>
        <w:spacing w:after="0" w:line="175"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7"/>
          <w:szCs w:val="17"/>
          <w:color w:val="auto"/>
        </w:rPr>
        <w:t>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w:t>
      </w:r>
    </w:p>
    <w:p>
      <w:pPr>
        <w:spacing w:after="0" w:line="1" w:lineRule="exact"/>
        <w:rPr>
          <w:sz w:val="20"/>
          <w:szCs w:val="20"/>
          <w:color w:val="auto"/>
        </w:rPr>
      </w:pPr>
    </w:p>
    <w:p>
      <w:pPr>
        <w:ind w:left="60" w:right="99" w:hanging="10"/>
        <w:spacing w:after="0" w:line="249" w:lineRule="auto"/>
        <w:tabs>
          <w:tab w:leader="none" w:pos="3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entity satisfies a performance obligation. The Company applies the five-step model to contracts only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1" w:lineRule="exact"/>
        <w:rPr>
          <w:sz w:val="20"/>
          <w:szCs w:val="20"/>
          <w:color w:val="auto"/>
        </w:rPr>
      </w:pPr>
    </w:p>
    <w:p>
      <w:pPr>
        <w:ind w:left="60" w:right="159" w:firstLine="324"/>
        <w:spacing w:after="0" w:line="270" w:lineRule="auto"/>
        <w:rPr>
          <w:sz w:val="20"/>
          <w:szCs w:val="20"/>
          <w:color w:val="auto"/>
        </w:rPr>
      </w:pPr>
      <w:r>
        <w:rPr>
          <w:rFonts w:ascii="Times New Roman" w:cs="Times New Roman" w:eastAsia="Times New Roman" w:hAnsi="Times New Roman"/>
          <w:sz w:val="17"/>
          <w:szCs w:val="17"/>
          <w:i w:val="1"/>
          <w:iCs w:val="1"/>
          <w:color w:val="auto"/>
        </w:rPr>
        <w:t>Contract revenue</w:t>
      </w:r>
      <w:r>
        <w:rPr>
          <w:rFonts w:ascii="Times New Roman" w:cs="Times New Roman" w:eastAsia="Times New Roman" w:hAnsi="Times New Roman"/>
          <w:sz w:val="17"/>
          <w:szCs w:val="17"/>
          <w:color w:val="auto"/>
        </w:rPr>
        <w:t>. The Company enters into LCAs, which are within the scope of IFRS 15, under which it licenses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proprietary rights to its product candidates and intellectual property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commercialized products depending on the Company’s intellectual property. Each of these payments results in license, collaboration and other revenues, which are classified as contract revenue on the consolidated statements of income/(loss).</w:t>
      </w:r>
    </w:p>
    <w:p>
      <w:pPr>
        <w:spacing w:after="0" w:line="175"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Licenses of intellectual property</w:t>
      </w:r>
      <w:r>
        <w:rPr>
          <w:rFonts w:ascii="Times New Roman" w:cs="Times New Roman" w:eastAsia="Times New Roman" w:hAnsi="Times New Roman"/>
          <w:sz w:val="18"/>
          <w:szCs w:val="18"/>
          <w:color w:val="auto"/>
        </w:rPr>
        <w:t>. If the license to the Company’s intellectual property is determined to be distinct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90"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development, regulatory and/or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 payments, the Company evaluates whether the milestones are considered highly probable of being reached and estimates the amount to be included in the transaction price using the most likely amount method. If it is highly probable that a significant cumulative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85" w:lineRule="exact"/>
        <w:rPr>
          <w:sz w:val="20"/>
          <w:szCs w:val="20"/>
          <w:color w:val="auto"/>
        </w:rPr>
      </w:pPr>
    </w:p>
    <w:p>
      <w:pPr>
        <w:ind w:left="60" w:right="379" w:firstLine="324"/>
        <w:spacing w:after="0" w:line="298" w:lineRule="auto"/>
        <w:rPr>
          <w:sz w:val="20"/>
          <w:szCs w:val="20"/>
          <w:color w:val="auto"/>
        </w:rPr>
      </w:pPr>
      <w:r>
        <w:rPr>
          <w:rFonts w:ascii="Times New Roman" w:cs="Times New Roman" w:eastAsia="Times New Roman" w:hAnsi="Times New Roman"/>
          <w:sz w:val="17"/>
          <w:szCs w:val="17"/>
          <w:i w:val="1"/>
          <w:iCs w:val="1"/>
          <w:color w:val="auto"/>
        </w:rPr>
        <w:t>Research and development services</w:t>
      </w:r>
      <w:r>
        <w:rPr>
          <w:rFonts w:ascii="Times New Roman" w:cs="Times New Roman" w:eastAsia="Times New Roman" w:hAnsi="Times New Roman"/>
          <w:sz w:val="17"/>
          <w:szCs w:val="17"/>
          <w:color w:val="auto"/>
        </w:rPr>
        <w:t>. The Company has certain arrangements with our collaboration partners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contracting our employees for research and development programs. The Company assesses if these services are</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considered distinct in the context of each contract and, if so, they are accounted for as separate performance obligations.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revenues are recorded in contract revenue as the services are performed.</w:t>
      </w:r>
    </w:p>
    <w:p>
      <w:pPr>
        <w:spacing w:after="0" w:line="205" w:lineRule="exact"/>
        <w:rPr>
          <w:sz w:val="20"/>
          <w:szCs w:val="20"/>
          <w:color w:val="auto"/>
        </w:rPr>
      </w:pPr>
    </w:p>
    <w:p>
      <w:pPr>
        <w:jc w:val="both"/>
        <w:ind w:left="6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Sublicense revenues</w:t>
      </w:r>
      <w:r>
        <w:rPr>
          <w:rFonts w:ascii="Times New Roman" w:cs="Times New Roman" w:eastAsia="Times New Roman" w:hAnsi="Times New Roman"/>
          <w:sz w:val="18"/>
          <w:szCs w:val="18"/>
          <w:color w:val="auto"/>
        </w:rPr>
        <w:t>. The Company has certain arrangements with our collaboration partners that include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sublicensing. The Company recognizes any sublicense revenues at the point in time it is highly probable to obtain and not subject to reversal in the future.</w:t>
      </w:r>
    </w:p>
    <w:p>
      <w:pPr>
        <w:spacing w:after="0" w:line="173"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The Company receives payments and determines credit terms from its customers for its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based on billing schedules established in each contract. The timing of revenue recognition, billings and cash collections results in billed other current receivables, accrued income (contract assets), and deferred income (contract liabilities) on the consolidated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record accrued expenses for estimated costs of our research and development activities conducted by third-party service providers, which include among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expenses on the consolidated balance sheets and within research and development expenses in the consolidated statements of income/(loss). These costs are a significant component of our research and development expenses.</w:t>
      </w:r>
    </w:p>
    <w:p>
      <w:pPr>
        <w:spacing w:after="0" w:line="18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We record accrued expenses for these costs based on the estimated amount of work completed in accordance with agreements established with these third parties, which involves the following process:</w:t>
      </w:r>
    </w:p>
    <w:p>
      <w:pPr>
        <w:spacing w:after="0" w:line="162" w:lineRule="exact"/>
        <w:rPr>
          <w:sz w:val="20"/>
          <w:szCs w:val="20"/>
          <w:color w:val="auto"/>
        </w:rPr>
      </w:pPr>
    </w:p>
    <w:p>
      <w:pPr>
        <w:ind w:left="720" w:right="319" w:hanging="319"/>
        <w:spacing w:after="0" w:line="258"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costs;</w:t>
      </w:r>
    </w:p>
    <w:p>
      <w:pPr>
        <w:spacing w:after="0" w:line="196"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and accruing expenses in our consolidated financial statements as of each balance sheet date based on facts and circumstances known to us at the time; and</w:t>
      </w:r>
    </w:p>
    <w:p>
      <w:pPr>
        <w:spacing w:after="0" w:line="189" w:lineRule="exact"/>
        <w:rPr>
          <w:rFonts w:ascii="Times New Roman" w:cs="Times New Roman" w:eastAsia="Times New Roman" w:hAnsi="Times New Roman"/>
          <w:sz w:val="18"/>
          <w:szCs w:val="18"/>
          <w:color w:val="auto"/>
        </w:rPr>
      </w:pPr>
    </w:p>
    <w:p>
      <w:pPr>
        <w:ind w:left="380" w:right="739" w:firstLine="21"/>
        <w:spacing w:after="0" w:line="493" w:lineRule="auto"/>
        <w:tabs>
          <w:tab w:leader="none" w:pos="73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confirming the accuracy of our estimates with selected providers and adjusting, if necessary. Examples of estimated research and development expenses that we accrue include:</w:t>
      </w:r>
    </w:p>
    <w:p>
      <w:pPr>
        <w:ind w:left="720" w:hanging="319"/>
        <w:spacing w:after="0"/>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preclinical and toxicology studies and clinical studies;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investigative sites in connection with clinical studies;</w:t>
      </w:r>
    </w:p>
    <w:p>
      <w:pPr>
        <w:spacing w:after="0" w:line="225" w:lineRule="exact"/>
        <w:rPr>
          <w:rFonts w:ascii="Times New Roman" w:cs="Times New Roman" w:eastAsia="Times New Roman" w:hAnsi="Times New Roman"/>
          <w:sz w:val="18"/>
          <w:szCs w:val="18"/>
          <w:color w:val="auto"/>
        </w:rPr>
      </w:pPr>
    </w:p>
    <w:p>
      <w:pPr>
        <w:ind w:left="720" w:right="959" w:hanging="319"/>
        <w:spacing w:after="0" w:line="282"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CMOs in connection with the production of our product candidates prior to qualifying for capitalization as inventory;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 fees for consulting and related services.</w:t>
      </w:r>
    </w:p>
    <w:p>
      <w:pPr>
        <w:spacing w:after="0" w:line="225" w:lineRule="exact"/>
        <w:rPr>
          <w:sz w:val="20"/>
          <w:szCs w:val="20"/>
          <w:color w:val="auto"/>
        </w:rPr>
      </w:pPr>
    </w:p>
    <w:p>
      <w:pPr>
        <w:jc w:val="both"/>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base our expense accruals related to clinical studies on our estimates of the services received and efforts expended pursuant to contracts with multiple research institutions and clinical CROs that conduct and manage clinical studies on our behalf. The financial terms of these agreements vary from contract to contract and may result in uneven payment flows.</w:t>
      </w:r>
    </w:p>
    <w:p>
      <w:pPr>
        <w:spacing w:after="0" w:line="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Payments under some of these contracts depend on factors such as the successful enrollment of patients and the completion of clinical study milestones. Our service providers predominantly invoice us monthly in arrears for services performed. In accruing service fees, we estimate the time period over which the services will be performed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17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To date, we have not experienced significant changes in our estimates of accrued research and development expenses after a reporting period. However, due to the nature of estimates, we may be required to make changes to our estimates in the future as we become aware of additional information about the status or conduct of our clinical studies and other research activities.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consolidated statements of income/(loss), and a corresponding adjustment to equity over the remaining vesting period.</w:t>
      </w:r>
    </w:p>
    <w:p>
      <w:pPr>
        <w:spacing w:after="0" w:line="192"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We estimate the fair value of all time-vested options as of the date of grant using the Black-Scholes option-pricing model. Key assumptions in determining the fair value of share options granted utilizing the Black-Scholes valuation method include the following:</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9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496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Method of estimation</w:t>
            </w:r>
          </w:p>
        </w:tc>
      </w:tr>
      <w:tr>
        <w:trPr>
          <w:trHeight w:val="229"/>
        </w:trPr>
        <w:tc>
          <w:tcPr>
            <w:tcW w:w="394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Estimated expected term of options</w:t>
            </w:r>
          </w:p>
        </w:tc>
        <w:tc>
          <w:tcPr>
            <w:tcW w:w="4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Simplified method</w:t>
            </w:r>
          </w:p>
        </w:tc>
      </w:tr>
      <w:tr>
        <w:trPr>
          <w:trHeight w:val="198"/>
        </w:trPr>
        <w:tc>
          <w:tcPr>
            <w:tcW w:w="3940" w:type="dxa"/>
            <w:vAlign w:val="bottom"/>
          </w:tcPr>
          <w:p>
            <w:pPr>
              <w:spacing w:after="0"/>
              <w:rPr>
                <w:sz w:val="17"/>
                <w:szCs w:val="17"/>
                <w:color w:val="auto"/>
              </w:rPr>
            </w:pPr>
          </w:p>
        </w:tc>
        <w:tc>
          <w:tcPr>
            <w:tcW w:w="4960" w:type="dxa"/>
            <w:vAlign w:val="bottom"/>
          </w:tcPr>
          <w:p>
            <w:pPr>
              <w:ind w:left="940"/>
              <w:spacing w:after="0" w:line="198" w:lineRule="exact"/>
              <w:rPr>
                <w:sz w:val="20"/>
                <w:szCs w:val="20"/>
                <w:color w:val="auto"/>
              </w:rPr>
            </w:pPr>
            <w:r>
              <w:rPr>
                <w:rFonts w:ascii="Times New Roman" w:cs="Times New Roman" w:eastAsia="Times New Roman" w:hAnsi="Times New Roman"/>
                <w:sz w:val="18"/>
                <w:szCs w:val="18"/>
                <w:color w:val="auto"/>
              </w:rPr>
              <w:t>● The Company’s actual volatility for the period</w:t>
            </w:r>
          </w:p>
        </w:tc>
      </w:tr>
      <w:tr>
        <w:trPr>
          <w:trHeight w:val="203"/>
        </w:trPr>
        <w:tc>
          <w:tcPr>
            <w:tcW w:w="3940" w:type="dxa"/>
            <w:vAlign w:val="bottom"/>
          </w:tcPr>
          <w:p>
            <w:pPr>
              <w:spacing w:after="0"/>
              <w:rPr>
                <w:sz w:val="17"/>
                <w:szCs w:val="17"/>
                <w:color w:val="auto"/>
              </w:rPr>
            </w:pPr>
          </w:p>
        </w:tc>
        <w:tc>
          <w:tcPr>
            <w:tcW w:w="4960" w:type="dxa"/>
            <w:vAlign w:val="bottom"/>
          </w:tcPr>
          <w:p>
            <w:pPr>
              <w:ind w:left="1100"/>
              <w:spacing w:after="0" w:line="202" w:lineRule="exact"/>
              <w:rPr>
                <w:sz w:val="20"/>
                <w:szCs w:val="20"/>
                <w:color w:val="auto"/>
              </w:rPr>
            </w:pPr>
            <w:r>
              <w:rPr>
                <w:rFonts w:ascii="Times New Roman" w:cs="Times New Roman" w:eastAsia="Times New Roman" w:hAnsi="Times New Roman"/>
                <w:sz w:val="18"/>
                <w:szCs w:val="18"/>
                <w:color w:val="auto"/>
              </w:rPr>
              <w:t>congruent with the expected term of the underlying</w:t>
            </w:r>
          </w:p>
        </w:tc>
      </w:tr>
      <w:tr>
        <w:trPr>
          <w:trHeight w:val="248"/>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Expected volatility</w:t>
            </w:r>
          </w:p>
        </w:tc>
        <w:tc>
          <w:tcPr>
            <w:tcW w:w="4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option</w:t>
            </w: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Risk-free interest rate</w:t>
            </w:r>
          </w:p>
        </w:tc>
        <w:tc>
          <w:tcPr>
            <w:tcW w:w="4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Yields of long-dated U.S. Treasury notes</w:t>
            </w: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Expected dividends</w:t>
            </w:r>
          </w:p>
        </w:tc>
        <w:tc>
          <w:tcPr>
            <w:tcW w:w="49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Zero percent as dividends have not been paid</w:t>
            </w: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Forfeiture rates</w:t>
            </w:r>
          </w:p>
        </w:tc>
        <w:tc>
          <w:tcPr>
            <w:tcW w:w="4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Historical and expected forfeiture data</w:t>
            </w:r>
          </w:p>
        </w:tc>
      </w:tr>
    </w:tbl>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27"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We estimate the fair value of restricted share units using a reasonable estimate of market value of the common shares on the date of the award. We classify our share-based payments as equity-classified awards as they are settled in our common shares. We measure equity-classified awards at their grant date fair value and do not subsequently re-measure them. Compensation costs related to equity-classified awards are equal to the fair value of the award at grant date amortized over the vesting period of the award using the graded method. We reclassify that portion of vested awards to share premium as the awards vested.</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Right-of-use assets and lease liabilities</w:t>
      </w:r>
    </w:p>
    <w:p>
      <w:pPr>
        <w:spacing w:after="0" w:line="227" w:lineRule="exact"/>
        <w:rPr>
          <w:sz w:val="20"/>
          <w:szCs w:val="20"/>
          <w:color w:val="auto"/>
        </w:rPr>
      </w:pPr>
    </w:p>
    <w:p>
      <w:pPr>
        <w:ind w:left="60" w:right="179"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provides the model for lessee accounting in which all leases, other than short-term and low-value leases, are accounted for by the recognition on the consolidated balance sheet of a right-of-use asset and a lease liability, and the subsequent amortization of the right-of-use asset over the earlier of the end of the useful life or the lease term. In accordance with IFRS 16, the Company (i) does not recognize right-of-use assets and lease liabilities for leases of low value (i.e. approximate fair value of USD 5,000). For a complete discussion of accounting, see “Note 5. Right-of-use assets, long-term financial assets and lease liabilities.”</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In-process research and development (IPR&amp;D) asset</w:t>
      </w:r>
    </w:p>
    <w:p>
      <w:pPr>
        <w:spacing w:after="0" w:line="22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The Company’s acquired IPR&amp;D asset is stated at cost less any impairments. Our IPR&amp;D asset is subject to impairment testing at least annually or when there are indications that the carrying value may not be recoverable until the completion of the development process. At that point, the capitalized amounts are amortized over their estimated useful life. The determination of the recoverable amounts include key estimates which are highly sensitive to, and depend upon, key assumptions.</w:t>
      </w:r>
    </w:p>
    <w:p>
      <w:pPr>
        <w:spacing w:after="0" w:line="183"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not capitalize future development costs in respect to this IPR&amp;D asset until they meet the criteria for capitalization of research and development costs in accordance with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employee defined benefit liabilities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the mandatory pension schemes for its employees in Switzerland. The schemes are generally funded through payments to insurance companies. The Company has a pension plan designed to pay pensions based on accumulated contributions on individual savings accounts. However, this plan is classified as a defined benefit plan under IAS 19.</w:t>
      </w:r>
    </w:p>
    <w:p>
      <w:pPr>
        <w:spacing w:after="0" w:line="180"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net defined benefit liability is the present value of the defined benefit obligation at the balance sheet date minus the fair value of plan assets. Significant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and pension increases as well as discount rates of highly liquid corporate bonds that have terms to maturity approximating the terms of the related liability.</w:t>
      </w:r>
    </w:p>
    <w:p>
      <w:pPr>
        <w:spacing w:after="0" w:line="18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the fair value of the plan assets is greater than the present value of the defined benefit obligation as calculated by our independent actuary, the Company accounts for the effect of the asset ceiling test under IAS 19.</w:t>
      </w:r>
    </w:p>
    <w:p>
      <w:pPr>
        <w:spacing w:after="0" w:line="148"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Re-measurements of the net defined benefit liability, which comprise actuarial gains and losses and the return on plan assets (excluding interest) are recognized immediately in the consolidated statements of other comprehensive income/(loss). Past service costs, including curtailment gains or losses, are recognized immediately as a split in research and development and general and administrative expenses within the operating results. Settlement gains or losses are recognized in either research and development and/or general and administrative expenses within the operating results. The Company determines the net interest expense/(income) on the net defined benefit liability for the period by applying the discount rate used to measure the defined benefit obligation at the beginning of the annual period or in case of any significant events between measurement dates to the then-net defined benefit liability, considering any changes in the net defined benefit liability during the period as a result of contributions and benefit payments. Net interest expense/(income) and other expenses related to defined benefit plans are recognized in the consolidated statements of income/(loss).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 revenues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Given our stage of development, we have not generated any revenue from product sales. Our contract revenues to date have been derived primarily from separate license and collaboration agreements on some of our product candidates in various stages of preclinical and clinical development.</w:t>
      </w:r>
    </w:p>
    <w:p>
      <w:pPr>
        <w:spacing w:after="0" w:line="183"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Our contract revenues have experienced fluctuations over the past three years as a result of the timing of milestone achievement and the size of each milestone payment. We expect that any revenue we generate from our collaboration agreements with each of Lilly, Janssen and LMI and/or from any other current or future collaboration partners will fluctuate from year to year as a result of the timing and amount of milestones and other payments.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of salaries and benefits, laboratory supplies, materials, intellectual property, facility and information technology (IT) costs, as well as fees paid to other non-employees and entities that conduct certain research and development activities on our behalf and all other allocated expenses. Amounts incurred in connection with license and collaboration agreements are also included in research and development expense. Payments made prior to the receipt of goods or services to be used in research and development are capitalized until those goods or services are received.</w:t>
      </w:r>
    </w:p>
    <w:p>
      <w:pPr>
        <w:spacing w:after="0" w:line="174"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We accrue and expense clinical trial activities performed by third parties based upon actual work completed in accordance with agreements established with clinical CROs and clinical sites. We determine the actual costs through monitoring patient enrollment and discussions with internal personnel and external service providers as to the progress or stage of completion of trials or services and the agreed-upon fee to be paid for such services.</w:t>
      </w:r>
    </w:p>
    <w:p>
      <w:pPr>
        <w:spacing w:after="0" w:line="183" w:lineRule="exact"/>
        <w:rPr>
          <w:sz w:val="20"/>
          <w:szCs w:val="20"/>
          <w:color w:val="auto"/>
        </w:rPr>
      </w:pPr>
    </w:p>
    <w:p>
      <w:pPr>
        <w:ind w:left="60" w:right="319" w:firstLine="324"/>
        <w:spacing w:after="0" w:line="254" w:lineRule="auto"/>
        <w:rPr>
          <w:sz w:val="20"/>
          <w:szCs w:val="20"/>
          <w:color w:val="auto"/>
        </w:rPr>
      </w:pPr>
      <w:r>
        <w:rPr>
          <w:rFonts w:ascii="Times New Roman" w:cs="Times New Roman" w:eastAsia="Times New Roman" w:hAnsi="Times New Roman"/>
          <w:sz w:val="18"/>
          <w:szCs w:val="18"/>
          <w:color w:val="auto"/>
        </w:rPr>
        <w:t>Manufacturing start-up costs are a component of research and development expenses. Additionally, manufacturing costs incurred after regulatory approval but in connection with significant changes and/or enhancements to the approved manufacturing process are recorded as research and development expenses. We accrue and expense the manufacturing activities performed by third parties based upon actual work completed in accordance with agreements established with contract manufacturers.</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Our investment in research and development activities, including the clinical development of our product candidates has historically been, and is projected to be, more than 75% of our total annual operating costs. Research and development expenses represent costs incurred to conduct research, such as the discovery and development of our product candidates, as well as development of new product candidates from our SupraAntigen and Morphomer platforms and the development of product candidates pursuant to our collaboration agreements with Lilly, Janssen and LMI. We recognize all research and development costs as they are incurred. Clinical study costs, contract manufacturing and other development costs incurred by third parties are expensed as the contracted work is performed. At present, most of our research activities comprise three major areas:</w:t>
      </w:r>
    </w:p>
    <w:p>
      <w:pPr>
        <w:spacing w:after="0" w:line="192" w:lineRule="exact"/>
        <w:rPr>
          <w:sz w:val="20"/>
          <w:szCs w:val="20"/>
          <w:color w:val="auto"/>
        </w:rPr>
      </w:pPr>
    </w:p>
    <w:p>
      <w:pPr>
        <w:ind w:left="720" w:hanging="319"/>
        <w:spacing w:after="0"/>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non-AD NDD including Parkinson’s disease, ALS and NeuroOrphan indications;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diagnostics.</w:t>
      </w:r>
    </w:p>
    <w:p>
      <w:pPr>
        <w:spacing w:after="0" w:line="225"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increase in the future and expect to fund a broader number of projects, which will impact our research strategy in four key ways:</w:t>
      </w:r>
    </w:p>
    <w:p>
      <w:pPr>
        <w:spacing w:after="0" w:line="162" w:lineRule="exact"/>
        <w:rPr>
          <w:sz w:val="20"/>
          <w:szCs w:val="20"/>
          <w:color w:val="auto"/>
        </w:rPr>
      </w:pPr>
    </w:p>
    <w:p>
      <w:pPr>
        <w:ind w:left="720" w:right="739" w:hanging="319"/>
        <w:spacing w:after="0" w:line="282"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undertake later-stage research and development for certain of our product candidates and, if approved, to take some of those product candidates into commercialization;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allocate more funding to existing programs to advance the development of these programs;</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increase our research and development efforts on non-AD indications including NeuroOrphans and diagnostics; and</w:t>
      </w:r>
    </w:p>
    <w:p>
      <w:pPr>
        <w:spacing w:after="0" w:line="16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initiate a number of new research initiatives that are complementary to our existing and planned research initiatives.</w:t>
      </w:r>
    </w:p>
    <w:p>
      <w:pPr>
        <w:spacing w:after="0" w:line="16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expect that our total future research and development costs will increase over current levels in line with our three-pillar strategy that focuses on (i) AD, (ii) focused non-AD NDD including PD, ALS and NeuroOrphan indications and (iii) diagnostics.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certain IT, facilities and depreciation expenses. We continue to incur additional expenses as a result of operating as a public company, including expenses related to compliance with the rules and regulations of the SEC, and those of any national securities exchange on which our securities are traded (Nasdaq), additional insurance expenses, investor relations activities and other administrative and professional services.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 net</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Other operating income/(expense) consists primarily of income associated with foundation grants such as those from the MJFF or Target ALS.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Finance result, net</w:t>
      </w:r>
    </w:p>
    <w:p>
      <w:pPr>
        <w:spacing w:after="0" w:line="229" w:lineRule="exact"/>
        <w:rPr>
          <w:sz w:val="20"/>
          <w:szCs w:val="20"/>
          <w:color w:val="auto"/>
        </w:rPr>
      </w:pPr>
    </w:p>
    <w:p>
      <w:pPr>
        <w:ind w:left="60" w:right="359" w:firstLine="324"/>
        <w:spacing w:after="0" w:line="254" w:lineRule="auto"/>
        <w:rPr>
          <w:sz w:val="20"/>
          <w:szCs w:val="20"/>
          <w:color w:val="auto"/>
        </w:rPr>
      </w:pPr>
      <w:r>
        <w:rPr>
          <w:rFonts w:ascii="Times New Roman" w:cs="Times New Roman" w:eastAsia="Times New Roman" w:hAnsi="Times New Roman"/>
          <w:sz w:val="18"/>
          <w:szCs w:val="18"/>
          <w:color w:val="auto"/>
        </w:rPr>
        <w:t>Financial income and expenses include bank fees associated with charges levied by banks on foreign payments, interest income and expense associated with our cash balances and interest expense associated with lease liabilities. For the year ended December 31, 2021, we recognized a gain on the change in fair value of derivative financial assets associated with two convertible notes sold to certain Affiris affiliated entities that did not occur in the current or comparable prior period.</w:t>
      </w:r>
    </w:p>
    <w:p>
      <w:pPr>
        <w:spacing w:after="0" w:line="18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Exchange differences consist of foreign exchange transactions and re-measurement gains and losses that arise from our cash being held in currency other than Swiss Francs, certain collaboration agreements such as the collaboration agreements with LMI being denominated in currencies other than Swiss Francs, and selected purchases, which we effect in foreign currencies.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16"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AC Immune is subject to corporate Swiss federal, cantonal and communal taxation, respectively, in Switzerland, Canton of Vaud, Commune of Ecublens, near Lausanne. We are also subject to taxation in other jurisdictions in which we operate, in particular, the United States where our wholly-owned subsidiary is incorporated.</w:t>
      </w:r>
    </w:p>
    <w:p>
      <w:pPr>
        <w:spacing w:after="0" w:line="176"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are entitled under Swiss laws to carry forward any losses incurred for a period of 7 years and can offset our losses carried forward against future taxes. As of December 31, 2023, we had tax loss carry-forwards totaling CHF 313.0 million (provisional amount; tax loss is definitively recognized by Swiss tax authorities once set-off against taxable income). There is no certainty that we will make sufficient profits to be able to utilize these tax loss carry-forwards in full.</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effective corporate income tax rate (federal, cantonal and communal) where we are domiciled is currently 13.6%.</w:t>
      </w:r>
    </w:p>
    <w:p>
      <w:pPr>
        <w:spacing w:after="0" w:line="225"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As of January 1, 2020, the Company may request for 2020 and future tax years a tax relief of 60%, which would be applied to income from patents and similar rights at the communal and cantonal levels. This relief would first require the reintegration of all expensed and deducted research and development costs related to the concerned patents and similar rights for consideration in our taxable results from the prior ten years. The Company has not currently made any decision to enter this patent box system. Additionally, a “super-deduction” may be granted for payroll and other expenses of research and development of Swiss origins.</w:t>
      </w:r>
    </w:p>
    <w:p>
      <w:pPr>
        <w:spacing w:after="0" w:line="174"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However, the aforementioned tax relief based on the patent box and deductions for research and development may not exceed 50% of the overall taxable profit before these tax relief and deductions.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corporate income tax, the corporate capital is taxed at a rate of 0.1305% (cantonal and communal tax only, as there is no federal tax on capital).</w:t>
      </w:r>
    </w:p>
    <w:p>
      <w:pPr>
        <w:spacing w:after="0" w:line="162"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Value added tax (VAT) is charged on all qualifying goods and services supplied by VAT-registered businesses. Rates vary based on category, but the Company applies a standard rate of 8.1% since January 1, 2024 on the value of the goods or services to all sales invoices, which is payable to the Swiss tax authorities. Similarly, VAT paid on purchase invoices is reclaimable from the Swiss tax authorities.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numbers below have been derived from our audited consolidated financial statements included elsewhere in this Annual Report. The discussion below should be read along with these consolidated financial statements and it is qualified in its entirety by reference to them.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 revenue</w:t>
      </w:r>
    </w:p>
    <w:p>
      <w:pPr>
        <w:spacing w:after="0" w:line="229" w:lineRule="exact"/>
        <w:rPr>
          <w:sz w:val="20"/>
          <w:szCs w:val="20"/>
          <w:color w:val="auto"/>
        </w:rPr>
      </w:pPr>
    </w:p>
    <w:p>
      <w:pPr>
        <w:jc w:val="both"/>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AC Immune generated CHF 14.8 million in contract revenues compared with CHF 3.9 million for the comparable period in 2022. This represents an increase of CHF 10.9 million. The following table summarizes our contract revenues during the years ended December 31, 2023 and 2022:</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16"/>
                <w:szCs w:val="16"/>
                <w:color w:val="auto"/>
              </w:rPr>
            </w:pPr>
          </w:p>
        </w:tc>
      </w:tr>
      <w:tr>
        <w:trPr>
          <w:trHeight w:val="194"/>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6"/>
                <w:szCs w:val="16"/>
                <w:color w:val="auto"/>
              </w:rPr>
            </w:pPr>
          </w:p>
        </w:tc>
      </w:tr>
      <w:tr>
        <w:trPr>
          <w:trHeight w:val="189"/>
        </w:trPr>
        <w:tc>
          <w:tcPr>
            <w:tcW w:w="602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8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14,801</w:t>
            </w:r>
          </w:p>
        </w:tc>
        <w:tc>
          <w:tcPr>
            <w:tcW w:w="2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w:t>
            </w:r>
          </w:p>
        </w:tc>
      </w:tr>
      <w:tr>
        <w:trPr>
          <w:trHeight w:val="22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14,801</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10,866</w:t>
            </w:r>
          </w:p>
        </w:tc>
      </w:tr>
    </w:tbl>
    <w:p>
      <w:pPr>
        <w:spacing w:after="0" w:line="211"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Our contract revenues experience fluctuations as a result of securing new collaboration agreements, the timing of milestone achievements and the size of each milestone payment. For the year ended December 31, 2023, our contract revenues of CHF 14.8 million were related to the commencement of the first Phase 2b clinical study of ACI-35.056 per our agreement with Janssen. For the year ended December 31, 2022 our contract revenues of CHF 3.9 million were wholly related to the progression of the Tau-PET Tracer PI-2620 into late-stage development in AD per our agreement with LMI.</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16"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agreements have different agreements to share costs for the development of our product candidates.</w:t>
      </w:r>
    </w:p>
    <w:p>
      <w:pPr>
        <w:spacing w:after="0" w:line="180"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have completed our co-development costs with Janssen for the Phase 1b/2a studies for our active immunotherapy, ACI-35.030 and JACI-35.054. AC Immune and Janssen will jointly share research and development costs for the first Phase 2b (however, AC Immune’s contribution to the first Phase 2b trial is capped (and remaining costs for AC Immune are non-material). From Phase 2b and onwards, Janssen will assume responsibility for the clinical development, manufacturing and commercialization.</w:t>
      </w:r>
    </w:p>
    <w:p>
      <w:pPr>
        <w:spacing w:after="0" w:line="18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We intend to increase our R&amp;D costs associated with the advancement of our active immunotherapies, ACI-24.060 targeting Abeta in AD and AD in DS and ACI-7104.056 targeting a-syn in PD, through mid- and late-stage clinical development, as well as through investments in our diagnostic programs.</w:t>
      </w:r>
    </w:p>
    <w:p>
      <w:pPr>
        <w:spacing w:after="0" w:line="176" w:lineRule="exact"/>
        <w:rPr>
          <w:sz w:val="20"/>
          <w:szCs w:val="20"/>
          <w:color w:val="auto"/>
        </w:rPr>
      </w:pPr>
    </w:p>
    <w:p>
      <w:pPr>
        <w:ind w:left="60" w:right="259" w:firstLine="324"/>
        <w:spacing w:after="0" w:line="312" w:lineRule="auto"/>
        <w:rPr>
          <w:sz w:val="20"/>
          <w:szCs w:val="20"/>
          <w:color w:val="auto"/>
        </w:rPr>
      </w:pPr>
      <w:r>
        <w:rPr>
          <w:rFonts w:ascii="Times New Roman" w:cs="Times New Roman" w:eastAsia="Times New Roman" w:hAnsi="Times New Roman"/>
          <w:sz w:val="17"/>
          <w:szCs w:val="17"/>
          <w:color w:val="auto"/>
        </w:rPr>
        <w:t>Finally, we intend to further advance the characterization of our other clinical and preclinical candidates, such as our Morphomer Tau program. In addition to the collaborative arrangements and proprietarily held assets, we expect that our</w:t>
      </w:r>
    </w:p>
    <w:p>
      <w:pPr>
        <w:sectPr>
          <w:pgSz w:w="11900" w:h="16838" w:orient="portrait"/>
          <w:cols w:equalWidth="0" w:num="1">
            <w:col w:w="9019"/>
          </w:cols>
          <w:pgMar w:left="1440" w:top="513" w:right="1440"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future R&amp;D costs will increase over current levels, in line with our three-pillar strategy that focuses on (i) AD,</w:t>
      </w:r>
    </w:p>
    <w:p>
      <w:pPr>
        <w:spacing w:after="0" w:line="27" w:lineRule="exact"/>
        <w:rPr>
          <w:sz w:val="20"/>
          <w:szCs w:val="20"/>
          <w:color w:val="auto"/>
        </w:rPr>
      </w:pPr>
    </w:p>
    <w:p>
      <w:pPr>
        <w:ind w:left="320" w:hanging="270"/>
        <w:spacing w:after="0"/>
        <w:tabs>
          <w:tab w:leader="none" w:pos="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 PD and non-AD neurodegenerative diseases, including NeuroOrphan indications and LATE and</w:t>
      </w:r>
    </w:p>
    <w:p>
      <w:pPr>
        <w:spacing w:after="0" w:line="9"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diagnostics.</w:t>
      </w:r>
    </w:p>
    <w:p>
      <w:pPr>
        <w:spacing w:after="0" w:line="20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table below provides a breakdown of our research and development costs, including direct research and development costs, manufacturing costs related to research and development and other research and development costs not allocated directly to programs for the periods covered by this Annual Report. The research and development costs not allocated to specific programs include employment costs, regulatory, QA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research and development programs.</w:t>
      </w:r>
    </w:p>
    <w:p>
      <w:pPr>
        <w:spacing w:after="0" w:line="187"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research and development expenses totaled CHF 54.6 million compared with CHF 60.3 million for the comparable period in 2022. This represents a decrease of CHF 5.7 million. The following table presents the research and development expenses during the years ended December 31, 2023 and 2022:</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Detailed research and development expenditures by major development category</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Borders>
              <w:top w:val="single" w:sz="8" w:color="auto"/>
            </w:tcBorders>
            <w:gridSpan w:val="2"/>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3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16,889</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20" w:type="dxa"/>
            <w:vAlign w:val="bottom"/>
          </w:tcPr>
          <w:p>
            <w:pPr>
              <w:spacing w:after="0"/>
              <w:rPr>
                <w:sz w:val="19"/>
                <w:szCs w:val="19"/>
                <w:color w:val="auto"/>
              </w:rPr>
            </w:pPr>
          </w:p>
        </w:tc>
      </w:tr>
      <w:tr>
        <w:trPr>
          <w:trHeight w:val="229"/>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Clinical expenses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11,095</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0" w:type="dxa"/>
            <w:vAlign w:val="bottom"/>
          </w:tcPr>
          <w:p>
            <w:pPr>
              <w:spacing w:after="0"/>
              <w:rPr>
                <w:sz w:val="19"/>
                <w:szCs w:val="19"/>
                <w:color w:val="auto"/>
              </w:rPr>
            </w:pPr>
          </w:p>
        </w:tc>
      </w:tr>
      <w:tr>
        <w:trPr>
          <w:trHeight w:val="230"/>
        </w:trPr>
        <w:tc>
          <w:tcPr>
            <w:tcW w:w="65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function expenses</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9"/>
                <w:szCs w:val="19"/>
                <w:color w:val="auto"/>
              </w:rPr>
            </w:pPr>
          </w:p>
        </w:tc>
      </w:tr>
      <w:tr>
        <w:trPr>
          <w:trHeight w:val="263"/>
        </w:trPr>
        <w:tc>
          <w:tcPr>
            <w:tcW w:w="652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 R&amp;D expenses</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23,575</w:t>
            </w:r>
          </w:p>
        </w:tc>
        <w:tc>
          <w:tcPr>
            <w:tcW w:w="1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31,552</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20" w:type="dxa"/>
            <w:vAlign w:val="bottom"/>
          </w:tcPr>
          <w:p>
            <w:pPr>
              <w:spacing w:after="0"/>
              <w:rPr>
                <w:sz w:val="22"/>
                <w:szCs w:val="22"/>
                <w:color w:val="auto"/>
              </w:rPr>
            </w:pPr>
          </w:p>
        </w:tc>
      </w:tr>
      <w:tr>
        <w:trPr>
          <w:trHeight w:val="210"/>
        </w:trPr>
        <w:tc>
          <w:tcPr>
            <w:tcW w:w="65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expenses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0" w:type="dxa"/>
            <w:vAlign w:val="bottom"/>
          </w:tcPr>
          <w:p>
            <w:pPr>
              <w:spacing w:after="0"/>
              <w:rPr>
                <w:sz w:val="18"/>
                <w:szCs w:val="18"/>
                <w:color w:val="auto"/>
              </w:rPr>
            </w:pPr>
          </w:p>
        </w:tc>
      </w:tr>
      <w:tr>
        <w:trPr>
          <w:trHeight w:val="230"/>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9"/>
                <w:szCs w:val="19"/>
                <w:color w:val="auto"/>
              </w:rPr>
            </w:pPr>
          </w:p>
        </w:tc>
      </w:tr>
      <w:tr>
        <w:trPr>
          <w:trHeight w:val="229"/>
        </w:trPr>
        <w:tc>
          <w:tcPr>
            <w:tcW w:w="65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non-allocated</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r>
      <w:tr>
        <w:trPr>
          <w:trHeight w:val="223"/>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1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60,336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Pr>
          <w:p>
            <w:pPr>
              <w:spacing w:after="0"/>
              <w:rPr>
                <w:sz w:val="16"/>
                <w:szCs w:val="16"/>
                <w:color w:val="auto"/>
              </w:rPr>
            </w:pPr>
          </w:p>
        </w:tc>
        <w:tc>
          <w:tcPr>
            <w:tcW w:w="66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6340" w:type="dxa"/>
            <w:vAlign w:val="bottom"/>
            <w:tcBorders>
              <w:top w:val="single" w:sz="8" w:color="auto"/>
            </w:tcBorders>
            <w:gridSpan w:val="3"/>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33,198</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41,166</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r>
      <w:tr>
        <w:trPr>
          <w:trHeight w:val="230"/>
        </w:trPr>
        <w:tc>
          <w:tcPr>
            <w:tcW w:w="20" w:type="dxa"/>
            <w:vAlign w:val="bottom"/>
          </w:tcPr>
          <w:p>
            <w:pPr>
              <w:spacing w:after="0"/>
              <w:rPr>
                <w:sz w:val="19"/>
                <w:szCs w:val="19"/>
                <w:color w:val="auto"/>
              </w:rPr>
            </w:pPr>
          </w:p>
        </w:tc>
        <w:tc>
          <w:tcPr>
            <w:tcW w:w="650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Salaries and related costs</w:t>
            </w:r>
            <w:r>
              <w:rPr>
                <w:rFonts w:ascii="Times New Roman" w:cs="Times New Roman" w:eastAsia="Times New Roman" w:hAnsi="Times New Roman"/>
                <w:sz w:val="26"/>
                <w:szCs w:val="26"/>
                <w:color w:val="auto"/>
                <w:vertAlign w:val="superscript"/>
              </w:rPr>
              <w:t>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21,408</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19,170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Includes depreciation expenses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Includes share-based compensation</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 ended December 31, 2023:</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Discovery and preclinical expenses decreased by CHF 5.8 million, primarily due to:</w:t>
      </w:r>
    </w:p>
    <w:p>
      <w:pPr>
        <w:spacing w:after="0" w:line="239" w:lineRule="exact"/>
        <w:rPr>
          <w:sz w:val="20"/>
          <w:szCs w:val="20"/>
          <w:color w:val="auto"/>
        </w:rPr>
      </w:pPr>
    </w:p>
    <w:p>
      <w:pPr>
        <w:ind w:left="720" w:right="119" w:hanging="319"/>
        <w:spacing w:after="0" w:line="274"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1.8 million due to the completion of preclinical studies for our Morphomer Tau program, CHF 1.0 million in ACI-24.060 due to the program advancing into the Phase 1b/2 ABATE study, CHF 0.9 million for our anti-TDP-43 antibody due to the completion of certain manufacturing activities in the prior period, CHF 0.8 million in ACI-7104.056 due to toxicology studies and validation activities conducted in the prior period and CHF 1.3 million in other discovery and preclinical programs.</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Clinical expenses decreased by CHF 2.0 million, primarily due to:</w:t>
      </w:r>
    </w:p>
    <w:p>
      <w:pPr>
        <w:spacing w:after="0" w:line="225" w:lineRule="exact"/>
        <w:rPr>
          <w:sz w:val="20"/>
          <w:szCs w:val="20"/>
          <w:color w:val="auto"/>
        </w:rPr>
      </w:pPr>
    </w:p>
    <w:p>
      <w:pPr>
        <w:jc w:val="both"/>
        <w:ind w:left="720" w:right="179" w:hanging="319"/>
        <w:spacing w:after="0" w:line="266" w:lineRule="auto"/>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3.4 million for the clinical development of ACI-35.030 driven by the completion of the Phase 1b/2a and the advancement into Phase 2b, where the costs are assumed by Janssen and CHF 0.1 million in other clinical programs.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ind w:left="720" w:right="339" w:hanging="319"/>
        <w:spacing w:after="0" w:line="282" w:lineRule="auto"/>
        <w:tabs>
          <w:tab w:leader="none" w:pos="7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1.5 million for the continued clinical development of our Phase 1b/2 ABATE study for our ACI-24.060.</w:t>
      </w:r>
    </w:p>
    <w:p>
      <w:pPr>
        <w:spacing w:after="0" w:line="162"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variances in Group function expenses relate to regulatory and quality assurance, intellectual property and other non-allocated costs.</w:t>
      </w:r>
    </w:p>
    <w:p>
      <w:pPr>
        <w:spacing w:after="0" w:line="162"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Total salaries and related costs increased by CHF 2.2 million, primarily due to the annualization of 2022 hires, which resulted in an increase in salary- and benefit-related costs of CHF 1.9 million, as well as an incremental CHF 0.3 million in share-based compensation expense.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increase in other non-allocated expenses, which is immaterial, relates to certain non-allocated functional expenses.</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including share-based compensation, professional fees such as legal and accounting related services, infrastructure expenses, and other operating expenses.</w:t>
      </w:r>
    </w:p>
    <w:p>
      <w:pPr>
        <w:spacing w:after="0" w:line="1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general and administrative expenses totaled CHF 15.3 million compared with CHF 15.8 million for the comparable period in 2022. This represents a decrease of CHF 0.5 million. The following table presents the general and administrative expenses during the years ended December 31, 2023 and 2022:</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60" w:type="dxa"/>
            <w:vAlign w:val="bottom"/>
          </w:tcPr>
          <w:p>
            <w:pPr>
              <w:spacing w:after="0"/>
              <w:rPr>
                <w:sz w:val="16"/>
                <w:szCs w:val="16"/>
                <w:color w:val="auto"/>
              </w:rPr>
            </w:pPr>
          </w:p>
        </w:tc>
      </w:tr>
      <w:tr>
        <w:trPr>
          <w:trHeight w:val="194"/>
        </w:trPr>
        <w:tc>
          <w:tcPr>
            <w:tcW w:w="22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16"/>
                <w:szCs w:val="16"/>
                <w:color w:val="auto"/>
              </w:rPr>
            </w:pPr>
          </w:p>
        </w:tc>
      </w:tr>
      <w:tr>
        <w:trPr>
          <w:trHeight w:val="189"/>
        </w:trPr>
        <w:tc>
          <w:tcPr>
            <w:tcW w:w="2240" w:type="dxa"/>
            <w:vAlign w:val="bottom"/>
          </w:tcPr>
          <w:p>
            <w:pPr>
              <w:spacing w:after="0"/>
              <w:rPr>
                <w:sz w:val="16"/>
                <w:szCs w:val="16"/>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340" w:type="dxa"/>
            <w:vAlign w:val="bottom"/>
            <w:tcBorders>
              <w:top w:val="single" w:sz="8" w:color="auto"/>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30"/>
        </w:trPr>
        <w:tc>
          <w:tcPr>
            <w:tcW w:w="652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Salaries and related costs</w:t>
            </w:r>
            <w:r>
              <w:rPr>
                <w:rFonts w:ascii="Times New Roman" w:cs="Times New Roman" w:eastAsia="Times New Roman" w:hAnsi="Times New Roman"/>
                <w:sz w:val="26"/>
                <w:szCs w:val="26"/>
                <w:color w:val="auto"/>
                <w:vertAlign w:val="superscript"/>
              </w:rPr>
              <w:t>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23"/>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0"/>
        </w:trPr>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Includes depreciation expenses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Includes share-based compensation</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 ended December 31, 2023, this decrease is primarily due to:</w:t>
      </w:r>
    </w:p>
    <w:p>
      <w:pPr>
        <w:spacing w:after="0" w:line="212" w:lineRule="exact"/>
        <w:rPr>
          <w:sz w:val="20"/>
          <w:szCs w:val="20"/>
          <w:color w:val="auto"/>
        </w:rPr>
      </w:pPr>
    </w:p>
    <w:p>
      <w:pPr>
        <w:ind w:left="700" w:right="359" w:hanging="312"/>
        <w:spacing w:after="0" w:line="282" w:lineRule="auto"/>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1.5 million in operating expenses related to a reduction of CHF 0.5 million in our directors’ and officers’ insurance for the period and a reduction across various cost centers,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ind w:left="720" w:right="439" w:hanging="319"/>
        <w:spacing w:after="0" w:line="266" w:lineRule="auto"/>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1.0 million increase in salaries and related costs, mostly related to an increase in share-based compensation expense, resulting from the equity awards granted in 2023 to the members of management and employees.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 net</w:t>
      </w:r>
    </w:p>
    <w:p>
      <w:pPr>
        <w:spacing w:after="0" w:line="229"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other operating income/(expense), net totaled CHF 1.5 million in income compared with CHF 1.3 million in income for the comparable period in 2022. This represents an increase of CHF 0.2 million, which is immaterial. The following table presents the other operating income/(expense) during the years ended December 31, 2023 and 2022:</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4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Pr>
          <w:p>
            <w:pPr>
              <w:spacing w:after="0"/>
              <w:rPr>
                <w:sz w:val="16"/>
                <w:szCs w:val="16"/>
                <w:color w:val="auto"/>
              </w:rPr>
            </w:pPr>
          </w:p>
        </w:tc>
      </w:tr>
      <w:tr>
        <w:trPr>
          <w:trHeight w:val="189"/>
        </w:trPr>
        <w:tc>
          <w:tcPr>
            <w:tcW w:w="6600" w:type="dxa"/>
            <w:vAlign w:val="bottom"/>
            <w:gridSpan w:val="2"/>
          </w:tcPr>
          <w:p>
            <w:pPr>
              <w:ind w:left="26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1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1,486</w:t>
            </w:r>
          </w:p>
        </w:tc>
        <w:tc>
          <w:tcPr>
            <w:tcW w:w="1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1,343</w:t>
            </w:r>
          </w:p>
        </w:tc>
        <w:tc>
          <w:tcPr>
            <w:tcW w:w="2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income/(expense), net</w:t>
            </w: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1,486</w:t>
            </w:r>
          </w:p>
        </w:tc>
        <w:tc>
          <w:tcPr>
            <w:tcW w:w="180" w:type="dxa"/>
            <w:vAlign w:val="bottom"/>
          </w:tcPr>
          <w:p>
            <w:pPr>
              <w:spacing w:after="0"/>
              <w:rPr>
                <w:sz w:val="19"/>
                <w:szCs w:val="19"/>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1,343</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Finance result, net</w:t>
      </w:r>
    </w:p>
    <w:p>
      <w:pPr>
        <w:spacing w:after="0" w:line="229" w:lineRule="exact"/>
        <w:rPr>
          <w:sz w:val="20"/>
          <w:szCs w:val="20"/>
          <w:color w:val="auto"/>
        </w:rPr>
      </w:pPr>
    </w:p>
    <w:p>
      <w:pPr>
        <w:jc w:val="both"/>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finance result was a CHF 0.6 million loss compared with a CHF 0.1 million gain for the comparable period in 2022. This represents a decrease of CHF 0.7 million. The following table presents the finance result during the years ended December 31, 2023 and 2022:</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520" w:type="dxa"/>
            <w:vAlign w:val="bottom"/>
            <w:gridSpan w:val="2"/>
          </w:tcPr>
          <w:p>
            <w:pPr>
              <w:ind w:left="26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 w:type="dxa"/>
            <w:vAlign w:val="bottom"/>
          </w:tcPr>
          <w:p>
            <w:pPr>
              <w:spacing w:after="0"/>
              <w:rPr>
                <w:sz w:val="19"/>
                <w:szCs w:val="19"/>
                <w:color w:val="auto"/>
              </w:rPr>
            </w:pPr>
          </w:p>
        </w:tc>
      </w:tr>
      <w:tr>
        <w:trPr>
          <w:trHeight w:val="23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9"/>
                <w:szCs w:val="19"/>
                <w:color w:val="auto"/>
              </w:rPr>
            </w:pPr>
          </w:p>
        </w:tc>
      </w:tr>
      <w:tr>
        <w:trPr>
          <w:trHeight w:val="230"/>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0" w:type="dxa"/>
            <w:vAlign w:val="bottom"/>
          </w:tcPr>
          <w:p>
            <w:pPr>
              <w:spacing w:after="0"/>
              <w:rPr>
                <w:sz w:val="19"/>
                <w:szCs w:val="19"/>
                <w:color w:val="auto"/>
              </w:rPr>
            </w:pPr>
          </w:p>
        </w:tc>
      </w:tr>
      <w:tr>
        <w:trPr>
          <w:trHeight w:val="22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Borders>
              <w:bottom w:val="single" w:sz="8" w:color="auto"/>
            </w:tcBorders>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 in net finance result of CHF 0.7 million primarily related to:</w:t>
      </w:r>
    </w:p>
    <w:p>
      <w:pPr>
        <w:spacing w:after="0" w:line="225" w:lineRule="exact"/>
        <w:rPr>
          <w:sz w:val="20"/>
          <w:szCs w:val="20"/>
          <w:color w:val="auto"/>
        </w:rPr>
      </w:pPr>
    </w:p>
    <w:p>
      <w:pPr>
        <w:ind w:left="700" w:right="139" w:hanging="312"/>
        <w:spacing w:after="0" w:line="282" w:lineRule="auto"/>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1.9 million decrease explained by unfavorable foreign currency exchange differences related to movement in the CHF versus foreign currencies, predominantly the US Dollar,</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ind w:left="720" w:right="379" w:hanging="319"/>
        <w:spacing w:after="0" w:line="282" w:lineRule="auto"/>
        <w:tabs>
          <w:tab w:leader="none" w:pos="7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1.0 million increase in financial income, combined with a decrease of CHF 0.2 million in financial expense, due to the transition from negative to positive interest rates for our interest-bearing deposit accounts.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6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16"/>
                <w:szCs w:val="16"/>
                <w:color w:val="auto"/>
              </w:rPr>
            </w:pPr>
          </w:p>
        </w:tc>
      </w:tr>
      <w:tr>
        <w:trPr>
          <w:trHeight w:val="189"/>
        </w:trPr>
        <w:tc>
          <w:tcPr>
            <w:tcW w:w="6520" w:type="dxa"/>
            <w:vAlign w:val="bottom"/>
            <w:gridSpan w:val="2"/>
          </w:tcPr>
          <w:p>
            <w:pPr>
              <w:ind w:left="26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30"/>
        </w:trPr>
        <w:tc>
          <w:tcPr>
            <w:tcW w:w="6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(60,408)</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(73,568)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w:t>
            </w:r>
          </w:p>
        </w:tc>
      </w:tr>
      <w:tr>
        <w:trPr>
          <w:trHeight w:val="229"/>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65,645</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41,882</w:t>
            </w:r>
          </w:p>
        </w:tc>
      </w:tr>
      <w:tr>
        <w:trPr>
          <w:trHeight w:val="229"/>
        </w:trPr>
        <w:tc>
          <w:tcPr>
            <w:tcW w:w="6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43,250</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w:t>
            </w:r>
          </w:p>
        </w:tc>
      </w:tr>
      <w:tr>
        <w:trPr>
          <w:trHeight w:val="22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48,487</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(51,151)</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99,638</w:t>
            </w: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Net cash used in operating activities was CHF 60.4 million for the year ended December 31, 2023 compared with net cash used in operating activities of CHF 73.6 million for the year ended December 31, 2022. The change in cash used in operating activities for the year ended December 31, 2023 was due to (i) the Company’s reporting a net loss of CHF 54.2 million for the year ended December 31, 2023 compared with net loss of CHF 70.8 million for the same period in 2022, (ii) an increase of CHF 2.5 million in non-cash adjustments, predominantly driven by an increase of CHF 1.5 million in finance (income)/expense, net, (iii) an increase of CHF 14.8 million in account receivable for the period, which relates to the milestone recognized from Janssen and (iv) an increase of CHF 1.1 million and CHF 0.8 million in accrued expenses and trade and other payables for the period, respectively, compared with a decrease of CHF 6.1 million and CHF 1.1 million in the prior period, respectively, representing cash outflows associated with the timing of certain payments during the period.</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CHF 65.6 million for the year ended December 31, 2023 compared with net cash provided by investing activities of CHF 23.8 million for the year ended December 31, 2022. A net amount of CHF 66.4 million of short-term financial assets matured for the year ended December 31, 2023, compared to a net maturation of CHF 25.0 million of short-term financial assets in the prior period. Additionally, the Company spent CHF 0.8 million on property, plant and equipment, predominantly to enhance its laboratory and IT equipment.</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CHF 43.3 million for the year ended December 31, 2023, compared with net cash used in financing activities of CHF 1.3 million for the year ended December 31, 2022. The increase of CHF 44.6 million is predominantly related to (i) CHF 41.1 million in net proceeds raised from follow-on offering in 2023 compared to no such activity in 2022 and (ii) CHF 2.7 million received from proceeds from the sale of treasury shares in public offerings, net of underwriting fees and transaction costs compared to a limited activity in 2022.</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capital requirements and plan of operations</w:t>
      </w:r>
    </w:p>
    <w:p>
      <w:pPr>
        <w:spacing w:after="0" w:line="22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generate revenues from royalties based on product sales unless and until our collaboration partners or we obtain regulatory approval of, and successfully commercialize, our current or any future product candidates. As of December 31, 2023, we had cash and cash equivalents of CHF 78.5 million and short-term financial assets of CHF 24.6 million, resulting in CHF 103.1 million of liquidity. The decrease of CHF 19.5 million relative to December 31, 2022 was predominantly related to R&amp;D spending on our major discovery and R&amp;D programs,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strengthening of the Company’s infrastructure, systems and organization and other operating expenditures. This was partially offset by net proceeds received from the follow-on offering and the sale of treasury shares in 2023. On February 1, 2024, the Company received the milestone payment of CHF 14.8 million due from Janssen for the commencement of first Phase 2b clinical study. We believe that our existing capital resources will be sufficient to meet our projected operating requirements into Q1 2026, assuming potential milestone payment of CHF 24.6 million related to achieving a non-disclosed enrollment target for our ACI-35.030 and no other milestones. There can be no certainty as to the exact timing of future milestone payments, or in fact, whether any of these will ever be made, given that they are contingent on clear milestones being reached.</w:t>
      </w:r>
    </w:p>
    <w:p>
      <w:pPr>
        <w:spacing w:after="0" w:line="19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700" w:right="479" w:hanging="326"/>
        <w:spacing w:after="0" w:line="282" w:lineRule="auto"/>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preclinical and clinical studies and other related activities, according to our long-term strategic plan;</w:t>
      </w:r>
    </w:p>
    <w:p>
      <w:pPr>
        <w:spacing w:after="0" w:line="161" w:lineRule="exact"/>
        <w:rPr>
          <w:rFonts w:ascii="Times New Roman" w:cs="Times New Roman" w:eastAsia="Times New Roman" w:hAnsi="Times New Roman"/>
          <w:sz w:val="18"/>
          <w:szCs w:val="18"/>
          <w:color w:val="auto"/>
        </w:rPr>
      </w:pPr>
    </w:p>
    <w:p>
      <w:pPr>
        <w:ind w:left="700" w:right="279" w:hanging="326"/>
        <w:spacing w:after="0" w:line="282" w:lineRule="auto"/>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other products we may develop;</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700" w:right="139" w:hanging="326"/>
        <w:spacing w:after="0" w:line="282" w:lineRule="auto"/>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 including any required milestone and royalty payments thereunder;</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 and</w:t>
      </w:r>
    </w:p>
    <w:p>
      <w:pPr>
        <w:spacing w:after="0" w:line="225" w:lineRule="exact"/>
        <w:rPr>
          <w:rFonts w:ascii="Times New Roman" w:cs="Times New Roman" w:eastAsia="Times New Roman" w:hAnsi="Times New Roman"/>
          <w:sz w:val="18"/>
          <w:szCs w:val="18"/>
          <w:color w:val="auto"/>
        </w:rPr>
      </w:pPr>
    </w:p>
    <w:p>
      <w:pPr>
        <w:ind w:left="700" w:right="599" w:hanging="326"/>
        <w:spacing w:after="0" w:line="282" w:lineRule="auto"/>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and timing of managing, protecting, defending and enforcing our portfolio of intellectual property.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addition, the Company has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 We have capitalized a portion of our lease liabilities in accordance with IFRS 16. See “Note 5. Right-of-use assets, long-term financial assets and lease liabilities.”</w:t>
      </w:r>
    </w:p>
    <w:p>
      <w:pPr>
        <w:spacing w:after="0" w:line="170"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 currently projects CHF 1.1 million in undiscounted short-term lease obligations and CHF 3.0 million in undiscounted long-term lease obligations. Additionally, the Company projects CHF 21.4 million in short-term purchase commitments and CHF 25.8 million in long-term purchase commitments predominantly driven by R&amp;D activities.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Commencing in September 2020, the Company established an “at the market offering” (ATM) for the sale of up to USD 80.0 (CHF 68.1) million worth of our common shares from time to time by entering into an Open Market Sale Agreement (Sales Agreement) with Jefferies LLC (Jefferies). In Q2 2021, we filed a new registration statement on Form F-3 and entered into a new Sales Agreement in Q2 2021 to replace and extend the ATM program. To date, the Company has sold 2,149,202 common shares previously held as treasury shares pursuant to the new Sales Agreement, raising USD 16.3 (CHF 14.8) million, net of underwriting fees and transaction costs.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229" w:lineRule="exact"/>
        <w:rPr>
          <w:sz w:val="20"/>
          <w:szCs w:val="20"/>
          <w:color w:val="auto"/>
        </w:rPr>
      </w:pPr>
    </w:p>
    <w:p>
      <w:pPr>
        <w:ind w:left="60" w:right="439"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the financial results and condition for the fiscal year ended December 31, 2021, please refer to “Item 5. Operating and financial review and prospects—A. Operating results—Comparison of the years ended December 31, 2022 and 2021” of our Annual Report on Form 20-F for the year ended December 31, 2022 filed on March 16, 2023.</w:t>
      </w:r>
    </w:p>
    <w:p>
      <w:pPr>
        <w:spacing w:after="0" w:line="176"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Research and development, patents and licenses, etc.</w:t>
      </w:r>
    </w:p>
    <w:p>
      <w:pPr>
        <w:spacing w:after="0" w:line="22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See “Item 4. Information on the Company—B. Business overview” and “Item 5. Operating and financial review and prospects—A. Operating results—results of operations.”</w:t>
      </w:r>
    </w:p>
    <w:p>
      <w:pPr>
        <w:spacing w:after="0" w:line="172" w:lineRule="exact"/>
        <w:rPr>
          <w:sz w:val="20"/>
          <w:szCs w:val="20"/>
          <w:color w:val="auto"/>
        </w:rPr>
      </w:pPr>
    </w:p>
    <w:p>
      <w:pPr>
        <w:ind w:left="380" w:hanging="330"/>
        <w:spacing w:after="0"/>
        <w:tabs>
          <w:tab w:leader="none" w:pos="3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5. Operating and financial review and prospects.”</w:t>
      </w:r>
    </w:p>
    <w:p>
      <w:pPr>
        <w:spacing w:after="0" w:line="22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See “Note 3. Summary of material accounting policies” to our consolidated financial statements for a description of the most significant accounting policies applied in the preparation of our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1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Directors and senior management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 other key employees and board of directors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our executive officers, other key employees, and directors and director nominees, including their ages, as of March 1, 2024. The term of each of our directors is 1 year and, accordingly, will expire at our 2024 annual shareholder meeting to be held in June 2024.</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 year of</w:t>
            </w:r>
          </w:p>
        </w:tc>
      </w:tr>
      <w:tr>
        <w:trPr>
          <w:trHeight w:val="238"/>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30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appointment</w:t>
            </w:r>
          </w:p>
        </w:tc>
      </w:tr>
      <w:tr>
        <w:trPr>
          <w:trHeight w:val="223"/>
        </w:trPr>
        <w:tc>
          <w:tcPr>
            <w:tcW w:w="2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80" w:type="dxa"/>
            <w:vAlign w:val="bottom"/>
          </w:tcPr>
          <w:p>
            <w:pPr>
              <w:spacing w:after="0"/>
              <w:rPr>
                <w:sz w:val="19"/>
                <w:szCs w:val="19"/>
                <w:color w:val="auto"/>
              </w:rPr>
            </w:pPr>
          </w:p>
        </w:tc>
        <w:tc>
          <w:tcPr>
            <w:tcW w:w="4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Andrea Pfeifer, Ph.D.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r>
      <w:tr>
        <w:trPr>
          <w:trHeight w:val="22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Madiha Derouazi, Ph.D.</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Scientific Officer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Nuno Mendonça, M.D.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Piergiorgio Donati</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Technical Operations Officer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Roberts</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Howard Donovan</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Jean-Fabien Monin</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Administrative Officer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Key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4896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 year of</w:t>
            </w:r>
          </w:p>
        </w:tc>
      </w:tr>
      <w:tr>
        <w:trPr>
          <w:trHeight w:val="238"/>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30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appointment</w:t>
            </w:r>
          </w:p>
        </w:tc>
      </w:tr>
      <w:tr>
        <w:trPr>
          <w:trHeight w:val="223"/>
        </w:trPr>
        <w:tc>
          <w:tcPr>
            <w:tcW w:w="2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Marie Kosco-Vilbois, Ph.D.</w:t>
            </w:r>
          </w:p>
        </w:tc>
        <w:tc>
          <w:tcPr>
            <w:tcW w:w="180" w:type="dxa"/>
            <w:vAlign w:val="bottom"/>
          </w:tcPr>
          <w:p>
            <w:pPr>
              <w:spacing w:after="0"/>
              <w:rPr>
                <w:sz w:val="19"/>
                <w:szCs w:val="19"/>
                <w:color w:val="auto"/>
              </w:rPr>
            </w:pPr>
          </w:p>
        </w:tc>
        <w:tc>
          <w:tcPr>
            <w:tcW w:w="4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Scientific Advisor</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Julien Rongère, Ph.D.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SVP Regulatory Affairs and Quality Assurance</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Waanders, Ph.D.</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SVP Investor Relations and Corporate Communications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Sol, M.D.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VP Head of Clinical Development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r>
      <w:tr>
        <w:trPr>
          <w:trHeight w:val="22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Alexandre Caratsch</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Bojana Portmann, Ph.D.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VP IP and Business Development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r>
      <w:tr>
        <w:trPr>
          <w:trHeight w:val="22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Julian Gray, M.D., Ph.D.</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Advisor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Danton</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SVP Information Systems and Artificial Intelligence</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30"/>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Non-Executive Directors</w:t>
            </w:r>
          </w:p>
        </w:tc>
        <w:tc>
          <w:tcPr>
            <w:tcW w:w="4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Douglas Williams, Ph.D.</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 and Director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Monika Bütler, Ph.D.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Chair and Director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Werner Lanthaler, Ph.D.</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 Twyman, M.D.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2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Carl June, M.D.</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Monica Shaw, M.D.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bl>
    <w:p>
      <w:pPr>
        <w:spacing w:after="0" w:line="225"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current business addresses for our executive officers, other key employees, directors and director nominee is AC Immune SA, EPFL Innovation Park, Building B, 1015 Lausanne, Switzerland.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Andrea Pfeifer, Ph.D., Co-Founder, Chief Executive Officer and Director: </w:t>
      </w:r>
      <w:r>
        <w:rPr>
          <w:rFonts w:ascii="Times New Roman" w:cs="Times New Roman" w:eastAsia="Times New Roman" w:hAnsi="Times New Roman"/>
          <w:sz w:val="17"/>
          <w:szCs w:val="17"/>
          <w:color w:val="auto"/>
        </w:rPr>
        <w:t>Andrea Pfeifer co-founded AC Immune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 in 2003, successfully leading it to an IPO in 2016, since when she has served as a Director on the Board. Under her leadership, multiple transformative partnerships have been established with leading pharmaceutical companies, yielding a potential value of up to CHF 3.3 billion plus additional royalties. Before founding the Company, she was the Head of Nestlé Research Centre in Lausanne, Switzerland where she played a major role in connecting science and business. Whilst at Nestlé she led the scientific development of a number of highly innovative, critically acclaimed products from laboratory to market, established the microbiome as a major cross-category product development platform and co-founded the Life Science focused Nestlé Venture Capital Fund. Prior to this she was a Visiting Fellow at the Human Carcinogenesis Branch of The National Institute of Health, Bethesda, USA. She currently serves as the Chair of Investment Fund BioMedInvest, Basel and AB2 Bio SA, Lausanne. Prof. Pfeifer is a Non-Executive Member of the Board of Directors of E.M.S. Electro Medical Systems SA, Nyon, and is a member of the Supervisory Board of Symrise AG, Holzminden, Germany. She is also a key member of the CEOi initiative on Alzheimer’s Disease and the Davos Alzheimer’s Collaborative (DAC).</w:t>
      </w:r>
    </w:p>
    <w:p>
      <w:pPr>
        <w:spacing w:after="0" w:line="166"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Prof. Pfeifer holds a Ph.D. in Toxicology (Cancer Research) from the University of Würzburg, Germany and is a registered Toxicologist and Pharmacist. She received her Habilitation from the University of Lausanne, Switzerland and is an Honorary Professor at the Ecole Polytechnique Fédérale de Lausanne (EPFL).</w:t>
      </w:r>
    </w:p>
    <w:p>
      <w:pPr>
        <w:spacing w:after="0" w:line="17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Madiha Derouazi, Ph.D., Chief Scientific Officer</w:t>
      </w:r>
      <w:r>
        <w:rPr>
          <w:rFonts w:ascii="Times New Roman" w:cs="Times New Roman" w:eastAsia="Times New Roman" w:hAnsi="Times New Roman"/>
          <w:sz w:val="18"/>
          <w:szCs w:val="18"/>
          <w:color w:val="auto"/>
        </w:rPr>
        <w:t>: Dr. Derouazi joined AC Immune SA in January 2024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Scientific Officer from Speransa Therapeutics where she had been CEO since inception in 2021, leading development of a novel platform of prophylactic vaccines. Previously, she founded AMAL Therapeutics in 2012, an immuno-oncology company developing a new generation of therapeutic cancer vaccines, and served as CEO and CSO of the company until 2022. Dr. Derouazi led AMAL’s acquisition by Boehringer Ingelheim for EUR 425 million in 2019. She holds a PhD in Cellular Biotechnology from the Swiss Federal Institute of Technology (EPFL) in Lausanne which was followed by postdoctoral work concentrating on tumor immunology and vaccine development.</w:t>
      </w:r>
    </w:p>
    <w:p>
      <w:pPr>
        <w:spacing w:after="0" w:line="187" w:lineRule="exact"/>
        <w:rPr>
          <w:sz w:val="20"/>
          <w:szCs w:val="20"/>
          <w:color w:val="auto"/>
        </w:rPr>
      </w:pPr>
    </w:p>
    <w:p>
      <w:pPr>
        <w:ind w:left="60" w:right="259"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Nuno Mendonça, M.D., Chief Medical Officer: </w:t>
      </w:r>
      <w:r>
        <w:rPr>
          <w:rFonts w:ascii="Times New Roman" w:cs="Times New Roman" w:eastAsia="Times New Roman" w:hAnsi="Times New Roman"/>
          <w:sz w:val="17"/>
          <w:szCs w:val="17"/>
          <w:color w:val="auto"/>
        </w:rPr>
        <w:t>Dr. Nuno Mendonça joined AC Immune in October 2023 as Chief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Medical Officer from Bial where he was SVP, Chief Medical Officer and where he led early and late-stage development</w:t>
      </w:r>
    </w:p>
    <w:p>
      <w:pPr>
        <w:sectPr>
          <w:pgSz w:w="11900" w:h="16838" w:orient="portrait"/>
          <w:cols w:equalWidth="0" w:num="1">
            <w:col w:w="9019"/>
          </w:cols>
          <w:pgMar w:left="1440" w:top="513" w:right="1440"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programs across neuroscience and Orphan diseases. He has further managed medical affairs and clinical operations in North America and Europe including increasingly senior roles in Neuroscience with AbbVie in Germany and then in the USA where he was responsible for overall Tau antibody development in Alzheimer’s and Progressive Supranuclear Palsy followed by leading the late-stage clinical development of Zolgensma for spinal muscular atrophy in the EMEA with Novartis Gene Therapies.</w:t>
      </w:r>
    </w:p>
    <w:p>
      <w:pPr>
        <w:spacing w:after="0" w:line="183"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A certified Neurologist, he obtained his MD from the University of Coimbra in Portugal and was subsequently appointed as Neurology Consultant at the Centro Hospitalar de Lisboa Central in Lisbon (Portugal). He also completed a Clinical Scholars Research Training program at Harvard Medical School (USA).</w:t>
      </w:r>
    </w:p>
    <w:p>
      <w:pPr>
        <w:spacing w:after="0" w:line="179" w:lineRule="exact"/>
        <w:rPr>
          <w:sz w:val="20"/>
          <w:szCs w:val="20"/>
          <w:color w:val="auto"/>
        </w:rPr>
      </w:pPr>
    </w:p>
    <w:p>
      <w:pPr>
        <w:ind w:left="60" w:right="159"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Piergiorgio Donati, Chief Technical Operations Officer: </w:t>
      </w:r>
      <w:r>
        <w:rPr>
          <w:rFonts w:ascii="Times New Roman" w:cs="Times New Roman" w:eastAsia="Times New Roman" w:hAnsi="Times New Roman"/>
          <w:sz w:val="18"/>
          <w:szCs w:val="18"/>
          <w:color w:val="auto"/>
        </w:rPr>
        <w:t>Piergiorgio Donati joined AC Immune in June 2018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Global Program Management, having previously worked for AC Immune from 2011 to 2015 as Head of Manufacturing and Project Management. Between 2015 and 2018, Mr. Donati was Head of CMC program development at Glenmark Pharmaceuticals and Biotech CMC Lead at Merck KGaA. Prior to 2011, he held R&amp;D positions at Abiogen, Merck Group and Serono. Mr. Donati holds a degree in Analytical Chemistry from the Technical Institute G.L. Bernini.</w:t>
      </w:r>
    </w:p>
    <w:p>
      <w:pPr>
        <w:spacing w:after="0" w:line="17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Christopher Roberts, Chief Financial Officer: </w:t>
      </w:r>
      <w:r>
        <w:rPr>
          <w:rFonts w:ascii="Times New Roman" w:cs="Times New Roman" w:eastAsia="Times New Roman" w:hAnsi="Times New Roman"/>
          <w:sz w:val="18"/>
          <w:szCs w:val="18"/>
          <w:color w:val="auto"/>
        </w:rPr>
        <w:t>Christopher Roberts joined AC Immune in 2019 serving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roles within the Company’s finance leadership team prior to his promotion in 2022. Previously, Mr. Roberts worked as a Senior Manager for Ernst &amp; Young for more than 10 years and supported the AC Immune IPO. During that time, he served high-growth life science companies in Switzerland, the San Francisco Bay Area, and the UK, focusing on initial and follow-on offerings, SEC reporting, and SOX 404 implementation projects. Mr. Roberts is a Trustee and Treasurer of Msizi Africa, a charity dedicated to sustainably improving the lives of children in Lesotho.</w:t>
      </w:r>
    </w:p>
    <w:p>
      <w:pPr>
        <w:spacing w:after="0" w:line="188"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Mr. Roberts is a Chartered Accountant with the Institute of Chartered Accountants in Scotland (ICAS) and holds a Bachelor of Science in Accounting, Auditing and Finance with first class honours from Lancaster University.</w:t>
      </w:r>
    </w:p>
    <w:p>
      <w:pPr>
        <w:spacing w:after="0" w:line="15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Howard Donovan, Chief Human Resources Officer: </w:t>
      </w:r>
      <w:r>
        <w:rPr>
          <w:rFonts w:ascii="Times New Roman" w:cs="Times New Roman" w:eastAsia="Times New Roman" w:hAnsi="Times New Roman"/>
          <w:sz w:val="18"/>
          <w:szCs w:val="18"/>
          <w:color w:val="auto"/>
        </w:rPr>
        <w:t>Howard Donovan joined AC Immune in 2022 and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internationally experienced, commercially focused leader who has competencies in all aspects of employee services, well-being, benefit design, international mobility, talent management, operations and HR business partnering. He has been at the World Economic Forum since 2015, where he led People Services and was responsible for global reward, employee experience, people insights, strategic sourcing, new office launches, and business partnering with the Board of Directors across its locations in Switzerland, United States, China, Japan and India. Howard previously worked as the inhouse Global Head of Reward for Puma Energy and prior to that he held senior HR leadership roles with a strong reward focus with multinational companies, including SGS Group and Xerox Corporation.</w:t>
      </w:r>
    </w:p>
    <w:p>
      <w:pPr>
        <w:spacing w:after="0" w:line="171" w:lineRule="exact"/>
        <w:rPr>
          <w:sz w:val="20"/>
          <w:szCs w:val="20"/>
          <w:color w:val="auto"/>
        </w:rPr>
      </w:pPr>
    </w:p>
    <w:p>
      <w:pPr>
        <w:ind w:left="60" w:right="5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Jean-Fabien Monin, Chief Administrative Officer: </w:t>
      </w:r>
      <w:r>
        <w:rPr>
          <w:rFonts w:ascii="Times New Roman" w:cs="Times New Roman" w:eastAsia="Times New Roman" w:hAnsi="Times New Roman"/>
          <w:sz w:val="18"/>
          <w:szCs w:val="18"/>
          <w:color w:val="auto"/>
        </w:rPr>
        <w:t>Jean-Fabien Monin was nominated Chief Administrative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July 2015 following his role as our Chief Financial Officer from March 2009 to July 2015. Prior to AC Immune, he held several positions during his tenure of 14 years at bioMérieux, a leading international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key employees</w:t>
      </w:r>
    </w:p>
    <w:p>
      <w:pPr>
        <w:spacing w:after="0" w:line="21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Marie Kosco-Vilbois, Ph.D., Scientific Advisor</w:t>
      </w:r>
      <w:r>
        <w:rPr>
          <w:rFonts w:ascii="Times New Roman" w:cs="Times New Roman" w:eastAsia="Times New Roman" w:hAnsi="Times New Roman"/>
          <w:sz w:val="18"/>
          <w:szCs w:val="18"/>
          <w:color w:val="auto"/>
        </w:rPr>
        <w:t>: A U.S. citizen, Marie Kosco-Vilbois has extensive experience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industry and served as Chief Scientific Officer of Novimmune since 2005. Prior to joining Novimmune in 2002, Dr. Kosco-Vilbois was Head of Immunology and Preclinical Pharmacology at the Serono Pharmaceutical Research Institute, a Senior Scientist and then Head of Immunology at the Glaxo Wellcome Research Institute in Geneva, and a Scientific Member of the Basel Institute for Immunology. During her career, she has taken numerous biologicals from discovery into preclinical studies and clinical development, most notably filing market applications of a biological for an orphan indication. Dr. Kosco-Vilbois gained her Bachelor’s Degree in Biology from Rutgers University, New Jersey, U.S., and a PhD in Anatomy and Immunology from the Medical College of Virginia/Virginia Commonwealth University School of Medicine,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Julien Rongère, Ph.D., SVP Regulatory Affairs and Quality Assurance</w:t>
      </w:r>
      <w:r>
        <w:rPr>
          <w:rFonts w:ascii="Times New Roman" w:cs="Times New Roman" w:eastAsia="Times New Roman" w:hAnsi="Times New Roman"/>
          <w:sz w:val="18"/>
          <w:szCs w:val="18"/>
          <w:color w:val="auto"/>
        </w:rPr>
        <w:t>: Julien Rongère joined AC Immune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2017 as Head of European Regulatory Affairs and Quality Assurance. Prior to joining AC Immune, Dr. Rongère held positions of increasing responsibility at Celgene in Switzerland. Most recently, he served as Director, Regulatory Affairs, leading the development of regulatory strategies for small molecules and CAR-T cell therapies and contributed to the development and approval of Revlimid in multiple myeloma and mantle cell lymphoma. Prior to Celgene, Dr. Rongère served as a Regulatory Expert at Apoxis, SA in Switzerland. During his career, Dr. Rongère gained specific expertise in the development of regulatory strategies for taking products from Phase 1 through to commercialization in the field of hematology/oncology and immunology/inflammation, including fast-to-market approaches, orphan drugs and pediatric development. Dr. Rongère gained his Master’s Degree in Medical Genetics from the University of Aberdeen, UK, and holds a Ph.D. in Molecular Biology from the University of Lausanne, Switzerland.</w:t>
      </w:r>
    </w:p>
    <w:p>
      <w:pPr>
        <w:spacing w:after="0" w:line="18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Gary Waanders, Ph.D., SVP Investor Relations and Corporate Communications</w:t>
      </w:r>
      <w:r>
        <w:rPr>
          <w:rFonts w:ascii="Times New Roman" w:cs="Times New Roman" w:eastAsia="Times New Roman" w:hAnsi="Times New Roman"/>
          <w:sz w:val="18"/>
          <w:szCs w:val="18"/>
          <w:color w:val="auto"/>
        </w:rPr>
        <w:t>: Dr. Gary Waanders joined 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Immune in November 2021 as the Head of Investor Relations and Corporate Communications. Prior to AC Immune he was Head of Investor Relations at Medigene (Munich, Germany) from mid-2019. Before these roles, he worked from 2001 until 2019 as a Life Sciences Equity analyst for several Investment Banks based in London, UK, including Nomura Code Securities, KBC Peel Hunt, and Bryan, Garnier &amp; Co. He obtained a Ph.D. in Immunology from Monash University in Melbourne, Australia, and worked as a postdoctoral fellow at the Ludwig Institute for Cancer Research in Lausanne, Switzerland. He gained an MBA with distinction from the University of Durham Business School in the UK.</w:t>
      </w:r>
    </w:p>
    <w:p>
      <w:pPr>
        <w:spacing w:after="0" w:line="18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Oliver Sol, M.D., VP Head of Clinical Development</w:t>
      </w:r>
      <w:r>
        <w:rPr>
          <w:rFonts w:ascii="Times New Roman" w:cs="Times New Roman" w:eastAsia="Times New Roman" w:hAnsi="Times New Roman"/>
          <w:sz w:val="18"/>
          <w:szCs w:val="18"/>
          <w:color w:val="auto"/>
        </w:rPr>
        <w:t>: Prior to joining AC Immune, Olivier Sol was Clinical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Exonhit (Paris) and thereafter Medical &amp; Regulatory Affairs Director for Diaxonhit, where he was responsible for the development and medical validation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products in cancer, infectious diseases and Alzheimer’s disease. Dr. Sol spent his over 20-year career as a Medical Expert in several therapeutic areas with a strong focus on central nervous system diseases, within pharmaceutical companies as Janssen, UCB-Pharma, GlaxoSmithKline and Sanofi. He contributed to the clinical development of currently marketed drugs in epilepsy (topiramate and levetiracetam) and galantamine in Alzheimer’s disease. He has also gained significant experience in the field of biological biomarkers. Dr. Sol holds an M.D. from the Paris-Sud University (Paris-Saclay) with a specialization in Medical Biology.</w:t>
      </w:r>
    </w:p>
    <w:p>
      <w:pPr>
        <w:spacing w:after="0" w:line="185"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Alexandre Caratsch, General Counsel</w:t>
      </w:r>
      <w:r>
        <w:rPr>
          <w:rFonts w:ascii="Times New Roman" w:cs="Times New Roman" w:eastAsia="Times New Roman" w:hAnsi="Times New Roman"/>
          <w:sz w:val="18"/>
          <w:szCs w:val="18"/>
          <w:color w:val="auto"/>
        </w:rPr>
        <w:t>: Alexandre Caratsch is a Swiss-qualified attorney with 30 years’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private practice, multinational companies and in ventures. He initially worked as an in-house lawyer for E&amp;Y and the SGS Group before specializing in healthcare, holding senior legal positions at Novartis and Medtronic. Before joining AC Immune, he led the Corporate Legal Affairs and Intellectual Property group for Medtronic’s Europe, Middle East and Africa (EMEA) region. Mr. Caratsch has also co-founded two start-up companies in the field of information technology and medical technology, respectively, and has supported other start-up companies with strategic, transactional and general counsel. Mr. Caratsch holds a Master’s degree in Law from the University of Neuchâtel, Switzerland and is admitted to the Bar of Geneva, Switzerland.</w:t>
      </w:r>
    </w:p>
    <w:p>
      <w:pPr>
        <w:spacing w:after="0" w:line="18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Bojana Portmann, Ph.D., VP IP and Business Development</w:t>
      </w:r>
      <w:r>
        <w:rPr>
          <w:rFonts w:ascii="Times New Roman" w:cs="Times New Roman" w:eastAsia="Times New Roman" w:hAnsi="Times New Roman"/>
          <w:sz w:val="18"/>
          <w:szCs w:val="18"/>
          <w:color w:val="auto"/>
        </w:rPr>
        <w:t>: Bojana Portmann joined AC Immune in 2011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Manager and has held multiple roles within the IP department with increasing responsibility over the past years, during which her work was mainly focused on creating and strengthening patent portfolios for biologicals, small molecules and liposomal technology. Dr. Portmann holds a Ph.D. degree from the EPFL University in Switzerland, and a LL.M. degree, Master of Intellectual Property Law and Management (MIPLM), from the CEIPI in France. She also received a M.Sc. (Dipl. Ing.) degree in Polymer and Chemical Engineering from the University of Belgrade in Serbia.</w:t>
      </w:r>
    </w:p>
    <w:p>
      <w:pPr>
        <w:spacing w:after="0" w:line="184"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Julian Gray, M.D., Ph.D., Clinical Advisor</w:t>
      </w:r>
      <w:r>
        <w:rPr>
          <w:rFonts w:ascii="Times New Roman" w:cs="Times New Roman" w:eastAsia="Times New Roman" w:hAnsi="Times New Roman"/>
          <w:sz w:val="18"/>
          <w:szCs w:val="18"/>
          <w:color w:val="auto"/>
        </w:rPr>
        <w:t>: Julian Gray has served as Clinical Advisor to our programs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neurodegenerative diseases since January 2007 and works in this function exclusively for AC Immune. He has previously held the position of Head of CNS Therapeutics at Eisai Ltd in London leading the global development of early and late-stage CNS projects in Alzheimer’s disease, Parkinson’s disease and other CNS areas. Prior to this he served as Head of Alzheimer Clinical Research at Hoffmann-La Roche in Basel where he conducted large-scale clinical trials in the U.S. and Europe. After his studies he was Medical Expert at Sandoz Pharmaceuticals in Basel undertaking clinical studies of different compounds in dementia and Parkinson’s disease. Dr. Gray holds the title of a Specialist in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Pharmaceutical Medicine (Switzerland). He received his medical degree (MBBS) from the University of London, a B.A.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Ph.D. from the University of Oxford and an MBA from Oxford Brookes University.</w:t>
      </w:r>
    </w:p>
    <w:p>
      <w:pPr>
        <w:spacing w:after="0" w:line="203" w:lineRule="exact"/>
        <w:rPr>
          <w:sz w:val="20"/>
          <w:szCs w:val="20"/>
          <w:color w:val="auto"/>
        </w:rPr>
      </w:pPr>
    </w:p>
    <w:p>
      <w:pPr>
        <w:jc w:val="both"/>
        <w:ind w:left="60" w:right="299"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Mark Danton, SVP Information Systems and Artificial Intelligence</w:t>
      </w:r>
      <w:r>
        <w:rPr>
          <w:rFonts w:ascii="Times New Roman" w:cs="Times New Roman" w:eastAsia="Times New Roman" w:hAnsi="Times New Roman"/>
          <w:sz w:val="18"/>
          <w:szCs w:val="18"/>
          <w:color w:val="auto"/>
        </w:rPr>
        <w:t>: Mark Danton is a globally recognized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experienced executive in Information Systems/Information Technology (IS/IT) with extensive experience in developing, launching and managing business-relevant IS, cybersecurity and digital technology solutions and services.</w:t>
      </w:r>
    </w:p>
    <w:p>
      <w:pPr>
        <w:spacing w:after="0" w:line="17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Prior to joining AC Immune, Mr. Danton served as IS/IT Global Manager at Nestlé and held a number of global roles at BT Global Services and in Dimension Data PLC. Mr. Danton holds an Executive MBA from the Business School Lausanne, graduating cum laude and as the Executive MBA Student of the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225"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Douglas Williams, Ph.D., Chair and Director: </w:t>
      </w:r>
      <w:r>
        <w:rPr>
          <w:rFonts w:ascii="Times New Roman" w:cs="Times New Roman" w:eastAsia="Times New Roman" w:hAnsi="Times New Roman"/>
          <w:sz w:val="18"/>
          <w:szCs w:val="18"/>
          <w:color w:val="auto"/>
        </w:rPr>
        <w:t>Douglas E. Williams is currently the President of Research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at Sana Biotechnology. He was previously CEO of Codiak BioSciences, prior to which he was Biogen’s Executive Vice President, Research and Development, serving in this role from January 2011 to July 2015. He joined Biogen from ZymoGenetics, where he was most recently CEO and member of the Board of Directors. ZymoGenetics was purchased for $985 million by Bristol Myers Squibb during Dr. Williams’ tenure. Previously, he held leadership positions within the biotechnology industry, including Chief Scientific Officer and Executive Vice President of Research and Development at Seattle Genetics, and Senior Vice President and Washington Site Leader at Amgen. Dr. Williams served in a series of scientific and senior leadership positions over a decade at Immunex, including Executive Vice President and Chief Technology Officer and a member of the Board of Directors. During his 30+ year career in the biotechnology industry he has played a role in the development of several novel drugs including Enbrel, Tecfidera, and Spinraza. He has served on the board of numerous biotechnology companies and is currently Chair of the Board of AC Immune.</w:t>
      </w:r>
    </w:p>
    <w:p>
      <w:pPr>
        <w:spacing w:after="0" w:line="18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Monika Bütler, Ph.D., Vice Chair and Director: </w:t>
      </w:r>
      <w:r>
        <w:rPr>
          <w:rFonts w:ascii="Times New Roman" w:cs="Times New Roman" w:eastAsia="Times New Roman" w:hAnsi="Times New Roman"/>
          <w:sz w:val="18"/>
          <w:szCs w:val="18"/>
          <w:color w:val="auto"/>
        </w:rPr>
        <w:t>Monika Bütler is a leading Swiss economist and former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the independent Swiss Covid-19 Science Taskforce. She is a member of the Board of Directors and of the audit committees of both Schindler Holding AG and Swiss Life Holding AG. Prof. Bütler is also a member of the Board of Directors of Huber+Suhner Ltd, where she chairs the nomination and remuneration committee. Her international economic expertise is in public policy and managerial economics, including an advisory role to the World Bank and visiting appointments in the U.S., Australia and Europe. Prof. Bütler is a Vice President of the Foundation Board of the Gebert Rüf Foundation, a science and innovation foundation that supports entrepreneurial projects which are committed to achieving an impact.</w:t>
      </w:r>
    </w:p>
    <w:p>
      <w:pPr>
        <w:spacing w:after="0" w:line="189"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Prof. Bütler holds a Doctorate in Economics from the University of St. Gallen, a Doctorate Honoris Causa from the University of Lucerne, and a Diploma in Mathematics/Physics from the University of Zurich.</w:t>
      </w:r>
    </w:p>
    <w:p>
      <w:pPr>
        <w:spacing w:after="0" w:line="172"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Werner Lanthaler, Ph.D., Director: </w:t>
      </w:r>
      <w:r>
        <w:rPr>
          <w:rFonts w:ascii="Times New Roman" w:cs="Times New Roman" w:eastAsia="Times New Roman" w:hAnsi="Times New Roman"/>
          <w:sz w:val="18"/>
          <w:szCs w:val="18"/>
          <w:color w:val="auto"/>
        </w:rPr>
        <w:t>Werner Lanthaler is the managing director of W.Lan Holding GmbH,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and investment firm. Up to January 2024, he was the CEO of Evotec AG, a drug discovery alliance and development partnership company focused on rapidly progressing innovative product approaches with leading pharmaceutical and biotechnology companies, academics, patient advocacy groups and venture capitalists. Dr. Lanthaler focused the company on collaborating with biotech and pharma companies and academia, supporting biotech innovation. He previously served as Chief Financial Officer at Intercell AG where he played a key role in many of that company’s major milestones. During his tenure, Intercell undertook an IPO and developed from a venture-backed biotechnology company into a global vaccine player. Dr. Lanthaler has also served as Director of the Federation of Austrian Industry, and from 1995 to 1998 was a Senior Management Consultant at McKinsey &amp; Company. Dr. Lanthaler is a Non-Executive Member of the Board of Directors of arGEN-X and is a member of the Supervisory Board of Topas Therapeutics GmbH. He holds a Doctorate in Economics from Vienna University, a Master’s degree in Business Administration from Harvard University, and a degree in Psychology.</w:t>
      </w:r>
    </w:p>
    <w:p>
      <w:pPr>
        <w:spacing w:after="0" w:line="186" w:lineRule="exact"/>
        <w:rPr>
          <w:sz w:val="20"/>
          <w:szCs w:val="20"/>
          <w:color w:val="auto"/>
        </w:rPr>
      </w:pPr>
    </w:p>
    <w:p>
      <w:pPr>
        <w:ind w:left="60" w:right="259" w:firstLine="324"/>
        <w:spacing w:after="0" w:line="260" w:lineRule="auto"/>
        <w:rPr>
          <w:sz w:val="20"/>
          <w:szCs w:val="20"/>
          <w:color w:val="auto"/>
        </w:rPr>
      </w:pPr>
      <w:r>
        <w:rPr>
          <w:rFonts w:ascii="Times New Roman" w:cs="Times New Roman" w:eastAsia="Times New Roman" w:hAnsi="Times New Roman"/>
          <w:sz w:val="18"/>
          <w:szCs w:val="18"/>
          <w:b w:val="1"/>
          <w:bCs w:val="1"/>
          <w:color w:val="auto"/>
        </w:rPr>
        <w:t>Roy Twyman, M.D., Director</w:t>
      </w:r>
      <w:r>
        <w:rPr>
          <w:rFonts w:ascii="Times New Roman" w:cs="Times New Roman" w:eastAsia="Times New Roman" w:hAnsi="Times New Roman"/>
          <w:sz w:val="18"/>
          <w:szCs w:val="18"/>
          <w:color w:val="auto"/>
        </w:rPr>
        <w:t>: Roy Twyman is a Neurologist and is founder and current CEO of Amron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Neuroscience, LLC, a private consulting company focused on neuroscience drug development. Prior to this, Dr. Twyman spent almost 20 years at Janssen Research &amp; Development, LLC (a Johnson &amp; Johnson company) and was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81" w:lineRule="auto"/>
        <w:rPr>
          <w:sz w:val="20"/>
          <w:szCs w:val="20"/>
          <w:color w:val="auto"/>
        </w:rPr>
      </w:pPr>
      <w:r>
        <w:rPr>
          <w:rFonts w:ascii="Times New Roman" w:cs="Times New Roman" w:eastAsia="Times New Roman" w:hAnsi="Times New Roman"/>
          <w:sz w:val="17"/>
          <w:szCs w:val="17"/>
          <w:color w:val="auto"/>
        </w:rPr>
        <w:t>a member of the Neuroscience Therapeutic Area Leadership team responsible for clinical R&amp;D and strategic planning of CNS neurology and psychiatry pipeline products. From 2012 to March 2018, Dr. Twyman was a Senior Vice President in the Neuroscience Therapeutic Area overseeing the Alzheimer’s Disease Area. He currently participates as an independent Board Member or as a Scientific Advisory Board Member for a number of small biotech or pharmaceutical companies.</w:t>
      </w:r>
    </w:p>
    <w:p>
      <w:pPr>
        <w:spacing w:after="0" w:line="160"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Carl June, M.D., Director: </w:t>
      </w:r>
      <w:r>
        <w:rPr>
          <w:rFonts w:ascii="Times New Roman" w:cs="Times New Roman" w:eastAsia="Times New Roman" w:hAnsi="Times New Roman"/>
          <w:sz w:val="18"/>
          <w:szCs w:val="18"/>
          <w:color w:val="auto"/>
        </w:rPr>
        <w:t>Carl June is Richard W. Vague Professor in Immunotherapy, Director of the Center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Cellular Immunotherapies and Director of the Parker Institute for Cancer Immunotherapy at the Perelman School of Medicine at the University of Pennsylvania. Due to his lifelong work on lymphocyte activation, Prof. June is considered a world authority on mechanisms related to immune tolerance and adoptive immunotherapy in the fields of chronic inflammation and cancer. He and his team pioneered the groundbreaking work in immunotherapy in which patients with refractory and relapsed chronic lymphocytic leukemia are treated with genetically engineered versions of their own T cells. This CAR-T therapy approach, which trains the immune system to attack and destroy cancer cells, has opened a new era of innovative treatments and personalized medicine for cancer patients.</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Prof. June is a graduate of the Naval Academy in Annapolis, USA, and Baylor College of Medicine in Houston, USA, where he received his medical degree. Prof. June also completed graduate training in immunology and malaria with</w:t>
      </w:r>
    </w:p>
    <w:p>
      <w:pPr>
        <w:ind w:left="60" w:right="559"/>
        <w:spacing w:after="0" w:line="254" w:lineRule="auto"/>
        <w:rPr>
          <w:sz w:val="20"/>
          <w:szCs w:val="20"/>
          <w:color w:val="auto"/>
        </w:rPr>
      </w:pPr>
      <w:r>
        <w:rPr>
          <w:rFonts w:ascii="Times New Roman" w:cs="Times New Roman" w:eastAsia="Times New Roman" w:hAnsi="Times New Roman"/>
          <w:sz w:val="18"/>
          <w:szCs w:val="18"/>
          <w:color w:val="auto"/>
        </w:rPr>
        <w:t>Dr. Paul-Henri Lambert at the World Health Organization, Geneva, Switzerland, and post-doctoral training in transplantation biology with E. Donnell Thomas and John Hansen at the Fred Hutchinson Cancer Research Center in Seattle, USA. He has published more than 500 manuscripts and is the recipient of numerous honors and prizes.</w:t>
      </w:r>
    </w:p>
    <w:p>
      <w:pPr>
        <w:spacing w:after="0" w:line="183" w:lineRule="exact"/>
        <w:rPr>
          <w:sz w:val="20"/>
          <w:szCs w:val="20"/>
          <w:color w:val="auto"/>
        </w:rPr>
      </w:pPr>
    </w:p>
    <w:p>
      <w:pPr>
        <w:ind w:left="60" w:right="99"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Monica Shaw, M.D., Director: </w:t>
      </w:r>
      <w:r>
        <w:rPr>
          <w:rFonts w:ascii="Times New Roman" w:cs="Times New Roman" w:eastAsia="Times New Roman" w:hAnsi="Times New Roman"/>
          <w:sz w:val="18"/>
          <w:szCs w:val="18"/>
          <w:color w:val="auto"/>
        </w:rPr>
        <w:t>Monica Shaw is a pharmaceutical industry expert who has held senior leadership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positions and was involved in advancing more than 15 therapeutic products from first-in-human studies through regulatory approvals and commercialization across multiple geographies. She also played key business development roles in company acquisition and integration and co-development partnerships. Through her work, Dr. Shaw gained extensive specialty experience in the fields of dermatology, immuno-inflammation, HIV, neurology, and oncology.</w:t>
      </w:r>
    </w:p>
    <w:p>
      <w:pPr>
        <w:spacing w:after="0" w:line="170"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Currently, Dr. Shaw is Senior Vice President, Head of Major Markets at Bristol Myers Squibb. Prior to this she was CEO for Oncopeptides a Swedish listed biotech company and before that, Executive Vice President Head Region Europe, Canada, Australia, for Leo Pharma. In addition, she has previously held broad leadership roles at other leading pharmaceutical companies, including as Vice President Commercial Head Asia Pacific region at GSK/ViiV Healthcare, and Medical Director and Chief Scientific Officer UK for Novartis, in addition to previous leadership positions at Norgine, Shire and Merck KGaA.</w:t>
      </w:r>
    </w:p>
    <w:p>
      <w:pPr>
        <w:spacing w:after="0" w:line="18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Monica Shaw holds an M.D. from the University of Oxford Medical School and is a Member of the Royal College of Physicians.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 of our directors or executive officers has a family relationship as defined in Item 401 of Regulation S-K.</w:t>
      </w:r>
    </w:p>
    <w:p>
      <w:pPr>
        <w:spacing w:after="0" w:line="22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aggregate compensation accrued or paid to the members of our board of directors and our executive officers for services in all capacities was CHF 8.6 million.</w:t>
      </w:r>
    </w:p>
    <w:p>
      <w:pPr>
        <w:spacing w:after="0" w:line="148"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total fair value of equity awards granted to directors and executive officers was CHF 3.5 million.</w:t>
      </w:r>
    </w:p>
    <w:p>
      <w:pPr>
        <w:spacing w:after="0" w:line="162"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amount set aside or accrued by us to provide pension, retirement or similar benefits to members of our board of directors and executive officers amounted to a total of CHF 0.4 million in the year ended December 31, 2023.</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89" w:lineRule="auto"/>
        <w:rPr>
          <w:sz w:val="20"/>
          <w:szCs w:val="20"/>
          <w:color w:val="auto"/>
        </w:rPr>
      </w:pPr>
      <w:r>
        <w:rPr>
          <w:rFonts w:ascii="Times New Roman" w:cs="Times New Roman" w:eastAsia="Times New Roman" w:hAnsi="Times New Roman"/>
          <w:sz w:val="17"/>
          <w:szCs w:val="17"/>
          <w:color w:val="auto"/>
        </w:rPr>
        <w:t>We incorporate by reference into this Annual Report the information contained in the section “Directors and Executive Management Compensation Report” under “Item 2. C—2023 and 2022 Board Compensation” and “Item 3. C—2023 and 2022 Executive Compensation” of Exhibit 99.2 to our report on Form 6-K filed with the SEC on March 14, 2024.</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In 2016, we ceased issuing new grants under our prior equity incentive plans, which we refer to as the Prior Plans, and adopted a new omnibus equity incentive plan under which we have the discretion to grant a broad range of equity-based awards to eligible participants.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Prior plan: C1</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Since our inception in 2003, we have had four separate Prior Plans under which stock options were granted (Prior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Plans A, B and C2 have terminated): Options granted under Plan C1 from 2013 through the adoption of the current 2016</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Option and Incentive Plan (SOIP) were taxed upon exercise instead of at grant due to a change in taxation rules.</w:t>
      </w:r>
    </w:p>
    <w:p>
      <w:pPr>
        <w:spacing w:after="0" w:line="205" w:lineRule="exact"/>
        <w:rPr>
          <w:sz w:val="20"/>
          <w:szCs w:val="20"/>
          <w:color w:val="auto"/>
        </w:rPr>
      </w:pPr>
    </w:p>
    <w:p>
      <w:pPr>
        <w:jc w:val="both"/>
        <w:ind w:left="60" w:right="1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Under Plan C1, an option, which can only be granted with the approval of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evidenced by an option agreement signed by the participant to indicate his or her acceptance of the option and is subject to the terms and conditions of the applicable Prior Plan.</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Under Plan C1, options were granted to our directors, employees, advisors and agents.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Options exercise price</w:t>
      </w:r>
      <w:r>
        <w:rPr>
          <w:rFonts w:ascii="Times New Roman" w:cs="Times New Roman" w:eastAsia="Times New Roman" w:hAnsi="Times New Roman"/>
          <w:sz w:val="18"/>
          <w:szCs w:val="18"/>
          <w:color w:val="auto"/>
        </w:rPr>
        <w:t>. The exercise price of all options issued under the Prior Plan is CHF 0.15.</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Vesting period</w:t>
      </w:r>
      <w:r>
        <w:rPr>
          <w:rFonts w:ascii="Times New Roman" w:cs="Times New Roman" w:eastAsia="Times New Roman" w:hAnsi="Times New Roman"/>
          <w:sz w:val="18"/>
          <w:szCs w:val="18"/>
          <w:color w:val="auto"/>
        </w:rPr>
        <w:t>. Under Plan C1, the options vesting period was 4 years with 25% of the options vesting each year.</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Expiration period. </w:t>
      </w:r>
      <w:r>
        <w:rPr>
          <w:rFonts w:ascii="Times New Roman" w:cs="Times New Roman" w:eastAsia="Times New Roman" w:hAnsi="Times New Roman"/>
          <w:sz w:val="18"/>
          <w:szCs w:val="18"/>
          <w:color w:val="auto"/>
        </w:rPr>
        <w:t>The expiry dates for each plan are as follows: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Plan C1: 10 years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Our board of directors has the authority to amend each of the Prior Plans.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2016 SOIP</w:t>
      </w:r>
    </w:p>
    <w:p>
      <w:pPr>
        <w:spacing w:after="0" w:line="229"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At the November 15, 2016 AGM of the Company, our board of directors approved the 2016 SOIP (as amended and restated the “2016 SOIP”). In June 2019, the Board authorized, and the shareholders approved, an amendment and restatement of the 2016 SOIP to increase the maximum number of shares reserved for issuance under the 2016 SOIP. In October 2019, the Board authorized a second amendment and restatement of the 2016 SOIP (which did not require shareholder approval). As of December 31, 2023, the maximum number of shares available for issuance under the 2016 SOIP is 4,689,750 common shares. The shares available for issuance under the 2016 SOIP were initially registered with the SEC on a Form S-8 on March 8, 2017, and additional shares were registered on a Form S-8 on August 5, 2019. As of December 31, 2023, there were a total of 3,022,345 shares underlying options that were exercisable and 4,949,177 shares underlying outstanding options and 1,003,743 shares underlying outstanding restricted share units issued from both our Prior Plans and the 2016 SOIP.</w:t>
      </w:r>
    </w:p>
    <w:p>
      <w:pPr>
        <w:spacing w:after="0" w:line="191"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2016 SOIP is administered by either our board of directors or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 similar committee performing the functions of the compensation committee. Approval of the plan administrator is required for all grants of awards under the 2016 SOIP, but the administrator may delegate to our CEO the authority to grant awards, subject to certain limitations set forth on the plan.</w:t>
      </w:r>
    </w:p>
    <w:p>
      <w:pPr>
        <w:spacing w:after="0" w:line="180" w:lineRule="exact"/>
        <w:rPr>
          <w:sz w:val="20"/>
          <w:szCs w:val="20"/>
          <w:color w:val="auto"/>
        </w:rPr>
      </w:pPr>
    </w:p>
    <w:p>
      <w:pPr>
        <w:ind w:left="60" w:right="119"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Awards may be granted in the form of incentive stock options, non-qualified stock options, stock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restricted share units, restricted share awards, unrestricted share awards, performance share awards and dividend equivalent rights.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Under the 2016 SOIP, full or part-time officers and other employees, non-employee directors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consultants of the Company and its subsidiaries who are selected by the administrator are eligible to participate in the plan.</w:t>
      </w:r>
    </w:p>
    <w:p>
      <w:pPr>
        <w:spacing w:after="0" w:line="135" w:lineRule="exact"/>
        <w:rPr>
          <w:sz w:val="20"/>
          <w:szCs w:val="20"/>
          <w:color w:val="auto"/>
        </w:rPr>
      </w:pPr>
    </w:p>
    <w:p>
      <w:pPr>
        <w:jc w:val="both"/>
        <w:ind w:left="60" w:right="1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Options exercise price. </w:t>
      </w:r>
      <w:r>
        <w:rPr>
          <w:rFonts w:ascii="Times New Roman" w:cs="Times New Roman" w:eastAsia="Times New Roman" w:hAnsi="Times New Roman"/>
          <w:sz w:val="18"/>
          <w:szCs w:val="18"/>
          <w:color w:val="auto"/>
        </w:rPr>
        <w:t>Under the 2016 SOIP, the option exercise price is determined by the plan administrator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 but will not be less than fair market value (as defined in the 2016 SOIP) on the grant date, and for incentive stock options granted to any employee who is a 10 percent owner in the Company, will not be less than 110 percent of the fair market value on the grant date.</w:t>
      </w:r>
    </w:p>
    <w:p>
      <w:pPr>
        <w:spacing w:after="0" w:line="180" w:lineRule="exact"/>
        <w:rPr>
          <w:sz w:val="20"/>
          <w:szCs w:val="20"/>
          <w:color w:val="auto"/>
        </w:rPr>
      </w:pPr>
    </w:p>
    <w:p>
      <w:pPr>
        <w:ind w:left="60" w:right="439" w:firstLine="324"/>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Vesting period. </w:t>
      </w:r>
      <w:r>
        <w:rPr>
          <w:rFonts w:ascii="Times New Roman" w:cs="Times New Roman" w:eastAsia="Times New Roman" w:hAnsi="Times New Roman"/>
          <w:sz w:val="18"/>
          <w:szCs w:val="18"/>
          <w:color w:val="auto"/>
        </w:rPr>
        <w:t>Vesting conditions are determined by the administrator at the time of grant and are specified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certificate.</w:t>
      </w:r>
    </w:p>
    <w:p>
      <w:pPr>
        <w:spacing w:after="0" w:line="172" w:lineRule="exact"/>
        <w:rPr>
          <w:sz w:val="20"/>
          <w:szCs w:val="20"/>
          <w:color w:val="auto"/>
        </w:rPr>
      </w:pPr>
    </w:p>
    <w:p>
      <w:pPr>
        <w:ind w:left="60" w:right="139"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Accelerated vesting. </w:t>
      </w:r>
      <w:r>
        <w:rPr>
          <w:rFonts w:ascii="Times New Roman" w:cs="Times New Roman" w:eastAsia="Times New Roman" w:hAnsi="Times New Roman"/>
          <w:sz w:val="17"/>
          <w:szCs w:val="17"/>
          <w:color w:val="auto"/>
        </w:rPr>
        <w:t>The administrator may accelerate the exercisability or vesting of all or any portion of any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circumstances involving the grantee’s death, disability, retirement or termination of employment, or a change in control.</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Our board of directors has the authority to amend the 2016 SOIP.</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7"/>
          <w:szCs w:val="17"/>
          <w:color w:val="auto"/>
        </w:rPr>
        <w:t>For the fiscal year ended December 31, 2023, the Company has granted our directors and executive officers, in the aggregate, options for the right to acquire 1,554,281 shares at an exercise price ranging from USD 2.03 to USD 3.11 per share, which vest either over a 1 year or 3 year period with vesting to occur quarterly or annually depending on the nature of the award. The expiration date for these options granted in 2023 is 2033. The Company also granted to our directors and executive officers a total of 736,435 restricted share units in 2023. Restricted share units granted to directors vest over a</w:t>
      </w:r>
    </w:p>
    <w:p>
      <w:pPr>
        <w:spacing w:after="0" w:line="2" w:lineRule="exact"/>
        <w:rPr>
          <w:sz w:val="20"/>
          <w:szCs w:val="20"/>
          <w:color w:val="auto"/>
        </w:rPr>
      </w:pPr>
    </w:p>
    <w:p>
      <w:pPr>
        <w:ind w:left="60" w:right="259"/>
        <w:spacing w:after="0" w:line="290" w:lineRule="auto"/>
        <w:rPr>
          <w:sz w:val="20"/>
          <w:szCs w:val="20"/>
          <w:color w:val="auto"/>
        </w:rPr>
      </w:pPr>
      <w:r>
        <w:rPr>
          <w:rFonts w:ascii="Times New Roman" w:cs="Times New Roman" w:eastAsia="Times New Roman" w:hAnsi="Times New Roman"/>
          <w:sz w:val="17"/>
          <w:szCs w:val="17"/>
          <w:color w:val="auto"/>
        </w:rPr>
        <w:t>1 year period with vesting to occur annually. Restricted share units granted to executive officers vest over a 3 year period with vesting to occur quarterly or semi-annually. Please see “Note 19. Share-based compensation” for further detail.</w:t>
      </w:r>
    </w:p>
    <w:p>
      <w:pPr>
        <w:spacing w:after="0" w:line="153" w:lineRule="exact"/>
        <w:rPr>
          <w:sz w:val="20"/>
          <w:szCs w:val="20"/>
          <w:color w:val="auto"/>
        </w:rPr>
      </w:pPr>
    </w:p>
    <w:p>
      <w:pPr>
        <w:ind w:left="60" w:right="6359" w:hanging="10"/>
        <w:spacing w:after="0" w:line="503" w:lineRule="auto"/>
        <w:tabs>
          <w:tab w:leader="none" w:pos="384"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Composition of board of directors</w:t>
      </w: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is composed of seven directors. Each director is elected for a 1-year renewable term, no later than the next Annual General Meeting (AGM). The current members of our board of directors were appointed at shareholders’ meetings held on June 23, 2023 to serve until the 2024 AGM to be held in June 2024.</w:t>
      </w:r>
    </w:p>
    <w:p>
      <w:pPr>
        <w:spacing w:after="0" w:line="183"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We are a foreign private issuer. As a result, in accordance with the Nasdaq stock exchange listing requirements, we rely on home country governance requirements and certain exemptions thereunder rather than relying on the stock exchange corporate governance requirements. For an overview of our corporate governance principles, see “Item 16G. Corporate governance.”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16"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met in accordance with their respective mandate both physically, by video-conference and telephonically throughout 2023. The Board members analyzed the scientific, business, financial, organizational and legal risks of the Company based on the external factors and internal changes that could potentially impact the risks for the Company in the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determined that, under current listing requirements and rules of Nasdaq (which we are not subject to) and considering any applicable committee independence standards, Douglas Williams, Werner Lanthaler, Roy Twyman, Carl June, Monika Bütler and Monica Shaw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common shares beneficially owned by the director and his or her affiliated entities, if any.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16"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established two separate permanent committees: an audit and finance committee and a compensation, nomination and corporate governance committee.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and finance committee</w:t>
      </w:r>
    </w:p>
    <w:p>
      <w:pPr>
        <w:spacing w:after="0" w:line="22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audit and finance committee, which consists of Monika Bütler (Chair), Monica Shaw (Member), and Douglas Williams (Member), assists our board of directors in overseeing our accounting and financial reporting processes and the audits of our consolidated financial statements. In addition, the audit and finance committee is directly responsible for the appointment, compensation, retention and oversight of the work of our independent registered public accounting firm. The audit and finance committee consists exclusively of members of our board who are financially literate, and Monika Bütler is considered to be “audit committee financial expert” as defined by the SEC. Our board of directors has determined that Monika Bütler, Monica Shaw and Douglas Williams satisfy the “independence” requirements set forth in Rule 10A-3 under the Exchange Act.</w:t>
      </w:r>
    </w:p>
    <w:p>
      <w:pPr>
        <w:spacing w:after="0" w:line="192"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audit and finance committee is governed by a charter that complies with Nasdaq rules. The audit and finance committee has the responsibility to, among other things:</w:t>
      </w:r>
    </w:p>
    <w:p>
      <w:pPr>
        <w:spacing w:after="0" w:line="162" w:lineRule="exact"/>
        <w:rPr>
          <w:sz w:val="20"/>
          <w:szCs w:val="20"/>
          <w:color w:val="auto"/>
        </w:rPr>
      </w:pPr>
    </w:p>
    <w:p>
      <w:pPr>
        <w:ind w:left="720" w:hanging="319"/>
        <w:spacing w:after="0"/>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qualifications, independence, performance and effectiveness of the independent auditor;</w:t>
      </w:r>
    </w:p>
    <w:p>
      <w:pPr>
        <w:spacing w:after="0" w:line="225" w:lineRule="exact"/>
        <w:rPr>
          <w:rFonts w:ascii="Times New Roman" w:cs="Times New Roman" w:eastAsia="Times New Roman" w:hAnsi="Times New Roman"/>
          <w:sz w:val="18"/>
          <w:szCs w:val="18"/>
          <w:color w:val="auto"/>
        </w:rPr>
      </w:pPr>
    </w:p>
    <w:p>
      <w:pPr>
        <w:ind w:left="720" w:right="359" w:hanging="319"/>
        <w:spacing w:after="0" w:line="282" w:lineRule="auto"/>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scope of the prospective audit by the independent auditor, the estimated fees, and any other matters pertaining to the audit;</w:t>
      </w:r>
    </w:p>
    <w:p>
      <w:pPr>
        <w:spacing w:after="0" w:line="161"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audit and non-audit services proposed to be provided by the independent auditor to ensure independent auditor independence;</w:t>
      </w:r>
    </w:p>
    <w:p>
      <w:pPr>
        <w:spacing w:after="0" w:line="161" w:lineRule="exact"/>
        <w:rPr>
          <w:rFonts w:ascii="Times New Roman" w:cs="Times New Roman" w:eastAsia="Times New Roman" w:hAnsi="Times New Roman"/>
          <w:sz w:val="18"/>
          <w:szCs w:val="18"/>
          <w:color w:val="auto"/>
        </w:rPr>
      </w:pPr>
    </w:p>
    <w:p>
      <w:pPr>
        <w:ind w:left="720" w:right="119" w:hanging="319"/>
        <w:spacing w:after="0" w:line="258" w:lineRule="auto"/>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independent auditor’s report and management letters and take notice of all comments of the independent auditor on accounting procedures and systems of control, and review the independent auditor’s reports with management;</w:t>
      </w:r>
    </w:p>
    <w:p>
      <w:pPr>
        <w:spacing w:after="0" w:line="19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responsible for the resolution of disagreements between the management and the independent auditor;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 the lead audit partner of the independent audit team and confirm and evaluate their rotation;</w:t>
      </w:r>
    </w:p>
    <w:p>
      <w:pPr>
        <w:spacing w:after="0" w:line="225" w:lineRule="exact"/>
        <w:rPr>
          <w:rFonts w:ascii="Times New Roman" w:cs="Times New Roman" w:eastAsia="Times New Roman" w:hAnsi="Times New Roman"/>
          <w:sz w:val="18"/>
          <w:szCs w:val="18"/>
          <w:color w:val="auto"/>
        </w:rPr>
      </w:pPr>
    </w:p>
    <w:p>
      <w:pPr>
        <w:ind w:left="720" w:right="99" w:hanging="319"/>
        <w:spacing w:after="0" w:line="255" w:lineRule="auto"/>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all (i) consolidated financial statements, (ii) reports intended for publication and (iii) any other financial statements intended for publication to consider significant financial reporting issues and judgments made in connection with the preparation of our consolidated financial statements, including any significant changes in our selection or application of accounting principles;</w:t>
      </w:r>
    </w:p>
    <w:p>
      <w:pPr>
        <w:spacing w:after="0" w:line="18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quarterly condensed consolidated financial statements;</w:t>
      </w:r>
    </w:p>
    <w:p>
      <w:pPr>
        <w:spacing w:after="0" w:line="225" w:lineRule="exact"/>
        <w:rPr>
          <w:rFonts w:ascii="Times New Roman" w:cs="Times New Roman" w:eastAsia="Times New Roman" w:hAnsi="Times New Roman"/>
          <w:sz w:val="18"/>
          <w:szCs w:val="18"/>
          <w:color w:val="auto"/>
        </w:rPr>
      </w:pPr>
    </w:p>
    <w:p>
      <w:pPr>
        <w:ind w:left="720" w:right="159" w:hanging="319"/>
        <w:spacing w:after="0" w:line="258" w:lineRule="auto"/>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66" w:lineRule="auto"/>
        <w:rPr>
          <w:sz w:val="20"/>
          <w:szCs w:val="20"/>
          <w:color w:val="auto"/>
        </w:rPr>
      </w:pPr>
      <w:r>
        <w:rPr>
          <w:rFonts w:ascii="Times New Roman" w:cs="Times New Roman" w:eastAsia="Times New Roman" w:hAnsi="Times New Roman"/>
          <w:sz w:val="18"/>
          <w:szCs w:val="18"/>
          <w:color w:val="auto"/>
        </w:rPr>
        <w:t>and judgments made in connection with the preparation of the consolidated financial statements, including critical accounting policies, the effect of regulatory and accounting initiatives, and off-balance sheet transactions and structures on our consolidated financial statements;</w:t>
      </w:r>
    </w:p>
    <w:p>
      <w:pPr>
        <w:spacing w:after="0" w:line="176" w:lineRule="exact"/>
        <w:rPr>
          <w:sz w:val="20"/>
          <w:szCs w:val="20"/>
          <w:color w:val="auto"/>
        </w:rPr>
      </w:pPr>
    </w:p>
    <w:p>
      <w:pPr>
        <w:ind w:left="720" w:right="599" w:hanging="319"/>
        <w:spacing w:after="0" w:line="282"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 cooperation with the independent auditor and the management whether the accounting principles applied are appropriate in view of our size and complexity;</w:t>
      </w:r>
    </w:p>
    <w:p>
      <w:pPr>
        <w:spacing w:after="0" w:line="161"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w:t>
      </w:r>
    </w:p>
    <w:p>
      <w:pPr>
        <w:spacing w:after="0" w:line="175"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external advisors any legal matters that may have a material impact on our consolidated financial statements and any material reports or inquiries from regulatory or governmental agencies that could materially impact our contingent liabilities and risks;</w:t>
      </w:r>
    </w:p>
    <w:p>
      <w:pPr>
        <w:spacing w:after="0" w:line="175" w:lineRule="exact"/>
        <w:rPr>
          <w:rFonts w:ascii="Times New Roman" w:cs="Times New Roman" w:eastAsia="Times New Roman" w:hAnsi="Times New Roman"/>
          <w:sz w:val="18"/>
          <w:szCs w:val="18"/>
          <w:color w:val="auto"/>
        </w:rPr>
      </w:pPr>
    </w:p>
    <w:p>
      <w:pPr>
        <w:ind w:left="720" w:right="219" w:hanging="319"/>
        <w:spacing w:after="0" w:line="312" w:lineRule="auto"/>
        <w:tabs>
          <w:tab w:leader="none" w:pos="7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our disclosure controls and procedures and internal control over financial reporting, including significant deficiencies and material weaknesses in the design or operation of internal controls over financial reporting;</w:t>
      </w:r>
    </w:p>
    <w:p>
      <w:pPr>
        <w:spacing w:after="0" w:line="139" w:lineRule="exact"/>
        <w:rPr>
          <w:rFonts w:ascii="Times New Roman" w:cs="Times New Roman" w:eastAsia="Times New Roman" w:hAnsi="Times New Roman"/>
          <w:sz w:val="17"/>
          <w:szCs w:val="17"/>
          <w:color w:val="auto"/>
        </w:rPr>
      </w:pPr>
    </w:p>
    <w:p>
      <w:pPr>
        <w:ind w:left="720" w:right="119" w:hanging="319"/>
        <w:spacing w:after="0" w:line="266"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17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ratify any related-person transaction in accordance with our related-person transaction policy.</w:t>
      </w:r>
    </w:p>
    <w:p>
      <w:pPr>
        <w:spacing w:after="0" w:line="16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audit and finance committee will meet as often as it determines is appropriate to carry out its responsibilities, but in any event will meet at least four times per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nomination and corporate governance committee</w:t>
      </w:r>
    </w:p>
    <w:p>
      <w:pPr>
        <w:spacing w:after="0" w:line="22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compensation, nomination and corporate governance committee, consists of Monika Bütler (Chair), Douglas Williams (Member) and Roy Twyman (Member).</w:t>
      </w:r>
    </w:p>
    <w:p>
      <w:pPr>
        <w:spacing w:after="0" w:line="16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compensation, nomination and corporate governance committee is governed by a charter that complies with SEC and home country governance rules. The compensation, nomination and corporate governance committee has the responsibility to, among other things:</w:t>
      </w:r>
    </w:p>
    <w:p>
      <w:pPr>
        <w:spacing w:after="0" w:line="183" w:lineRule="exact"/>
        <w:rPr>
          <w:sz w:val="20"/>
          <w:szCs w:val="20"/>
          <w:color w:val="auto"/>
        </w:rPr>
      </w:pPr>
    </w:p>
    <w:p>
      <w:pPr>
        <w:ind w:left="720" w:right="179" w:hanging="319"/>
        <w:spacing w:after="0" w:line="282" w:lineRule="auto"/>
        <w:tabs>
          <w:tab w:leader="none" w:pos="7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guidelines for the overall compensation and equity awards for the board of directors and executive officers along with the rationale for such recommendations;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compensation of executive officers;</w:t>
      </w:r>
    </w:p>
    <w:p>
      <w:pPr>
        <w:spacing w:after="0" w:line="225"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the maximum total compensation of the board of directors and executive officers for approval at the Annual General Meeting;</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policies and principles for the Company’s corporate governance;</w:t>
      </w:r>
    </w:p>
    <w:p>
      <w:pPr>
        <w:spacing w:after="0" w:line="22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process for assessment of the performance of members of the board, its committees and individual members;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review the Company’s succession plan for members of the board and the executive committee;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code of conduct and recommends changes as needed;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for presentation to our shareholders the compensation report for shareholder vote; and</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guidelines for the selection of candidates for election or re-election as members of the board and our executive officers.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Compensation Recoupment Policy.</w:t>
      </w:r>
    </w:p>
    <w:p>
      <w:pPr>
        <w:spacing w:after="0" w:line="22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Swiss law requires that we adopt a compensation committee, so in accordance with Nasdaq Listing Rule 5615(a)(3), we will follow home country requirements with respect to the compensation, nomination and corporate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 requirements of Nasdaq Listing Rule 5605(e). We are subject to the Swiss Executive Compensation (Say on Pay) Rule as enforced in the Code of Obligations. In addition, this committee will also be responsible for director and board committee nominations as well as reviewing and amending, if required, our corporate governance framework and guidelines.</w:t>
      </w:r>
    </w:p>
    <w:p>
      <w:pPr>
        <w:spacing w:after="0" w:line="18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Employees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we employed 161 employees, 28 of whom were part-time employees. 75 of our employees hold Ph.D. degrees and 59 hold M.Sc. degrees. Our 161 employees are from 28 countries. The average number of employees (calculated on full-time equivalents) in 2023 was 144. As of December 31, 2022 and 2021 we had 156 and 143 employees, respectively. We have never had a work stoppage, and none of our employees is represented by a labor organization or under any collective-bargaining arrangements. We consider our employee relations to be good.</w:t>
      </w:r>
    </w:p>
    <w:p>
      <w:pPr>
        <w:spacing w:after="0" w:line="166" w:lineRule="exact"/>
        <w:rPr>
          <w:sz w:val="20"/>
          <w:szCs w:val="20"/>
          <w:color w:val="auto"/>
        </w:rPr>
      </w:pPr>
    </w:p>
    <w:p>
      <w:pPr>
        <w:ind w:left="380" w:hanging="330"/>
        <w:spacing w:after="0"/>
        <w:tabs>
          <w:tab w:leader="none" w:pos="3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7. Major shareholders and related-party transactions—A. Major shareholders.”</w:t>
      </w:r>
    </w:p>
    <w:p>
      <w:pPr>
        <w:spacing w:after="0" w:line="22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RELATED-PARTY TRANSACTIONS</w:t>
      </w:r>
    </w:p>
    <w:p>
      <w:pPr>
        <w:spacing w:after="0" w:line="18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Major shareholders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information relating to the beneficial ownership of our common shares as of the date of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 Report by:</w:t>
      </w:r>
    </w:p>
    <w:p>
      <w:pPr>
        <w:spacing w:after="0" w:line="166" w:lineRule="exact"/>
        <w:rPr>
          <w:sz w:val="20"/>
          <w:szCs w:val="20"/>
          <w:color w:val="auto"/>
        </w:rPr>
      </w:pPr>
    </w:p>
    <w:p>
      <w:pPr>
        <w:ind w:left="720" w:right="559" w:hanging="319"/>
        <w:spacing w:after="0" w:line="282" w:lineRule="auto"/>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own beneficially 5% or more of our outstanding common shares;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185"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March 1, 2024 through the exercise of any option, warrant or other right. Except as otherwise</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indicated, and subject to applicable community property laws, the persons named in the table have sole voting and investment power with respect to all common shares held by that person.</w:t>
      </w:r>
    </w:p>
    <w:p>
      <w:pPr>
        <w:spacing w:after="0" w:line="13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percentage of outstanding common shares is computed on the basis of 99,197,829 common shares outstanding as of March 1, 2024. Common shares that a person has the right to acquire within 60 days of March 1, 2024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1015 Lausanne, Switzerland.</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r>
      <w:tr>
        <w:trPr>
          <w:trHeight w:val="19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1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owned (%)</w:t>
            </w:r>
          </w:p>
        </w:tc>
      </w:tr>
      <w:tr>
        <w:trPr>
          <w:trHeight w:val="228"/>
        </w:trPr>
        <w:tc>
          <w:tcPr>
            <w:tcW w:w="20" w:type="dxa"/>
            <w:vAlign w:val="bottom"/>
          </w:tcPr>
          <w:p>
            <w:pPr>
              <w:spacing w:after="0"/>
              <w:rPr>
                <w:sz w:val="19"/>
                <w:szCs w:val="19"/>
                <w:color w:val="auto"/>
              </w:rPr>
            </w:pPr>
          </w:p>
        </w:tc>
        <w:tc>
          <w:tcPr>
            <w:tcW w:w="6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5% Shareholders</w:t>
            </w:r>
          </w:p>
        </w:tc>
        <w:tc>
          <w:tcPr>
            <w:tcW w:w="2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dievini Hopp BioTech holding GmbH &amp; Co KG</w:t>
            </w:r>
            <w:r>
              <w:rPr>
                <w:rFonts w:ascii="Times New Roman" w:cs="Times New Roman" w:eastAsia="Times New Roman" w:hAnsi="Times New Roman"/>
                <w:sz w:val="26"/>
                <w:szCs w:val="26"/>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16,316,742</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16.4 %</w:t>
            </w:r>
          </w:p>
        </w:tc>
      </w:tr>
      <w:tr>
        <w:trPr>
          <w:trHeight w:val="229"/>
        </w:trPr>
        <w:tc>
          <w:tcPr>
            <w:tcW w:w="20" w:type="dxa"/>
            <w:vAlign w:val="bottom"/>
          </w:tcPr>
          <w:p>
            <w:pPr>
              <w:spacing w:after="0"/>
              <w:rPr>
                <w:sz w:val="19"/>
                <w:szCs w:val="19"/>
                <w:color w:val="auto"/>
              </w:rPr>
            </w:pPr>
          </w:p>
        </w:tc>
        <w:tc>
          <w:tcPr>
            <w:tcW w:w="63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Biotechnology Value Fund (BVF) Inc.</w:t>
            </w:r>
            <w:r>
              <w:rPr>
                <w:rFonts w:ascii="Times New Roman" w:cs="Times New Roman" w:eastAsia="Times New Roman" w:hAnsi="Times New Roman"/>
                <w:sz w:val="26"/>
                <w:szCs w:val="26"/>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14,571,236</w:t>
            </w:r>
          </w:p>
        </w:tc>
        <w:tc>
          <w:tcPr>
            <w:tcW w:w="1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14.7 %</w:t>
            </w:r>
          </w:p>
        </w:tc>
      </w:tr>
      <w:tr>
        <w:trPr>
          <w:trHeight w:val="229"/>
        </w:trPr>
        <w:tc>
          <w:tcPr>
            <w:tcW w:w="20" w:type="dxa"/>
            <w:vAlign w:val="bottom"/>
          </w:tcPr>
          <w:p>
            <w:pPr>
              <w:spacing w:after="0"/>
              <w:rPr>
                <w:sz w:val="19"/>
                <w:szCs w:val="19"/>
                <w:color w:val="auto"/>
              </w:rPr>
            </w:pPr>
          </w:p>
        </w:tc>
        <w:tc>
          <w:tcPr>
            <w:tcW w:w="63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Varuma AG</w:t>
            </w:r>
            <w:r>
              <w:rPr>
                <w:rFonts w:ascii="Times New Roman" w:cs="Times New Roman" w:eastAsia="Times New Roman" w:hAnsi="Times New Roman"/>
                <w:sz w:val="26"/>
                <w:szCs w:val="26"/>
                <w:color w:val="auto"/>
                <w:vertAlign w:val="superscript"/>
              </w:rPr>
              <w:t>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11,999,999</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12.1 %</w:t>
            </w:r>
          </w:p>
        </w:tc>
      </w:tr>
      <w:tr>
        <w:trPr>
          <w:trHeight w:val="230"/>
        </w:trPr>
        <w:tc>
          <w:tcPr>
            <w:tcW w:w="20" w:type="dxa"/>
            <w:vAlign w:val="bottom"/>
          </w:tcPr>
          <w:p>
            <w:pPr>
              <w:spacing w:after="0"/>
              <w:rPr>
                <w:sz w:val="19"/>
                <w:szCs w:val="19"/>
                <w:color w:val="auto"/>
              </w:rPr>
            </w:pPr>
          </w:p>
        </w:tc>
        <w:tc>
          <w:tcPr>
            <w:tcW w:w="63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Affiris AG</w:t>
            </w:r>
            <w:r>
              <w:rPr>
                <w:rFonts w:ascii="Times New Roman" w:cs="Times New Roman" w:eastAsia="Times New Roman" w:hAnsi="Times New Roman"/>
                <w:sz w:val="26"/>
                <w:szCs w:val="26"/>
                <w:color w:val="auto"/>
                <w:vertAlign w:val="superscript"/>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6,578,100</w:t>
            </w:r>
          </w:p>
        </w:tc>
        <w:tc>
          <w:tcPr>
            <w:tcW w:w="1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6.6 %</w:t>
            </w:r>
          </w:p>
        </w:tc>
      </w:tr>
      <w:tr>
        <w:trPr>
          <w:trHeight w:val="229"/>
        </w:trPr>
        <w:tc>
          <w:tcPr>
            <w:tcW w:w="20" w:type="dxa"/>
            <w:vAlign w:val="bottom"/>
          </w:tcPr>
          <w:p>
            <w:pPr>
              <w:spacing w:after="0"/>
              <w:rPr>
                <w:sz w:val="19"/>
                <w:szCs w:val="19"/>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 and Directors</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Andrea Pfeifer</w:t>
            </w:r>
            <w:r>
              <w:rPr>
                <w:rFonts w:ascii="Times New Roman" w:cs="Times New Roman" w:eastAsia="Times New Roman" w:hAnsi="Times New Roman"/>
                <w:sz w:val="26"/>
                <w:szCs w:val="26"/>
                <w:color w:val="auto"/>
                <w:vertAlign w:val="superscript"/>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3,466,526</w:t>
            </w:r>
          </w:p>
        </w:tc>
        <w:tc>
          <w:tcPr>
            <w:tcW w:w="1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20" w:type="dxa"/>
            <w:vAlign w:val="bottom"/>
          </w:tcPr>
          <w:p>
            <w:pPr>
              <w:spacing w:after="0"/>
              <w:rPr>
                <w:sz w:val="19"/>
                <w:szCs w:val="19"/>
                <w:color w:val="auto"/>
              </w:rPr>
            </w:pPr>
          </w:p>
        </w:tc>
        <w:tc>
          <w:tcPr>
            <w:tcW w:w="638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Madiha Derouazi</w:t>
            </w:r>
            <w:r>
              <w:rPr>
                <w:rFonts w:ascii="Times New Roman" w:cs="Times New Roman" w:eastAsia="Times New Roman" w:hAnsi="Times New Roman"/>
                <w:sz w:val="26"/>
                <w:szCs w:val="26"/>
                <w:color w:val="auto"/>
                <w:vertAlign w:val="superscript"/>
              </w:rPr>
              <w:t>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Nuno Mendonça</w:t>
            </w:r>
            <w:r>
              <w:rPr>
                <w:rFonts w:ascii="Times New Roman" w:cs="Times New Roman" w:eastAsia="Times New Roman" w:hAnsi="Times New Roman"/>
                <w:sz w:val="26"/>
                <w:szCs w:val="26"/>
                <w:color w:val="auto"/>
                <w:vertAlign w:val="superscript"/>
              </w:rPr>
              <w:t>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Piergiorgio Donati</w:t>
            </w:r>
            <w:r>
              <w:rPr>
                <w:rFonts w:ascii="Times New Roman" w:cs="Times New Roman" w:eastAsia="Times New Roman" w:hAnsi="Times New Roman"/>
                <w:sz w:val="26"/>
                <w:szCs w:val="26"/>
                <w:color w:val="auto"/>
                <w:vertAlign w:val="superscript"/>
              </w:rPr>
              <w:t>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Christopher Roberts</w:t>
            </w:r>
            <w:r>
              <w:rPr>
                <w:rFonts w:ascii="Times New Roman" w:cs="Times New Roman" w:eastAsia="Times New Roman" w:hAnsi="Times New Roman"/>
                <w:sz w:val="26"/>
                <w:szCs w:val="26"/>
                <w:color w:val="auto"/>
                <w:vertAlign w:val="superscript"/>
              </w:rPr>
              <w:t>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Howard Donovan</w:t>
            </w:r>
            <w:r>
              <w:rPr>
                <w:rFonts w:ascii="Times New Roman" w:cs="Times New Roman" w:eastAsia="Times New Roman" w:hAnsi="Times New Roman"/>
                <w:sz w:val="26"/>
                <w:szCs w:val="26"/>
                <w:color w:val="auto"/>
                <w:vertAlign w:val="superscript"/>
              </w:rPr>
              <w:t>10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Jean-Fabien Monin</w:t>
            </w:r>
            <w:r>
              <w:rPr>
                <w:rFonts w:ascii="Times New Roman" w:cs="Times New Roman" w:eastAsia="Times New Roman" w:hAnsi="Times New Roman"/>
                <w:sz w:val="26"/>
                <w:szCs w:val="26"/>
                <w:color w:val="auto"/>
                <w:vertAlign w:val="superscript"/>
              </w:rPr>
              <w:t>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8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Douglas Williams</w:t>
            </w:r>
            <w:r>
              <w:rPr>
                <w:rFonts w:ascii="Times New Roman" w:cs="Times New Roman" w:eastAsia="Times New Roman" w:hAnsi="Times New Roman"/>
                <w:sz w:val="26"/>
                <w:szCs w:val="26"/>
                <w:color w:val="auto"/>
                <w:vertAlign w:val="superscript"/>
              </w:rPr>
              <w:t>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Monika Bütler</w:t>
            </w:r>
            <w:r>
              <w:rPr>
                <w:rFonts w:ascii="Times New Roman" w:cs="Times New Roman" w:eastAsia="Times New Roman" w:hAnsi="Times New Roman"/>
                <w:sz w:val="26"/>
                <w:szCs w:val="26"/>
                <w:color w:val="auto"/>
                <w:vertAlign w:val="superscript"/>
              </w:rPr>
              <w:t>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Werner Lanthaler</w:t>
            </w:r>
            <w:r>
              <w:rPr>
                <w:rFonts w:ascii="Times New Roman" w:cs="Times New Roman" w:eastAsia="Times New Roman" w:hAnsi="Times New Roman"/>
                <w:sz w:val="26"/>
                <w:szCs w:val="26"/>
                <w:color w:val="auto"/>
                <w:vertAlign w:val="superscript"/>
              </w:rPr>
              <w:t>14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Roy Twyman</w:t>
            </w:r>
            <w:r>
              <w:rPr>
                <w:rFonts w:ascii="Times New Roman" w:cs="Times New Roman" w:eastAsia="Times New Roman" w:hAnsi="Times New Roman"/>
                <w:sz w:val="26"/>
                <w:szCs w:val="26"/>
                <w:color w:val="auto"/>
                <w:vertAlign w:val="superscript"/>
              </w:rPr>
              <w:t>15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Carl June</w:t>
            </w:r>
            <w:r>
              <w:rPr>
                <w:rFonts w:ascii="Times New Roman" w:cs="Times New Roman" w:eastAsia="Times New Roman" w:hAnsi="Times New Roman"/>
                <w:sz w:val="26"/>
                <w:szCs w:val="26"/>
                <w:color w:val="auto"/>
                <w:vertAlign w:val="superscript"/>
              </w:rPr>
              <w:t>16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Monica Shaw</w:t>
            </w:r>
            <w:r>
              <w:rPr>
                <w:rFonts w:ascii="Times New Roman" w:cs="Times New Roman" w:eastAsia="Times New Roman" w:hAnsi="Times New Roman"/>
                <w:sz w:val="26"/>
                <w:szCs w:val="26"/>
                <w:color w:val="auto"/>
                <w:vertAlign w:val="superscript"/>
              </w:rPr>
              <w:t>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(13 persons)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4,850,665</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76" w:lineRule="exact"/>
        <w:rPr>
          <w:sz w:val="20"/>
          <w:szCs w:val="20"/>
          <w:color w:val="auto"/>
        </w:rPr>
      </w:pPr>
    </w:p>
    <w:p>
      <w:pPr>
        <w:ind w:left="380" w:hanging="330"/>
        <w:spacing w:after="0"/>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issued and outstanding common shares.</w:t>
      </w:r>
    </w:p>
    <w:p>
      <w:pPr>
        <w:spacing w:after="0" w:line="217" w:lineRule="exact"/>
        <w:rPr>
          <w:sz w:val="20"/>
          <w:szCs w:val="20"/>
          <w:color w:val="auto"/>
        </w:rPr>
      </w:pPr>
    </w:p>
    <w:p>
      <w:pPr>
        <w:ind w:left="60" w:right="339"/>
        <w:spacing w:after="0" w:line="210"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Based on information set form in a Schedule 13G/A filed with the SEC by dievini Hopp BioTech holding GmbH &amp; Co KG (“dievini”) on February 10, 2023. These shares consist of 16,316,742 shares held by dievini.</w:t>
      </w:r>
    </w:p>
    <w:p>
      <w:pPr>
        <w:spacing w:after="0" w:line="213" w:lineRule="exact"/>
        <w:rPr>
          <w:sz w:val="20"/>
          <w:szCs w:val="20"/>
          <w:color w:val="auto"/>
        </w:rPr>
      </w:pPr>
    </w:p>
    <w:p>
      <w:pPr>
        <w:ind w:left="60" w:right="199"/>
        <w:spacing w:after="0" w:line="275" w:lineRule="auto"/>
        <w:rPr>
          <w:sz w:val="20"/>
          <w:szCs w:val="20"/>
          <w:color w:val="auto"/>
        </w:rPr>
      </w:pPr>
      <w:r>
        <w:rPr>
          <w:rFonts w:ascii="Times New Roman" w:cs="Times New Roman" w:eastAsia="Times New Roman" w:hAnsi="Times New Roman"/>
          <w:sz w:val="18"/>
          <w:szCs w:val="18"/>
          <w:color w:val="auto"/>
        </w:rPr>
        <w:t>DH-Capital GmbH &amp; Co. KG (“DH-Capital”) and OH Beteiligungen GmbH &amp; Co. KG (“OH Beteiligungen”) are collectively the holders of 100% of the limited partner interest in dievini and therefore, control the voting and dispositive decisions of dievini together and may be deemed to beneficially own the shares held by dievini. Dietmar Hopp, Oliver Hopp and Daniel Hopp are the ultimate controlling persons of dievini, DH-Capital and OH Beteiligungen, and control the voting and investment decisions of the ultimate parent company of dievini and therefore, may be deemed to beneficially own the shares held by dievini by virtue of their status as controlling persons of dievini.</w:t>
      </w:r>
    </w:p>
    <w:p>
      <w:pPr>
        <w:spacing w:after="0" w:line="102" w:lineRule="exact"/>
        <w:rPr>
          <w:sz w:val="20"/>
          <w:szCs w:val="20"/>
          <w:color w:val="auto"/>
        </w:rPr>
      </w:pPr>
    </w:p>
    <w:p>
      <w:pPr>
        <w:ind w:left="60" w:right="299"/>
        <w:spacing w:after="0" w:line="297" w:lineRule="auto"/>
        <w:rPr>
          <w:sz w:val="20"/>
          <w:szCs w:val="20"/>
          <w:color w:val="auto"/>
        </w:rPr>
      </w:pPr>
      <w:r>
        <w:rPr>
          <w:rFonts w:ascii="Times New Roman" w:cs="Times New Roman" w:eastAsia="Times New Roman" w:hAnsi="Times New Roman"/>
          <w:sz w:val="17"/>
          <w:szCs w:val="17"/>
          <w:color w:val="auto"/>
        </w:rPr>
        <w:t>The address of the principal business office of dievini and Dietmar Hopp is c/o dievini Hopp BioTech holding GmbH &amp; Co. KG, Johann-Jakob-Astor Straße 57, 69190 Walldorf, Germany. The address of the principal business office of DH-Capital GmbH &amp; Co. KG and OH Beteiligungen GmbH &amp; Co. KG is Opelstraße 28, 68789 St. Leon-Rot, Germany. The address of the principal business office of Oliver Hopp is Johann-Jakob-Astor-Straße 59, 69190 Walldorf, Germany.</w:t>
      </w:r>
    </w:p>
    <w:p>
      <w:pPr>
        <w:spacing w:after="0" w:line="77" w:lineRule="exact"/>
        <w:rPr>
          <w:sz w:val="20"/>
          <w:szCs w:val="20"/>
          <w:color w:val="auto"/>
        </w:rPr>
      </w:pPr>
    </w:p>
    <w:p>
      <w:pPr>
        <w:ind w:left="60" w:right="339"/>
        <w:spacing w:after="0" w:line="201"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Based on information set forth in a Schedule 13G/A filed with the SEC by BVF on December 19, 2023, these shares consist of 14,571,236 shares held of record by BVF Inc. The address of BVF Inc. is 44 Montgomery St.,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San Francisco, California 94104.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79"/>
        <w:spacing w:after="0" w:line="226"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Represents 11,999,999 shares held by Varuma AG set forth in a Schedule 13G/A filed with the SEC on February 12, 2019. The address for Varuma AG is Aeschenvorstadt 55, CH-4051 Basel, Switzerland. Rudolf Maag controls the voting and investment decisions of Varuma AG.</w:t>
      </w:r>
    </w:p>
    <w:p>
      <w:pPr>
        <w:spacing w:after="0" w:line="193" w:lineRule="exact"/>
        <w:rPr>
          <w:sz w:val="20"/>
          <w:szCs w:val="20"/>
          <w:color w:val="auto"/>
        </w:rPr>
      </w:pPr>
    </w:p>
    <w:p>
      <w:pPr>
        <w:jc w:val="both"/>
        <w:ind w:left="60" w:right="99"/>
        <w:spacing w:after="0" w:line="226" w:lineRule="auto"/>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Based on information set forth in a Schedule 13G/A filed with the SEC by Affiris AG on February 19, 2024, these shares consist of 6,578,100 shares held of record by Affiris AG. The address of Affiris AG is Karl-Farkas-Gasse 22, 1030 Vienna, Austria.</w:t>
      </w:r>
    </w:p>
    <w:p>
      <w:pPr>
        <w:spacing w:after="0" w:line="1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Consists of 2,421,226 of our common shares and options to purchase 1,045,300 of our common shares exercisable within</w:t>
      </w:r>
    </w:p>
    <w:p>
      <w:pPr>
        <w:ind w:left="60"/>
        <w:spacing w:after="0"/>
        <w:rPr>
          <w:sz w:val="20"/>
          <w:szCs w:val="20"/>
          <w:color w:val="auto"/>
        </w:rPr>
      </w:pPr>
      <w:r>
        <w:rPr>
          <w:rFonts w:ascii="Times New Roman" w:cs="Times New Roman" w:eastAsia="Times New Roman" w:hAnsi="Times New Roman"/>
          <w:sz w:val="18"/>
          <w:szCs w:val="18"/>
          <w:color w:val="auto"/>
        </w:rPr>
        <w:t>60 days of March 1, 2024.</w:t>
      </w:r>
    </w:p>
    <w:p>
      <w:pPr>
        <w:spacing w:after="0" w:line="197" w:lineRule="exact"/>
        <w:rPr>
          <w:sz w:val="20"/>
          <w:szCs w:val="20"/>
          <w:color w:val="auto"/>
        </w:rPr>
      </w:pPr>
    </w:p>
    <w:p>
      <w:pPr>
        <w:ind w:left="60" w:right="419"/>
        <w:spacing w:after="0" w:line="217" w:lineRule="auto"/>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Consists of 3,175 of our common shares and no options to purchase our common shares exercisable within 60 days of March 1, 2024.</w:t>
      </w:r>
    </w:p>
    <w:p>
      <w:pPr>
        <w:spacing w:after="0" w:line="191" w:lineRule="exact"/>
        <w:rPr>
          <w:sz w:val="20"/>
          <w:szCs w:val="20"/>
          <w:color w:val="auto"/>
        </w:rPr>
      </w:pPr>
    </w:p>
    <w:p>
      <w:pPr>
        <w:ind w:left="60" w:right="199"/>
        <w:spacing w:after="0" w:line="217" w:lineRule="auto"/>
        <w:rPr>
          <w:sz w:val="20"/>
          <w:szCs w:val="20"/>
          <w:color w:val="auto"/>
        </w:rPr>
      </w:pP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Consists of 8,225 of our common shares and options to purchase 8,286 of our common shares exercisable within 60 days of March 1, 2024.</w:t>
      </w:r>
    </w:p>
    <w:p>
      <w:pPr>
        <w:spacing w:after="0" w:line="191" w:lineRule="exact"/>
        <w:rPr>
          <w:sz w:val="20"/>
          <w:szCs w:val="20"/>
          <w:color w:val="auto"/>
        </w:rPr>
      </w:pPr>
    </w:p>
    <w:p>
      <w:pPr>
        <w:ind w:left="60" w:right="299"/>
        <w:spacing w:after="0" w:line="217" w:lineRule="auto"/>
        <w:rPr>
          <w:sz w:val="20"/>
          <w:szCs w:val="20"/>
          <w:color w:val="auto"/>
        </w:rPr>
      </w:pP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Consists of 24,521 of our common shares and options to purchase 141,131 of our common shares exercisable within 60 days of March 1, 2024.</w:t>
      </w:r>
    </w:p>
    <w:p>
      <w:pPr>
        <w:spacing w:after="0" w:line="177" w:lineRule="exact"/>
        <w:rPr>
          <w:sz w:val="20"/>
          <w:szCs w:val="20"/>
          <w:color w:val="auto"/>
        </w:rPr>
      </w:pPr>
    </w:p>
    <w:p>
      <w:pPr>
        <w:ind w:left="60" w:right="379"/>
        <w:spacing w:after="0" w:line="217" w:lineRule="auto"/>
        <w:rPr>
          <w:sz w:val="20"/>
          <w:szCs w:val="20"/>
          <w:color w:val="auto"/>
        </w:rPr>
      </w:pP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Consists of 12,601 of our common shares and options to purchase 26,737 of our common shares exercisable within 60 days of March 1, 2024.</w:t>
      </w:r>
    </w:p>
    <w:p>
      <w:pPr>
        <w:spacing w:after="0" w:line="191" w:lineRule="exact"/>
        <w:rPr>
          <w:sz w:val="20"/>
          <w:szCs w:val="20"/>
          <w:color w:val="auto"/>
        </w:rPr>
      </w:pPr>
    </w:p>
    <w:p>
      <w:pPr>
        <w:ind w:left="60" w:right="319"/>
        <w:spacing w:after="0" w:line="217" w:lineRule="auto"/>
        <w:rPr>
          <w:sz w:val="20"/>
          <w:szCs w:val="20"/>
          <w:color w:val="auto"/>
        </w:rPr>
      </w:pP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Consists of 20,136 of our common shares and options to purchase 40,902 of our common shares exercisable within 60 days of March 1, 2024.</w:t>
      </w:r>
    </w:p>
    <w:p>
      <w:pPr>
        <w:spacing w:after="0" w:line="191" w:lineRule="exact"/>
        <w:rPr>
          <w:sz w:val="20"/>
          <w:szCs w:val="20"/>
          <w:color w:val="auto"/>
        </w:rPr>
      </w:pPr>
    </w:p>
    <w:p>
      <w:pPr>
        <w:ind w:left="60" w:right="159"/>
        <w:spacing w:after="0" w:line="217" w:lineRule="auto"/>
        <w:rPr>
          <w:sz w:val="20"/>
          <w:szCs w:val="20"/>
          <w:color w:val="auto"/>
        </w:rPr>
      </w:pP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Consists of 311,950 of our common shares and options to purchase 129,986 of our common shares exercisable within 60 days of March 1, 2024.</w:t>
      </w:r>
    </w:p>
    <w:p>
      <w:pPr>
        <w:spacing w:after="0" w:line="191" w:lineRule="exact"/>
        <w:rPr>
          <w:sz w:val="20"/>
          <w:szCs w:val="20"/>
          <w:color w:val="auto"/>
        </w:rPr>
      </w:pPr>
    </w:p>
    <w:p>
      <w:pPr>
        <w:ind w:left="60" w:right="319"/>
        <w:spacing w:after="0" w:line="217" w:lineRule="auto"/>
        <w:rPr>
          <w:sz w:val="20"/>
          <w:szCs w:val="20"/>
          <w:color w:val="auto"/>
        </w:rPr>
      </w:pP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Consists of 38,929 of our common shares and options to purchase 86,980 of our common shares exercisable within 60 days of March 1, 2024.</w:t>
      </w:r>
    </w:p>
    <w:p>
      <w:pPr>
        <w:spacing w:after="0" w:line="177" w:lineRule="exact"/>
        <w:rPr>
          <w:sz w:val="20"/>
          <w:szCs w:val="20"/>
          <w:color w:val="auto"/>
        </w:rPr>
      </w:pPr>
    </w:p>
    <w:p>
      <w:pPr>
        <w:ind w:left="60" w:right="399"/>
        <w:spacing w:after="0" w:line="217" w:lineRule="auto"/>
        <w:rPr>
          <w:sz w:val="20"/>
          <w:szCs w:val="20"/>
          <w:color w:val="auto"/>
        </w:rPr>
      </w:pP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Consists of 9,150 of our common shares and options to purchase 59,514 of our common shares exercisable within 60 days of March 1, 2024.</w:t>
      </w:r>
    </w:p>
    <w:p>
      <w:pPr>
        <w:spacing w:after="0" w:line="191" w:lineRule="exact"/>
        <w:rPr>
          <w:sz w:val="20"/>
          <w:szCs w:val="20"/>
          <w:color w:val="auto"/>
        </w:rPr>
      </w:pPr>
    </w:p>
    <w:p>
      <w:pPr>
        <w:ind w:left="60" w:right="219"/>
        <w:spacing w:after="0" w:line="217" w:lineRule="auto"/>
        <w:rPr>
          <w:sz w:val="20"/>
          <w:szCs w:val="20"/>
          <w:color w:val="auto"/>
        </w:rPr>
      </w:pP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Consists of 123,184 of our common shares and options to purchase 70,533 of our common shares exercisable within 60 days of March 1, 2024.</w:t>
      </w:r>
    </w:p>
    <w:p>
      <w:pPr>
        <w:spacing w:after="0" w:line="191" w:lineRule="exact"/>
        <w:rPr>
          <w:sz w:val="20"/>
          <w:szCs w:val="20"/>
          <w:color w:val="auto"/>
        </w:rPr>
      </w:pPr>
    </w:p>
    <w:p>
      <w:pPr>
        <w:ind w:left="60" w:right="319"/>
        <w:spacing w:after="0" w:line="217" w:lineRule="auto"/>
        <w:rPr>
          <w:sz w:val="20"/>
          <w:szCs w:val="20"/>
          <w:color w:val="auto"/>
        </w:rPr>
      </w:pP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color w:val="auto"/>
        </w:rPr>
        <w:t>Consists of 34,150 of our common shares and options to purchase 88,715 of our common shares exercisable within 60 days of March 1, 2024.</w:t>
      </w:r>
    </w:p>
    <w:p>
      <w:pPr>
        <w:spacing w:after="0" w:line="191" w:lineRule="exact"/>
        <w:rPr>
          <w:sz w:val="20"/>
          <w:szCs w:val="20"/>
          <w:color w:val="auto"/>
        </w:rPr>
      </w:pPr>
    </w:p>
    <w:p>
      <w:pPr>
        <w:ind w:left="60" w:right="399"/>
        <w:spacing w:after="0" w:line="210" w:lineRule="auto"/>
        <w:rPr>
          <w:sz w:val="20"/>
          <w:szCs w:val="20"/>
          <w:color w:val="auto"/>
        </w:rPr>
      </w:pP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8"/>
          <w:szCs w:val="18"/>
          <w:color w:val="auto"/>
        </w:rPr>
        <w:t>Consists of 9,150 of our common shares and options to purchase 67,520 of our common shares exercisable within 60 days of March 1, 2024.</w:t>
      </w:r>
    </w:p>
    <w:p>
      <w:pPr>
        <w:spacing w:after="0" w:line="192" w:lineRule="exact"/>
        <w:rPr>
          <w:sz w:val="20"/>
          <w:szCs w:val="20"/>
          <w:color w:val="auto"/>
        </w:rPr>
      </w:pPr>
    </w:p>
    <w:p>
      <w:pPr>
        <w:ind w:left="60" w:right="399"/>
        <w:spacing w:after="0" w:line="217" w:lineRule="auto"/>
        <w:rPr>
          <w:sz w:val="20"/>
          <w:szCs w:val="20"/>
          <w:color w:val="auto"/>
        </w:rPr>
      </w:pPr>
      <w:r>
        <w:rPr>
          <w:rFonts w:ascii="Times New Roman" w:cs="Times New Roman" w:eastAsia="Times New Roman" w:hAnsi="Times New Roman"/>
          <w:sz w:val="26"/>
          <w:szCs w:val="26"/>
          <w:color w:val="auto"/>
          <w:vertAlign w:val="superscript"/>
        </w:rPr>
        <w:t>17</w:t>
      </w:r>
      <w:r>
        <w:rPr>
          <w:rFonts w:ascii="Times New Roman" w:cs="Times New Roman" w:eastAsia="Times New Roman" w:hAnsi="Times New Roman"/>
          <w:sz w:val="18"/>
          <w:szCs w:val="18"/>
          <w:color w:val="auto"/>
        </w:rPr>
        <w:t>Consists of 9,150 of our common shares and options to purchase 59,514 of our common shares exercisable within 60 days of March 1, 2024.</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As of March 1, 2024, we had approximately 250 shareholders of record of our common shares.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or by other entities.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changes in ownership by major shareholders</w:t>
      </w:r>
    </w:p>
    <w:p>
      <w:pPr>
        <w:spacing w:after="0" w:line="229" w:lineRule="exact"/>
        <w:rPr>
          <w:sz w:val="20"/>
          <w:szCs w:val="20"/>
          <w:color w:val="auto"/>
        </w:rPr>
      </w:pPr>
    </w:p>
    <w:p>
      <w:pPr>
        <w:ind w:left="60" w:right="59" w:firstLine="324"/>
        <w:spacing w:after="0" w:line="274" w:lineRule="auto"/>
        <w:rPr>
          <w:sz w:val="20"/>
          <w:szCs w:val="20"/>
          <w:color w:val="auto"/>
        </w:rPr>
      </w:pPr>
      <w:r>
        <w:rPr>
          <w:rFonts w:ascii="Times New Roman" w:cs="Times New Roman" w:eastAsia="Times New Roman" w:hAnsi="Times New Roman"/>
          <w:sz w:val="17"/>
          <w:szCs w:val="17"/>
          <w:color w:val="auto"/>
        </w:rPr>
        <w:t>We have experienced significant changes in the percentage ownership held by major shareholders as a result of our IPO. Prior to our IPO in September 2016, our principal shareholders were dievini Hopp BioTech holding GmbH &amp; Co KG and Varuma AG, which held shares representing 36.5% and 23.1%, respectively. As of March 1, 2024, dievini Hopp BioTech holding GmbH &amp; Co KG and Varuma AG held 16.4% and 12.1% of our outstanding common shares, respectively. BVF Inc. increased its holdings from 8.5% to 14.7% of our outstanding common shares as part of the follow-on offering. Affiris became major shareholder in 2021 and owns 6.6% of our outstanding common shares as of March 1, 2024.</w:t>
      </w:r>
    </w:p>
    <w:p>
      <w:pPr>
        <w:spacing w:after="0" w:line="159" w:lineRule="exact"/>
        <w:rPr>
          <w:sz w:val="20"/>
          <w:szCs w:val="20"/>
          <w:color w:val="auto"/>
        </w:rPr>
      </w:pPr>
    </w:p>
    <w:p>
      <w:pPr>
        <w:jc w:val="both"/>
        <w:ind w:left="60" w:right="239" w:firstLine="324"/>
        <w:spacing w:after="0" w:line="257" w:lineRule="auto"/>
        <w:rPr>
          <w:sz w:val="20"/>
          <w:szCs w:val="20"/>
          <w:color w:val="auto"/>
        </w:rPr>
      </w:pPr>
      <w:r>
        <w:rPr>
          <w:rFonts w:ascii="Times New Roman" w:cs="Times New Roman" w:eastAsia="Times New Roman" w:hAnsi="Times New Roman"/>
          <w:sz w:val="18"/>
          <w:szCs w:val="18"/>
          <w:color w:val="auto"/>
        </w:rPr>
        <w:t>In September 2016, we completed our IPO and listed our common shares on the Nasdaq Global Market. In the IPO, we issued and sold 6,900,000 common shares, including 900,000 common shares sold to the underwriters pursuant to the underwriters’ over-allotment option. While none of our existing shareholders sold common shares in the IPO,</w:t>
      </w:r>
    </w:p>
    <w:p>
      <w:pPr>
        <w:spacing w:after="0" w:line="1" w:lineRule="exact"/>
        <w:rPr>
          <w:sz w:val="20"/>
          <w:szCs w:val="20"/>
          <w:color w:val="auto"/>
        </w:rPr>
      </w:pPr>
    </w:p>
    <w:p>
      <w:pPr>
        <w:jc w:val="both"/>
        <w:ind w:left="60" w:right="239"/>
        <w:spacing w:after="0" w:line="260" w:lineRule="auto"/>
        <w:rPr>
          <w:sz w:val="20"/>
          <w:szCs w:val="20"/>
          <w:color w:val="auto"/>
        </w:rPr>
      </w:pPr>
      <w:r>
        <w:rPr>
          <w:rFonts w:ascii="Times New Roman" w:cs="Times New Roman" w:eastAsia="Times New Roman" w:hAnsi="Times New Roman"/>
          <w:sz w:val="18"/>
          <w:szCs w:val="18"/>
          <w:color w:val="auto"/>
        </w:rPr>
        <w:t>the percentage ownership held by certain shareholders decreased as a result of the issuance of the common shares sold by us in the IPO.</w:t>
      </w:r>
    </w:p>
    <w:p>
      <w:pPr>
        <w:spacing w:after="0" w:line="181" w:lineRule="exact"/>
        <w:rPr>
          <w:sz w:val="20"/>
          <w:szCs w:val="20"/>
          <w:color w:val="auto"/>
        </w:rPr>
      </w:pPr>
    </w:p>
    <w:p>
      <w:pPr>
        <w:ind w:left="60" w:right="259" w:firstLine="324"/>
        <w:spacing w:after="0" w:line="269" w:lineRule="auto"/>
        <w:rPr>
          <w:sz w:val="20"/>
          <w:szCs w:val="20"/>
          <w:color w:val="auto"/>
        </w:rPr>
      </w:pPr>
      <w:r>
        <w:rPr>
          <w:rFonts w:ascii="Times New Roman" w:cs="Times New Roman" w:eastAsia="Times New Roman" w:hAnsi="Times New Roman"/>
          <w:sz w:val="17"/>
          <w:szCs w:val="17"/>
          <w:color w:val="auto"/>
        </w:rPr>
        <w:t>In July 2018, we completed three offerings of our common shares. In these offerings, we issued and sold 10,000,000 common shares, including 1,108,695 sold to the underwriters pursuant to the underwriters’ over-allotment option.</w:t>
      </w: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percentage ownership held by certain shareholders decreased as a result of the issuance of the common shares sold by us in these offerings.</w:t>
      </w:r>
    </w:p>
    <w:p>
      <w:pPr>
        <w:spacing w:after="0" w:line="183"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In December 2023, we completed an offering of our common shares. In this offering, we issued and sold 14,300,000 common shares to the underwriters pursuant to the underwriters’ agreement. The percentage ownership held by certain shareholders decreased as a result of the issuance of the common shares sold by us in this offering.</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Related-party transactions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 of directors and executive management</w:t>
      </w:r>
    </w:p>
    <w:p>
      <w:pPr>
        <w:spacing w:after="0" w:line="216"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Our Articles of Association require us to indemnify our executive officers and directors to the fullest extent permitted by law. We entered into indemnification agreements with our executive officers and directors.</w:t>
      </w:r>
    </w:p>
    <w:p>
      <w:pPr>
        <w:spacing w:after="0" w:line="158" w:lineRule="exact"/>
        <w:rPr>
          <w:sz w:val="20"/>
          <w:szCs w:val="20"/>
          <w:color w:val="auto"/>
        </w:rPr>
      </w:pPr>
    </w:p>
    <w:p>
      <w:pPr>
        <w:ind w:left="380" w:right="6219" w:hanging="330"/>
        <w:spacing w:after="0" w:line="500" w:lineRule="auto"/>
        <w:tabs>
          <w:tab w:leader="none" w:pos="38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left="60" w:right="4299" w:hanging="10"/>
        <w:spacing w:after="0" w:line="495" w:lineRule="auto"/>
        <w:tabs>
          <w:tab w:leader="none" w:pos="384"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 Financial statements</w:t>
      </w:r>
    </w:p>
    <w:p>
      <w:pPr>
        <w:spacing w:after="0" w:line="1"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See “Item 18. Financial statements,” which contains our consolidated financial statements prepared in accordance with IFRS.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that arise in the ordinary course of business. As of the date of this Annual Report, we have not been a party to or paid any damages in connection with litigation that has had a material adverse effect on our financial position. No assurance can be given that future litigation will not have a material adverse effect on our financial position. When appropriate in the executive management’s estimation, we may record reserves in our consolidated financial statements for pending litigation and other claims.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 and dividend policy</w:t>
      </w:r>
    </w:p>
    <w:p>
      <w:pPr>
        <w:spacing w:after="0" w:line="229" w:lineRule="exact"/>
        <w:rPr>
          <w:sz w:val="20"/>
          <w:szCs w:val="20"/>
          <w:color w:val="auto"/>
        </w:rPr>
      </w:pPr>
    </w:p>
    <w:p>
      <w:pPr>
        <w:jc w:val="both"/>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distributed dividends on our capital stock. We intend to retain all available funds and any future earnings, if any, to fund the development and expansion of our business and we do not anticipate distributing any dividends in the foreseeable future. Any future determination related to dividend policy will be made at the discretion of our board of directors.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Under Swiss law, any dividend must be approved by our shareholders. In addition, our auditors must confirm that the</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 proposal of our board of directors conforms to Swiss statutory law and our articles of incorporation. A Swiss</w:t>
      </w:r>
    </w:p>
    <w:p>
      <w:pPr>
        <w:ind w:left="60"/>
        <w:spacing w:after="0"/>
        <w:rPr>
          <w:sz w:val="20"/>
          <w:szCs w:val="20"/>
          <w:color w:val="auto"/>
        </w:rPr>
      </w:pPr>
      <w:r>
        <w:rPr>
          <w:rFonts w:ascii="Times New Roman" w:cs="Times New Roman" w:eastAsia="Times New Roman" w:hAnsi="Times New Roman"/>
          <w:sz w:val="18"/>
          <w:szCs w:val="18"/>
          <w:color w:val="auto"/>
        </w:rPr>
        <w:t>corporation may pay dividends only if it has sufficient distributable profits brought forward from the previous business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years (</w:t>
      </w:r>
      <w:r>
        <w:rPr>
          <w:rFonts w:ascii="Times New Roman" w:cs="Times New Roman" w:eastAsia="Times New Roman" w:hAnsi="Times New Roman"/>
          <w:sz w:val="17"/>
          <w:szCs w:val="17"/>
          <w:i w:val="1"/>
          <w:iCs w:val="1"/>
          <w:color w:val="auto"/>
        </w:rPr>
        <w:t>report des bénéfices</w:t>
      </w:r>
      <w:r>
        <w:rPr>
          <w:rFonts w:ascii="Times New Roman" w:cs="Times New Roman" w:eastAsia="Times New Roman" w:hAnsi="Times New Roman"/>
          <w:sz w:val="17"/>
          <w:szCs w:val="17"/>
          <w:color w:val="auto"/>
        </w:rPr>
        <w:t>) or if it has distributable reserves (</w:t>
      </w:r>
      <w:r>
        <w:rPr>
          <w:rFonts w:ascii="Times New Roman" w:cs="Times New Roman" w:eastAsia="Times New Roman" w:hAnsi="Times New Roman"/>
          <w:sz w:val="17"/>
          <w:szCs w:val="17"/>
          <w:i w:val="1"/>
          <w:iCs w:val="1"/>
          <w:color w:val="auto"/>
        </w:rPr>
        <w:t>réserves à libre disposition</w:t>
      </w:r>
      <w:r>
        <w:rPr>
          <w:rFonts w:ascii="Times New Roman" w:cs="Times New Roman" w:eastAsia="Times New Roman" w:hAnsi="Times New Roman"/>
          <w:sz w:val="17"/>
          <w:szCs w:val="17"/>
          <w:color w:val="auto"/>
        </w:rPr>
        <w:t>), each as evidenced by its audited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standalone statutory balance sheet prepared pursuant to Swiss law and after allocations to reserves required by Swiss law</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its articles of association have been deducted. Distributable reserves are generally booked either as “free reserves”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Distributions out of nominal share capital,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which is the aggregate nominal value of a corporation’s issued shares, may be made only by way of a share capital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reduction.</w:t>
      </w:r>
    </w:p>
    <w:p>
      <w:pPr>
        <w:spacing w:after="0" w:line="189"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changes</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 discussion of the significant changes in our business can be found under “Item 4. Information on the Company—A. History and development of the Company” and “Item 4. Information on the Company—B. Business overview.”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ind w:left="380" w:right="6299" w:hanging="330"/>
        <w:spacing w:after="0" w:line="530" w:lineRule="auto"/>
        <w:tabs>
          <w:tab w:leader="none" w:pos="380"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Offering and listing details </w:t>
      </w:r>
      <w:r>
        <w:rPr>
          <w:rFonts w:ascii="Times New Roman" w:cs="Times New Roman" w:eastAsia="Times New Roman" w:hAnsi="Times New Roman"/>
          <w:sz w:val="17"/>
          <w:szCs w:val="17"/>
          <w:color w:val="auto"/>
        </w:rPr>
        <w:t>See “Item 9–C. Markets” below.</w:t>
      </w:r>
    </w:p>
    <w:p>
      <w:pPr>
        <w:ind w:left="380" w:right="7139" w:hanging="330"/>
        <w:spacing w:after="0" w:line="522" w:lineRule="auto"/>
        <w:tabs>
          <w:tab w:leader="none" w:pos="380"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380" w:hanging="330"/>
        <w:spacing w:after="0"/>
        <w:tabs>
          <w:tab w:leader="none" w:pos="3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common shares trade on the Nasdaq Global Market under the symbol “ACIU.”</w:t>
      </w:r>
    </w:p>
    <w:p>
      <w:pPr>
        <w:spacing w:after="0" w:line="221" w:lineRule="exact"/>
        <w:rPr>
          <w:rFonts w:ascii="Times New Roman" w:cs="Times New Roman" w:eastAsia="Times New Roman" w:hAnsi="Times New Roman"/>
          <w:sz w:val="18"/>
          <w:szCs w:val="18"/>
          <w:b w:val="1"/>
          <w:bCs w:val="1"/>
          <w:color w:val="auto"/>
        </w:rPr>
      </w:pPr>
    </w:p>
    <w:p>
      <w:pPr>
        <w:ind w:left="380" w:right="7099" w:hanging="330"/>
        <w:spacing w:after="0" w:line="530" w:lineRule="auto"/>
        <w:tabs>
          <w:tab w:leader="none" w:pos="380"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380" w:hanging="330"/>
        <w:spacing w:after="0"/>
        <w:tabs>
          <w:tab w:leader="none" w:pos="3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380" w:right="7039" w:hanging="330"/>
        <w:spacing w:after="0" w:line="493" w:lineRule="auto"/>
        <w:tabs>
          <w:tab w:leader="none" w:pos="3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ind w:left="60"/>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ind w:left="380" w:right="7539" w:hanging="330"/>
        <w:spacing w:after="0" w:line="582" w:lineRule="auto"/>
        <w:tabs>
          <w:tab w:leader="none" w:pos="38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ectPr>
          <w:pgSz w:w="11900" w:h="16838" w:orient="portrait"/>
          <w:cols w:equalWidth="0" w:num="1">
            <w:col w:w="9019"/>
          </w:cols>
          <w:pgMar w:left="1440" w:top="513" w:right="1440"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see the Articles of Association of AC Immune SA (Exhibit 3.1 to this Form 20-F).</w:t>
      </w:r>
    </w:p>
    <w:p>
      <w:pPr>
        <w:spacing w:after="0" w:line="22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disclosed in this Annual Report on Form 20-F (including the Exhibits), we are not currently, and have not been in the past 2 years, party to any material contract, other than contracts entered into in the ordinary course of business.</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216"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There are no Swiss governmental laws, decrees or regulations that restrict, in a manner material to us, the export or import of capital, including any foreign exchange controls, or that generally affect the remittance of dividends or other payments to non-residents or non-citizens of Switzerland who hold our common shares.</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following summary contains a description of the material Swiss and U.S. federal income tax consequences of the acquisition, ownership and disposition of common shares, but it does not purport to be a comprehensive description of all the tax considerations that may be relevant to a decision to purchase common shares. The summary is based upon the tax laws of Switzerland and regulations thereunder and on the tax laws of the United States and regulations thereunder as of the date hereof, which are subject to change.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Swiss tax considerations</w:t>
      </w:r>
    </w:p>
    <w:p>
      <w:pPr>
        <w:spacing w:after="0" w:line="229" w:lineRule="exact"/>
        <w:rPr>
          <w:sz w:val="20"/>
          <w:szCs w:val="20"/>
          <w:color w:val="auto"/>
        </w:rPr>
      </w:pPr>
    </w:p>
    <w:p>
      <w:pPr>
        <w:ind w:left="60" w:right="59" w:firstLine="324"/>
        <w:spacing w:after="0" w:line="271" w:lineRule="auto"/>
        <w:rPr>
          <w:sz w:val="20"/>
          <w:szCs w:val="20"/>
          <w:color w:val="auto"/>
        </w:rPr>
      </w:pPr>
      <w:r>
        <w:rPr>
          <w:rFonts w:ascii="Times New Roman" w:cs="Times New Roman" w:eastAsia="Times New Roman" w:hAnsi="Times New Roman"/>
          <w:sz w:val="17"/>
          <w:szCs w:val="17"/>
          <w:color w:val="auto"/>
        </w:rPr>
        <w:t>This summary of material Swiss tax consequences is based on Swiss law and regulations and the practice of the Swiss tax administration as in effect on the date hereof, all of which are subject to change (or subject to changes in interpretation), possibly with retroactive effect. The summary does not purport to consider the specific circumstances of any particular shareholder or potential investor and does not relate to persons in the business of buying and selling common shares or other securities. The summary is not intended to be, and should not be interpreted as, legal or tax advice to any particular potential shareholder, and no representation with respect to the tax consequences to any particular shareholder is made.</w:t>
      </w:r>
    </w:p>
    <w:p>
      <w:pPr>
        <w:spacing w:after="0" w:line="174"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Current and prospective shareholders are advised to consult their own tax advisors in light of their particular circumstances as to the Swiss tax laws, regulations and regulatory practices that could be relevant to them in connection with the acquiring, owning and selling or otherwise disposing of common shares and receiving dividends and similar cash or in-kind distributions on common shares (including dividends on liquidation proceeds and stock dividends) or distributions on common shares based upon a capital reduction (</w:t>
      </w:r>
      <w:r>
        <w:rPr>
          <w:rFonts w:ascii="Times New Roman" w:cs="Times New Roman" w:eastAsia="Times New Roman" w:hAnsi="Times New Roman"/>
          <w:sz w:val="18"/>
          <w:szCs w:val="18"/>
          <w:i w:val="1"/>
          <w:iCs w:val="1"/>
          <w:color w:val="auto"/>
        </w:rPr>
        <w:t>remboursements de la valeur nominale</w:t>
      </w:r>
      <w:r>
        <w:rPr>
          <w:rFonts w:ascii="Times New Roman" w:cs="Times New Roman" w:eastAsia="Times New Roman" w:hAnsi="Times New Roman"/>
          <w:sz w:val="18"/>
          <w:szCs w:val="18"/>
          <w:color w:val="auto"/>
        </w:rPr>
        <w:t>) or reserves paid out of capital contributions (</w:t>
      </w:r>
      <w:r>
        <w:rPr>
          <w:rFonts w:ascii="Times New Roman" w:cs="Times New Roman" w:eastAsia="Times New Roman" w:hAnsi="Times New Roman"/>
          <w:sz w:val="18"/>
          <w:szCs w:val="18"/>
          <w:i w:val="1"/>
          <w:iCs w:val="1"/>
          <w:color w:val="auto"/>
        </w:rPr>
        <w:t>réserves sur les apports en capital</w:t>
      </w:r>
      <w:r>
        <w:rPr>
          <w:rFonts w:ascii="Times New Roman" w:cs="Times New Roman" w:eastAsia="Times New Roman" w:hAnsi="Times New Roman"/>
          <w:sz w:val="18"/>
          <w:szCs w:val="18"/>
          <w:color w:val="auto"/>
        </w:rPr>
        <w:t>) and the consequences thereof under the tax laws, regulations and regulatory practices of Switzerland.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Taxation of AC Immune</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AC Immune is subject to corporate Swiss federal, cantonal and communal taxation in Switzerland, Canton of Vaud, Commune of Ecublens, near Lausanne, respectively.</w:t>
      </w:r>
    </w:p>
    <w:p>
      <w:pPr>
        <w:spacing w:after="0" w:line="162" w:lineRule="exact"/>
        <w:rPr>
          <w:sz w:val="20"/>
          <w:szCs w:val="20"/>
          <w:color w:val="auto"/>
        </w:rPr>
      </w:pPr>
    </w:p>
    <w:p>
      <w:pPr>
        <w:jc w:val="both"/>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are entitled under Swiss laws to carry forward any losses incurred for a period of 7 years and can offset our losses carried forward against future taxes. As of December 31, 2023, we had tax loss carry-forwards totaling CHF 313.0 million (provisional amount; tax loss is definitively recognized by Swiss tax authorities once set-off against taxable income). There is no certainty that we will make sufficient profits to be able to utilize these tax loss carry-forwards in full.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effective corporate income tax rate (federal, cantonal and communal) where we are domiciled is currently 13.6%.</w:t>
      </w:r>
    </w:p>
    <w:p>
      <w:pPr>
        <w:spacing w:after="0" w:line="225"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of January 1, 2020, the Company may request a tax relief of 60%, which would be applied to income from patents and similar rights at communal and cantonal levels. Additionally, a so-called “super-deduction” may be granted for payroll and other expenses of research and development of Swiss origins.</w:t>
      </w:r>
    </w:p>
    <w:p>
      <w:pPr>
        <w:spacing w:after="0" w:line="176"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However, the aforementioned tax relief based on the patent box and deductions for research and development may not exceed 50% of the overall taxable profit before these tax relief and deductions.</w:t>
      </w:r>
    </w:p>
    <w:p>
      <w:pPr>
        <w:spacing w:after="0" w:line="162" w:lineRule="exact"/>
        <w:rPr>
          <w:sz w:val="20"/>
          <w:szCs w:val="20"/>
          <w:color w:val="auto"/>
        </w:rPr>
      </w:pPr>
    </w:p>
    <w:p>
      <w:pPr>
        <w:jc w:val="both"/>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corporate income tax, the corporate capital is taxed at a rate of 0.1305% (cantonal and communal tax only, as there is no federal tax on capital). As of January 1, 2020 the capital attributable to patents and similar rights is considered with 50% relief in the capital tax calculation.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Federal, cantonal and communal individual income tax and corporate income tax</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Non-resident shareholders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Except as described in “—</w:t>
      </w:r>
      <w:r>
        <w:rPr>
          <w:rFonts w:ascii="Times New Roman" w:cs="Times New Roman" w:eastAsia="Times New Roman" w:hAnsi="Times New Roman"/>
          <w:sz w:val="18"/>
          <w:szCs w:val="18"/>
          <w:i w:val="1"/>
          <w:iCs w:val="1"/>
          <w:color w:val="auto"/>
        </w:rPr>
        <w:t>Swiss federal withholding tax”</w:t>
      </w:r>
      <w:r>
        <w:rPr>
          <w:rFonts w:ascii="Times New Roman" w:cs="Times New Roman" w:eastAsia="Times New Roman" w:hAnsi="Times New Roman"/>
          <w:sz w:val="18"/>
          <w:szCs w:val="18"/>
          <w:color w:val="auto"/>
        </w:rPr>
        <w:t xml:space="preserve"> below, shareholders who are not resident in Switzerland for</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tax purposes, and who, during the relevant taxation year, have not engaged in a trade or business carried on through a</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permanent establishment or fixed place of business situated in Switzerland for tax purposes (all such shareholders for</w:t>
      </w:r>
    </w:p>
    <w:p>
      <w:pPr>
        <w:ind w:left="60"/>
        <w:spacing w:after="0"/>
        <w:rPr>
          <w:sz w:val="20"/>
          <w:szCs w:val="20"/>
          <w:color w:val="auto"/>
        </w:rPr>
      </w:pPr>
      <w:r>
        <w:rPr>
          <w:rFonts w:ascii="Times New Roman" w:cs="Times New Roman" w:eastAsia="Times New Roman" w:hAnsi="Times New Roman"/>
          <w:sz w:val="18"/>
          <w:szCs w:val="18"/>
          <w:color w:val="auto"/>
        </w:rPr>
        <w:t>purposes of this section termed, “Non-resident shareholders”), will not be subject to any Swiss federal, cantonal and</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communal income tax on dividends and similar cash or in-kind distributions on Shares (including liquidation proceeds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dividends) (for the purposes of this section, “dividends”), distributions based upon a capital reduction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on shares, or capital gains realized on the sale or other disposition of shares.</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Resident private shareholders</w:t>
      </w:r>
    </w:p>
    <w:p>
      <w:pPr>
        <w:spacing w:after="0" w:line="227"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Swiss-resident individuals who hold their shares as private assets are required to include dividends, but not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 contributions confirmed by the Swiss Federal Tax Administration (</w:t>
      </w:r>
      <w:r>
        <w:rPr>
          <w:rFonts w:ascii="Times New Roman" w:cs="Times New Roman" w:eastAsia="Times New Roman" w:hAnsi="Times New Roman"/>
          <w:sz w:val="18"/>
          <w:szCs w:val="18"/>
          <w:i w:val="1"/>
          <w:iCs w:val="1"/>
          <w:color w:val="auto"/>
        </w:rPr>
        <w:t>apports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capital</w:t>
      </w:r>
      <w:r>
        <w:rPr>
          <w:rFonts w:ascii="Times New Roman" w:cs="Times New Roman" w:eastAsia="Times New Roman" w:hAnsi="Times New Roman"/>
          <w:sz w:val="18"/>
          <w:szCs w:val="18"/>
          <w:color w:val="auto"/>
        </w:rPr>
        <w:t>), in their personal income tax return and are subject to Swiss federal, cantonal and communal income tax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taxable income for the relevant taxation period, including the dividends, but not the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 contributions confirmed by the Swiss Federal Tax Administration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Shareholders holding shares representing at least 10% of the nominal share capital of the Company may be able to decrease the taxable dividend basis by 30% (70% taxable) at the federal level and up to 50% at the cantonal level, depending on their respective cantonal rates, as partial relief from economic double taxation. Capital gains resulting from the sale or other disposition of shares are, subject to a few exceptions such as in case of Taxable Repurchases as described in “—</w:t>
      </w:r>
      <w:r>
        <w:rPr>
          <w:rFonts w:ascii="Times New Roman" w:cs="Times New Roman" w:eastAsia="Times New Roman" w:hAnsi="Times New Roman"/>
          <w:sz w:val="18"/>
          <w:szCs w:val="18"/>
          <w:i w:val="1"/>
          <w:iCs w:val="1"/>
          <w:color w:val="auto"/>
        </w:rPr>
        <w:t>Swiss federal withholding tax”</w:t>
      </w:r>
      <w:r>
        <w:rPr>
          <w:rFonts w:ascii="Times New Roman" w:cs="Times New Roman" w:eastAsia="Times New Roman" w:hAnsi="Times New Roman"/>
          <w:sz w:val="18"/>
          <w:szCs w:val="18"/>
          <w:color w:val="auto"/>
        </w:rPr>
        <w:t xml:space="preserve"> below,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Times New Roman" w:cs="Times New Roman" w:eastAsia="Times New Roman" w:hAnsi="Times New Roman"/>
          <w:sz w:val="18"/>
          <w:szCs w:val="18"/>
          <w:i w:val="1"/>
          <w:iCs w:val="1"/>
          <w:color w:val="auto"/>
        </w:rPr>
        <w:t>Domestic commercial shareholders</w:t>
      </w:r>
      <w:r>
        <w:rPr>
          <w:rFonts w:ascii="Times New Roman" w:cs="Times New Roman" w:eastAsia="Times New Roman" w:hAnsi="Times New Roman"/>
          <w:sz w:val="18"/>
          <w:szCs w:val="18"/>
          <w:color w:val="auto"/>
        </w:rPr>
        <w:t>” below for a summary of the taxation treatment applicable to Swiss-resident individuals, who, for income tax purposes, are classified as “professional securities dealers” or are otherwise deemed to hold Company shares in their commercial wealth.</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Domestic commercial shareholders</w:t>
      </w:r>
    </w:p>
    <w:p>
      <w:pPr>
        <w:spacing w:after="0" w:line="22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Corporate and individual shareholders who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received on shares and capital gains or losses realized 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8"/>
          <w:szCs w:val="18"/>
          <w:color w:val="auto"/>
        </w:rPr>
        <w:t xml:space="preserve">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frequent dealing, or leveraged investments, in shares and other securities (the shareholders referred to in this paragraph for purposes of this section, “Domestic commercial shareholders”). Domestic commercial shareholders who are natural persons holding shares representing at least 10% of the nominal share capital of the Company may be able to decrease the taxable basis by 30% (70% taxable) at the federal level and up to 50% at the cantonal level, depending on their respective cantonal rates, as partial relief from economic double taxation (in the case of capital gains provide the shares have been held for at least one year). Domestic commercial shareholders who are corporate taxpayers may be eligible for tax relief (</w:t>
      </w:r>
      <w:r>
        <w:rPr>
          <w:rFonts w:ascii="Times New Roman" w:cs="Times New Roman" w:eastAsia="Times New Roman" w:hAnsi="Times New Roman"/>
          <w:sz w:val="18"/>
          <w:szCs w:val="18"/>
          <w:i w:val="1"/>
          <w:iCs w:val="1"/>
          <w:color w:val="auto"/>
        </w:rPr>
        <w:t>réduction pour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participations</w:t>
      </w:r>
      <w:r>
        <w:rPr>
          <w:rFonts w:ascii="Times New Roman" w:cs="Times New Roman" w:eastAsia="Times New Roman" w:hAnsi="Times New Roman"/>
          <w:sz w:val="18"/>
          <w:szCs w:val="18"/>
          <w:color w:val="auto"/>
        </w:rPr>
        <w:t>) in respect of dividends and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held by them as part of a Swiss business have an aggregate market value of at least CHF 1 million or represent 10% or more of the outstanding share capital or the dividend rights, of the Company. Capital gains relief is generally available only if the sold shares represent 10% or more of the outstanding share capital or the dividend rights, of the Company and provided that the shares have been held for at least one year.</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Swiss cantonal and communal private wealth tax and capital tax</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Non-resident shareholders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Non-resident shareholders are not subject to Swiss cantonal and communal private wealth tax or capital tax.</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Resident private shareholders and domestic commercial shareholders</w:t>
      </w:r>
    </w:p>
    <w:p>
      <w:pPr>
        <w:spacing w:after="0" w:line="227"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Resident private shareholders and Domestic commercial shareholders who are individuals are required to report their shares as part of their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Swiss federal withholding tax</w:t>
      </w:r>
    </w:p>
    <w:p>
      <w:pPr>
        <w:spacing w:after="0" w:line="229"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 xml:space="preserve">Dividends (including scrip or stock dividends) that the Company pays on the shares are subject to Swiss Federal withholding tax </w:t>
      </w:r>
      <w:r>
        <w:rPr>
          <w:rFonts w:ascii="Times New Roman" w:cs="Times New Roman" w:eastAsia="Times New Roman" w:hAnsi="Times New Roman"/>
          <w:sz w:val="18"/>
          <w:szCs w:val="18"/>
          <w:i w:val="1"/>
          <w:iCs w:val="1"/>
          <w:color w:val="auto"/>
        </w:rPr>
        <w:t>(impôt anticipé)</w:t>
      </w:r>
      <w:r>
        <w:rPr>
          <w:rFonts w:ascii="Times New Roman" w:cs="Times New Roman" w:eastAsia="Times New Roman" w:hAnsi="Times New Roman"/>
          <w:sz w:val="18"/>
          <w:szCs w:val="18"/>
          <w:color w:val="auto"/>
        </w:rPr>
        <w:t xml:space="preserve"> imposed on the gross amount of the taxable distribution at the then prevailing rate (currently, at a rate of 35% of the gross amount of the taxable distribution). The Company is required to withhold the Swiss federal withholding tax from the dividend and remit it to the Swiss Federal Tax Administration.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contributions confirmed by the Swiss Federal Tax Administration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are not subject to Swiss federal withholding tax. Capital gains realized on the sale of the shares are not subject to the Swiss federal withholding tax (other than in case of a sale to the Company (i) for cancellation, (ii) if the total of repurchased shares exceeds 10% of the Company's share capital or (iii) if the repurchased shares are not resold within the applicable time period after the repurchase, if and to the extent the redemption price less the nominal value of the redeemed shares is not booked against reserves from capital contributions confirmed by the Swiss Federal Tax Administration ("Taxable Repurchases")).</w:t>
      </w:r>
    </w:p>
    <w:p>
      <w:pPr>
        <w:spacing w:after="0" w:line="194"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Swiss federal withholding tax on a dividend will be refundable in full to a resident private shareholder and to a Domestic commercial shareholder, who, in each case,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as a condition to a refund, is the beneficial owner of the shares and the dividends or the distributions made or paid on the share and duly reports the dividend in his individual income tax return as income or recognizes the dividend in his income statement as earnings, as applicable.</w:t>
      </w:r>
    </w:p>
    <w:p>
      <w:pPr>
        <w:spacing w:after="0" w:line="166" w:lineRule="exact"/>
        <w:rPr>
          <w:sz w:val="20"/>
          <w:szCs w:val="20"/>
          <w:color w:val="auto"/>
        </w:rPr>
      </w:pPr>
    </w:p>
    <w:p>
      <w:pPr>
        <w:ind w:left="60" w:right="299" w:firstLine="324"/>
        <w:spacing w:after="0" w:line="312" w:lineRule="auto"/>
        <w:rPr>
          <w:sz w:val="20"/>
          <w:szCs w:val="20"/>
          <w:color w:val="auto"/>
        </w:rPr>
      </w:pPr>
      <w:r>
        <w:rPr>
          <w:rFonts w:ascii="Times New Roman" w:cs="Times New Roman" w:eastAsia="Times New Roman" w:hAnsi="Times New Roman"/>
          <w:sz w:val="17"/>
          <w:szCs w:val="17"/>
          <w:color w:val="auto"/>
        </w:rPr>
        <w:t>A Non-resident shareholder may be entitled to a partial or full refund, as the case may be, of the Swiss federal withholding tax on a dividend if the country of his or her residence for tax purposes has entered into a bilateral treaty for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the avoidance of double taxation with Switzerland and the conditions of such treaty are met. Such shareholders should be aware that the procedures for claiming treaty benefits (and the time required for obtaining a refund) might differ from country to country. A holder of the shares who is a resident of the U.S. for purposes of the Convention between the United States of America and the Swiss Confederation for the Avoidance of Double Taxation with Respect to Taxes on Income (Treaty), without taxable presence in Switzerland to which the shares are attributable or who is a qualified U.S. pension fund and who, in each case, is the beneficial owner of the shares and the dividend or distribution and who meets the other conditions of the Treaty may (i) in the case of qualified U.S. pension funds, apply for a full refund of the Swiss federal withholding tax, (ii) if the holder is a corporation owning at least 10% of the voting rights of the Company, apply for a refund of the Swiss federal withholding tax withheld in excess of the 5% reduced treaty rate, or (iii) apply for a refund of the Swiss federal withholding tax withheld in excess of the 15% treaty rate in all other cases.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Swiss federal stamp taxes</w:t>
      </w:r>
    </w:p>
    <w:p>
      <w:pPr>
        <w:spacing w:after="0" w:line="216"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will be subject to and pay to the Swiss Federal Tax Administration a 1% Swiss federal issuance stamp duty (droit de timbre </w:t>
      </w:r>
      <w:r>
        <w:rPr>
          <w:rFonts w:ascii="Times New Roman" w:cs="Times New Roman" w:eastAsia="Times New Roman" w:hAnsi="Times New Roman"/>
          <w:sz w:val="18"/>
          <w:szCs w:val="18"/>
          <w:i w:val="1"/>
          <w:iCs w:val="1"/>
          <w:color w:val="auto"/>
        </w:rPr>
        <w:t>d’émissions</w:t>
      </w:r>
      <w:r>
        <w:rPr>
          <w:rFonts w:ascii="Times New Roman" w:cs="Times New Roman" w:eastAsia="Times New Roman" w:hAnsi="Times New Roman"/>
          <w:sz w:val="18"/>
          <w:szCs w:val="18"/>
          <w:color w:val="auto"/>
        </w:rPr>
        <w:t>) on the consideration received for the issuance of the shares less certain costs incurred in connection with the issuance (in case of the implementation of the capital band, the issuance stamp duty is payable based on the net-principle at the end of the period of the validity of the capital band). The issuance and delivery of the shares to the initial shareholders at the settlement date is not subject to Swiss federal securities transfer stamp duty (</w:t>
      </w:r>
      <w:r>
        <w:rPr>
          <w:rFonts w:ascii="Times New Roman" w:cs="Times New Roman" w:eastAsia="Times New Roman" w:hAnsi="Times New Roman"/>
          <w:sz w:val="18"/>
          <w:szCs w:val="18"/>
          <w:i w:val="1"/>
          <w:iCs w:val="1"/>
          <w:color w:val="auto"/>
        </w:rPr>
        <w:t>droit de timbre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négociation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Any subsequent dealings in the shares, for which a bank or another securities dealer in Switzerland or Liechtenstein, as defined in the Swiss Federal Stamp Tax Act, acts as an intermediary, or is a party, to the transaction, are, subject to certain exemptions provided for in the Swiss Federal Stamp Tax Act, subject to Swiss securities transfer stamp duty tax at an aggregate tax rate of up to 0.15% of the consideration paid for such shares.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considerations associated with our ATM program</w:t>
      </w:r>
    </w:p>
    <w:p>
      <w:pPr>
        <w:spacing w:after="0" w:line="229"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As of December 31, 2023, the Company held in total 5,243,958 fully paid-in treasury shares as part of its ATM offerings. These shares were established via two tranches (one in September 2020 and one in September 2021, respectively). Under present Swiss tax laws, repurchases of shares for the purposes of cancellation are treated as a partial liquidation and are subject to 35% Swiss withholding tax on the difference between the repurchase price and the nominal value of the shares except, since January 1, 2011, to the extent these are booked against the reserves from capital contributions confirmed by the Swiss Federal Tax Administration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if any. No partial liquidation treatment applies and no withholding tax is triggered if the shares are not repurchased for cancellation but held by the Company as treasury shares, provided the limitations imposed by corporate law are respected (the nominal value of such shares does not exceed 10% of the outstanding share capital and the purchase price is covered by freely disposable equity). However, regarding the above-mentioned 5,243,958 treasury shares and given the specificities of the ATM offering, the Company sought and obtained a tax ruling from the Swiss Federal Tax Administration confirming that their acquisition by the Company did not constitute a direct partial liquidation and therefore does not trigger withholding tax. Further, the Company has obtained a tax ruling from the concerned Cantonal Tax Authority at its place of incorporation, to obtain confirmation that the placement of these treasury shares for a subscription price superior to their nominal value will not trigger any corporate income tax for the Company.</w:t>
      </w:r>
    </w:p>
    <w:p>
      <w:pPr>
        <w:spacing w:after="0" w:line="19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2023, 250,798 shares from the first tranche have not been sold and are still recorded as treasury shares. In addition, 2,393,160 fully paid in treasury shares issued as part of second tranche for the ATM for future subscription (or, possibly, as part of a future share-dividend program, should the Company become profitable and have enough earnings carried forward to cover such distribution) have not been sold and are still recorded as treasury shares as of December 31, 2023. In October 2023, the board of directors approved to reverse the earmarking of 2,600,000 treasury shares decided in 2021 and to de-purpose these treasury shares such that they are freely useable within the scope authorized by Swiss law, the articles of association and any potential applicable Board resolution. All these shares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covered by the same above-mentioned tax rulings (i.e. their acquisition does not trigger any withholding tax and their placement will not trigger any corporate income tax).</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material U.S. federal income tax consequences to the U.S. Holders described below of owning and disposing of our common shares. It does not describe all tax considerations that may be relevant to a particular person’s decision to own common shares.</w:t>
      </w:r>
    </w:p>
    <w:p>
      <w:pPr>
        <w:spacing w:after="0" w:line="176"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U.S. Internal Revenue Code of 1986, as amended (the “Code”) known as the Medicare contribution tax and tax consequences applicable to U.S. Holders subject to special rules, such as:</w:t>
      </w:r>
    </w:p>
    <w:p>
      <w:pPr>
        <w:spacing w:after="0" w:line="187" w:lineRule="exact"/>
        <w:rPr>
          <w:sz w:val="20"/>
          <w:szCs w:val="20"/>
          <w:color w:val="auto"/>
        </w:rPr>
      </w:pPr>
    </w:p>
    <w:p>
      <w:pPr>
        <w:ind w:left="720" w:hanging="319"/>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electing traders in securities that use a mark-to-market method of tax accounting;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as part of a straddle, integrated transaction or similar transaction;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their common shares as compensation;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shares, by vote or value; and</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in connection with a trade or business conducted outside of the United States.</w:t>
      </w:r>
    </w:p>
    <w:p>
      <w:pPr>
        <w:spacing w:after="0" w:line="162" w:lineRule="exact"/>
        <w:rPr>
          <w:sz w:val="20"/>
          <w:szCs w:val="20"/>
          <w:color w:val="auto"/>
        </w:rPr>
      </w:pPr>
    </w:p>
    <w:p>
      <w:pPr>
        <w:ind w:left="60" w:right="379" w:firstLine="324"/>
        <w:spacing w:after="0" w:line="255"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and their partners should consult their tax advisers as to the particular U.S. federal income tax consequences of owning and disposing of the common shares.</w:t>
      </w:r>
    </w:p>
    <w:p>
      <w:pPr>
        <w:spacing w:after="0" w:line="18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Treasury regulations, and the income tax treaty between Switzerland and the United States ( the “Treaty”), all as of the date hereof, any of which is subject to change or differing interpretations, possibly with retroactive effect.</w:t>
      </w:r>
    </w:p>
    <w:p>
      <w:pPr>
        <w:spacing w:after="0" w:line="176"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 “U.S. Holder” is a person that, for U.S. federal income tax purposes, is a beneficial owner of common shares and is any of the following:</w:t>
      </w:r>
    </w:p>
    <w:p>
      <w:pPr>
        <w:spacing w:after="0" w:line="162" w:lineRule="exact"/>
        <w:rPr>
          <w:sz w:val="20"/>
          <w:szCs w:val="20"/>
          <w:color w:val="auto"/>
        </w:rPr>
      </w:pPr>
    </w:p>
    <w:p>
      <w:pPr>
        <w:ind w:left="720" w:hanging="319"/>
        <w:spacing w:after="0"/>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2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advisers concerning the U.S. federal, state, local and non-U.S. tax consequences of owning and disposing of common shares in their particular circumstances.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will be a passive foreign investment company (a “PFIC”) under the Code for any taxable year in which, after the application of certain look-through rules with respect to subsidiaries, either (i) 75% or more of our gross income consists of passive income (the “income test”) or (ii) 50% or more of the average value of our assets (generally determined on a quarterly basis) consists of assets that produce, or are held for the production of, passive income (the “asset test”). Passive income generally includes dividends, interest, certain non-active rents and royalties, and gains from financial investments. Cash is generally a passive asset. Goodwill and other intangible assets (the value of which may be determined by reference to the excess of the sum of a corporation’s market capitalization and liabilities over the value of its assets) are generally active assets to the extent attributable to business activities that produce active income. For purposes of the above calculations, we will be treated as if we hold our proportionate share of the assets of, and directly receive our proportionate share of the income of, any other corporation in which we directly or indirectly own at least 25% of the shares of such corporation by value.</w:t>
      </w:r>
    </w:p>
    <w:p>
      <w:pPr>
        <w:spacing w:after="0" w:line="174" w:lineRule="exact"/>
        <w:rPr>
          <w:sz w:val="20"/>
          <w:szCs w:val="20"/>
          <w:color w:val="auto"/>
        </w:rPr>
      </w:pPr>
    </w:p>
    <w:p>
      <w:pPr>
        <w:ind w:left="60" w:right="99" w:firstLine="324"/>
        <w:spacing w:after="0" w:line="251" w:lineRule="auto"/>
        <w:rPr>
          <w:sz w:val="20"/>
          <w:szCs w:val="20"/>
          <w:color w:val="auto"/>
        </w:rPr>
      </w:pPr>
      <w:r>
        <w:rPr>
          <w:rFonts w:ascii="Times New Roman" w:cs="Times New Roman" w:eastAsia="Times New Roman" w:hAnsi="Times New Roman"/>
          <w:sz w:val="18"/>
          <w:szCs w:val="18"/>
          <w:color w:val="auto"/>
        </w:rPr>
        <w:t>Although, the application of the income test to a company like us (whose overall losses from research and development activities significantly exceed its gross income) is not entirely clear, we will be a PFIC for any taxable year under the income test if 75% or more of our gross income (as determined for U.S. federal income tax purposes) for such year consists of interest and other passive income. Prior to the commercialization and sales of any of our product candidates, our gross income may consist primarily of upfront or milestone payments and grants (which we believe are likely to be treated as active income) and interest (which is passive income). The receipt of upfront payments is non-recurring in nature, and the receipt of grants or milestone payments is subject to various conditions. Therefore, there can be no assurance as to the amount of grants, milestone payments or upfront payments (if any) that we will receive for any taxable year. Moreover, we may earn income from sublicensing, which may be passive unless certain conditions are satisfied. There is no assurance that the Internal Revenue Service (“IRS”) will not challenge the classification of any of our income items for PFIC purposes for any taxable year. Accordingly, there is no assurance that we will not be a PFIC for any taxable year under the income test.</w:t>
      </w:r>
    </w:p>
    <w:p>
      <w:pPr>
        <w:spacing w:after="0" w:line="19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addition, we currently hold, and expect to continue to hold, a substantial amount of passive assets, including cash. The average value of our assets (including goodwill and other intangible assets) for purposes of determining our PFIC status for any taxable year may be determined, in large part, by reference to our market capitalization, which has fluctuated substantially over time and may continue to be volatile. Due to the volatility of our market capitalization, we may be a PFIC under the asset test for any taxable year if our cash and other passive assets constitute 50% or more of the value of our total assets (including goodwill and other intangibles).</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As discussed in our Annual Reports on Form 20-F for 2019, 2020 and 2022, we were likely a PFIC for these years. If we were a PFIC for 2019, 2020 or 2022, or any other taxable year, under a rule commonly referred to as the “once a PFIC always a PFIC” rule, we generally will continue to be treated as a PFIC with respect to a U.S. Holder who owned our common shares during any portion of such years, even if we are not a PFIC for 2023 or any subsequent taxable year, unless the U.S. Holder makes a “deemed sale” election with respect to our common shares. As a result of this election, the U.S. Holder (i) may recognize gain subject to the PFIC anti-deferral rules described below, (ii) will have additional tax basis in the common shares to the extent of any gain recognized in the deemed sale, and (iii) solely for purposes of the PFIC rules, will have a new holding period for the common shares. U.S. Holders are urged to consult their tax advisers regarding the potential application of the deemed sale election rules to their particular circumstances and the advisability of making a deemed sale election in light of the uncertainty regarding our PFIC status for the current or future taxable years, as described below.</w:t>
      </w:r>
    </w:p>
    <w:p>
      <w:pPr>
        <w:spacing w:after="0" w:line="174"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Although we have not obtained valuations of our assets (including goodwill and other intangibles) for 2023 and thus are not in a position to make a definitive determination regarding whether we were a PFIC for 2023, based on the composition of our income and assets during 2023 and the estimated value of our assets (which is based on our average market capitalization during 2023), we believe that we were likely not a PFIC for 2023. However, for the reasons described above there can be no assurance that the IRS will agree. Because our PFIC status is a factual annual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determination that can be determined only after the end of the relevant taxable year, we cannot express a view regarding our PFIC status for 2024 or any future taxable year.</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If a U.S. Holder owns our common shares in any year in which we are a PFIC, subject to the discussion above regarding the deemed sale election and the discussion below regarding the mark-to-market election, any gain recognized by the U.S. Holder on a sale or other disposition (including certain pledges) of the common shares will be allocated ratably over the U.S. Holder’s holding period for the common shares. The amounts allocated to the taxable year of the sale or other disposition and to any year before we became a PFIC will be taxed as ordinary income. The amount allocated to any other taxable year will be subject to tax at the highest rate in effect for individuals or corporations, as appropriate, for that taxable year, and an interest charge will be imposed on the amount of tax allocated to that taxable year. Further, to the extent that distributions received by a U.S. Holder on its common shares during a taxable year exceed 125% of the average of the annual distributions on the common shares received during the preceding three taxable years or the U.S. Holder’s holding period, whichever is shorter, the excess distribution will be subject to taxation in the same manner.</w:t>
      </w:r>
    </w:p>
    <w:p>
      <w:pPr>
        <w:spacing w:after="0" w:line="189"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A U.S. Holder may be able to avoid the rules described above by making a mark-to-market election with respect to the common shares, provided that the common shares are regularly traded on Nasdaq or any other qualified exchange. If a U.S. Holder makes the mark-to-market election, it generally will recognize as ordinary income any excess of the fair market value of the common shares at the end of each taxable year in which we are a PFIC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this election, the U.S. Holder’s tax basis in the common shares will be adjusted to reflect the income or loss amounts recognized. Any gain recognized on the sale or other disposition of common shares in a year in which we are a PFIC will be treated as ordinary income and any loss will be treated as an ordinary loss (but only to the extent of the net amount of income previously included as a result of the mark-to-market election, with any excess loss treated as a capital loss).</w:t>
      </w:r>
    </w:p>
    <w:p>
      <w:pPr>
        <w:spacing w:after="0" w:line="193"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We do not intend to provide the information necessary for U.S. Holders to make a “qualified electing fund” election, which if available could materially affect the tax consequences to U.S. Holders of the ownership and disposition of our common shares if we are or were a PFIC for any taxable year. Therefore, U.S. Holders will not be able to make such elections.</w:t>
      </w:r>
    </w:p>
    <w:p>
      <w:pPr>
        <w:spacing w:after="0" w:line="180"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In addition, if we are a PFIC (or are treated as a PFIC with respect to a particular U.S. Holder under the “once a PFIC always a PFIC” rule) for the taxable year in which we pay a dividend or for the prior taxable year, the preferential tax rate discussed below with respect to “qualified dividend income” received by certain non-corporate U.S. Holders will not be available.</w:t>
      </w:r>
    </w:p>
    <w:p>
      <w:pPr>
        <w:spacing w:after="0" w:line="187"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If a U.S. Holder owns common shares during any taxable year in which we are a PFIC, the U.S. Holder generally must file annual reports on IRS Form 8621 with respect to us with the U.S. Holder’s federal income tax return.</w:t>
      </w:r>
    </w:p>
    <w:p>
      <w:pPr>
        <w:spacing w:after="0" w:line="16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advisers concerning our PFIC status for any taxable year and the consequences thereof.</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discussed under “Item 8. Financial Information—Section A. Consolidated statements and other financial information—Dividends and dividend policy,” we do not currently expect to make distributions on our common shares. In the event that we do make distributions of cash or other property on our common shares, other than certain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distributions of our common shares, they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Dividends paid to certain non-corporate U.S. Holders may be eligible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taxation as “qualified dividend income” and therefore, subject to applicable limitations, may be taxable at rates applicable to long-term capital gains, provided that we are not a PFIC (and are not treated as a PFIC with respect to a particular U.S. Holder under the “once a PFIC always a PFIC” rule) for our taxable year in which the dividend is paid or the preceding taxable year. Non-corporate U.S. Holders should consult their tax advisers regarding the availability of the reduced tax rate on dividends, if any, in their particular circumstances.</w:t>
      </w:r>
    </w:p>
    <w:p>
      <w:pPr>
        <w:spacing w:after="0" w:line="18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Dividends will not be eligible for the dividends-received deduction generally available to U.S. corporations under the Code. Dividends will be included in a U.S. Holder’s income on the date of receipt. The amount of any dividend 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7"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Dividends will be foreign-source income. The amount of dividend income will include any amounts withheld by us in respect of Swiss income taxes. Subject to applicable limitations, some of which vary depending upon the U.S. Holder’s particular circumstances, Swiss income taxes withheld from dividends on our common shares (at a rate not exceeding the applicable Treaty rate in the case of U.S. Holders eligible for Treaty benefits) may be creditable against the U.S. Holder’s U.S. federal income tax liability. The rules governing foreign tax credits are complex. For example,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Swiss income tax system meets this requirement. The IRS released notices which provide relief from certain of the Treasury regulations’ requirements for taxable years ending before the date that a notice or other guidance withdrawing or modifying the temporary relief is issued (or any later date specified in such notice or other guidance). U.S. Holders should consult their tax advisers regarding the creditability of any Swiss taxes in their particular circumstances (including the U.S. Holder’s eligibility for Treaty benefits). In lieu of claiming a credit, U.S. Holders may be able to elect to deduct any Swiss income taxes in computing their taxable income, subject to generally applicable limitations under U.S. law. An election to deduct non-U.S. taxes instead of claiming foreign tax credits applies to all otherwise creditable non-U.S. taxes paid or accrued in the taxable year.</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shares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14"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Gain or loss realized on the sale or other disposition of common shares will be capital gain or loss, and will be long-term capital gain or loss if the U.S. Holder owned the common shares for more than one year, or short-term capital gain or loss otherwise.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 Any Swiss securities transfer stamp duty tax on the sale will not be creditable, but may reduce the amount realized on any gain.</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center"/>
        <w:ind w:left="50" w:right="270"/>
        <w:spacing w:after="0" w:line="276"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U.S.-related financial intermediaries generally are subject to information reporting, and may be subject to backup withholding, unless</w:t>
      </w:r>
    </w:p>
    <w:p>
      <w:pPr>
        <w:spacing w:after="0" w:line="1" w:lineRule="exact"/>
        <w:rPr>
          <w:sz w:val="20"/>
          <w:szCs w:val="20"/>
          <w:color w:val="auto"/>
        </w:rPr>
      </w:pPr>
    </w:p>
    <w:p>
      <w:pPr>
        <w:ind w:left="60" w:right="259" w:hanging="10"/>
        <w:spacing w:after="0" w:line="255" w:lineRule="auto"/>
        <w:tabs>
          <w:tab w:leader="none" w:pos="27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 is a corporation or other exempt recipient (and establishes that status if required to do so) or (ii) in the case of backup withholding, the U.S. Holder provides a correct taxpayer identification number and certifies that it is not subject to backup withholding.</w:t>
      </w:r>
    </w:p>
    <w:p>
      <w:pPr>
        <w:spacing w:after="0" w:line="186"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U.S. Holder’s U.S. federal income tax liability and may entitle the U.S. Holder to a refund, provided that the required information is furnished in a timely manner to the IRS.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9" w:lineRule="auto"/>
        <w:rPr>
          <w:sz w:val="20"/>
          <w:szCs w:val="20"/>
          <w:color w:val="auto"/>
        </w:rPr>
      </w:pPr>
      <w:r>
        <w:rPr>
          <w:rFonts w:ascii="Times New Roman" w:cs="Times New Roman" w:eastAsia="Times New Roman" w:hAnsi="Times New Roman"/>
          <w:sz w:val="17"/>
          <w:szCs w:val="17"/>
          <w:color w:val="auto"/>
        </w:rPr>
        <w:t>Certain U.S. Holders who are individuals (or certain specified entities) may be required to report information relating to our common shares or non-U.S. accounts through which the common shares may be held. U.S. Holders should consult their tax advisers regarding their reporting obligations with respect to the ownership and disposition of our common shares.</w:t>
      </w:r>
    </w:p>
    <w:p>
      <w:pPr>
        <w:spacing w:after="0" w:line="154" w:lineRule="exact"/>
        <w:rPr>
          <w:sz w:val="20"/>
          <w:szCs w:val="20"/>
          <w:color w:val="auto"/>
        </w:rPr>
      </w:pPr>
    </w:p>
    <w:p>
      <w:pPr>
        <w:ind w:left="380" w:right="6439" w:hanging="330"/>
        <w:spacing w:after="0" w:line="500" w:lineRule="auto"/>
        <w:tabs>
          <w:tab w:leader="none" w:pos="3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right="7019" w:hanging="330"/>
        <w:spacing w:after="0" w:line="522" w:lineRule="auto"/>
        <w:tabs>
          <w:tab w:leader="none" w:pos="38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380" w:hanging="330"/>
        <w:spacing w:after="0"/>
        <w:tabs>
          <w:tab w:leader="none" w:pos="3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are required to file reports and other information with the SEC, including Annual Reports on Form 20-F and reports on Form 6-K. In addition, the SEC maintains an Internet website that contains reports and other information about issuers, such as us, that file electronically with the SEC. The address of that website is www.sec.gov.</w:t>
      </w:r>
    </w:p>
    <w:p>
      <w:pPr>
        <w:spacing w:after="0" w:line="180"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Additionally, pursuant to Swiss law, any shareholder of record has the right to receive a free copy of this Annual Report and to inspect this Annual Report at any time at our registered office in Ecublens, near Lausanne, Canton of Vaud, Switzerland.</w:t>
      </w:r>
    </w:p>
    <w:p>
      <w:pPr>
        <w:spacing w:after="0" w:line="183"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9" w:lineRule="exact"/>
        <w:rPr>
          <w:sz w:val="20"/>
          <w:szCs w:val="20"/>
          <w:color w:val="auto"/>
        </w:rPr>
      </w:pPr>
    </w:p>
    <w:p>
      <w:pPr>
        <w:ind w:left="380" w:right="6859" w:hanging="330"/>
        <w:spacing w:after="0" w:line="522" w:lineRule="auto"/>
        <w:tabs>
          <w:tab w:leader="none" w:pos="38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ind w:left="380" w:right="6079" w:hanging="330"/>
        <w:spacing w:after="0" w:line="500" w:lineRule="auto"/>
        <w:tabs>
          <w:tab w:leader="none" w:pos="3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Company’s activities expose it to the following financial risks: market risk (currency and interest rate risk), credit risk and liquidity risk. The Company’s overall risk management program focuses on the unpredictability of financial markets and seeks to minimize potential adverse effects on the Company’s financial performance.</w:t>
      </w:r>
    </w:p>
    <w:p>
      <w:pPr>
        <w:spacing w:after="0" w:line="17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Market risk arises from our exposure to fluctuation in currency exchange rates. We are exposed to market risks in the ordinary course of our business, which are principally limited to foreign currency exchange rate fluctuations and to a lesser degree, interest rate fluctuations.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As of December 31, 2023, the Company holds approximately 67% of its overall cash and cash equivalents balance in CHF with the remainder predominantly in USD and EUR (see “Note 8. Cash and cash equivalents and short-term financial assets” of the consolidated financial statements). The Company holds almost 72% of its liquidity (cash and cash equivalents plus short-term financial assets) in CHF.</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have a number of collaboration agreements for which the upfront payments, milestone payments and future royalty payments are not denominated in Swiss Francs, our reporting currency. Furthermore, many of our research and development activities are subcontracted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and also the high percentage of our costs indirectly being in foreign currencies, a hypothetical 10% change in exchange rates relative to the Swiss Franc could have a material impact on our consolidated financial statements.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maintain financial instruments in accordance with our treasury management policy. The primary objectives of our policy are to preserve principal, maintain proper liquidity and meet operating needs. Our financial assets are subject to interest rate risk and will decrease in value if market interest rates increase. Due to our policy to maintain the majority of our cash and cash equivalents in our functional currency and to the conservative nature of our investments and relatively short duration, interest rate risk is mitigated. We do not own derivative financial instruments. Accordingly, we do not believe that there is any material market risk exposure with respect to derivative or other financial instruments.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maintains a formal treasury risk and investment management policy to limit counterparty credit risk. As of December 31, 2023, the Company’s cash and cash equivalents and short-term financial assets are held with five financial institutions, each with a high credit rating assigned by international credit-rating agencies. The maximum amount of credit risk is the carrying amount of the financial assets. Receivables are fully performing, not past due and not impaired (see “Note 8. Cash and cash equivalents and short-term financial assets”, “Note 10. Accounts receivable” and “Note 11. Other current receivables”).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Inherent in the Company’s business are various risks and uncertainties, including the high uncertainty that new therapeutic and diagnostic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pacing w:after="0" w:line="170"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12 months.</w:t>
      </w:r>
    </w:p>
    <w:p>
      <w:pPr>
        <w:spacing w:after="0" w:line="176"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Based on the Company’s current liquidity position, comprised of cash and cash equivalents, short-term financial assets, and the milestone payment of CHF 14.8 million received from Janssen on February 1, 2024, the Company is financed into Q1 2026, assuming potential milestone payment of CHF 24.6 million related to achieving a non-disclosed enrollment target for our ACI-35.030 and no other milestones.</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“Forward-looking Statements.”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ITEM 12. DESCRIPTION OF SECURITIES OTHER THAN EQUITY SECURITIES</w:t>
      </w:r>
    </w:p>
    <w:p>
      <w:pPr>
        <w:spacing w:after="0" w:line="237" w:lineRule="exact"/>
        <w:rPr>
          <w:sz w:val="20"/>
          <w:szCs w:val="20"/>
          <w:color w:val="auto"/>
        </w:rPr>
      </w:pPr>
    </w:p>
    <w:p>
      <w:pPr>
        <w:jc w:val="both"/>
        <w:ind w:left="380" w:right="7519" w:hanging="330"/>
        <w:spacing w:after="0" w:line="530" w:lineRule="auto"/>
        <w:tabs>
          <w:tab w:leader="none" w:pos="38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380" w:right="7079" w:hanging="330"/>
        <w:spacing w:after="0" w:line="522" w:lineRule="auto"/>
        <w:tabs>
          <w:tab w:leader="none" w:pos="38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380" w:right="7419" w:hanging="330"/>
        <w:spacing w:after="0" w:line="530" w:lineRule="auto"/>
        <w:tabs>
          <w:tab w:leader="none" w:pos="38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ind w:left="380" w:right="6499" w:hanging="330"/>
        <w:spacing w:after="0" w:line="537" w:lineRule="auto"/>
        <w:tabs>
          <w:tab w:leader="none" w:pos="3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American depositary shares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5" w:lineRule="exact"/>
        <w:rPr>
          <w:sz w:val="20"/>
          <w:szCs w:val="20"/>
          <w:color w:val="auto"/>
        </w:rPr>
      </w:pPr>
    </w:p>
    <w:p>
      <w:pPr>
        <w:ind w:left="380" w:hanging="330"/>
        <w:spacing w:after="0"/>
        <w:tabs>
          <w:tab w:leader="none" w:pos="38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matters to report.</w:t>
      </w:r>
    </w:p>
    <w:p>
      <w:pPr>
        <w:spacing w:after="0" w:line="221" w:lineRule="exact"/>
        <w:rPr>
          <w:rFonts w:ascii="Times New Roman" w:cs="Times New Roman" w:eastAsia="Times New Roman" w:hAnsi="Times New Roman"/>
          <w:sz w:val="18"/>
          <w:szCs w:val="18"/>
          <w:b w:val="1"/>
          <w:bCs w:val="1"/>
          <w:color w:val="auto"/>
        </w:rPr>
      </w:pPr>
    </w:p>
    <w:p>
      <w:pPr>
        <w:ind w:left="380" w:right="6619" w:hanging="330"/>
        <w:spacing w:after="0" w:line="530" w:lineRule="auto"/>
        <w:tabs>
          <w:tab w:leader="none" w:pos="380"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Arrears and delinquencies </w:t>
      </w:r>
      <w:r>
        <w:rPr>
          <w:rFonts w:ascii="Times New Roman" w:cs="Times New Roman" w:eastAsia="Times New Roman" w:hAnsi="Times New Roman"/>
          <w:sz w:val="17"/>
          <w:szCs w:val="17"/>
          <w:color w:val="auto"/>
        </w:rPr>
        <w:t>No matters to report.</w:t>
      </w:r>
    </w:p>
    <w:p>
      <w:pPr>
        <w:spacing w:after="0" w:line="1" w:lineRule="exact"/>
        <w:rPr>
          <w:sz w:val="20"/>
          <w:szCs w:val="20"/>
          <w:color w:val="auto"/>
        </w:rPr>
      </w:pPr>
    </w:p>
    <w:p>
      <w:pPr>
        <w:ind w:left="60" w:right="859"/>
        <w:spacing w:after="0" w:line="271"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Disclosure controls and procedures</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2023, under the supervision and with the participation of our management, including our Chief Executive Officer and Chief Financial Officer, we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Our Chief Executive Officer and Chief Financial Officer concluded that our disclosure controls and procedures were effective in recording, processing, summarizing and reporting on a timely basis the information required to be included in periodic filings under the Exchange Act and that such information is accumulated and communicated to management, including our Chief Executive and Chief Financial Officers, as appropriate to allow timely decisions regarding required disclosure.</w:t>
      </w:r>
    </w:p>
    <w:p>
      <w:pPr>
        <w:spacing w:after="0" w:line="166"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Our internal control over financial reporting is supported by written policies and procedures.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ind w:left="60" w:right="219" w:firstLine="324"/>
        <w:spacing w:after="0" w:line="277" w:lineRule="auto"/>
        <w:rPr>
          <w:sz w:val="20"/>
          <w:szCs w:val="20"/>
          <w:color w:val="auto"/>
        </w:rPr>
      </w:pPr>
      <w:r>
        <w:rPr>
          <w:rFonts w:ascii="Times New Roman" w:cs="Times New Roman" w:eastAsia="Times New Roman" w:hAnsi="Times New Roman"/>
          <w:sz w:val="17"/>
          <w:szCs w:val="17"/>
          <w:color w:val="auto"/>
        </w:rPr>
        <w:t xml:space="preserve">Under the supervision and with the participation of our Chief Executive Officer and Chief Financial Officer, management conducted an evaluation of the effectiveness of our internal control over financial reporting based upon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by the Committee of Sponsoring Organizations of the Treadway Commission. Based on that evaluation, our management, including our Chief Executive Officer and Chief Financial Officer concluded that our internal control over financial reporting was effective as of December 31, 2023.</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Attestation report of the registered public accounting firm</w:t>
      </w:r>
    </w:p>
    <w:p>
      <w:pPr>
        <w:spacing w:after="0" w:line="229" w:lineRule="exact"/>
        <w:rPr>
          <w:sz w:val="20"/>
          <w:szCs w:val="20"/>
          <w:color w:val="auto"/>
        </w:rPr>
      </w:pPr>
    </w:p>
    <w:p>
      <w:pPr>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PricewaterhouseCoopers SA, an independent registered public accounting firm. Their report is included on page F-2. PricewaterhouseCoopers SA is a member of the Chamber of Public Accountants, Lausanne, Switzerland.</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229" w:lineRule="exact"/>
        <w:rPr>
          <w:sz w:val="20"/>
          <w:szCs w:val="20"/>
          <w:color w:val="auto"/>
        </w:rPr>
      </w:pPr>
    </w:p>
    <w:p>
      <w:pPr>
        <w:ind w:left="60" w:right="419" w:firstLine="324"/>
        <w:spacing w:after="0" w:line="258"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year ended December 31, 2023 that have materially affected, or are reasonably likely to materially affect, our internal control over financial reporting.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Monika Bütler is an audit committee financial expert, as that term is defined by the SEC, and is independent for the purposes of SEC rules.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which covers a broad range of matters including the handling of conflicts of interest, compliance issues and other corporate policies such as insider trading and equal opportunity and non-discrimination standards. Our Code of Business Conduct and Ethics applies to all of our directors, executive officers and employees. We have published our Code of Business Conduct and Ethics on our website, </w:t>
      </w:r>
      <w:r>
        <w:rPr>
          <w:rFonts w:ascii="Times New Roman" w:cs="Times New Roman" w:eastAsia="Times New Roman" w:hAnsi="Times New Roman"/>
          <w:sz w:val="18"/>
          <w:szCs w:val="18"/>
          <w:i w:val="1"/>
          <w:iCs w:val="1"/>
          <w:color w:val="auto"/>
        </w:rPr>
        <w:t>www.acimmune.com</w:t>
      </w:r>
      <w:r>
        <w:rPr>
          <w:rFonts w:ascii="Times New Roman" w:cs="Times New Roman" w:eastAsia="Times New Roman" w:hAnsi="Times New Roman"/>
          <w:sz w:val="18"/>
          <w:szCs w:val="18"/>
          <w:color w:val="auto"/>
        </w:rPr>
        <w:t>. The information contained on our website is not a part of this Annual Report.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4"/>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200" w:type="dxa"/>
            <w:vAlign w:val="bottom"/>
            <w:gridSpan w:val="2"/>
          </w:tcPr>
          <w:p>
            <w:pPr>
              <w:ind w:left="29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2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PwC was the Company’s auditor for the IFRS and statutory accounts. At the ordinary Annual General Meeting on June 23, 2023, the shareholders appointed PwC as the Company’s auditor for a term of office of 1 year.</w:t>
      </w:r>
    </w:p>
    <w:p>
      <w:pPr>
        <w:spacing w:after="0" w:line="176"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0D0E00"/>
        </w:rPr>
        <w:t>Audit fees i</w:t>
      </w:r>
      <w:r>
        <w:rPr>
          <w:rFonts w:ascii="Times New Roman" w:cs="Times New Roman" w:eastAsia="Times New Roman" w:hAnsi="Times New Roman"/>
          <w:sz w:val="18"/>
          <w:szCs w:val="18"/>
          <w:color w:val="000000"/>
        </w:rPr>
        <w:t>nclude fees for audit services primarily related to the audit of the statutory financial statements and to the</w:t>
      </w:r>
      <w:r>
        <w:rPr>
          <w:rFonts w:ascii="Times New Roman" w:cs="Times New Roman" w:eastAsia="Times New Roman" w:hAnsi="Times New Roman"/>
          <w:sz w:val="18"/>
          <w:szCs w:val="18"/>
          <w:color w:val="0D0E00"/>
        </w:rPr>
        <w:t xml:space="preserve"> </w:t>
      </w:r>
      <w:r>
        <w:rPr>
          <w:rFonts w:ascii="Times New Roman" w:cs="Times New Roman" w:eastAsia="Times New Roman" w:hAnsi="Times New Roman"/>
          <w:sz w:val="18"/>
          <w:szCs w:val="18"/>
          <w:color w:val="000000"/>
        </w:rPr>
        <w:t>integrated audit of (i) our annual consolidated financial statements and our internal control over financial reporting as required by Section 404(b) of the Sarbanes-Oxley Act of 2002, (ii) the review of our quarterly condensed consolidated financial statements, (iii) comfort letters, consents and assistance with and review of documents relating to our securities offerings and (iv) other accounting and financial reporting consultation billed as audit fees or necessary to comply with the standards of the Public Company Accounting Oversight Board (United States).</w:t>
      </w:r>
    </w:p>
    <w:p>
      <w:pPr>
        <w:spacing w:after="0" w:line="189"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Audit-related fees consisted of fees billed for assurance and related services that were reasonably related to the performance of the audit or review of our financial statements or for services that were traditionally performed by the external auditor.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requirements of the U.S. Sarbanes-Oxley Act of 2002 and rules issued by the SEC, we review and pre-approve any services performed by PwC. The procedure requires that all proposed future engagements of PwC for audit and permitted non-audit services are submitted to the Audit and Finance Committee for approval prior to the beginning of any such services. In accordance with this policy, all services performed by and fees paid to PwC in this Item 16C, were approved by the Audit and Finance Committee.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In 2023, no purchases of our equity securities were made by or on behalf of AC Immune SA or any affiliated purchaser.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Corporate Governance Differences from Nasdaq Listing Standards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Our common shares are listed on the Nasdaq Global Market. We are therefore required to comply with certain of the Nasdaq’s corporate governance listing standards (Nasdaq Standards). As a foreign private issuer, we may follow our home country’s corporate governance practices in lieu of certain of the Nasdaq Standards. Our corporate governance practices differ in certain respects from those that U.S. companies must adopt in order to maintain a Nasdaq listing. A brief, general summary of those differences is provided as follows.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Independent directors</w:t>
      </w:r>
    </w:p>
    <w:p>
      <w:pPr>
        <w:spacing w:after="0" w:line="227"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must regularly have scheduled meetings at which only independent directors are present.</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Compensation, nomination and corporate governance committee</w:t>
      </w:r>
    </w:p>
    <w:p>
      <w:pPr>
        <w:spacing w:after="0" w:line="227"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As Swiss law requires that we have a compensation, nomination and corporate governance committee, we will follow home country requirements with respect to such committee. As a result, our practice will vary from the requirements of Nasdaq Listing Rule 5605(d), which sets forth certain requirements as to the responsibilities, composition and independence of compensation, nomination and corporate governance committees.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Quorum requirements</w:t>
      </w:r>
    </w:p>
    <w:p>
      <w:pPr>
        <w:spacing w:after="0" w:line="227"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Solicitation of proxies</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Shareholder approval</w:t>
      </w:r>
    </w:p>
    <w:p>
      <w:pPr>
        <w:spacing w:after="0" w:line="227"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43" w:lineRule="exact"/>
        <w:rPr>
          <w:sz w:val="20"/>
          <w:szCs w:val="20"/>
          <w:color w:val="auto"/>
        </w:rPr>
      </w:pPr>
    </w:p>
    <w:p>
      <w:pPr>
        <w:ind w:left="60" w:right="99" w:firstLine="324"/>
        <w:spacing w:after="0" w:line="272" w:lineRule="auto"/>
        <w:rPr>
          <w:sz w:val="20"/>
          <w:szCs w:val="20"/>
          <w:color w:val="auto"/>
        </w:rPr>
      </w:pPr>
      <w:r>
        <w:rPr>
          <w:rFonts w:ascii="Times New Roman" w:cs="Times New Roman" w:eastAsia="Times New Roman" w:hAnsi="Times New Roman"/>
          <w:sz w:val="18"/>
          <w:szCs w:val="18"/>
          <w:color w:val="auto"/>
        </w:rPr>
        <w:t>To more effectively protect against, detect and respond to cybersecurity threats, the Company maintains a cybersecurity risk management program, which is supervised by our SVP Information Systems and Artificial Intelligence, whose team is responsible for leading enterprise-wide cybersecurity strategy, policy, standards, architecture and processes. The Company’s SVP Information Systems and Artificial Intelligence and his team possess expertise with cybersecurity, as demonstrated by prior work experience. The Company has designed its cybersecurity program based on the COBIT 2019 framework (and other certain industry standards) with the aim of protecting our networks, applications and systems and the confidentiality of sensitive information maintained as part of our business operations as well as securing our resources against cybersecurity threats. A breach, compromise or other security incident involving such information and resources could have a material impact on the Company’s operations.</w:t>
      </w:r>
    </w:p>
    <w:p>
      <w:pPr>
        <w:spacing w:after="0" w:line="103"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8"/>
          <w:szCs w:val="18"/>
          <w:color w:val="auto"/>
        </w:rPr>
        <w:t>The goal of our cybersecurity program is to design, implement and maintain effective operational risk techniques and strategies, protect intellectual property and other proprietary and sensitive information, including personal information, minimize operational and fraud losses, and enhance our overall performance. As part of our cybersecurity program, we utilize security monitoring capabilities that alert us of suspicious activity, supported by an incident response program that is designed to support our ability to restore critical business operations in a controlled and step-wise manner. The Company also has procedures for evaluating the privacy, data protection and information security practices of our third-party service providers that provide us with IT services or that otherwise have access to our systems or our confidential or sensitive data. Additionally, we continually evaluate our internal systems, processes and controls to identify potential vulnerabilities and mitigate potential loss from cyber-attacks.</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firstLine="324"/>
        <w:spacing w:after="0" w:line="274" w:lineRule="auto"/>
        <w:rPr>
          <w:sz w:val="20"/>
          <w:szCs w:val="20"/>
          <w:color w:val="auto"/>
        </w:rPr>
      </w:pPr>
      <w:r>
        <w:rPr>
          <w:rFonts w:ascii="Times New Roman" w:cs="Times New Roman" w:eastAsia="Times New Roman" w:hAnsi="Times New Roman"/>
          <w:sz w:val="18"/>
          <w:szCs w:val="18"/>
          <w:color w:val="auto"/>
        </w:rPr>
        <w:t>Furthermore, our cybersecurity program is focused on companywide awareness geared toward enabling our employees and other key personnel to effectively handle the ever-increasing threat vectors such as phishing and other sophisticated social engineering attacks. Our management takes the position that cybersecurity is owned companywide as a collective team, not just by the SVP Information Systems and Artificial Intelligence. Our security awareness program focuses on improving awareness through training, including realistic phishing simulation campaigns. Our key areas of focus in 2024 and beyond will include requiring further training for employees that fail simulated phishing campaigns and encouraging our employees to report any suspicious activity they encounter.</w:t>
      </w:r>
    </w:p>
    <w:p>
      <w:pPr>
        <w:spacing w:after="0" w:line="101" w:lineRule="exact"/>
        <w:rPr>
          <w:sz w:val="20"/>
          <w:szCs w:val="20"/>
          <w:color w:val="auto"/>
        </w:rPr>
      </w:pPr>
    </w:p>
    <w:p>
      <w:pPr>
        <w:ind w:left="60" w:right="459" w:firstLine="324"/>
        <w:spacing w:after="0" w:line="281"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overall enterprise risk management, including cybersecurity risks and threats, and the SVP Information Systems and Artificial Intelligence reports to the Board of Directors at least annually on such cybersecurity risks or threats as well as current trends and developments within the cybersecurity landscape.</w:t>
      </w:r>
    </w:p>
    <w:p>
      <w:pPr>
        <w:spacing w:after="0" w:line="97" w:lineRule="exact"/>
        <w:rPr>
          <w:sz w:val="20"/>
          <w:szCs w:val="20"/>
          <w:color w:val="auto"/>
        </w:rPr>
      </w:pPr>
    </w:p>
    <w:p>
      <w:pPr>
        <w:ind w:left="60" w:right="139" w:firstLine="324"/>
        <w:spacing w:after="0" w:line="281" w:lineRule="auto"/>
        <w:rPr>
          <w:sz w:val="20"/>
          <w:szCs w:val="20"/>
          <w:color w:val="auto"/>
        </w:rPr>
      </w:pPr>
      <w:r>
        <w:rPr>
          <w:rFonts w:ascii="Times New Roman" w:cs="Times New Roman" w:eastAsia="Times New Roman" w:hAnsi="Times New Roman"/>
          <w:sz w:val="18"/>
          <w:szCs w:val="18"/>
          <w:color w:val="auto"/>
        </w:rPr>
        <w:t>Finally, the SVP Information Systems and Artificial Intelligence is also a member of the Company’s SOX Committee, which drives awareness, ownership and alignment across broad governance and risk stakeholder groups for effective cybersecurity risk management and reporting.</w:t>
      </w:r>
    </w:p>
    <w:p>
      <w:pPr>
        <w:spacing w:after="0" w:line="110" w:lineRule="exact"/>
        <w:rPr>
          <w:sz w:val="20"/>
          <w:szCs w:val="20"/>
          <w:color w:val="auto"/>
        </w:rPr>
      </w:pPr>
    </w:p>
    <w:p>
      <w:pPr>
        <w:ind w:left="60" w:right="319" w:firstLine="324"/>
        <w:spacing w:after="0" w:line="274" w:lineRule="auto"/>
        <w:rPr>
          <w:sz w:val="20"/>
          <w:szCs w:val="20"/>
          <w:color w:val="auto"/>
        </w:rPr>
      </w:pPr>
      <w:r>
        <w:rPr>
          <w:rFonts w:ascii="Times New Roman" w:cs="Times New Roman" w:eastAsia="Times New Roman" w:hAnsi="Times New Roman"/>
          <w:sz w:val="18"/>
          <w:szCs w:val="18"/>
          <w:color w:val="auto"/>
        </w:rPr>
        <w:t>Despite our efforts, we cannot eliminate all risks from cybersecurity threats, or provide assurances that we have not experienced an undetected cybersecurity incident. For more information about these risks, please see “Risk factors—A breakdown or breach of our information technology systems and cybersecurity efforts, or those of our key business partners, CROs or service providers, could subject us to liability or reputational damage or interrupt the operation of our business” in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responded to Item 18 in lieu of this item.</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Financial Statements are filed as part of this Annual Report, see page F-1.</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42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auto"/>
              </w:rPr>
              <w:t>(a) The following documents are filed as part of Annual Report on Form 20-F:</w:t>
            </w:r>
          </w:p>
        </w:tc>
      </w:tr>
      <w:tr>
        <w:trPr>
          <w:trHeight w:val="432"/>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24"/>
                <w:szCs w:val="24"/>
                <w:color w:val="auto"/>
              </w:rPr>
            </w:pPr>
          </w:p>
        </w:tc>
        <w:tc>
          <w:tcPr>
            <w:tcW w:w="77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Articles of Association of AC Immune SA</w:t>
            </w:r>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17"/>
                <w:szCs w:val="17"/>
                <w:color w:val="auto"/>
              </w:rPr>
            </w:pPr>
          </w:p>
        </w:tc>
        <w:tc>
          <w:tcPr>
            <w:tcW w:w="77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Research Collaboration and License Agreement between AC Immune SA Corporation and Genentech, Inc.</w:t>
              </w:r>
            </w:hyperlink>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dated November 6, 2006 (incorporated herein by reference to Exhibit 10.1 to the Company’s Registration</w:t>
              </w:r>
            </w:hyperlink>
          </w:p>
        </w:tc>
        <w:tc>
          <w:tcPr>
            <w:tcW w:w="180" w:type="dxa"/>
            <w:vAlign w:val="bottom"/>
            <w:gridSpan w:val="4"/>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Statement on Form F-1 (File No. 333-211714) filed with the SEC on May 31, 2016)</w:t>
              </w:r>
            </w:hyperlink>
          </w:p>
        </w:tc>
        <w:tc>
          <w:tcPr>
            <w:tcW w:w="1720" w:type="dxa"/>
            <w:vAlign w:val="bottom"/>
            <w:gridSpan w:val="16"/>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spacing w:after="0"/>
              <w:rPr>
                <w:sz w:val="17"/>
                <w:szCs w:val="17"/>
                <w:color w:val="auto"/>
              </w:rPr>
            </w:pPr>
          </w:p>
        </w:tc>
        <w:tc>
          <w:tcPr>
            <w:tcW w:w="7760" w:type="dxa"/>
            <w:vAlign w:val="bottom"/>
            <w:gridSpan w:val="24"/>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Amendment to the Research Collaboration and License Agreement between AC Immune SA Corporation</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and Genentech, Inc. dated May 7, 2015 (incorporated herein by reference to Exhibit 10.2 to the Company’s</w:t>
              </w:r>
            </w:hyperlink>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Registration Statement on Form F-1 (File No. 333-211714) filed with the SEC on May 31, 2016)</w:t>
              </w:r>
            </w:hyperlink>
          </w:p>
        </w:tc>
        <w:tc>
          <w:tcPr>
            <w:tcW w:w="800" w:type="dxa"/>
            <w:vAlign w:val="bottom"/>
            <w:gridSpan w:val="15"/>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660" w:type="dxa"/>
            <w:vAlign w:val="bottom"/>
          </w:tcPr>
          <w:p>
            <w:pPr>
              <w:spacing w:after="0"/>
              <w:rPr>
                <w:sz w:val="17"/>
                <w:szCs w:val="17"/>
                <w:color w:val="auto"/>
              </w:rPr>
            </w:pPr>
          </w:p>
        </w:tc>
        <w:tc>
          <w:tcPr>
            <w:tcW w:w="77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Research Collaboration and License Agreement between AC Immune SA Corporation and Genentech, Inc.</w:t>
              </w:r>
            </w:hyperlink>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dated June 15, 2012 (incorporated herein by reference to Exhibit 10.3 to the Company’s Registration</w:t>
              </w:r>
            </w:hyperlink>
          </w:p>
        </w:tc>
        <w:tc>
          <w:tcPr>
            <w:tcW w:w="520" w:type="dxa"/>
            <w:vAlign w:val="bottom"/>
            <w:gridSpan w:val="9"/>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Statement on Form F-1 (File No. 333-211714) filed with the SEC on May 31, 2016)</w:t>
              </w:r>
            </w:hyperlink>
          </w:p>
        </w:tc>
        <w:tc>
          <w:tcPr>
            <w:tcW w:w="1720" w:type="dxa"/>
            <w:vAlign w:val="bottom"/>
            <w:gridSpan w:val="16"/>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660" w:type="dxa"/>
            <w:vAlign w:val="bottom"/>
          </w:tcPr>
          <w:p>
            <w:pPr>
              <w:spacing w:after="0"/>
              <w:rPr>
                <w:sz w:val="17"/>
                <w:szCs w:val="17"/>
                <w:color w:val="auto"/>
              </w:rPr>
            </w:pPr>
          </w:p>
        </w:tc>
        <w:tc>
          <w:tcPr>
            <w:tcW w:w="7760" w:type="dxa"/>
            <w:vAlign w:val="bottom"/>
            <w:gridSpan w:val="24"/>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License and Collaboration Agreement between Piramal Imaging Ltd., Piramal Imaging SA and AC</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Immune SA, dated May 9, 2014 (incorporated herein by reference to Exhibit 10.4 to the Company’s</w:t>
              </w:r>
            </w:hyperlink>
          </w:p>
        </w:tc>
        <w:tc>
          <w:tcPr>
            <w:tcW w:w="580" w:type="dxa"/>
            <w:vAlign w:val="bottom"/>
            <w:gridSpan w:val="1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Registration Statement on Form F-1 (File No. 333-211714) filed with the SEC on May 31, 2016)</w:t>
              </w:r>
            </w:hyperlink>
          </w:p>
        </w:tc>
        <w:tc>
          <w:tcPr>
            <w:tcW w:w="800" w:type="dxa"/>
            <w:vAlign w:val="bottom"/>
            <w:gridSpan w:val="15"/>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660" w:type="dxa"/>
            <w:vAlign w:val="bottom"/>
          </w:tcPr>
          <w:p>
            <w:pPr>
              <w:spacing w:after="0"/>
              <w:rPr>
                <w:sz w:val="17"/>
                <w:szCs w:val="17"/>
                <w:color w:val="auto"/>
              </w:rPr>
            </w:pPr>
          </w:p>
        </w:tc>
        <w:tc>
          <w:tcPr>
            <w:tcW w:w="76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License, Development and Commercialization Agreement between Janssen Pharmaceuticals, Inc. and AC</w:t>
              </w:r>
            </w:hyperlink>
          </w:p>
        </w:tc>
        <w:tc>
          <w:tcPr>
            <w:tcW w:w="160" w:type="dxa"/>
            <w:vAlign w:val="bottom"/>
            <w:gridSpan w:val="3"/>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Immune SA, dated December 24, 2014 (incorporated herein by reference to Exhibit 10.5 to the Company’s</w:t>
              </w:r>
            </w:hyperlink>
          </w:p>
        </w:tc>
        <w:tc>
          <w:tcPr>
            <w:tcW w:w="8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Registration Statement on Form F-1 (File No. 333-211714) filed with the SEC on May 31, 2016)</w:t>
              </w:r>
            </w:hyperlink>
          </w:p>
        </w:tc>
        <w:tc>
          <w:tcPr>
            <w:tcW w:w="800" w:type="dxa"/>
            <w:vAlign w:val="bottom"/>
            <w:gridSpan w:val="15"/>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660" w:type="dxa"/>
            <w:vAlign w:val="bottom"/>
          </w:tcPr>
          <w:p>
            <w:pPr>
              <w:spacing w:after="0"/>
              <w:rPr>
                <w:sz w:val="17"/>
                <w:szCs w:val="17"/>
                <w:color w:val="auto"/>
              </w:rPr>
            </w:pPr>
          </w:p>
        </w:tc>
        <w:tc>
          <w:tcPr>
            <w:tcW w:w="75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Form of Indemnity Agreement (incorporated herein by reference to Exhibit 4.6 to the Company’s Annual</w:t>
              </w:r>
            </w:hyperlink>
          </w:p>
        </w:tc>
        <w:tc>
          <w:tcPr>
            <w:tcW w:w="180" w:type="dxa"/>
            <w:vAlign w:val="bottom"/>
            <w:gridSpan w:val="4"/>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gridSpan w:val="24"/>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Report on Form 20-F (File No. 001-37891) filed with the SEC on March 16, 2023)</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660" w:type="dxa"/>
            <w:vAlign w:val="bottom"/>
          </w:tcPr>
          <w:p>
            <w:pPr>
              <w:spacing w:after="0"/>
              <w:rPr>
                <w:sz w:val="17"/>
                <w:szCs w:val="17"/>
                <w:color w:val="auto"/>
              </w:rPr>
            </w:pPr>
          </w:p>
        </w:tc>
        <w:tc>
          <w:tcPr>
            <w:tcW w:w="7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AC Immune SA 2013 Equity Incentive Plan (incorporated herein by reference to Exhibit 10.7 to the</w:t>
              </w:r>
            </w:hyperlink>
          </w:p>
        </w:tc>
        <w:tc>
          <w:tcPr>
            <w:tcW w:w="580" w:type="dxa"/>
            <w:vAlign w:val="bottom"/>
            <w:gridSpan w:val="1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Company’s Registration Statement on Form F-1 (File No. 333-211714) filed with the SEC on May 31,</w:t>
              </w:r>
            </w:hyperlink>
          </w:p>
        </w:tc>
        <w:tc>
          <w:tcPr>
            <w:tcW w:w="400" w:type="dxa"/>
            <w:vAlign w:val="bottom"/>
            <w:gridSpan w:val="8"/>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60" w:type="dxa"/>
            <w:vAlign w:val="bottom"/>
            <w:gridSpan w:val="2"/>
          </w:tcPr>
          <w:p>
            <w:pPr>
              <w:ind w:left="640"/>
              <w:spacing w:after="0" w:line="196" w:lineRule="exact"/>
              <w:rPr>
                <w:rFonts w:ascii="Times New Roman" w:cs="Times New Roman" w:eastAsia="Times New Roman" w:hAnsi="Times New Roman"/>
                <w:sz w:val="18"/>
                <w:szCs w:val="18"/>
                <w:color w:val="0000EE"/>
                <w:w w:val="95"/>
              </w:rPr>
            </w:pPr>
            <w:hyperlink r:id="rId220">
              <w:r>
                <w:rPr>
                  <w:rFonts w:ascii="Times New Roman" w:cs="Times New Roman" w:eastAsia="Times New Roman" w:hAnsi="Times New Roman"/>
                  <w:sz w:val="18"/>
                  <w:szCs w:val="18"/>
                  <w:color w:val="0000EE"/>
                  <w:w w:val="95"/>
                </w:rPr>
                <w:t>2016)</w:t>
              </w:r>
            </w:hyperlink>
          </w:p>
        </w:tc>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660" w:type="dxa"/>
            <w:vAlign w:val="bottom"/>
          </w:tcPr>
          <w:p>
            <w:pPr>
              <w:spacing w:after="0"/>
              <w:rPr>
                <w:sz w:val="17"/>
                <w:szCs w:val="17"/>
                <w:color w:val="auto"/>
              </w:rPr>
            </w:pPr>
          </w:p>
        </w:tc>
        <w:tc>
          <w:tcPr>
            <w:tcW w:w="7760" w:type="dxa"/>
            <w:vAlign w:val="bottom"/>
            <w:gridSpan w:val="24"/>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AC Immune SA 2016 Stock Option and Incentive Plan, As Amended and Restated as of June 28, 2019</w:t>
              </w:r>
            </w:hyperlink>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(incorporated herein by reference to Exhibit 99 to the Company’s Registration Statement on Form S-8,</w:t>
              </w:r>
            </w:hyperlink>
          </w:p>
        </w:tc>
        <w:tc>
          <w:tcPr>
            <w:tcW w:w="380" w:type="dxa"/>
            <w:vAlign w:val="bottom"/>
            <w:gridSpan w:val="7"/>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filed with the SEC on August 5, 2019)</w:t>
              </w:r>
            </w:hyperlink>
          </w:p>
        </w:tc>
        <w:tc>
          <w:tcPr>
            <w:tcW w:w="400" w:type="dxa"/>
            <w:vAlign w:val="bottom"/>
            <w:gridSpan w:val="8"/>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17"/>
                <w:szCs w:val="17"/>
                <w:color w:val="auto"/>
              </w:rPr>
            </w:pPr>
          </w:p>
        </w:tc>
        <w:tc>
          <w:tcPr>
            <w:tcW w:w="7760" w:type="dxa"/>
            <w:vAlign w:val="bottom"/>
            <w:gridSpan w:val="24"/>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License Agreement between AC Immune SA and Eli Lilly and Company, dated December 11, 2018</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gridSpan w:val="24"/>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(incorporated herein by reference to Exhibit 4.14 to the Amendment No. 1 to the Company’s Annual</w:t>
              </w:r>
            </w:hyperlink>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Report on Form 20-F/A, filed with the SEC on April 19, 2019)</w:t>
              </w:r>
            </w:hyperlink>
          </w:p>
        </w:tc>
        <w:tc>
          <w:tcPr>
            <w:tcW w:w="540" w:type="dxa"/>
            <w:vAlign w:val="bottom"/>
            <w:gridSpan w:val="10"/>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660" w:type="dxa"/>
            <w:vAlign w:val="bottom"/>
          </w:tcPr>
          <w:p>
            <w:pPr>
              <w:spacing w:after="0"/>
              <w:rPr>
                <w:sz w:val="17"/>
                <w:szCs w:val="17"/>
                <w:color w:val="auto"/>
              </w:rPr>
            </w:pPr>
          </w:p>
        </w:tc>
        <w:tc>
          <w:tcPr>
            <w:tcW w:w="74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Convertible Note Agreement between AC Immune SA and Eli Lilly and Company, dated December 11,</w:t>
              </w:r>
            </w:hyperlink>
          </w:p>
        </w:tc>
        <w:tc>
          <w:tcPr>
            <w:tcW w:w="320" w:type="dxa"/>
            <w:vAlign w:val="bottom"/>
            <w:gridSpan w:val="5"/>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gridSpan w:val="24"/>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2018 (incorporated herein by reference to Exhibit 4.15 to the Company’s Annual Report on Form 20-F,</w:t>
              </w:r>
            </w:hyperlink>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filed with the SEC on March 21, 2019)</w:t>
              </w:r>
            </w:hyperlink>
          </w:p>
        </w:tc>
        <w:tc>
          <w:tcPr>
            <w:tcW w:w="360" w:type="dxa"/>
            <w:vAlign w:val="bottom"/>
            <w:gridSpan w:val="6"/>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900" w:type="dxa"/>
            <w:vAlign w:val="bottom"/>
            <w:gridSpan w:val="8"/>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660" w:type="dxa"/>
            <w:vAlign w:val="bottom"/>
          </w:tcPr>
          <w:p>
            <w:pPr>
              <w:spacing w:after="0"/>
              <w:rPr>
                <w:sz w:val="17"/>
                <w:szCs w:val="17"/>
                <w:color w:val="auto"/>
              </w:rPr>
            </w:pPr>
          </w:p>
        </w:tc>
        <w:tc>
          <w:tcPr>
            <w:tcW w:w="7760" w:type="dxa"/>
            <w:vAlign w:val="bottom"/>
            <w:gridSpan w:val="24"/>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First Amendment to License Agreement between AC Immune SA and Eli Lilly and Company, dated</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3900" w:type="dxa"/>
            <w:vAlign w:val="bottom"/>
            <w:gridSpan w:val="8"/>
            <w:shd w:val="clear" w:color="auto" w:fill="0000EE"/>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September 19, 2019 (incorporated herein by reference to Exhibit 10.1 to the Company’s Report on Form 6-</w:t>
              </w:r>
            </w:hyperlink>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gridSpan w:val="24"/>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K, filed with the SEC on September 20, 2019)</w:t>
              </w:r>
            </w:hyperlink>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8"/>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color w:val="auto"/>
              </w:rPr>
              <w:t>168</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0"/>
        </w:trPr>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7600" w:type="dxa"/>
            <w:vAlign w:val="bottom"/>
            <w:gridSpan w:val="22"/>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Second Amendment to License Agreement between AC Immune SA and Eli Lilly and Company, dated</w:t>
              </w:r>
            </w:hyperlink>
          </w:p>
        </w:tc>
      </w:tr>
      <w:tr>
        <w:trPr>
          <w:trHeight w:val="196"/>
        </w:trPr>
        <w:tc>
          <w:tcPr>
            <w:tcW w:w="112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March 20, 2020 (incorporated herein by reference to Exhibit 10.1 to the Company’s Current Report on</w:t>
              </w:r>
            </w:hyperlink>
          </w:p>
        </w:tc>
        <w:tc>
          <w:tcPr>
            <w:tcW w:w="40" w:type="dxa"/>
            <w:vAlign w:val="bottom"/>
            <w:tcBorders>
              <w:top w:val="single" w:sz="8" w:color="0000EE"/>
            </w:tcBorders>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600" w:type="dxa"/>
            <w:vAlign w:val="bottom"/>
            <w:gridSpan w:val="22"/>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Form 6-K (File No. 001-37891) filed with the SEC on March 23, 2020)</w:t>
              </w:r>
            </w:hyperlink>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7600" w:type="dxa"/>
            <w:vAlign w:val="bottom"/>
            <w:gridSpan w:val="22"/>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Open Market Sale Agreement, dated as of May 5, 2021, between AC Immune SA and Jefferies LLC</w:t>
              </w:r>
            </w:hyperlink>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72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(incorporated herein by reference to Exhibit 1.1 to the Company’s Current Report on Form 6-K (File</w:t>
              </w:r>
            </w:hyperlink>
          </w:p>
        </w:tc>
        <w:tc>
          <w:tcPr>
            <w:tcW w:w="34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7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No. 001-37891) filed with the SEC on May 5, 2021)</w:t>
              </w:r>
            </w:hyperlink>
          </w:p>
        </w:tc>
        <w:tc>
          <w:tcPr>
            <w:tcW w:w="3820" w:type="dxa"/>
            <w:vAlign w:val="bottom"/>
            <w:gridSpan w:val="17"/>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76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Asset Purchase and Contribution in Kind Agreement, dated as of July 26, 2021, between AC Immune SA</w:t>
              </w:r>
            </w:hyperlink>
          </w:p>
        </w:tc>
      </w:tr>
      <w:tr>
        <w:trPr>
          <w:trHeight w:val="196"/>
        </w:trPr>
        <w:tc>
          <w:tcPr>
            <w:tcW w:w="1120" w:type="dxa"/>
            <w:vAlign w:val="bottom"/>
          </w:tcPr>
          <w:p>
            <w:pPr>
              <w:spacing w:after="0"/>
              <w:rPr>
                <w:sz w:val="17"/>
                <w:szCs w:val="17"/>
                <w:color w:val="auto"/>
              </w:rPr>
            </w:pPr>
          </w:p>
        </w:tc>
        <w:tc>
          <w:tcPr>
            <w:tcW w:w="7600" w:type="dxa"/>
            <w:vAlign w:val="bottom"/>
            <w:gridSpan w:val="22"/>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and Affiris AG (incorporated herein by reference to Exhibit 10.1 to the Company’s Current Report on</w:t>
              </w:r>
            </w:hyperlink>
          </w:p>
        </w:tc>
      </w:tr>
      <w:tr>
        <w:trPr>
          <w:trHeight w:val="196"/>
        </w:trPr>
        <w:tc>
          <w:tcPr>
            <w:tcW w:w="1120" w:type="dxa"/>
            <w:vAlign w:val="bottom"/>
          </w:tcPr>
          <w:p>
            <w:pPr>
              <w:spacing w:after="0"/>
              <w:rPr>
                <w:sz w:val="17"/>
                <w:szCs w:val="17"/>
                <w:color w:val="auto"/>
              </w:rPr>
            </w:pPr>
          </w:p>
        </w:tc>
        <w:tc>
          <w:tcPr>
            <w:tcW w:w="73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Form 6-K (File No. 001-37891) filed with the SEC on August 4, 2021)</w:t>
              </w:r>
            </w:hyperlink>
          </w:p>
        </w:tc>
        <w:tc>
          <w:tcPr>
            <w:tcW w:w="280" w:type="dxa"/>
            <w:vAlign w:val="bottom"/>
            <w:gridSpan w:val="6"/>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72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Convertible Note Agreement, dated as of July 26, 2021, between AC Immune SA and Santo Venture</w:t>
              </w:r>
            </w:hyperlink>
          </w:p>
        </w:tc>
        <w:tc>
          <w:tcPr>
            <w:tcW w:w="36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600" w:type="dxa"/>
            <w:vAlign w:val="bottom"/>
            <w:gridSpan w:val="22"/>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GmbH (incorporated herein by reference to Exhibit 10.2 to the Company’s Current Report on Form 6-K</w:t>
              </w:r>
            </w:hyperlink>
          </w:p>
        </w:tc>
      </w:tr>
      <w:tr>
        <w:trPr>
          <w:trHeight w:val="196"/>
        </w:trPr>
        <w:tc>
          <w:tcPr>
            <w:tcW w:w="1120" w:type="dxa"/>
            <w:vAlign w:val="bottom"/>
          </w:tcPr>
          <w:p>
            <w:pPr>
              <w:spacing w:after="0"/>
              <w:rPr>
                <w:sz w:val="17"/>
                <w:szCs w:val="17"/>
                <w:color w:val="auto"/>
              </w:rPr>
            </w:pPr>
          </w:p>
        </w:tc>
        <w:tc>
          <w:tcPr>
            <w:tcW w:w="74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(File No. 001-37891) filed with the SEC on August 4, 2021)</w:t>
              </w:r>
            </w:hyperlink>
          </w:p>
        </w:tc>
        <w:tc>
          <w:tcPr>
            <w:tcW w:w="120" w:type="dxa"/>
            <w:vAlign w:val="bottom"/>
            <w:gridSpan w:val="2"/>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7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Convertible Note Agreement, dated as of July 26, 2021, between AC Immune SA and FCPB Affi GmbH</w:t>
              </w:r>
            </w:hyperlink>
          </w:p>
        </w:tc>
        <w:tc>
          <w:tcPr>
            <w:tcW w:w="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3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(incorporated herein by reference to Exhibit 10.3 to the Company’s Current Report on Form 6-K (File</w:t>
              </w:r>
            </w:hyperlink>
          </w:p>
        </w:tc>
        <w:tc>
          <w:tcPr>
            <w:tcW w:w="26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600" w:type="dxa"/>
            <w:vAlign w:val="bottom"/>
            <w:gridSpan w:val="22"/>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No. 001-37891) filed with the SEC on August 4, 2021)</w:t>
              </w:r>
            </w:hyperlink>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39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640" w:type="dxa"/>
            <w:vAlign w:val="bottom"/>
            <w:gridSpan w:val="16"/>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7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List of subsidiaries</w:t>
            </w:r>
          </w:p>
        </w:tc>
        <w:tc>
          <w:tcPr>
            <w:tcW w:w="5820" w:type="dxa"/>
            <w:vAlign w:val="bottom"/>
            <w:gridSpan w:val="20"/>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47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Andrea Pfeifer pursuant to 17 CFR 240.13a-14(a)</w:t>
            </w:r>
          </w:p>
        </w:tc>
        <w:tc>
          <w:tcPr>
            <w:tcW w:w="2860" w:type="dxa"/>
            <w:vAlign w:val="bottom"/>
            <w:gridSpan w:val="14"/>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76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Christopher Roberts pursuant to 17 CFR 240.13a-14(a)</w:t>
            </w:r>
          </w:p>
        </w:tc>
      </w:tr>
      <w:tr>
        <w:trPr>
          <w:trHeight w:val="20"/>
        </w:trPr>
        <w:tc>
          <w:tcPr>
            <w:tcW w:w="112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76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Andrea Pfeifer pursuant to 17 CFR 240.13a-14(b) and 18 U.S.C.1350</w:t>
            </w:r>
          </w:p>
        </w:tc>
      </w:tr>
      <w:tr>
        <w:trPr>
          <w:trHeight w:val="20"/>
        </w:trPr>
        <w:tc>
          <w:tcPr>
            <w:tcW w:w="112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60" w:type="dxa"/>
            <w:vAlign w:val="bottom"/>
            <w:gridSpan w:val="7"/>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65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Christopher Roberts pursuant to 17 CFR 240.13a-14(b) and 18 U.S.C.1350</w:t>
            </w:r>
          </w:p>
        </w:tc>
        <w:tc>
          <w:tcPr>
            <w:tcW w:w="1040" w:type="dxa"/>
            <w:vAlign w:val="bottom"/>
            <w:gridSpan w:val="10"/>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2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PricewaterhouseCoopers SA</w:t>
            </w:r>
          </w:p>
        </w:tc>
        <w:tc>
          <w:tcPr>
            <w:tcW w:w="4700" w:type="dxa"/>
            <w:vAlign w:val="bottom"/>
            <w:gridSpan w:val="18"/>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25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Recoupment Policy</w:t>
            </w:r>
          </w:p>
        </w:tc>
        <w:tc>
          <w:tcPr>
            <w:tcW w:w="5100" w:type="dxa"/>
            <w:vAlign w:val="bottom"/>
            <w:gridSpan w:val="19"/>
          </w:tcPr>
          <w:p>
            <w:pPr>
              <w:spacing w:after="0"/>
              <w:rPr>
                <w:sz w:val="17"/>
                <w:szCs w:val="17"/>
                <w:color w:val="auto"/>
              </w:rPr>
            </w:pP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6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hanging="330"/>
        <w:spacing w:after="0"/>
        <w:tabs>
          <w:tab w:leader="none" w:pos="3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ind w:left="960" w:hanging="262"/>
        <w:spacing w:after="0"/>
        <w:tabs>
          <w:tab w:leader="none" w:pos="9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AC IMMUNE SA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14, 2024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5715</wp:posOffset>
            </wp:positionV>
            <wp:extent cx="26060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Name:Andrea Pfeifer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6060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Name:Christopher Roberts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360" w:type="dxa"/>
            <w:vAlign w:val="bottom"/>
            <w:gridSpan w:val="8"/>
          </w:tcPr>
          <w:p>
            <w:pPr>
              <w:ind w:left="2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3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 AC IMMUNE SA</w:t>
            </w:r>
          </w:p>
        </w:tc>
        <w:tc>
          <w:tcPr>
            <w:tcW w:w="5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8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b w:val="1"/>
                <w:bCs w:val="1"/>
                <w:color w:val="000000"/>
              </w:rPr>
              <w:t>(PCAOB ID 1358)</w:t>
            </w:r>
          </w:p>
        </w:tc>
        <w:tc>
          <w:tcPr>
            <w:tcW w:w="5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3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5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Income/(Loss) and Consolidated Statements of Comprehensive Income/(Loss) for the</w:t>
            </w:r>
          </w:p>
        </w:tc>
        <w:tc>
          <w:tcPr>
            <w:tcW w:w="52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90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fiscal years ended December 31, 2023, 2022 and 2021</w:t>
            </w:r>
          </w:p>
        </w:tc>
        <w:tc>
          <w:tcPr>
            <w:tcW w:w="428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20" w:type="dxa"/>
            <w:vAlign w:val="bottom"/>
          </w:tcPr>
          <w:p>
            <w:pPr>
              <w:spacing w:after="0"/>
              <w:rPr>
                <w:sz w:val="15"/>
                <w:szCs w:val="15"/>
                <w:color w:val="auto"/>
              </w:rPr>
            </w:pPr>
          </w:p>
        </w:tc>
        <w:tc>
          <w:tcPr>
            <w:tcW w:w="83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fiscal years ended December 31, 2023, 2022 and 2021</w:t>
            </w:r>
          </w:p>
        </w:tc>
        <w:tc>
          <w:tcPr>
            <w:tcW w:w="5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fiscal years ended December 31, 2023, 2022 and 2021</w:t>
            </w:r>
          </w:p>
        </w:tc>
        <w:tc>
          <w:tcPr>
            <w:tcW w:w="1020" w:type="dxa"/>
            <w:vAlign w:val="bottom"/>
            <w:tcBorders>
              <w:bottom w:val="single" w:sz="8" w:color="CCEEFF"/>
            </w:tcBorders>
            <w:gridSpan w:val="3"/>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176"/>
        </w:trPr>
        <w:tc>
          <w:tcPr>
            <w:tcW w:w="20" w:type="dxa"/>
            <w:vAlign w:val="bottom"/>
          </w:tcPr>
          <w:p>
            <w:pPr>
              <w:spacing w:after="0"/>
              <w:rPr>
                <w:sz w:val="15"/>
                <w:szCs w:val="15"/>
                <w:color w:val="auto"/>
              </w:rPr>
            </w:pPr>
          </w:p>
        </w:tc>
        <w:tc>
          <w:tcPr>
            <w:tcW w:w="83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5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F-9</w:t>
            </w: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Shareholders of AC Immune SA</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ind w:left="60" w:right="179"/>
        <w:spacing w:after="0" w:line="271"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AC Immune SA and its subsidiary (the “Company”) as of December 31, 2023 and December 31, 2022, and the related consolidated statements of income/(loss), comprehensive income/(loss), changes in equity and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(2013) issued by the Committee of Sponsoring Organizations of the Treadway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(COSO).</w:t>
      </w:r>
    </w:p>
    <w:p>
      <w:pPr>
        <w:spacing w:after="0" w:line="105"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December 31, 2022, and the results of its operations and its cash flows for each of the three years in the period ended December 31, 2023 in conformity with IFRS Accounting Standards as issued by the International Accounting Standards Board.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COSO.</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ind w:left="60" w:right="159"/>
        <w:spacing w:after="0" w:line="272"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15B.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ind w:left="60" w:right="139"/>
        <w:spacing w:after="0" w:line="27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left="60" w:right="99"/>
        <w:spacing w:after="0" w:line="28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 – valuation</w:t>
      </w:r>
    </w:p>
    <w:p>
      <w:pPr>
        <w:spacing w:after="0" w:line="241"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As described in Notes 6 and 7 to the consolidated financial statements, the Company has CHF 50,416 thousand of an in-process research and development (IPR&amp;D) intangible asset as of December 31, 2023. The asset is defined as an intangible asset not yet ready for use. Therefore, in accordance with IAS 36 ‘Impairment of asset’, the IPR&amp;D asset is reviewed at least annually for impairment by assessing the fair value less costs to sell (recoverable amount) and comparing this to the carrying value of the asset. To determine the recoverable amount, management estimated the fair value less costs to sell of the intangible asset, using a risk-adjusted discounted cash flow method. The significant assumptions used in the model include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used to discount future cash flows.</w:t>
      </w:r>
    </w:p>
    <w:p>
      <w:pPr>
        <w:spacing w:after="0" w:line="201"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intangible asset – valuation is a critical audit matter are the significant judgment by management when determining the value of the intangible asset. This in turn led to a high degree of auditor judgment, subjectivity and effort in performing procedures and evaluating the audit evidence obtained related to the valuation of the intangible asset and management’s assumptions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used to discount future cash flows. In addition, the audit effort involved the use of professionals with specialized skill and knowledge.</w:t>
      </w:r>
    </w:p>
    <w:p>
      <w:pPr>
        <w:spacing w:after="0" w:line="204" w:lineRule="exact"/>
        <w:rPr>
          <w:sz w:val="20"/>
          <w:szCs w:val="20"/>
          <w:color w:val="auto"/>
        </w:rPr>
      </w:pPr>
    </w:p>
    <w:p>
      <w:pPr>
        <w:ind w:left="60" w:right="159"/>
        <w:spacing w:after="0" w:line="249"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the intangible asset. These procedures also included, among others, (i) testing management’s process for developing the fair value estimate; (ii) evaluating the appropriateness of the discounted cash flow model; (iii) testing the completeness and accuracy of underlying data used in the model; and (iv) evaluating the reasonableness of the significant assumptions used by management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Evaluating management’s assumptions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involved evaluating whether the assumptions used by management were reasonable considering (i) the consistency with market and industry data; and (ii) whether these assumptions were consistent with evidence obtained in other areas of the audit. Professionals with specialized skill and knowledge were used to assist in the evaluation of the Company’s discounted cash flow model and the discount rate assumption.</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SA</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Lausanne, Switzerland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14, 2024</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Financial Statements (IFRS)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16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57,661</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income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31,586</w:t>
            </w:r>
          </w:p>
        </w:tc>
        <w:tc>
          <w:tcPr>
            <w:tcW w:w="0" w:type="dxa"/>
            <w:vAlign w:val="bottom"/>
          </w:tcPr>
          <w:p>
            <w:pPr>
              <w:spacing w:after="0"/>
              <w:rPr>
                <w:sz w:val="1"/>
                <w:szCs w:val="1"/>
                <w:color w:val="auto"/>
              </w:rPr>
            </w:pPr>
          </w:p>
        </w:tc>
      </w:tr>
      <w:tr>
        <w:trPr>
          <w:trHeight w:val="26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125,153</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128,094</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185,938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premium</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431,323</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losses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(316,197)</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(264,015)</w:t>
            </w:r>
          </w:p>
        </w:tc>
        <w:tc>
          <w:tcPr>
            <w:tcW w:w="0" w:type="dxa"/>
            <w:vAlign w:val="bottom"/>
          </w:tcPr>
          <w:p>
            <w:pPr>
              <w:spacing w:after="0"/>
              <w:rPr>
                <w:sz w:val="1"/>
                <w:szCs w:val="1"/>
                <w:color w:val="auto"/>
              </w:rPr>
            </w:pPr>
          </w:p>
        </w:tc>
      </w:tr>
      <w:tr>
        <w:trPr>
          <w:trHeight w:val="223"/>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6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vMerge w:val="continue"/>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22,171</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185,938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Income/(Loss)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CHF thousands, except for per-share data)</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(54,606)</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(60,336)</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(15,305)</w:t>
            </w: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(15,789)</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14.2</w:t>
            </w:r>
          </w:p>
        </w:tc>
        <w:tc>
          <w:tcPr>
            <w:tcW w:w="180" w:type="dxa"/>
            <w:vAlign w:val="bottom"/>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(74,782)</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(79,010)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(54,223)</w:t>
            </w: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(70,740)</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(72,993)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(70,753)</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(72,996)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(0.64)</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(0.85)</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Income/(Loss)</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(54,233)</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(70,753)</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Items that may be reclassified to income or loss in subsequent periods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Items that will not to be reclassified to income or loss in subsequent</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periods (net of tax):</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gains/(losses) on defined-benefit plans (net of tax)</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(1,669)</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68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680" w:type="dxa"/>
            <w:vAlign w:val="bottom"/>
          </w:tcPr>
          <w:p>
            <w:pPr>
              <w:spacing w:after="0"/>
              <w:rPr>
                <w:sz w:val="14"/>
                <w:szCs w:val="14"/>
                <w:color w:val="auto"/>
              </w:rPr>
            </w:pPr>
          </w:p>
        </w:tc>
      </w:tr>
      <w:tr>
        <w:trPr>
          <w:trHeight w:val="176"/>
        </w:trPr>
        <w:tc>
          <w:tcPr>
            <w:tcW w:w="3320" w:type="dxa"/>
            <w:vAlign w:val="bottom"/>
          </w:tcPr>
          <w:p>
            <w:pPr>
              <w:spacing w:after="0"/>
              <w:rPr>
                <w:sz w:val="15"/>
                <w:szCs w:val="15"/>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premium</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differences</w:t>
            </w: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2021</w:t>
            </w:r>
          </w:p>
        </w:tc>
        <w:tc>
          <w:tcPr>
            <w:tcW w:w="5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346,890</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(132,850)</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215,478</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for the period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(72,996)</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(72,996)</w:t>
            </w:r>
          </w:p>
        </w:tc>
      </w:tr>
      <w:tr>
        <w:trPr>
          <w:trHeight w:val="16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w:t>
            </w:r>
          </w:p>
        </w:tc>
      </w:tr>
      <w:tr>
        <w:trPr>
          <w:trHeight w:val="195"/>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(72,040)</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(72,040)</w:t>
            </w:r>
          </w:p>
        </w:tc>
      </w:tr>
      <w:tr>
        <w:trPr>
          <w:trHeight w:val="143"/>
        </w:trPr>
        <w:tc>
          <w:tcPr>
            <w:tcW w:w="3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19</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4,126</w:t>
            </w: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4,126</w:t>
            </w:r>
          </w:p>
        </w:tc>
      </w:tr>
      <w:tr>
        <w:trPr>
          <w:trHeight w:val="144"/>
        </w:trPr>
        <w:tc>
          <w:tcPr>
            <w:tcW w:w="33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sale of treasury shares in public offerings, net</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 underwriting fees and transaction costs</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12,097</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12,121</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shares, net of transaction costs: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IPR&amp;D asset purchase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6</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49,741</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49,871</w:t>
            </w:r>
          </w:p>
        </w:tc>
      </w:tr>
      <w:tr>
        <w:trPr>
          <w:trHeight w:val="162"/>
        </w:trPr>
        <w:tc>
          <w:tcPr>
            <w:tcW w:w="3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Asset acquisition - common shares</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4,587</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4,599</w:t>
            </w:r>
          </w:p>
        </w:tc>
      </w:tr>
      <w:tr>
        <w:trPr>
          <w:trHeight w:val="162"/>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Conversion note agreements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16,683</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16,744</w:t>
            </w:r>
          </w:p>
        </w:tc>
      </w:tr>
      <w:tr>
        <w:trPr>
          <w:trHeight w:val="162"/>
        </w:trPr>
        <w:tc>
          <w:tcPr>
            <w:tcW w:w="3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Held as treasury shares</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Restricted share awards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19</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(178)</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2"/>
        </w:trPr>
        <w:tc>
          <w:tcPr>
            <w:tcW w:w="3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 of options</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19</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w:t>
            </w:r>
          </w:p>
        </w:tc>
      </w:tr>
      <w:tr>
        <w:trPr>
          <w:trHeight w:val="156"/>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431,251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(200,942)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231,979</w:t>
            </w:r>
          </w:p>
        </w:tc>
      </w:tr>
      <w:tr>
        <w:trPr>
          <w:trHeight w:val="20"/>
        </w:trPr>
        <w:tc>
          <w:tcPr>
            <w:tcW w:w="3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68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680" w:type="dxa"/>
            <w:vAlign w:val="bottom"/>
          </w:tcPr>
          <w:p>
            <w:pPr>
              <w:spacing w:after="0"/>
              <w:rPr>
                <w:sz w:val="14"/>
                <w:szCs w:val="14"/>
                <w:color w:val="auto"/>
              </w:rPr>
            </w:pPr>
          </w:p>
        </w:tc>
      </w:tr>
      <w:tr>
        <w:trPr>
          <w:trHeight w:val="176"/>
        </w:trPr>
        <w:tc>
          <w:tcPr>
            <w:tcW w:w="334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premium</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differences</w:t>
            </w: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2022</w:t>
            </w: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431,251</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(200,942)</w:t>
            </w: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231,979</w:t>
            </w: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for the period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(70,753)</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(70,753)</w:t>
            </w:r>
          </w:p>
        </w:tc>
      </w:tr>
      <w:tr>
        <w:trPr>
          <w:trHeight w:val="16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4,426</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4,436</w:t>
            </w:r>
          </w:p>
        </w:tc>
      </w:tr>
      <w:tr>
        <w:trPr>
          <w:trHeight w:val="155"/>
        </w:trPr>
        <w:tc>
          <w:tcPr>
            <w:tcW w:w="334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5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(66,327)</w:t>
            </w:r>
          </w:p>
        </w:tc>
        <w:tc>
          <w:tcPr>
            <w:tcW w:w="1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(66,317)</w:t>
            </w:r>
          </w:p>
        </w:tc>
      </w:tr>
      <w:tr>
        <w:trPr>
          <w:trHeight w:val="156"/>
        </w:trPr>
        <w:tc>
          <w:tcPr>
            <w:tcW w:w="3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w:t>
            </w:r>
          </w:p>
        </w:tc>
      </w:tr>
      <w:tr>
        <w:trPr>
          <w:trHeight w:val="144"/>
        </w:trPr>
        <w:tc>
          <w:tcPr>
            <w:tcW w:w="33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sale of treasury shares in public offerings, net</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 underwriting fees and transaction costs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shares, net of transaction costs: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Restricted share awards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(76)</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62"/>
        </w:trPr>
        <w:tc>
          <w:tcPr>
            <w:tcW w:w="3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 of options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5"/>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431,323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(264,015)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168,991</w:t>
            </w:r>
          </w:p>
        </w:tc>
      </w:tr>
      <w:tr>
        <w:trPr>
          <w:trHeight w:val="20"/>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Currency</w:t>
            </w:r>
          </w:p>
        </w:tc>
        <w:tc>
          <w:tcPr>
            <w:tcW w:w="68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translation</w:t>
            </w:r>
          </w:p>
        </w:tc>
        <w:tc>
          <w:tcPr>
            <w:tcW w:w="680" w:type="dxa"/>
            <w:vAlign w:val="bottom"/>
          </w:tcPr>
          <w:p>
            <w:pPr>
              <w:spacing w:after="0"/>
              <w:rPr>
                <w:sz w:val="14"/>
                <w:szCs w:val="14"/>
                <w:color w:val="auto"/>
              </w:rPr>
            </w:pPr>
          </w:p>
        </w:tc>
      </w:tr>
      <w:tr>
        <w:trPr>
          <w:trHeight w:val="176"/>
        </w:trPr>
        <w:tc>
          <w:tcPr>
            <w:tcW w:w="334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premium</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differences</w:t>
            </w: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2023</w:t>
            </w: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431,323</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(264,015)</w:t>
            </w: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168,991</w:t>
            </w: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for the period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(54,233)</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(54,233)</w:t>
            </w:r>
          </w:p>
        </w:tc>
      </w:tr>
      <w:tr>
        <w:trPr>
          <w:trHeight w:val="16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(1,669)</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(1,730)</w:t>
            </w:r>
          </w:p>
        </w:tc>
      </w:tr>
      <w:tr>
        <w:trPr>
          <w:trHeight w:val="155"/>
        </w:trPr>
        <w:tc>
          <w:tcPr>
            <w:tcW w:w="334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5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(55,902)</w:t>
            </w:r>
          </w:p>
        </w:tc>
        <w:tc>
          <w:tcPr>
            <w:tcW w:w="1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(55,963)</w:t>
            </w:r>
          </w:p>
        </w:tc>
      </w:tr>
      <w:tr>
        <w:trPr>
          <w:trHeight w:val="155"/>
        </w:trPr>
        <w:tc>
          <w:tcPr>
            <w:tcW w:w="3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4,365</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4,365</w:t>
            </w:r>
          </w:p>
        </w:tc>
      </w:tr>
      <w:tr>
        <w:trPr>
          <w:trHeight w:val="144"/>
        </w:trPr>
        <w:tc>
          <w:tcPr>
            <w:tcW w:w="33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public offerings, net of underwriting fees,</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costs and stamp duty</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40,249</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40,535</w:t>
            </w:r>
          </w:p>
        </w:tc>
      </w:tr>
      <w:tr>
        <w:trPr>
          <w:trHeight w:val="144"/>
        </w:trPr>
        <w:tc>
          <w:tcPr>
            <w:tcW w:w="33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sale of treasury shares in public offerings, net</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underwriting fees and transaction costs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2,650</w:t>
            </w:r>
          </w:p>
        </w:tc>
      </w:tr>
      <w:tr>
        <w:trPr>
          <w:trHeight w:val="17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shares, net of transaction costs:</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2"/>
        </w:trPr>
        <w:tc>
          <w:tcPr>
            <w:tcW w:w="3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share awards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(645)</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2"/>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 of options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2,089</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474,907</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6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(316,197)</w:t>
            </w:r>
          </w:p>
        </w:tc>
        <w:tc>
          <w:tcPr>
            <w:tcW w:w="1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160,643</w:t>
            </w:r>
          </w:p>
        </w:tc>
      </w:tr>
      <w:tr>
        <w:trPr>
          <w:trHeight w:val="20"/>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2" w:name="page183"/>
    <w:bookmarkEnd w:id="1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w:t>
            </w: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4"/>
                <w:szCs w:val="14"/>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51"/>
        </w:trPr>
        <w:tc>
          <w:tcPr>
            <w:tcW w:w="650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Loss for the period</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(54,233)</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(70,753)</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Adjustments to reconcile net loss for the period to net cash flows: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Depreciation of property, plant and equipment</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4</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Depreciation of right-of-use assets</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1"/>
              </w:rPr>
              <w:t>5</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Finance (income)/expense, net</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4,365</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net employee defined benefit liability</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5/15</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(Gain)/loss on sale of fixed assets</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Changes in working capital:</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(Increase)/decrease in prepaid expenses</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9</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(Increase)/decrease in accrued income</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1"/>
              </w:rPr>
              <w:t>9</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(Increase)/decrease in accounts receivable</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(14,800)</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(Increase)/decrease in other current receivables</w:t>
            </w:r>
          </w:p>
        </w:tc>
        <w:tc>
          <w:tcPr>
            <w:tcW w:w="38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1"/>
              </w:rPr>
              <w:t>11</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(Decrease)/increase in accrued expenses</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(6,114)</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(Decrease)/increase in deferred income</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(Decrease)/increase in trade and other payables</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14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Cash used in operating activities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(60,827)</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(73,159)</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 received</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paid</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5/15</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Finance expenses paid</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95"/>
        </w:trPr>
        <w:tc>
          <w:tcPr>
            <w:tcW w:w="6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cash flows used in operating activities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(60,408)</w:t>
            </w:r>
          </w:p>
        </w:tc>
        <w:tc>
          <w:tcPr>
            <w:tcW w:w="14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(73,568)</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(65,689)</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4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Short-term financial assets, net</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8</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66,446</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Purchases of property, plant and equipment</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1"/>
              </w:rPr>
              <w:t>4</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Rental deposits</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5</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95"/>
        </w:trPr>
        <w:tc>
          <w:tcPr>
            <w:tcW w:w="6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cash flows provided by/(used in) investing activities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65,645</w:t>
            </w:r>
          </w:p>
        </w:tc>
        <w:tc>
          <w:tcPr>
            <w:tcW w:w="14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23,763</w:t>
            </w:r>
          </w:p>
        </w:tc>
        <w:tc>
          <w:tcPr>
            <w:tcW w:w="1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(53,664)</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4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issuance of convertible loan</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Transaction costs on issuance of shares</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public offerings of common shares, net of underwriting fees and transaction costs</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41,056</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sale of treasury shares in public offerings, net of underwriting fees and transaction costs</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2,677</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issuance of common shares – asset acquisition, net of transaction costs</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issuance of common shares – equity plan, net of transaction costs</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Principal payments of lease obligations</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5</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8"/>
              </w:rPr>
              <w:t>Transaction costs associated with issuance of shares in relation to asset acquisition previously recorded in Accrued expenses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flows (used in)/provided by financing activities</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43,250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increase/(decrease) in cash and cash equivalents</w:t>
            </w: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48,487</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(51,151)</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 at January 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31,586</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82,216</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160,893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Exchange gain/(loss) on cash and cash equivalents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 at December 31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78,494</w:t>
            </w:r>
          </w:p>
        </w:tc>
        <w:tc>
          <w:tcPr>
            <w:tcW w:w="14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31,586</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82,216</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increase/(decrease) in cash and cash equivalents</w:t>
            </w: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48,487</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(51,151)</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non-cash activity</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Capital expenditures in Trade and other payables or Accrued expenses</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1"/>
              </w:rPr>
              <w:t>4</w:t>
            </w:r>
          </w:p>
        </w:tc>
        <w:tc>
          <w:tcPr>
            <w:tcW w:w="1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Issuance of shares for purchase of IPR&amp;D asset in asset acquisition</w:t>
            </w:r>
          </w:p>
        </w:tc>
        <w:tc>
          <w:tcPr>
            <w:tcW w:w="380" w:type="dxa"/>
            <w:vAlign w:val="bottom"/>
            <w:gridSpan w:val="2"/>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6"/>
              </w:rPr>
              <w:t>6/7</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Transaction costs associated with issuance of shares in relation to the asset acquisition recorded in Accrued expenses</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1"/>
              </w:rPr>
              <w:t>6</w:t>
            </w:r>
          </w:p>
        </w:tc>
        <w:tc>
          <w:tcPr>
            <w:tcW w:w="1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Settlement of convertible notes recorded within Shareholders’ equity</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Transaction costs and stamp duty associated with the public offerings of common shares recorded in Accrued expenses</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Transaction costs associated with the sale of treasury shares in public offering recorded in Accrued expenses</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3" w:name="page184"/>
    <w:bookmarkEnd w:id="1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for share and per share data)</w:t>
      </w:r>
    </w:p>
    <w:p>
      <w:pPr>
        <w:spacing w:after="0" w:line="216" w:lineRule="exact"/>
        <w:rPr>
          <w:sz w:val="20"/>
          <w:szCs w:val="20"/>
          <w:color w:val="auto"/>
        </w:rPr>
      </w:pPr>
    </w:p>
    <w:p>
      <w:pPr>
        <w:ind w:left="380" w:hanging="330"/>
        <w:spacing w:after="0"/>
        <w:tabs>
          <w:tab w:leader="none" w:pos="3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AC Immune SA was founded in 2003. The Company controls a fully-owned subsidiary, AC Immune USA, Inc. (“AC Immune USA” or “Subsidiary” and, together with AC Immune SA, “AC Immune,” “ACIU,” “Company,” “we,” “our,” “ours,” “us”), which was registered and organized under the laws of Delaware, USA in June 2021. The Company and its Subsidiary form the Group.</w:t>
      </w:r>
    </w:p>
    <w:p>
      <w:pPr>
        <w:spacing w:after="0" w:line="16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90"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Company was initially incorporated as a limited liability company on February 13, 2003 in Basel, and effective August 25, 2003 was transformed into a stock company. The Company’s corporate headquarters are located at EPFL Innovation Park Building B, 1015 Lausanne, Switzerland.</w:t>
      </w:r>
    </w:p>
    <w:p>
      <w:pPr>
        <w:spacing w:after="0" w:line="172" w:lineRule="exact"/>
        <w:rPr>
          <w:sz w:val="20"/>
          <w:szCs w:val="20"/>
          <w:color w:val="auto"/>
        </w:rPr>
      </w:pPr>
    </w:p>
    <w:p>
      <w:pPr>
        <w:ind w:left="380" w:hanging="330"/>
        <w:spacing w:after="0"/>
        <w:tabs>
          <w:tab w:leader="none" w:pos="38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1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it will be able to meet all of its obligations as they fall due for at least 12 months from the filing date of this Form 20-F, after considering the Company’s cash position of CHF 78.5 million and short-term financial assets of CHF 24.6 million as of December 31, 2023. Hence, these consolidated financial statements have been prepared on a going-concern basis.</w:t>
      </w:r>
    </w:p>
    <w:p>
      <w:pPr>
        <w:spacing w:after="0" w:line="180"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7"/>
          <w:szCs w:val="17"/>
          <w:color w:val="auto"/>
        </w:rPr>
        <w:t>To date, the Company has financed its cash requirements primarily from its public offerings, share issuances, contract revenues from license and collaboration agreements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w:t>
      </w:r>
    </w:p>
    <w:p>
      <w:pPr>
        <w:ind w:left="360" w:hanging="310"/>
        <w:spacing w:after="0"/>
        <w:tabs>
          <w:tab w:leader="none" w:pos="3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move its product candidates through clinical development, (iv) attract and retain key personnel and</w:t>
      </w:r>
    </w:p>
    <w:p>
      <w:pPr>
        <w:spacing w:after="0" w:line="9" w:lineRule="exact"/>
        <w:rPr>
          <w:rFonts w:ascii="Times New Roman" w:cs="Times New Roman" w:eastAsia="Times New Roman" w:hAnsi="Times New Roman"/>
          <w:sz w:val="18"/>
          <w:szCs w:val="18"/>
          <w:color w:val="auto"/>
        </w:rPr>
      </w:pPr>
    </w:p>
    <w:p>
      <w:pPr>
        <w:ind w:left="300" w:hanging="250"/>
        <w:spacing w:after="0"/>
        <w:tabs>
          <w:tab w:leader="none" w:pos="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capital to support its operations.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compliance</w:t>
      </w:r>
    </w:p>
    <w:p>
      <w:pPr>
        <w:spacing w:after="0" w:line="216" w:lineRule="exact"/>
        <w:rPr>
          <w:sz w:val="20"/>
          <w:szCs w:val="20"/>
          <w:color w:val="auto"/>
        </w:rPr>
      </w:pPr>
    </w:p>
    <w:p>
      <w:pPr>
        <w:jc w:val="both"/>
        <w:ind w:left="60" w:right="639" w:firstLine="324"/>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have been prepared in accordance with International Financial Reporting Standards (IFRS) Accounting Standards as issued by the International Accounting Standards Board (IASB). These consolidated financial statements were approved for issue by the Board of Directors on March 13, 2024.</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under the historical cost convention except for items that are required to be accounted for at fair value.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4" w:name="page185"/>
    <w:bookmarkEnd w:id="1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material accounting policies</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principal accounting policies adopted in the preparation of these consolidated financial statements are set out below. These policies have been consistently applied to all the years presented, unless otherwise stated.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reporting currency</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These consolidated financial statements and accompanying notes are presented in Swiss Francs (CHF), which is AC Immune SA’s functional currency and the Group’s reporting currency. The Company’s subsidiary has a functional currency of the U.S. Dollar (USD). The respective functional currency represents the primary economic environment in which the entities operate.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exchange rates have been used for the translation of the financial statements of AC Immune USA:</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00" w:type="dxa"/>
            <w:vAlign w:val="bottom"/>
          </w:tcPr>
          <w:p>
            <w:pPr>
              <w:spacing w:after="0"/>
              <w:rPr>
                <w:sz w:val="16"/>
                <w:szCs w:val="16"/>
                <w:color w:val="auto"/>
              </w:rPr>
            </w:pPr>
          </w:p>
        </w:tc>
      </w:tr>
      <w:tr>
        <w:trPr>
          <w:trHeight w:val="195"/>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6"/>
                <w:szCs w:val="16"/>
                <w:color w:val="auto"/>
              </w:rPr>
            </w:pPr>
          </w:p>
        </w:tc>
      </w:tr>
      <w:tr>
        <w:trPr>
          <w:trHeight w:val="188"/>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3"/>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CHF/USD</w:t>
            </w:r>
          </w:p>
        </w:tc>
        <w:tc>
          <w:tcPr>
            <w:tcW w:w="1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rate, USD 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0.851</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0.933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0.923</w:t>
            </w:r>
          </w:p>
        </w:tc>
      </w:tr>
      <w:tr>
        <w:trPr>
          <w:trHeight w:val="23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exchange rate, USD 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0.908</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0.965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0.929</w:t>
            </w: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results and financial position of AC Immune USA are translated into the presentation currency as follows:</w:t>
      </w:r>
    </w:p>
    <w:p>
      <w:pPr>
        <w:spacing w:after="0" w:line="225" w:lineRule="exact"/>
        <w:rPr>
          <w:sz w:val="20"/>
          <w:szCs w:val="20"/>
          <w:color w:val="auto"/>
        </w:rPr>
      </w:pPr>
    </w:p>
    <w:p>
      <w:pPr>
        <w:ind w:left="720" w:right="259" w:hanging="319"/>
        <w:spacing w:after="0" w:line="282"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for each balance sheet presented are translated at the closing rate at the date of that balance sheet;</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for each statement of income/(loss) are translated at average exchange rates; and</w:t>
      </w:r>
    </w:p>
    <w:p>
      <w:pPr>
        <w:spacing w:after="0" w:line="225"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resulting exchange differences are recognized in other comprehensive income/(loss), within cumulative translation differences.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annual closing date of the individual financial statements is December 31. The Company fully-owns its Subsidiary and fully consolidates its financial statements into these consolidated financial statements. All intercompany transactions have been eliminated.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Foreign currency transactions are translated into the respective functional currency using prevailing exchange rates at the dates of the transactions. Foreign exchange gains and losses resulting from the settlement of such transactions and from the translation at year-end exchange rates of monetary assets and liabilities denominated in foreign currencies are recognized in the consolidated statements of income/(loss). Any gains or losses from these translations are included in the consolidated statements of income/(loss) in the period in which they arise.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Current vs. non-current classification</w:t>
      </w:r>
    </w:p>
    <w:p>
      <w:pPr>
        <w:spacing w:after="0" w:line="216"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assets and liabilities in the consolidated balance sheets based on current/non-current classification. The Company classifies all amounts to be realized or settled within 12 months after the reporting period to be current and all other amounts to be non-current.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5" w:name="page186"/>
    <w:bookmarkEnd w:id="1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 xml:space="preserve">The Company applies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applies the five-step model to contracts only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6"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Company enters into LCAs which are within the scope of IFRS 15, under which it licenses certain rights to its product candidates and intellectual property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intellectual property. Each of these payments results in license, collaboration and other revenues, which are classified as contract revenue on the consolidated statements of income/(loss).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Licenses of intellectual property</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payments</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 regulatory and/or commercial milestone payments, the Company evaluates whether the milestones are considered highly probable of being reached and estimates the amount to be included in the transaction price using the most likely amount method. If it is highly probable that a significant cumulative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services</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Company has certain arrangements with our collaboration partners that include contracting our 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6" w:name="page187"/>
    <w:bookmarkEnd w:id="1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Sublicense revenues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Company has certain arrangements with our collaboration partners that include provisions for sublicensing. The Company recognizes any sublicense revenues at the point in time it is highly probable to obtain and not subject to reversal in the future.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receives payments and determines credit terms from its customers for its various performance obligations based on billing schedules established in each contract. The timing of revenue recognition, billings and cash collections results in billed other current receivables, accrued income (contract assets), and deferred income (contract liabilities) on the consolidated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complete discussion of accounting for contract revenue, see “Note 14. Contract revenues.”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16"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 xml:space="preserve">Given the stage of development of the Company’s products, all research and development expenditure is expensed as incurred as it does not meet the capitalization criteria outlined in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 Company has not capitalized any R&amp;D expenses to date. Research and development expenditures include:</w:t>
      </w:r>
    </w:p>
    <w:p>
      <w:pPr>
        <w:spacing w:after="0" w:line="176" w:lineRule="exact"/>
        <w:rPr>
          <w:sz w:val="20"/>
          <w:szCs w:val="20"/>
          <w:color w:val="auto"/>
        </w:rPr>
      </w:pPr>
    </w:p>
    <w:p>
      <w:pPr>
        <w:ind w:left="720" w:right="99" w:hanging="319"/>
        <w:spacing w:after="0" w:line="282" w:lineRule="auto"/>
        <w:tabs>
          <w:tab w:leader="none" w:pos="7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61"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under agreements with contract research organizations, investigative sites and other entities in connection with the conduct of clinical trials and preclinical studies and related services, such as administrative, data-management and laboratory services;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costs related to regulatory filings and activities;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activities;</w:t>
      </w:r>
    </w:p>
    <w:p>
      <w:pPr>
        <w:spacing w:after="0" w:line="225"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bonuses, benefits, travel and share-based compensation expenses;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allocated expenses such as facilities and information technology (IT) costs.</w:t>
      </w:r>
    </w:p>
    <w:p>
      <w:pPr>
        <w:spacing w:after="0" w:line="22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For external research contracts, expenses include those associated with contract research organizations, or CROs, or contract manufacturing organizations, or CMOs. The invoicing from CROs or CMOs for services rendered do not always align with work performed. We accrue the cost of services rendered in connection with CRO or CMO activities based on our estimate of the “stage of completion” for such contracted services. We maintain regular communication with our CRO or CMO vendors to gauge the reasonableness of our estimates and accrued expenses as of the balance sheet date in the consolidated financial statements based on facts and circumstances known at the time.</w:t>
      </w:r>
    </w:p>
    <w:p>
      <w:pPr>
        <w:spacing w:after="0" w:line="189"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7" w:name="page188"/>
    <w:bookmarkEnd w:id="1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expensed as incurred and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certain IT, facilities and depreciation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Grant income</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The Company has received grants, from time to time, from the Michael J. Fox Foundation (MJFF), the Target ALS Foundation (Target ALS) and other institutions to support certain research projects. Grants are recorded at their fair value in the consolidated statements of income/(loss) within other operating income/(expenses), net when there is reasonable assurance that the Company will satisfy the underlying grant conditions and the grants will be received. In certain circumstances, grant income may be recognized before formal grantor acknowledgement of milestone achievements. To the extent required, grant income is deferred and recognized on a systematic basis over the periods in which the Company expects to recognize the related expenses for which the grants are intended to compensate.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14" w:lineRule="exact"/>
        <w:rPr>
          <w:sz w:val="20"/>
          <w:szCs w:val="20"/>
          <w:color w:val="auto"/>
        </w:rPr>
      </w:pPr>
    </w:p>
    <w:p>
      <w:pPr>
        <w:ind w:left="60" w:right="179"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provides the model for lessee accounting in which all leases, other than short-term and low-value leases, are accounted for by the recognition on the consolidated balance sheet of a right-of-use asset and a lease liability, and the subsequent amortization of the right-of-use asset over the earlier of the end of the useful life or the lease term. In accordance with IFRS 16, the Company (i) does not recognize right-of-use assets and lease liabilities for leases of low value (i.e. approximate fair value of USD 5,000). For a complete discussion of accounting, see “Note 5. Right-of-use assets, long-term financial assets and lease liabilities.”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 and lease liabilities</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At inception of a leasing contract, the Company assesses whether a contract is, or contains, a lease based on whether the contract conveys the right to control the use of an identified asset for a period of time in exchange for consideration. The Company recognizes a right-of-use asset and a lease liability at the lease commencement date. The lease liability is initially measured at the present value of the lease payments that are not paid at the commencement date, discounted using the interest rate implicit in the lease or, if that rate cannot be readily determined, the Company’s incremental borrowing rate. The lease liabilities are classified as current or non-current based on the due dates of the underlying principal payments.</w:t>
      </w:r>
    </w:p>
    <w:p>
      <w:pPr>
        <w:spacing w:after="0" w:line="187" w:lineRule="exact"/>
        <w:rPr>
          <w:sz w:val="20"/>
          <w:szCs w:val="20"/>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8"/>
          <w:szCs w:val="18"/>
          <w:color w:val="auto"/>
        </w:rPr>
        <w:t>Lease payments generally are fixed for the contract term. The lease liability is measured at amortized cost using the effective interest method. The lease liability is re-measured if there is a change in the estimated lease term, a change in future lease payments arising from a change in an index or rate, a change in the Company’s estimate of the amount expected to be payable under a residual value guarantee or a change in assessment of whether it will exercise a purchase, extension or termination option.</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At inception, the right-of-use asset comprises the initial lease liability and any initial direct costs. The right-of-use asset is depreciated over the shorter of the lease term or the useful life of the underlying asset. The right-of-use asset is periodically reduced by impairment losses, if any, and adjusted for certain re-measurements of the lease liability performed on as certain potential triggering events may arise (e.g. lease modifications). When the lease liability is re-measured, a corresponding adjustment is made to the carrying amount of the right-of-use asset or is recorded in profit or loss if the carrying amount of the right-of-use asset has been reduced to zero.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8" w:name="page189"/>
    <w:bookmarkEnd w:id="1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estimated lease term by right-of-use asset categories are as follows:</w:t>
            </w:r>
          </w:p>
        </w:tc>
        <w:tc>
          <w:tcPr>
            <w:tcW w:w="1040" w:type="dxa"/>
            <w:vAlign w:val="bottom"/>
          </w:tcPr>
          <w:p>
            <w:pPr>
              <w:spacing w:after="0"/>
              <w:rPr>
                <w:sz w:val="20"/>
                <w:szCs w:val="20"/>
                <w:color w:val="auto"/>
              </w:rPr>
            </w:pPr>
          </w:p>
        </w:tc>
      </w:tr>
      <w:tr>
        <w:trPr>
          <w:trHeight w:val="243"/>
        </w:trPr>
        <w:tc>
          <w:tcPr>
            <w:tcW w:w="78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 years</w:t>
            </w:r>
          </w:p>
        </w:tc>
      </w:tr>
      <w:tr>
        <w:trPr>
          <w:trHeight w:val="445"/>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Both the right-of-use-assets and lease liabilities are recognized in the consolidated balance sheets.</w:t>
            </w:r>
          </w:p>
        </w:tc>
        <w:tc>
          <w:tcPr>
            <w:tcW w:w="1040" w:type="dxa"/>
            <w:vAlign w:val="bottom"/>
          </w:tcPr>
          <w:p>
            <w:pPr>
              <w:spacing w:after="0"/>
              <w:rPr>
                <w:sz w:val="24"/>
                <w:szCs w:val="24"/>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348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4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improvements/furniture</w:t>
            </w:r>
          </w:p>
        </w:tc>
        <w:tc>
          <w:tcPr>
            <w:tcW w:w="348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11" w:lineRule="exact"/>
        <w:rPr>
          <w:sz w:val="20"/>
          <w:szCs w:val="20"/>
          <w:color w:val="auto"/>
        </w:rPr>
      </w:pPr>
    </w:p>
    <w:p>
      <w:pPr>
        <w:ind w:left="60" w:right="419" w:firstLine="324"/>
        <w:spacing w:after="0" w:line="258" w:lineRule="auto"/>
        <w:rPr>
          <w:sz w:val="20"/>
          <w:szCs w:val="20"/>
          <w:color w:val="auto"/>
        </w:rPr>
      </w:pPr>
      <w:r>
        <w:rPr>
          <w:rFonts w:ascii="Times New Roman" w:cs="Times New Roman" w:eastAsia="Times New Roman" w:hAnsi="Times New Roman"/>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83"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Gains and losses on disposals are determined by comparing the disposal proceeds with the carrying amount and are included in the consolidated statements of income/(loss).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AC Immune’s acquired in process research and development (IPR&amp;D) asset is stated at cost less any impairments. The Company does not deem this asset ready for use until the asset obtains market approval. Therefore, during the development period after the date of acquisition until market approval, the IPR&amp;D asset is not amortized. Upon market approval, the Company will determine the useful life of the asset, reclassify it from IPR&amp;D and commence amortization. If the associated R&amp;D effort is abandoned, the related IPR&amp;D will likely be written off and we will record the relevant impairment charge. Finally, the Company will not capitalize future development costs in respect to this IPR&amp;D asset until they meet the criteria for capitalization of research and development costs in accordance with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IPR&amp;D asset is subject to impairment testing at least annually or when there are indications that the carrying value may not be recoverable until the completion of the development process. The determination of the recoverable amounts include key estimates which are highly sensitive to, and dependent upon, key assumptions.</w:t>
      </w:r>
    </w:p>
    <w:p>
      <w:pPr>
        <w:spacing w:after="0" w:line="162"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uses a discounted cash flow method to determine the fair value less costs to sell (recoverable amount) of our IPR&amp;D intangible asset. The Company starts with a forecast of all the expected net cash flows, which incorporates the consideration of a terminal value and then the Company applies a discount rate to arrive at a risk-adjusted net present value amount.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Any impairment losses are recognized immediately in the consolidated statements of income/(loss).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are composed of receivables, short-term financial assets, cash and cash equivalents, trade payables and lease liabilities. The fair value of these financial instruments approximates their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9" w:name="page190"/>
    <w:bookmarkEnd w:id="1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respective carrying values due to the short-term maturity of these instruments, and are held at their amortized cost in accordance with IFRS 9, unless otherwise explicitly noted.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Receivables are recognized at their billing value. An allowance for doubtful accounts is recorded for potential estimated losses when there is evidence of the debtor’s inability to make required payments and the Company assesses on a forward-looking basis the expected credit losses associated with these receivables held at amortized cost.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Short-term financial assets</w:t>
      </w:r>
    </w:p>
    <w:p>
      <w:pPr>
        <w:spacing w:after="0" w:line="216"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Short-term financial assets are held with external financial institutions and comprise fixed-term deposits with maturities ranging from more than 3 through 12 months in duration.</w:t>
      </w:r>
    </w:p>
    <w:p>
      <w:pPr>
        <w:spacing w:after="0" w:line="162"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Company assesses whether there is objective evidence that financial assets are impaired annually or whenever potential impairment triggers may occur.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deposits held with external financial institutions and cash on hand. All cash and cash equivalents are either in cash or in deposits with original duration of less than 3 months.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 payables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Trade payables are amounts due to third parties in the ordinary course of business.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 capital and public offerings</w:t>
      </w:r>
    </w:p>
    <w:p>
      <w:pPr>
        <w:spacing w:after="0" w:line="22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Common shares are classified as equity. Share issuance costs are capitalized as incurred and will be shown in equity as a deduction, net of tax, from the proceeds received from existing or future offerings. Should a planned equity offering not be assessed as probable, the issuance costs would be expensed immediately in the consolidated statements of income/(loss). See “Note 12. Share capital.”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16"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Treasury shares are recognized at acquisition cost and deducted from shareholders’ equity at the time of acquisition, until they are subsequently resold, distributed or cancelled. Where such shares are subsequently sold, any consideration received is included in shareholders’ equity. See “Note 12. Share capital.”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Post-employment benefits</w:t>
      </w:r>
    </w:p>
    <w:p>
      <w:pPr>
        <w:spacing w:after="0" w:line="22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The Company operates the mandatory pension schemes for its employees in Switzerland. The schemes are generally funded through payments to insurance companies. The Company has a pension plan designed to pay pensions based on accumulated contributions on individual savings accounts. However, this plan is classified as a defined benefit plan under IAS 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0" w:name="page191"/>
    <w:bookmarkEnd w:id="1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The net defined benefit liability is the present value of the defined benefit obligation at the balance sheet date minus the fair value of plan assets. Significant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and pension increases as well as discount rates of highly liquid corporate bonds that have terms to maturity approximating the terms of the related liability.</w:t>
      </w:r>
    </w:p>
    <w:p>
      <w:pPr>
        <w:spacing w:after="0" w:line="175"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the fair value of the plan assets is greater than the present value of the defined benefit obligation as calculated by our independent actuary, the Company accounts for the effect of the asset ceiling test under IAS 19.</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Re-measurements of the net defined benefit liability, which comprise actuarial gains and losses and the return on plan assets (excluding interest) are recognized immediately in the consolidated statements of other comprehensive income/(loss). Past service costs, including curtailment gains or losses, are recognized immediately as a split in research and development and general and administrative expenses within the operating results. Settlement gains or losses are recognized in either research and development and/or general and administrative expenses within the operating results. The Company determines the net interest expense/(income) on the net defined benefit liability for the period by applying the discount rate used to measure the defined benefit obligation at the beginning of the annual period or in case of any significant events between measurement dates to the then-net defined benefit liability, considering any changes in the net defined benefit liability during the period as a result of contributions and benefit payments. Net interest expense/(income) and other expenses related to defined benefit plans are recognized in the consolidated statements of income/(loss).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consolidated statements of income/(loss), and a corresponding adjustment to equity over the remaining vesting period.</w:t>
      </w:r>
    </w:p>
    <w:p>
      <w:pPr>
        <w:spacing w:after="0" w:line="19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Stock options granted under the Company’s stock option plans C1 and the 2016 Stock Option and Incentive Plan are valued using the Black-Scholes option-pricing model (see “Note 19. Share-based compensation”). This valuation model as well as parameters used such as expected volatility and expected term of the stock options are partially based on management’s estimates.</w:t>
      </w:r>
    </w:p>
    <w:p>
      <w:pPr>
        <w:spacing w:after="0" w:line="187"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proceeds received net of any directly attributable transaction costs are credited to share capital (nominal value) and share premium when the options are exercised.</w:t>
      </w:r>
    </w:p>
    <w:p>
      <w:pPr>
        <w:spacing w:after="0" w:line="162" w:lineRule="exact"/>
        <w:rPr>
          <w:sz w:val="20"/>
          <w:szCs w:val="20"/>
          <w:color w:val="auto"/>
        </w:rPr>
      </w:pPr>
    </w:p>
    <w:p>
      <w:pPr>
        <w:jc w:val="both"/>
        <w:ind w:left="60" w:right="219" w:firstLine="324"/>
        <w:spacing w:after="0" w:line="267" w:lineRule="auto"/>
        <w:rPr>
          <w:sz w:val="20"/>
          <w:szCs w:val="20"/>
          <w:color w:val="auto"/>
        </w:rPr>
      </w:pPr>
      <w:r>
        <w:rPr>
          <w:rFonts w:ascii="Times New Roman" w:cs="Times New Roman" w:eastAsia="Times New Roman" w:hAnsi="Times New Roman"/>
          <w:sz w:val="17"/>
          <w:szCs w:val="17"/>
          <w:color w:val="auto"/>
        </w:rPr>
        <w:t>We estimate the fair value of restricted share units using a reasonable estimate of market value of the common shares on the date of the award. We classify our share-based payments as equity-classified awards as they are settled in common shares. We measure equity-classified awards at their grant date fair value and do not subsequently re-measure them.</w:t>
      </w: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Compensation costs related to equity-classified awards are equal to the fair value of the award at grant date amortized over the vesting period of the award using the graded method. We reclassify that portion of vested awards to share capital and share premium as the awards vest.</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1" w:name="page192"/>
    <w:bookmarkEnd w:id="1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Current income tax assets and liabilities for the period are measured at the amount expected to be recovered from or paid to the taxation authorities. The tax rates and tax laws used to compute the tax amounts are those that are enacted or substantively enacted, at the reporting date in accordance with the fiscal regulations of the respective country where the Company operates and generates taxable income. Deferred tax is provided using the liability method on temporary differences between the tax bases of assets and liabilities and their carrying amounts for financial reporting purposes at the reporting date.</w:t>
      </w:r>
    </w:p>
    <w:p>
      <w:pPr>
        <w:spacing w:after="0" w:line="174"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reporting date.</w:t>
      </w:r>
    </w:p>
    <w:p>
      <w:pPr>
        <w:spacing w:after="0" w:line="18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the achievement of key milestones, it has not recognized any deferred tax assets as the probability for use is low.</w:t>
      </w:r>
    </w:p>
    <w:p>
      <w:pPr>
        <w:spacing w:after="0" w:line="18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As disclosed in “Note 17. Income taxes,” 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Company presents basic earnings per share for each period in the consolidated financial statements. The earnings per share are calculated by dividing the earnings of the period by the weighted-average number of shares outstanding during the period. Diluted earnings per share reflect the potential dilution that could occur if dilutive securities such as share options or non-vested restricted share units were vested or exercised into common shares or resulted in the issuance of common shares that would participate in net income. Anti-dilutive shares are excluded from the dilutive earnings per share calculation.</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76" w:lineRule="exact"/>
        <w:rPr>
          <w:sz w:val="20"/>
          <w:szCs w:val="20"/>
          <w:color w:val="auto"/>
        </w:rPr>
      </w:pPr>
    </w:p>
    <w:p>
      <w:pPr>
        <w:ind w:left="60" w:right="199" w:firstLine="324"/>
        <w:spacing w:after="0" w:line="276" w:lineRule="auto"/>
        <w:rPr>
          <w:sz w:val="20"/>
          <w:szCs w:val="20"/>
          <w:color w:val="auto"/>
        </w:rPr>
      </w:pPr>
      <w:r>
        <w:rPr>
          <w:rFonts w:ascii="Times New Roman" w:cs="Times New Roman" w:eastAsia="Times New Roman" w:hAnsi="Times New Roman"/>
          <w:sz w:val="17"/>
          <w:szCs w:val="17"/>
          <w:color w:val="auto"/>
        </w:rPr>
        <w:t>The areas where AC Immune has had to make judgments, estimates and assumptions relate to (i) revenue recognition on LCAs, (ii) clinical development accruals, (iii) net employee defined benefit liability, (iv) share-based compensation,</w:t>
      </w:r>
    </w:p>
    <w:p>
      <w:pPr>
        <w:spacing w:after="0" w:line="1" w:lineRule="exact"/>
        <w:rPr>
          <w:sz w:val="20"/>
          <w:szCs w:val="20"/>
          <w:color w:val="auto"/>
        </w:rPr>
      </w:pPr>
    </w:p>
    <w:p>
      <w:pPr>
        <w:ind w:left="60" w:right="119" w:hanging="10"/>
        <w:spacing w:after="0" w:line="247" w:lineRule="auto"/>
        <w:tabs>
          <w:tab w:leader="none" w:pos="3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assets and lease liabilities and (vi) our IPR&amp;D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Company has one segment. The Company currently focuses most of its resources on discovering and developing therapeutic and diagnostic products targeting misfolded proteins.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2" w:name="page193"/>
    <w:bookmarkEnd w:id="1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is managed and operated as one business. A single management team that reports to the chief operating decision maker comprehensively manages the entire business. Accordingly, the Company views its business and manages its operations as one operating segment. Non-current assets are located in, and revenue is allocated and recorded within, the Company’s country of domicile, Switzerland.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There are no new IFRS standards, amendments or interpretations that are mandatory as of January 1, 2023 that are relevant to the Company. Additionally, the Company has not adopted any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3" w:name="page194"/>
    <w:bookmarkEnd w:id="1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show the movements in the net book values of property, plant and equipment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and 2022, respectively:</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76"/>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IT</w:t>
            </w: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Laboratory</w:t>
            </w:r>
          </w:p>
        </w:tc>
        <w:tc>
          <w:tcPr>
            <w:tcW w:w="14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Assets under</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5"/>
        </w:trPr>
        <w:tc>
          <w:tcPr>
            <w:tcW w:w="380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equipment</w:t>
            </w: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6"/>
                <w:szCs w:val="16"/>
                <w:color w:val="auto"/>
              </w:rPr>
            </w:pPr>
          </w:p>
        </w:tc>
        <w:tc>
          <w:tcPr>
            <w:tcW w:w="5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r>
      <w:tr>
        <w:trPr>
          <w:trHeight w:val="230"/>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w:t>
            </w:r>
          </w:p>
        </w:tc>
      </w:tr>
      <w:tr>
        <w:trPr>
          <w:trHeight w:val="229"/>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20" w:type="dxa"/>
            <w:vAlign w:val="bottom"/>
          </w:tcPr>
          <w:p>
            <w:pPr>
              <w:spacing w:after="0"/>
              <w:rPr>
                <w:sz w:val="19"/>
                <w:szCs w:val="19"/>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w:t>
            </w:r>
          </w:p>
        </w:tc>
      </w:tr>
      <w:tr>
        <w:trPr>
          <w:trHeight w:val="230"/>
        </w:trPr>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(1,599)</w:t>
            </w:r>
          </w:p>
        </w:tc>
        <w:tc>
          <w:tcPr>
            <w:tcW w:w="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(7,017)</w:t>
            </w:r>
          </w:p>
        </w:tc>
        <w:tc>
          <w:tcPr>
            <w:tcW w:w="2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(9,343)</w:t>
            </w:r>
          </w:p>
        </w:tc>
      </w:tr>
      <w:tr>
        <w:trPr>
          <w:trHeight w:val="229"/>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expenses</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(1,084)</w:t>
            </w: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29"/>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tcPr>
          <w:p>
            <w:pPr>
              <w:spacing w:after="0"/>
              <w:rPr>
                <w:sz w:val="19"/>
                <w:szCs w:val="19"/>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38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r>
      <w:tr>
        <w:trPr>
          <w:trHeight w:val="229"/>
        </w:trPr>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4,259</w:t>
            </w:r>
          </w:p>
        </w:tc>
      </w:tr>
      <w:tr>
        <w:trPr>
          <w:trHeight w:val="230"/>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r>
      <w:tr>
        <w:trPr>
          <w:trHeight w:val="427"/>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76"/>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IT</w:t>
            </w:r>
          </w:p>
        </w:tc>
        <w:tc>
          <w:tcPr>
            <w:tcW w:w="120" w:type="dxa"/>
            <w:vAlign w:val="bottom"/>
          </w:tcPr>
          <w:p>
            <w:pPr>
              <w:spacing w:after="0"/>
              <w:rPr>
                <w:sz w:val="15"/>
                <w:szCs w:val="15"/>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Laboratory</w:t>
            </w:r>
          </w:p>
        </w:tc>
        <w:tc>
          <w:tcPr>
            <w:tcW w:w="140" w:type="dxa"/>
            <w:vAlign w:val="bottom"/>
          </w:tcPr>
          <w:p>
            <w:pPr>
              <w:spacing w:after="0"/>
              <w:rPr>
                <w:sz w:val="15"/>
                <w:szCs w:val="15"/>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8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Assets under</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5"/>
        </w:trPr>
        <w:tc>
          <w:tcPr>
            <w:tcW w:w="380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2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20" w:type="dxa"/>
            <w:vAlign w:val="bottom"/>
          </w:tcPr>
          <w:p>
            <w:pPr>
              <w:spacing w:after="0"/>
              <w:rPr>
                <w:sz w:val="16"/>
                <w:szCs w:val="16"/>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0" w:type="dxa"/>
            <w:vAlign w:val="bottom"/>
          </w:tcPr>
          <w:p>
            <w:pPr>
              <w:spacing w:after="0"/>
              <w:rPr>
                <w:sz w:val="16"/>
                <w:szCs w:val="16"/>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0" w:type="dxa"/>
            <w:vAlign w:val="bottom"/>
          </w:tcPr>
          <w:p>
            <w:pPr>
              <w:spacing w:after="0"/>
              <w:rPr>
                <w:sz w:val="16"/>
                <w:szCs w:val="16"/>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6"/>
                <w:szCs w:val="16"/>
                <w:color w:val="auto"/>
              </w:rPr>
            </w:pPr>
          </w:p>
        </w:tc>
        <w:tc>
          <w:tcPr>
            <w:tcW w:w="5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r>
      <w:tr>
        <w:trPr>
          <w:trHeight w:val="230"/>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1,754</w:t>
            </w:r>
          </w:p>
        </w:tc>
        <w:tc>
          <w:tcPr>
            <w:tcW w:w="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9,142</w:t>
            </w: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810</w:t>
            </w:r>
          </w:p>
        </w:tc>
        <w:tc>
          <w:tcPr>
            <w:tcW w:w="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695</w:t>
            </w: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r>
      <w:tr>
        <w:trPr>
          <w:trHeight w:val="230"/>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30"/>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646</w:t>
            </w:r>
          </w:p>
        </w:tc>
        <w:tc>
          <w:tcPr>
            <w:tcW w:w="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tcPr>
          <w:p>
            <w:pPr>
              <w:spacing w:after="0"/>
              <w:rPr>
                <w:sz w:val="19"/>
                <w:szCs w:val="19"/>
                <w:color w:val="auto"/>
              </w:rPr>
            </w:pPr>
          </w:p>
        </w:tc>
        <w:tc>
          <w:tcPr>
            <w:tcW w:w="6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13,602</w:t>
            </w:r>
          </w:p>
        </w:tc>
      </w:tr>
      <w:tr>
        <w:trPr>
          <w:trHeight w:val="230"/>
        </w:trPr>
        <w:tc>
          <w:tcPr>
            <w:tcW w:w="378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(5,739)</w:t>
            </w:r>
          </w:p>
        </w:tc>
        <w:tc>
          <w:tcPr>
            <w:tcW w:w="10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r>
      <w:tr>
        <w:trPr>
          <w:trHeight w:val="230"/>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expenses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(1,278)</w:t>
            </w: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23"/>
        </w:trPr>
        <w:tc>
          <w:tcPr>
            <w:tcW w:w="38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r>
      <w:tr>
        <w:trPr>
          <w:trHeight w:val="230"/>
        </w:trPr>
        <w:tc>
          <w:tcPr>
            <w:tcW w:w="37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3,403</w:t>
            </w:r>
          </w:p>
        </w:tc>
        <w:tc>
          <w:tcPr>
            <w:tcW w:w="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695</w:t>
            </w: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5,116</w:t>
            </w:r>
          </w:p>
        </w:tc>
      </w:tr>
      <w:tr>
        <w:trPr>
          <w:trHeight w:val="230"/>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2,748</w:t>
            </w: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c>
          <w:tcPr>
            <w:tcW w:w="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r>
    </w:tbl>
    <w:p>
      <w:pPr>
        <w:spacing w:after="0" w:line="211"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AC Immune continues to enhance its laboratory equipment to support its R&amp;D functions. This effort has continued for the year ended December 31, 2023, with CHF 0.7 million invested in lab equipment and IT equipment, representing an increase of 6%.</w:t>
      </w:r>
    </w:p>
    <w:p>
      <w:pPr>
        <w:spacing w:after="0" w:line="176"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incurred CHF 1.7 million, CHF 1.8 million and CHF 1.9 million in depreciation expenses, respectively.</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4" w:name="page195"/>
    <w:bookmarkEnd w:id="1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long-term financial assets and lease liabilities</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additions and reassessment of right-of-use of leased assets for buildings or for office equipment totaling CHF 1.2 million and CHF 0.5 million for the years ended December 31, 2023 and 2022, respectively. In 2023, these increases are predominantly associated with a new lease and the reassessment of our existing leased office space.</w:t>
      </w:r>
    </w:p>
    <w:p>
      <w:pPr>
        <w:spacing w:after="0" w:line="180"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Regarding lease liabilities, the amortization depends on the rate implicit in the contract or the incremental borrowing rate for the respective lease component. The weighted averages of the incremental borrowing rates as of December 31, 2023 are 3.5% (3.5% for 2022) for buildings, 5.3% (5.3% for 2022) for office equipment and 2.6% (2.6% for 2022) for IT equipment.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show the movements in the net book values of right-of-use of leased assets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and 2022, respectively:</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0" w:type="dxa"/>
            <w:vAlign w:val="bottom"/>
          </w:tcPr>
          <w:p>
            <w:pPr>
              <w:spacing w:after="0"/>
              <w:rPr>
                <w:sz w:val="16"/>
                <w:szCs w:val="16"/>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IT</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5"/>
        </w:trPr>
        <w:tc>
          <w:tcPr>
            <w:tcW w:w="5680" w:type="dxa"/>
            <w:vAlign w:val="bottom"/>
            <w:gridSpan w:val="2"/>
          </w:tcPr>
          <w:p>
            <w:pPr>
              <w:ind w:left="22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and reassessment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8"/>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416"/>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0" w:type="dxa"/>
            <w:vAlign w:val="bottom"/>
          </w:tcPr>
          <w:p>
            <w:pPr>
              <w:spacing w:after="0"/>
              <w:rPr>
                <w:sz w:val="24"/>
                <w:szCs w:val="24"/>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IT</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5"/>
        </w:trPr>
        <w:tc>
          <w:tcPr>
            <w:tcW w:w="5680" w:type="dxa"/>
            <w:vAlign w:val="bottom"/>
            <w:gridSpan w:val="2"/>
          </w:tcPr>
          <w:p>
            <w:pPr>
              <w:ind w:left="22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6"/>
                <w:szCs w:val="16"/>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and reassessment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8"/>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w:t>
            </w:r>
          </w:p>
        </w:tc>
      </w:tr>
    </w:tbl>
    <w:p>
      <w:pPr>
        <w:spacing w:after="0" w:line="206"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impact on the Company’s consolidated statements of income/(loss) and consolidated statements of cash flows is detailed in the table below.</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4"/>
        </w:trPr>
        <w:tc>
          <w:tcPr>
            <w:tcW w:w="4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4140" w:type="dxa"/>
            <w:vAlign w:val="bottom"/>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880" w:type="dxa"/>
            <w:vAlign w:val="bottom"/>
            <w:gridSpan w:val="2"/>
          </w:tcPr>
          <w:p>
            <w:pPr>
              <w:spacing w:after="0"/>
              <w:rPr>
                <w:sz w:val="16"/>
                <w:szCs w:val="16"/>
                <w:color w:val="auto"/>
              </w:rPr>
            </w:pPr>
          </w:p>
        </w:tc>
        <w:tc>
          <w:tcPr>
            <w:tcW w:w="84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23"/>
        </w:trPr>
        <w:tc>
          <w:tcPr>
            <w:tcW w:w="4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2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3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 w:type="dxa"/>
            <w:vAlign w:val="bottom"/>
          </w:tcPr>
          <w:p>
            <w:pPr>
              <w:spacing w:after="0"/>
              <w:rPr>
                <w:sz w:val="19"/>
                <w:szCs w:val="19"/>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3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19"/>
                <w:szCs w:val="19"/>
                <w:color w:val="auto"/>
              </w:rPr>
            </w:pPr>
          </w:p>
        </w:tc>
      </w:tr>
      <w:tr>
        <w:trPr>
          <w:trHeight w:val="26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 w:type="dxa"/>
            <w:vAlign w:val="bottom"/>
          </w:tcPr>
          <w:p>
            <w:pPr>
              <w:spacing w:after="0"/>
              <w:rPr>
                <w:sz w:val="22"/>
                <w:szCs w:val="22"/>
                <w:color w:val="auto"/>
              </w:rPr>
            </w:pPr>
          </w:p>
        </w:tc>
      </w:tr>
      <w:tr>
        <w:trPr>
          <w:trHeight w:val="210"/>
        </w:trPr>
        <w:tc>
          <w:tcPr>
            <w:tcW w:w="41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26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outflow for leases</w:t>
            </w:r>
          </w:p>
        </w:tc>
        <w:tc>
          <w:tcPr>
            <w:tcW w:w="2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4140" w:type="dxa"/>
            <w:vAlign w:val="bottom"/>
          </w:tcPr>
          <w:p>
            <w:pPr>
              <w:spacing w:after="0"/>
              <w:rPr>
                <w:sz w:val="24"/>
                <w:szCs w:val="24"/>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F-20</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95" w:name="page196"/>
    <w:bookmarkEnd w:id="1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contractual undiscounted cash flows for lease liabilities as of December 31, 2023 and 2022:</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4"/>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000" w:type="dxa"/>
            <w:vAlign w:val="bottom"/>
            <w:gridSpan w:val="2"/>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years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29"/>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 years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2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The Company also has two deposits in escrow accounts totaling CHF 0.4 million for the lease of the Company’s premises as of December 31, 2023 and 2022, respectively.</w:t>
      </w:r>
    </w:p>
    <w:p>
      <w:pPr>
        <w:spacing w:after="0" w:line="158" w:lineRule="exact"/>
        <w:rPr>
          <w:sz w:val="20"/>
          <w:szCs w:val="20"/>
          <w:color w:val="auto"/>
        </w:rPr>
      </w:pPr>
    </w:p>
    <w:p>
      <w:pPr>
        <w:ind w:left="380" w:hanging="330"/>
        <w:spacing w:after="0"/>
        <w:tabs>
          <w:tab w:leader="none" w:pos="3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acquisition</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2021, the Company closed its acquisition with Affiris AG (Affiris) for the program portfolio of therapeutics targeting a-syn, notably ACI-7104.056 (previously PD01), a clinically-validated active immunotherapy candidate for the treatment of Parkinson’s disease (the Transferred Assets). The Company acquired the Transferred Assets and USD 5.0 (CHF 4.6) million in cash in exchange for 7,106,840 shares of the Company at closing, for a total value of USD 58.7 (CHF 55.1) million.</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With the closing of this transaction, the Company recorded an IPR&amp;D intangible asset associated with ACI-7104.056 for USD 53.7 (CHF 50.4) million. The Company used a risk-adjusted discounted cash flow method to determine the fair value of the intangible asset using a discount rate of 15%. See “Note 7. Intangible assets” for further details on assumptions used.</w:t>
      </w:r>
    </w:p>
    <w:p>
      <w:pPr>
        <w:spacing w:after="0" w:line="187"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the Company transferred its own equity instruments in consideration for the asset transferred, the acquisition was assessed in accordance with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 xml:space="preserve">The Company determined that the acquisition of the Transferred Assets did not qualify as a business combination in accordance with IFRS 3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and therefore was accounted for as an asset acquisition. Most of the fair value of the Transferred Assets is attributable to a single identifiable asset which is the in-process research and development asset. The purchase consideration for the Transferred Assets was allocated based on their relative fair values.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amounts of the Transferred Assets acquired:</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120" w:type="dxa"/>
            <w:vAlign w:val="bottom"/>
          </w:tcPr>
          <w:p>
            <w:pPr>
              <w:spacing w:after="0"/>
              <w:rPr>
                <w:sz w:val="16"/>
                <w:szCs w:val="16"/>
                <w:color w:val="auto"/>
              </w:rPr>
            </w:pPr>
          </w:p>
        </w:tc>
        <w:tc>
          <w:tcPr>
            <w:tcW w:w="6800" w:type="dxa"/>
            <w:vAlign w:val="bottom"/>
            <w:gridSpan w:val="4"/>
          </w:tcPr>
          <w:p>
            <w:pPr>
              <w:ind w:left="1160"/>
              <w:spacing w:after="0"/>
              <w:rPr>
                <w:sz w:val="20"/>
                <w:szCs w:val="20"/>
                <w:color w:val="auto"/>
              </w:rPr>
            </w:pPr>
            <w:r>
              <w:rPr>
                <w:rFonts w:ascii="Times New Roman" w:cs="Times New Roman" w:eastAsia="Times New Roman" w:hAnsi="Times New Roman"/>
                <w:sz w:val="14"/>
                <w:szCs w:val="14"/>
                <w:b w:val="1"/>
                <w:bCs w:val="1"/>
                <w:color w:val="auto"/>
              </w:rPr>
              <w:t>In CHF thousands</w:t>
            </w:r>
          </w:p>
        </w:tc>
      </w:tr>
      <w:tr>
        <w:trPr>
          <w:trHeight w:val="228"/>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5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20" w:type="dxa"/>
            <w:vAlign w:val="bottom"/>
          </w:tcPr>
          <w:p>
            <w:pPr>
              <w:spacing w:after="0"/>
              <w:rPr>
                <w:sz w:val="19"/>
                <w:szCs w:val="19"/>
                <w:color w:val="auto"/>
              </w:rPr>
            </w:pP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IPR&amp;D asset</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 w:type="dxa"/>
            <w:vAlign w:val="bottom"/>
          </w:tcPr>
          <w:p>
            <w:pPr>
              <w:spacing w:after="0"/>
              <w:rPr>
                <w:sz w:val="19"/>
                <w:szCs w:val="19"/>
                <w:color w:val="auto"/>
              </w:rPr>
            </w:pPr>
          </w:p>
        </w:tc>
      </w:tr>
      <w:tr>
        <w:trPr>
          <w:trHeight w:val="223"/>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5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55,050</w:t>
            </w:r>
          </w:p>
        </w:tc>
        <w:tc>
          <w:tcPr>
            <w:tcW w:w="20" w:type="dxa"/>
            <w:vAlign w:val="bottom"/>
          </w:tcPr>
          <w:p>
            <w:pPr>
              <w:spacing w:after="0"/>
              <w:rPr>
                <w:sz w:val="19"/>
                <w:szCs w:val="19"/>
                <w:color w:val="auto"/>
              </w:rPr>
            </w:pPr>
          </w:p>
        </w:tc>
      </w:tr>
      <w:tr>
        <w:trPr>
          <w:trHeight w:val="20"/>
        </w:trPr>
        <w:tc>
          <w:tcPr>
            <w:tcW w:w="21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2120" w:type="dxa"/>
            <w:vAlign w:val="bottom"/>
          </w:tcPr>
          <w:p>
            <w:pPr>
              <w:spacing w:after="0"/>
              <w:rPr>
                <w:sz w:val="24"/>
                <w:szCs w:val="24"/>
                <w:color w:val="auto"/>
              </w:rPr>
            </w:pPr>
          </w:p>
        </w:tc>
        <w:tc>
          <w:tcPr>
            <w:tcW w:w="6800" w:type="dxa"/>
            <w:vAlign w:val="bottom"/>
            <w:gridSpan w:val="4"/>
          </w:tcPr>
          <w:p>
            <w:pPr>
              <w:ind w:left="2180"/>
              <w:spacing w:after="0"/>
              <w:rPr>
                <w:sz w:val="20"/>
                <w:szCs w:val="20"/>
                <w:color w:val="auto"/>
              </w:rPr>
            </w:pPr>
            <w:r>
              <w:rPr>
                <w:rFonts w:ascii="Times New Roman" w:cs="Times New Roman" w:eastAsia="Times New Roman" w:hAnsi="Times New Roman"/>
                <w:sz w:val="18"/>
                <w:szCs w:val="18"/>
                <w:color w:val="auto"/>
              </w:rPr>
              <w:t>F-21</w:t>
            </w:r>
          </w:p>
        </w:tc>
      </w:tr>
      <w:tr>
        <w:trPr>
          <w:trHeight w:val="547"/>
        </w:trPr>
        <w:tc>
          <w:tcPr>
            <w:tcW w:w="21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96" w:name="page197"/>
    <w:bookmarkEnd w:id="1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AC Immune’s acquired IPR&amp;D asset is a clinically-validated active immunotherapy candidate for the treatment of Parkinson’s disease. The asset is not yet ready for use until the asset obtains market approval. The carrying amount and net book value are detailed below:</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176"/>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r>
        <w:trPr>
          <w:trHeight w:val="189"/>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Net book</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 book</w:t>
            </w:r>
          </w:p>
        </w:tc>
      </w:tr>
      <w:tr>
        <w:trPr>
          <w:trHeight w:val="195"/>
        </w:trPr>
        <w:tc>
          <w:tcPr>
            <w:tcW w:w="410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IPR&amp;D asset</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r>
      <w:tr>
        <w:trPr>
          <w:trHeight w:val="223"/>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IAS 36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unobservable inputs used in the valuation. The Company has determined the IPR&amp;D asset was not impaired as of December 31, 2023 and 2022, respectively.</w:t>
      </w:r>
    </w:p>
    <w:p>
      <w:pPr>
        <w:spacing w:after="0" w:line="185"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key assumptions used in the valuation model in accordance with an income approach to determine the recoverable amount include observable and unobservable key inputs as follows:</w:t>
      </w:r>
    </w:p>
    <w:p>
      <w:pPr>
        <w:spacing w:after="0" w:line="162" w:lineRule="exact"/>
        <w:rPr>
          <w:sz w:val="20"/>
          <w:szCs w:val="20"/>
          <w:color w:val="auto"/>
        </w:rPr>
      </w:pPr>
    </w:p>
    <w:p>
      <w:pPr>
        <w:ind w:left="720" w:hanging="319"/>
        <w:spacing w:after="0"/>
        <w:tabs>
          <w:tab w:leader="none" w:pos="7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research and development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costs of goods and sales and marketing expenditures;</w:t>
      </w:r>
    </w:p>
    <w:p>
      <w:pPr>
        <w:spacing w:after="0" w:line="225"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 of achieving clinical and regulatory development milestones in accordance with certain industry benchmarks;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indication prevalence and incidence rates;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market share;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commercialization expectations such as anticipated pricing and uptake;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patent life and market exclusivity periods;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metrics such as the tax rate.</w:t>
      </w:r>
    </w:p>
    <w:p>
      <w:pPr>
        <w:spacing w:after="0" w:line="225" w:lineRule="exact"/>
        <w:rPr>
          <w:sz w:val="20"/>
          <w:szCs w:val="20"/>
          <w:color w:val="auto"/>
        </w:rPr>
      </w:pPr>
    </w:p>
    <w:p>
      <w:pPr>
        <w:jc w:val="both"/>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Company’s valuation model calculates the risk-adjusted, net cash flows through the projected period of market exclusivity across target sales regions. The Company uses a discount rate of 17% (17% for 2022), based on the assumed cost of capital for the Company over the forecast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7" w:name="page198"/>
    <w:bookmarkEnd w:id="1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short-term financial assets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maintained in the following respective currencies as of December 31, 2023 and 2022:</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4"/>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000" w:type="dxa"/>
            <w:vAlign w:val="bottom"/>
            <w:gridSpan w:val="2"/>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31,586</w:t>
            </w:r>
          </w:p>
        </w:tc>
      </w:tr>
      <w:tr>
        <w:trPr>
          <w:trHeight w:val="263"/>
        </w:trPr>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31,586</w:t>
            </w:r>
          </w:p>
        </w:tc>
      </w:tr>
      <w:tr>
        <w:trPr>
          <w:trHeight w:val="210"/>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currency</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CHF</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24,418</w:t>
            </w:r>
          </w:p>
        </w:tc>
      </w:tr>
      <w:tr>
        <w:trPr>
          <w:trHeight w:val="230"/>
        </w:trPr>
        <w:tc>
          <w:tcPr>
            <w:tcW w:w="7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29"/>
        </w:trPr>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5,855</w:t>
            </w:r>
          </w:p>
        </w:tc>
      </w:tr>
      <w:tr>
        <w:trPr>
          <w:trHeight w:val="223"/>
        </w:trPr>
        <w:tc>
          <w:tcPr>
            <w:tcW w:w="7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31,586</w:t>
            </w: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Company’s funds were held in CHF, EUR and USD currencies. Funds held in EUR and USD were translated into CHF at a rate of 0.942 and 0.851 and 0.994 and 0.933, respectively, for each currency and year.</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Company’s short-term financial assets as of December 31, 2023 and 2022:</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gridSpan w:val="5"/>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3"/>
          </w:tcPr>
          <w:p>
            <w:pPr>
              <w:ind w:left="28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financial assets due in one year or less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By currency</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CHF</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USD</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short-term financial assets</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9.  Prepaid expenses and accrued income</w:t>
            </w: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gridSpan w:val="5"/>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Borders>
              <w:bottom w:val="single" w:sz="8" w:color="auto"/>
            </w:tcBorders>
            <w:gridSpan w:val="6"/>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3"/>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Pr>
          <w:p>
            <w:pPr>
              <w:spacing w:after="0"/>
              <w:rPr>
                <w:sz w:val="16"/>
                <w:szCs w:val="16"/>
                <w:color w:val="auto"/>
              </w:rPr>
            </w:pP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gridSpan w:val="5"/>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80" w:type="dxa"/>
            <w:vAlign w:val="bottom"/>
            <w:tcBorders>
              <w:top w:val="single" w:sz="8" w:color="auto"/>
            </w:tcBorders>
            <w:gridSpan w:val="2"/>
            <w:shd w:val="clear" w:color="auto" w:fill="CCEEFF"/>
          </w:tcPr>
          <w:p>
            <w:pPr>
              <w:spacing w:after="0"/>
              <w:rPr>
                <w:sz w:val="19"/>
                <w:szCs w:val="19"/>
                <w:color w:val="auto"/>
              </w:rPr>
            </w:pPr>
          </w:p>
        </w:tc>
        <w:tc>
          <w:tcPr>
            <w:tcW w:w="200" w:type="dxa"/>
            <w:vAlign w:val="bottom"/>
            <w:tcBorders>
              <w:top w:val="single" w:sz="8" w:color="CCEEFF"/>
            </w:tcBorders>
            <w:gridSpan w:val="2"/>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prepaid expenses and accrued income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80" w:type="dxa"/>
            <w:vAlign w:val="bottom"/>
            <w:tcBorders>
              <w:top w:val="single" w:sz="8" w:color="auto"/>
              <w:bottom w:val="single" w:sz="8" w:color="auto"/>
            </w:tcBorders>
            <w:gridSpan w:val="2"/>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Company’s prepaid expenses relate mainly to research contracts with down-payments at contract signature with the related activities to start or continue into 2024, prepaid expenses recorded as part of our cost sharing arrangement with Janssen, as well as prepaid payroll-related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Accounts receivable</w:t>
      </w:r>
    </w:p>
    <w:p>
      <w:pPr>
        <w:spacing w:after="0" w:line="229" w:lineRule="exact"/>
        <w:rPr>
          <w:sz w:val="20"/>
          <w:szCs w:val="20"/>
          <w:color w:val="auto"/>
        </w:rPr>
      </w:pPr>
    </w:p>
    <w:p>
      <w:pPr>
        <w:ind w:left="60" w:right="159" w:firstLine="324"/>
        <w:spacing w:after="0" w:line="289" w:lineRule="auto"/>
        <w:rPr>
          <w:sz w:val="20"/>
          <w:szCs w:val="20"/>
          <w:color w:val="auto"/>
        </w:rPr>
      </w:pPr>
      <w:r>
        <w:rPr>
          <w:rFonts w:ascii="Times New Roman" w:cs="Times New Roman" w:eastAsia="Times New Roman" w:hAnsi="Times New Roman"/>
          <w:sz w:val="18"/>
          <w:szCs w:val="18"/>
          <w:color w:val="auto"/>
        </w:rPr>
        <w:t>As of December 31, 2023, accounts receivable includes the CHF 14.8 million milestone payment due from Janssen as part of our collaboration and license agreement for reaching the programmed launch of the Phase 2b clinical study. This balance was not overdue as of December 31, 2023.</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8" w:name="page199"/>
    <w:bookmarkEnd w:id="1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Other current receivables</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4"/>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000" w:type="dxa"/>
            <w:vAlign w:val="bottom"/>
            <w:gridSpan w:val="2"/>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w:t>
            </w: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Swiss VAT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current receivables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 maturity of these assets is less than 3 months. The Company considers the counterparty risk as low and the carrying amount of these receivables is considered to approximate their fair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Share capital</w:t>
      </w:r>
    </w:p>
    <w:p>
      <w:pPr>
        <w:spacing w:after="0" w:line="229"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issued share capital amounted to CHF 2,088,823 and CHF 1,796,675, respectively, and is composed of outstanding common shares of 99,197,829 and 83,620,364, respectively, and treasury shares of 5,243,958 and 6,214,021, respectively.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the Company’s capital structure:</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4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In CHF thousands</w:t>
            </w:r>
          </w:p>
        </w:tc>
      </w:tr>
      <w:tr>
        <w:trPr>
          <w:trHeight w:val="178"/>
        </w:trPr>
        <w:tc>
          <w:tcPr>
            <w:tcW w:w="464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Treasury</w:t>
            </w:r>
          </w:p>
        </w:tc>
      </w:tr>
      <w:tr>
        <w:trPr>
          <w:trHeight w:val="195"/>
        </w:trPr>
        <w:tc>
          <w:tcPr>
            <w:tcW w:w="464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28"/>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89,700,630</w:t>
            </w:r>
          </w:p>
        </w:tc>
        <w:tc>
          <w:tcPr>
            <w:tcW w:w="1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(6,221,617)</w:t>
            </w:r>
          </w:p>
        </w:tc>
        <w:tc>
          <w:tcPr>
            <w:tcW w:w="1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431,251</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treasury shares in public offerings, net</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of underwriting fees and transaction costs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 incentive plans, net of transaction costs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133,755</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89,834,385</w:t>
            </w:r>
          </w:p>
        </w:tc>
        <w:tc>
          <w:tcPr>
            <w:tcW w:w="16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(6,214,021)</w:t>
            </w:r>
          </w:p>
        </w:tc>
        <w:tc>
          <w:tcPr>
            <w:tcW w:w="1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431,323</w:t>
            </w:r>
          </w:p>
        </w:tc>
        <w:tc>
          <w:tcPr>
            <w:tcW w:w="16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5"/>
        </w:trPr>
        <w:tc>
          <w:tcPr>
            <w:tcW w:w="46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Proceeds from public offerings, net of underwriting fees and</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14,300,000</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40,249</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treasury shares in public offerings, net</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of underwriting fees and transaction costs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970,063</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 incentive plans, net of transaction costs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307,402</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104,441,787</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(5,243,958)</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474,907</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4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common shares and treasury shares have nominal values of CHF 0.02 per share. All shares have been fully paid.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treasury shares held by the Company are not considered outstanding shares as of December 31, 2023 or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Company’s Board of Directors is authorized to increase the share capital, in one or several steps, until June 24, 2024, by a maximum amount of CHF 114,000 by issuing a maximum of 5,700,000 registered shares with a par value of CHF 0.02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 for financing and other purposes</w:t>
      </w:r>
    </w:p>
    <w:p>
      <w:pPr>
        <w:spacing w:after="0" w:line="22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Company’s share capital may be increased by a maximum aggregate amount of CHF 100,000 through the issuance of a maximum of 5,000,000 registered shares, payable in full, each with a nominal value of CHF 0.02 per share, through the exercise of conversion and/or option or warrant rights granted in connection with bonds or similar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9" w:name="page200"/>
    <w:bookmarkEnd w:id="1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instruments, issued or to be issued by the Company or by subsidiaries of the Company, including convertible debt instruments.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 for employee benefit plans</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Company’s share capital may be increased by a maximum aggregate amount of CHF 93,795 through the issuance of not more than 4,689,750 common shares, payable in full, each with a nominal value of CHF 0.02 per share, by the exercise of options rights that have been granted to employees, consultants, members of the board of directors, or other person providing services to the Company or a subsidiary. As of December 31, 2023, 97,540 of our common shares, which were issued upon the exercise of options and restricted share units, have not yet been registered with the commercial register of the Canton of Vaud.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229" w:lineRule="exact"/>
        <w:rPr>
          <w:sz w:val="20"/>
          <w:szCs w:val="20"/>
          <w:color w:val="auto"/>
        </w:rPr>
      </w:pPr>
    </w:p>
    <w:p>
      <w:pPr>
        <w:jc w:val="both"/>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On December 19, 2023, the Company announced that it had closed an underwritten offering of 14,300,000 common shares, resulting in gross proceeds of approximately USD 50.1 (CHF 43.8) million. Net underwriting fees and transaction costs totaled CHF 3.3 million for net proceeds of CHF 40.5 million. Transaction costs associated with these offerings and related to the issuance of new shares were charged directly against the share premium account thereby reducing the total equity reported.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On April 28, 2021, the Company filed a Shelf Registration Statement on Form F-3 (Reg. No. 333-255576) (the “Shelf Registration Statement”) with the SEC. The Shelf Registration Statement was declared effective by the SEC on May 5, 2021.</w:t>
      </w:r>
    </w:p>
    <w:p>
      <w:pPr>
        <w:spacing w:after="0" w:line="1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Shelf Registration Statement allows the Company to offer and sell, from time to time, up to USD 350,000,000 of common shares, debt securities, warrants, purchase contracts, units, subscription rights or any combination of the foregoing in one or more future public offerings. The terms of any future offering would be determined at the time of the offering and would be subject to market conditions and approval by the Company’s Board of Directors. Any offering of securities covered by the Shelf Registration Statement will be made only by means of a written prospectus and prospectus supplement authorized and filed by the Company.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 the market equity offering</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Q3 2020, AC Immune issued 5,000,000 common shares with a nominal value of CHF 0.02, which became treasury shares. The Company also established an “at the market offering program” (“ATM”) for the sale of up to USD 80.0 (CHF 68.1) million worth of our common shares issued from time to time by entering into an Open Market Sale Agreement (“Sales Agreement”) with Jefferies LLC (“Jefferies”) as the sales agent under a prior registration statement on Form F-3 which expired in Q2 2021.</w:t>
      </w:r>
    </w:p>
    <w:p>
      <w:pPr>
        <w:spacing w:after="0" w:line="187"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Q2 2021, the Company filed a new registration statement on Form F-3 and an accompanying prospectus supplement in order to renew its ATM program. The Company also entered into a second Open Market Sale Agreement (the “new Sales Agreement”) with Jefferies to continue the ATM program.</w:t>
      </w:r>
    </w:p>
    <w:p>
      <w:pPr>
        <w:spacing w:after="0" w:line="1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In Q3, 2021, the Company issued 2,393,160 common shares with a nominal value of CHF 0.02 to be held as treasury shares.</w:t>
      </w:r>
    </w:p>
    <w:p>
      <w:pPr>
        <w:spacing w:after="0" w:line="148"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Through December 31, 2023, the Company has sold 2,149,202 common shares previously held as treasury shares pursuant to the new Sales Agreement, raising USD 16.3 (CHF 14.8) million, net of underwriting fees and transaction costs. We have paid commissions to Jefferies totaling USD 0.5 (CHF 0.5) million through December 31, 2023, for share issuances in accordance with our ATM programs.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0" w:name="page201"/>
    <w:bookmarkEnd w:id="2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agreement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Concurrently with the Asset Purchase Agreement, the Company entered into two separate Convertible</w:t>
      </w:r>
    </w:p>
    <w:p>
      <w:pPr>
        <w:spacing w:after="0" w:line="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Note Agreements with entities affiliated with each of Athos Service GmbH and First Capital Partner GmbH, both of which entities are shareholders of Affiris. Each Convertible Note Agreement provided for the sale of an unsecured subordinated Convertible Note of the Company with an aggregate principal amount of USD 12.5 (CHF 11.7) million for total net proceeds of USD 25 (CHF 23.5) million.</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2021, the affiliated entities exercised their options to convert their respective USD 12.5 (CHF 11.7) million notes. As a result of these conversions, 1,513,317 common shares were issued to each Investor, totaling 3,026,634 common shares. The Company recorded an increase to its share capital for the nominal value of its shares and share premium for the difference associated with settlement of this liability. The Company also settled its derivative financial assets, which were embedded conversion features associated with the convertible debt, via an offset to its share premium. These convertible notes and derivative financial assets were fully settled in 2021 and there is no further equity or cash consideration due to the affiliated entities thereunder.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Trade and other payables and accrued expenses</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bottom w:val="single" w:sz="8" w:color="auto"/>
            </w:tcBorders>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gridSpan w:val="2"/>
          </w:tcPr>
          <w:p>
            <w:pPr>
              <w:ind w:left="27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6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payables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expenses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19" w:firstLine="324"/>
        <w:spacing w:after="0" w:line="280" w:lineRule="auto"/>
        <w:rPr>
          <w:sz w:val="20"/>
          <w:szCs w:val="20"/>
          <w:color w:val="auto"/>
        </w:rPr>
      </w:pPr>
      <w:r>
        <w:rPr>
          <w:rFonts w:ascii="Times New Roman" w:cs="Times New Roman" w:eastAsia="Times New Roman" w:hAnsi="Times New Roman"/>
          <w:sz w:val="17"/>
          <w:szCs w:val="17"/>
          <w:color w:val="auto"/>
        </w:rPr>
        <w:t>The increase in accrued payroll expenses is mostly due to the timing of certain payroll-related payments and an increase in performance-related remuneration. Additionally, CHF 0.4 million was recognized as accrued stamp duty within other accrued expenses for the issuance of shares as part of the Company’s follow-on offering as of December 31, 2023.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Contract revenues</w:t>
      </w:r>
    </w:p>
    <w:p>
      <w:pPr>
        <w:spacing w:after="0" w:line="229"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AC Immune generated contract revenues of CHF 14.8 million, CHF 3.9 million and nil, respectively.</w:t>
      </w:r>
    </w:p>
    <w:p>
      <w:pPr>
        <w:spacing w:after="0" w:line="16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contract revenue amounts from its LCAs for the years ended December 31, 2023, 2022 and 2021, respectively.</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Life Molecular Imaging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1" w:name="page202"/>
    <w:bookmarkEnd w:id="2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recognized the following contract revenues as a result of changes in the contract asset and the contract liability balances in the respective periods: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recognized in the period from:</w:t>
            </w: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14.1 Licensing and collaboration agreements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Morphomer Tau small molecule – 2018 license agreement with Eli Lilly and Company</w:t>
      </w:r>
    </w:p>
    <w:p>
      <w:pPr>
        <w:spacing w:after="0" w:line="227"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In December 2018, we entered into an exclusive, worldwide licensing agreement with Eli Lilly and Company (Lilly) to research and develop Morphomer Tau small molecules for the treatment of AD and other neurodegenerative diseases. More specifically, this is an exclusive license with the right to Lilly to grant sublicenses under the ACIU Patents, the ACIU know-how, and ACIU’s interests in the Joint Patents and the joint know-how to Exploit the Licensed Compounds and Licensed Products. The agreement became effective on January 23, 2019 (the “effective date”)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EU.</w:t>
      </w:r>
    </w:p>
    <w:p>
      <w:pPr>
        <w:spacing w:after="0" w:line="194"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Per the terms of the agreement, the Company received an initial upfront payment of CHF 80 million in Q1 2019 for the rights granted by the Company to Lilly. To date, the Company has completed a Phase 1 clinical study with ACI-3024.</w:t>
      </w:r>
    </w:p>
    <w:p>
      <w:pPr>
        <w:spacing w:after="0" w:line="14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 Lilly is responsible for leading and funding further clinical development and will retain global commercialization rights for all indications.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Per the terms of the agreement, the Company may become eligible to receive additional milestone payments totaling up to approximately CHF 880 million for clinical and regulatory milestones and CHF 900 million upon achievement of certain commercial milestones. In addition to milestones, we will be eligible to receive royalties on sales at a percentage rate ranging from the low double-digits to the mid-teens. The agreement will terminate by the date of expiration of the last royalty term for the last licensed product. However, under the terms of the agreement, Lilly may terminate the agreement at any time by providing 3 months’ prior notice to us.</w:t>
      </w:r>
    </w:p>
    <w:p>
      <w:pPr>
        <w:spacing w:after="0" w:line="189" w:lineRule="exact"/>
        <w:rPr>
          <w:sz w:val="20"/>
          <w:szCs w:val="20"/>
          <w:color w:val="auto"/>
        </w:rPr>
      </w:pPr>
    </w:p>
    <w:p>
      <w:pPr>
        <w:ind w:left="60" w:right="439" w:firstLine="324"/>
        <w:spacing w:after="0" w:line="276" w:lineRule="auto"/>
        <w:rPr>
          <w:sz w:val="20"/>
          <w:szCs w:val="20"/>
          <w:color w:val="auto"/>
        </w:rPr>
      </w:pPr>
      <w:r>
        <w:rPr>
          <w:rFonts w:ascii="Times New Roman" w:cs="Times New Roman" w:eastAsia="Times New Roman" w:hAnsi="Times New Roman"/>
          <w:sz w:val="17"/>
          <w:szCs w:val="17"/>
          <w:color w:val="auto"/>
        </w:rPr>
        <w:t>AC Immune assessed this arrangement in accordance with IFRS 15 and concluded that Lilly is a customer. The Company identified the following significant performance obligations under the contract: (i) a right-of-use license and</w:t>
      </w:r>
    </w:p>
    <w:p>
      <w:pPr>
        <w:spacing w:after="0" w:line="1" w:lineRule="exact"/>
        <w:rPr>
          <w:sz w:val="20"/>
          <w:szCs w:val="20"/>
          <w:color w:val="auto"/>
        </w:rPr>
      </w:pPr>
    </w:p>
    <w:p>
      <w:pPr>
        <w:ind w:left="60" w:right="79" w:hanging="10"/>
        <w:spacing w:after="0" w:line="249" w:lineRule="auto"/>
        <w:tabs>
          <w:tab w:leader="none" w:pos="32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outlined in the development plan. Per the agreement, the Company was responsible for the preclinical and Phase 1 activities for the first clinical candidate, ACI-3024, which the Company determined was distinct and capable of being completed by Lilly or a third party. Preclinical activities for which AC Immune was responsible prior to their completion in Q2 2019 included final manufacturing of materials for use in the regulatory submission of the protocol and in the Phase 1 study. For the completed Phase 1, AC Immune was responsible for leading the study design, obtaining relevant regulatory agency approvals, arranging necessary third-party contracts, completing patient selection, ensuring patient treatment, following up with patients, drafting the clinical study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2" w:name="page203"/>
    <w:bookmarkEnd w:id="2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development and other relevant clinical activities to ensure that the primary objective of the study was completed. The Company used CMOs for certain of its preclinical activities and CROs to complete certain Phase 1 activities and to issue the final clinical study report.</w:t>
      </w:r>
    </w:p>
    <w:p>
      <w:pPr>
        <w:spacing w:after="0" w:line="176"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7"/>
          <w:szCs w:val="17"/>
          <w:color w:val="auto"/>
        </w:rPr>
        <w:t>Finally, per the agreement, each party has three representatives on a joint steering committee (JSC). Depending upon the agenda, additional field experts can attend the JSC to provide the technical and scientific contribution required. The JSC meets on a regular basis depending on agreements between the representatives. The JSC is responsible for serving as the forum to (i) discuss, review and approve certain activities by reviewing and discussing the development progress with updates on back-up candidates, (ii) discuss, review and approve all amendments to the global development plan,</w:t>
      </w:r>
    </w:p>
    <w:p>
      <w:pPr>
        <w:spacing w:after="0" w:line="2" w:lineRule="exact"/>
        <w:rPr>
          <w:sz w:val="20"/>
          <w:szCs w:val="20"/>
          <w:color w:val="auto"/>
        </w:rPr>
      </w:pPr>
    </w:p>
    <w:p>
      <w:pPr>
        <w:jc w:val="both"/>
        <w:ind w:left="60" w:right="179" w:hanging="10"/>
        <w:spacing w:after="0" w:line="255" w:lineRule="auto"/>
        <w:tabs>
          <w:tab w:leader="none" w:pos="37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discuss and review commercialization of licensed products and (iv) review and approve reports related to development costs among other activities. The JSC is intended to ensure that communication between the parties remains consistent and that the development plan is progressing as intended.</w:t>
      </w:r>
    </w:p>
    <w:p>
      <w:pPr>
        <w:spacing w:after="0" w:line="186"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valuation of each performance obligation involves estimates and assumptions with revenue recognition timing to be determined by either delivery or the provision of services.</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 The Company determined the value of the research and development activities to be CHF 6.9 million and deferred this balance from the effective date. To date, the Company has cumulatively recognized CHF 6.9 million in contract revenue, resulting in no deferred income (contract liability) on the consolidated balance sheets. The remaining CHF 73.1 million from the upfront payment was allocated to the right-of-use license and recognized on the effective date.</w:t>
      </w:r>
    </w:p>
    <w:p>
      <w:pPr>
        <w:spacing w:after="0" w:line="177"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At inception of the agreement, none of the clinical, regulatory or commercial milestones had been included in the transaction price, as all milestone amounts were fully constrained. To date, the Company has recognized CHF 40 million from milestone payments triggered in Q3 2019 and Q1 2020 related to the right-of-use license for intellectual property as there were no further constraints related to these milestones.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years ended December 31, 2023, 2022 and 2021, we have recognized no revenues from this arrangement.</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Tau active immunotherapy in AD – 2014 agreement with Janssen Pharmaceuticals, Inc.</w:t>
      </w:r>
    </w:p>
    <w:p>
      <w:pPr>
        <w:spacing w:after="0" w:line="227"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In December 2014, we entered into an agreement with Janssen Pharmaceuticals, Inc. (Janssen), part of the Janssen Pharmaceutical Companies of Johnson &amp; Johnson, to develop and commercialize therapeutic anti-Tau active immunotherapies for the treatment of AD and potentially other Tauopathies. The value of this collaboration is potentially up to CHF 500 million and includes upfront and clinical, regulatory and commercial milestones. In addition to milestones, we will be eligible to receive royalties on sales at a percentage rate ranging from the low-double digits to the mid-teens for the ACI-35.030 active immunotherapy program. In April 2016, July 2017, January 2019, November 2019, December 2022, and November 2023, the companies entered into the first, second, third, fourth, fifth and sixth amendments, respectively. These amendments allow for the alignment of certain payment and activity provisions with the Development Plan and Research Plan activities. We and Janssen have completed the co-development of the second-generation lead active immunotherapies, ACI-35.030 and JACI-35.054, through Phase 1b/2a. In November 2022, it was announced that ACI-35.030 was selected to advance into further development based on interim data from the ongoing Phase 1b/2a trial. In December 2023, it was announced that Janssen has programmed the launch of Phase 2b clinical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3" w:name="page204"/>
    <w:bookmarkEnd w:id="2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study to evaluate ACI-35.030 (JNJ-64042056) in patients with preclinical AD, those individuals not yet showing symptoms.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ACI-35.030.</w:t>
      </w:r>
    </w:p>
    <w:p>
      <w:pPr>
        <w:spacing w:after="0" w:line="180"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6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agreement also allows for the expansion to a second indication based on the same anti-Tau active immunotherapy program and based on intellectual property related to this program.</w:t>
      </w:r>
    </w:p>
    <w:p>
      <w:pPr>
        <w:spacing w:after="0" w:line="16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Company received an upfront, non-refundable license fee of CHF 25.9 million, which we recognized as revenue in 2014. In May 2016, we received a payment of CHF 4.9 million for reaching a clinical milestone in the first Phase 1b study. In December 2023, we were entitled to receive a milestone payment of CHF 14.8 million for the commencement of the first Phase 2b clinical study. The Company recognized this income as revenue because we deemed it highly probable that this milestone would be obtained and would not be subject to reversal in the future.</w:t>
      </w:r>
    </w:p>
    <w:p>
      <w:pPr>
        <w:spacing w:after="0" w:line="17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chemistry, manufacturing and controls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90"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At execution of the agreement, the transaction price included only the upfront consideration received of CHF 25.9 million. At inception, none of the clinical, regulatory or commercial milestones has been included in the transaction price, as all milestone amounts were fully constrained. The Company did receive a payment of CHF 4.9 million for reaching a clinical milestone in the first Phase 1b study in May 2016 and was entitled, in December 2023, to receive a milestone payment of CHF 14.8 million for the commencement of the Phase above. The Company could also receive up to more than CHF 443 million in clinical, regulatory and commercial milestones as well as tiered, low-double digits to mid-teen royalties on aggregate net sales for the ACI-35.030 active immunotherapy program.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94"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we have recognized CHF 14.8 million, nil and nil, respectively, from this arrangement.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Tau-PET imaging agent –2014 agreement with Life Molecular Imaging (LMI)</w:t>
      </w:r>
    </w:p>
    <w:p>
      <w:pPr>
        <w:spacing w:after="0" w:line="22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May 2014 (as amended in June 2022),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160 (CHF 151) million, plus royalties on sales at a percentage rate ranging from mid-single digits to low-teens. LMI may terminate the LCA at any time by providing 3 months’ notice to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4" w:name="page205"/>
    <w:bookmarkEnd w:id="2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this agreement, AC Immune received a payment of EUR 500 (CHF 664) thousand, which was fully recognized in 2015. In Q1 2017, we recorded a milestone payment of EUR 1 (CHF 1.1) million related to the initiation of “Part B” of the first-in-man Phase 1 study. In Q3 2019, the Company recognized EUR 2 (CHF 2.2) million in connection with the initiation of a Phase 2 trial of Tau-PET tracer in patients with mild cognitive impairment and mild–to-moderate AD in comparison with non-demented control participants. In Q3 2022, the Company recognized EUR 4 (CHF 3.9) million linked to the progression of the Tau-PET tracer into late-stage development in AD. The Company is eligible to receive additional variable consideration related to the achievement of certain clinical milestones totaling EUR 4 (CHF 4) million should the compound make it through Phase 3 clinical studies. We are also eligible to receive potential regulatory and sales-based milestones totaling EUR 148 (CHF 139) million. Finally, the Company is eligible for royalties from the mid-single digits to low-teens.</w:t>
      </w:r>
    </w:p>
    <w:p>
      <w:pPr>
        <w:spacing w:after="0" w:line="189"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LMI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176"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The upfront payment constitutes the amount of consideration to be included in the transaction price and has been allocated to the license. None of the clinical, regulatory or commercial milestones has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18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Any consideration related to sales-based milestones (including royalties) will be recognized when the related sales occur as these amounts have been determined to relate predominantly to the license granted to LMI and therefore are recognized at the later of when the performance obligation is satisfied or the related sales occur. The Company considered LMI’s right to sublicense and develop the Tau protein PET tracers, and the fact that LMI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92"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has recognized nil, CHF 3.9 million and nil, respectively, from this arrangement.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14.2 Grant income</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Grants from the Michael J. Fox Foundation</w:t>
      </w:r>
    </w:p>
    <w:p>
      <w:pPr>
        <w:spacing w:after="0" w:line="22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May 2020, the Company, as part of a joint arrangement with Skåne University Hospital (Skåne) in Sweden, was awarded a USD 3.2 (CHF 3.0) million grant from the MJFF’s Ken Griffin Alpha-synuclein Imaging Competition. As part of this grant, AC Immune was eligible to receive USD 2.5 (CHF 2.3) million directly from the MJFF. Skåne was to receive USD 0.7 (CHF 0.7) million of the total grant directly from the MJFF over two years to conduct and support the clinical arm of the project. In August 2022, the Company received follow-on grant funding as part of its joint arrangement with Skåne in Sweden totaling USD 0.5 (CHF 0.5) million for the continued development of its alpha-synuclein PET imaging diagnostic agent. As part of this grant, AC Immune received USD 0.4 (CHF 0.4) million directly from the MJFF. Skåne received USD 0.1 (CHF 0.1) million of the total grant directly from the MJFF over the duration of the grant period.</w:t>
      </w:r>
    </w:p>
    <w:p>
      <w:pPr>
        <w:spacing w:after="0" w:line="19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In December 2021, the Company announced that it had been awarded two grants totaling USD 1.5 (CHF 1.4) million to advance small molecule PD programs. One award supported an existing early-stage program to develop small molecules that can prevent intracellular aggregation and spreading of a-syn. The other award funded research on the therapeutic potential of chemically and mechanistically novel, brain penetrant small molecule inhibitors of NLRP3 inflammasome activation for the treatment of PD.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5" w:name="page206"/>
    <w:bookmarkEnd w:id="2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In February 2023, the Company announced that it had been awarded a new grant totaling USD 0.5 (CHF 0.4) million from the MJFF to support the development of its TDP-43 PET tracer program.</w:t>
      </w:r>
    </w:p>
    <w:p>
      <w:pPr>
        <w:spacing w:after="0" w:line="162"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has recognized CHF 1.2 million, CHF 1.2 million and CHF 1.1 million, respectively, from its MJFF grants, under “Other operating income/(expense), net”.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Expenses by category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33,198</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41,166</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44,289</w:t>
            </w:r>
          </w:p>
        </w:tc>
      </w:tr>
      <w:tr>
        <w:trPr>
          <w:trHeight w:val="22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16,465</w:t>
            </w:r>
          </w:p>
        </w:tc>
      </w:tr>
      <w:tr>
        <w:trPr>
          <w:trHeight w:val="22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60,336</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62,282</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The decrease in 2023 is mainly driven by a decrease of CHF 5.8 million in direct R&amp;D expenditures across various programs. This is partially offset by an increase of CHF 2.2 million in salaries and related costs, including share-based compensation expenses.</w:t>
      </w:r>
    </w:p>
    <w:p>
      <w:pPr>
        <w:spacing w:after="0" w:line="183"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had 115.4, 122.4 and 108.6 FTEs in our research and development functions.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r>
      <w:tr>
        <w:trPr>
          <w:trHeight w:val="22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17,910</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The decrease in 2023 compared with the prior year predominantly relates to a reduction of CHF 1.5 million across various cost centers. This is partially offset by an increase of CHF 1.1 million in share-based compensation expenses.</w:t>
      </w:r>
    </w:p>
    <w:p>
      <w:pPr>
        <w:spacing w:after="0" w:line="140"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had 26.2, 22.5 and 27.3 FTEs in our general and administrative functions.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 net</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Our finance result primarily consists of interest expense associated with our short-term financial assets and lease liabilities as well as foreign currency exchange differences.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6" w:name="page207"/>
    <w:bookmarkEnd w:id="2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decrease in financial result, net relates primarily to unfavorable foreign currency exchange differences related to movement in the CHF versus foreign currencies, predominantly the US Dollar. This is partially offset by an increase in financial income, combined with a decrease in financial expense, due to the transition from negative to positive interest rates for our interest-bearing deposit accounts.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Related-party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and executive management compensation</w:t>
      </w:r>
    </w:p>
    <w:p>
      <w:pPr>
        <w:spacing w:after="0" w:line="229" w:lineRule="exact"/>
        <w:rPr>
          <w:sz w:val="20"/>
          <w:szCs w:val="20"/>
          <w:color w:val="auto"/>
        </w:rPr>
      </w:pPr>
    </w:p>
    <w:p>
      <w:pPr>
        <w:jc w:val="both"/>
        <w:ind w:left="60" w:right="399" w:firstLine="324"/>
        <w:spacing w:after="0" w:line="253" w:lineRule="auto"/>
        <w:rPr>
          <w:sz w:val="20"/>
          <w:szCs w:val="20"/>
          <w:color w:val="auto"/>
        </w:rPr>
      </w:pPr>
      <w:r>
        <w:rPr>
          <w:rFonts w:ascii="Times New Roman" w:cs="Times New Roman" w:eastAsia="Times New Roman" w:hAnsi="Times New Roman"/>
          <w:sz w:val="18"/>
          <w:szCs w:val="18"/>
          <w:color w:val="auto"/>
        </w:rPr>
        <w:t>Key management includes the board of directors and executive management. For 2023, there were eight members (2022 and 2021: eight) of the Board (excluding the CEO) and seven members (2022: seven and 2021: six) of executive management (including the CEO). Compensation was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r>
      <w:tr>
        <w:trPr>
          <w:trHeight w:val="22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compensation</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1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Group recognized less than CHF 0.1 million in income taxes and no deferred tax asset or liability positions for the years ended December 31, 2023, 2022 and 2021, respectively. The Group’s expected tax expense for each year is based on the applicable tax rates in each jurisdiction. In 2023, these rates ranged from 13.6% to 33.8% (13.6% - 33.8% for 2022 and 13.6% - 32.9% for 2021) in the Group’s respective tax jurisdictions. The weighted average tax rate applicable to the Group was 13.6% (13.6% for 2022 and 2021, respectively).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Group’s income tax expense for each year can be reconciled to loss before tax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(70,740)</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(72,993)</w:t>
            </w:r>
          </w:p>
        </w:tc>
      </w:tr>
      <w:tr>
        <w:trPr>
          <w:trHeight w:val="22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 calculated at the domestic rates applicable in the respective countries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w:t>
            </w:r>
          </w:p>
        </w:tc>
      </w:tr>
      <w:tr>
        <w:trPr>
          <w:trHeight w:val="23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not subject to tax)/expenses not deductible for tax purposes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unused tax losses and tax offsets not recognized as deferred tax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r>
      <w:tr>
        <w:trPr>
          <w:trHeight w:val="223"/>
        </w:trPr>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 expense</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519" w:firstLine="324"/>
        <w:spacing w:after="0" w:line="258" w:lineRule="auto"/>
        <w:rPr>
          <w:sz w:val="20"/>
          <w:szCs w:val="20"/>
          <w:color w:val="auto"/>
        </w:rPr>
      </w:pPr>
      <w:r>
        <w:rPr>
          <w:rFonts w:ascii="Times New Roman" w:cs="Times New Roman" w:eastAsia="Times New Roman" w:hAnsi="Times New Roman"/>
          <w:sz w:val="18"/>
          <w:szCs w:val="18"/>
          <w:color w:val="auto"/>
        </w:rPr>
        <w:t>The Swiss tax rate used for the 2023 reconciliations is the corporate tax rate of 13.6% (13.6% in 2022 and 2021, respectively) payable by corporate entities in the Canton of Vaud, Switzerland on taxable profits under tax law in that jurisdiction.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7" w:name="page208"/>
    <w:bookmarkEnd w:id="2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below table details the total unrecognized deductible temporary differences, unused tax losses and unused tax credits: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04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20" w:type="dxa"/>
            <w:vAlign w:val="bottom"/>
          </w:tcPr>
          <w:p>
            <w:pPr>
              <w:spacing w:after="0"/>
              <w:rPr>
                <w:sz w:val="18"/>
                <w:szCs w:val="18"/>
                <w:color w:val="auto"/>
              </w:rPr>
            </w:pPr>
          </w:p>
        </w:tc>
        <w:tc>
          <w:tcPr>
            <w:tcW w:w="5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Unrecognized deductible temporary differences, unused tax losses and</w:t>
            </w: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33"/>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unused tax credits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Deductible temporary differences, unused tax losses and unused tax credits for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which no deferred tax assets have been recognized are attributable to the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following:</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Tax losses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264,089</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197,152</w:t>
            </w:r>
          </w:p>
        </w:tc>
      </w:tr>
      <w:tr>
        <w:trPr>
          <w:trHeight w:val="230"/>
        </w:trPr>
        <w:tc>
          <w:tcPr>
            <w:tcW w:w="20" w:type="dxa"/>
            <w:vAlign w:val="bottom"/>
          </w:tcPr>
          <w:p>
            <w:pPr>
              <w:spacing w:after="0"/>
              <w:rPr>
                <w:sz w:val="19"/>
                <w:szCs w:val="19"/>
                <w:color w:val="auto"/>
              </w:rPr>
            </w:pPr>
          </w:p>
        </w:tc>
        <w:tc>
          <w:tcPr>
            <w:tcW w:w="6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Deductible temporary differences related to:</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Retirement benefit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r>
      <w:tr>
        <w:trPr>
          <w:trHeight w:val="223"/>
        </w:trPr>
        <w:tc>
          <w:tcPr>
            <w:tcW w:w="20" w:type="dxa"/>
            <w:vAlign w:val="bottom"/>
          </w:tcPr>
          <w:p>
            <w:pPr>
              <w:spacing w:after="0"/>
              <w:rPr>
                <w:sz w:val="19"/>
                <w:szCs w:val="19"/>
                <w:color w:val="auto"/>
              </w:rPr>
            </w:pPr>
          </w:p>
        </w:tc>
        <w:tc>
          <w:tcPr>
            <w:tcW w:w="6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318,742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204,250</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details the tax losses carry forwards of the Company and their respective expiry dates: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Tax losses split by expiry date:</w:t>
            </w: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3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r>
      <w:tr>
        <w:trPr>
          <w:trHeight w:val="229"/>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48,894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48,894</w:t>
            </w:r>
          </w:p>
        </w:tc>
      </w:tr>
      <w:tr>
        <w:trPr>
          <w:trHeight w:val="23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57,824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57,824</w:t>
            </w:r>
          </w:p>
        </w:tc>
      </w:tr>
      <w:tr>
        <w:trPr>
          <w:trHeight w:val="23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r>
      <w:tr>
        <w:trPr>
          <w:trHeight w:val="230"/>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66,936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2030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unrecorded tax loss carryforwards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312,972</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264,089</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197,153</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tax losses available for future offset against taxable profits have increased by CHF 48.9 million from 2022, representing the amount of tax losses that are additionally available as an offset, subject to expiration as disclosed in the table above, against future taxable income.</w:t>
      </w:r>
    </w:p>
    <w:p>
      <w:pPr>
        <w:spacing w:after="0" w:line="1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Consistent with prior years, the Company has not recorded any deferred tax assets in relation to the past tax losses available for offset against future profits as the recognition criteria were not met at the balance sheet date.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Retirement benefit plan</w:t>
      </w:r>
    </w:p>
    <w:p>
      <w:pPr>
        <w:spacing w:after="0" w:line="216"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6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Contributions paid to the plan are computed as a percentage of salary, adjusted for the age of the employee and shared approximately 47% and 53% by employee and employer, respectively.</w:t>
      </w:r>
    </w:p>
    <w:p>
      <w:pPr>
        <w:spacing w:after="0" w:line="16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a board of trustees, which consists of an equal number of employer and employee representatives of its members. The board of trustees is responsible for the administration of the plan assets and for the definition of the investment strategy. The Company has no direct influence on the investment strategy of the foundation board.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8" w:name="page209"/>
    <w:bookmarkEnd w:id="2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assets are invested by the pension plan, to which many companies contribute, in a diversified portfolio that respects the requirements of the Swiss BVG. Therefore, disaggregation of the pension assets and presentation of plan assets in classes that distinguish the nature and risks of those assets is not possible. Under the plan, both the Company and the employee share the costs.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as they are shared between a much greater number of participants. On leaving the Company, a departing employee’s retirement savings are transferred to the pension institution of the new employer or to a vested benefits institution. This transfer mechanism may result in pension payments varying considerably from year to year.</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pension plan is exposed to Swiss inflation, interest rate risks and changes in the life expectancy for pensioners.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accounting purposes under IFRS, the plan is treated as a defined benefit plan in accordance with IAS 19.</w:t>
      </w:r>
    </w:p>
    <w:p>
      <w:pPr>
        <w:spacing w:after="0" w:line="207"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status of the defined benefit pension plan and the amount that is recognized in the consolidated balance sheets: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(41,060)</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(32,410)</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(33,889)</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29,197</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26,791</w:t>
            </w:r>
          </w:p>
        </w:tc>
      </w:tr>
      <w:tr>
        <w:trPr>
          <w:trHeight w:val="223"/>
        </w:trPr>
        <w:tc>
          <w:tcPr>
            <w:tcW w:w="6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liability</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amounts have been recorded as net pension cost in the consolidated statements of income/(loss):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service cost</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Past service cost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(705)</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6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pension cost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in defined benefit obligation, fair value of plan assets and unrecognized gains/(losses) are as follows.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9" w:name="page210"/>
    <w:bookmarkEnd w:id="2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Change in defined benefit obligation</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gridSpan w:val="4"/>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0" w:type="dxa"/>
            <w:vAlign w:val="bottom"/>
            <w:gridSpan w:val="3"/>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Defined benefit obligation as of January 1</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(32,410)</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(33,889)</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Past service cost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demographic assumptions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 in financial assumptions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experience assumptions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(1,726)</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Benefits deposited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(2,327)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contributions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(1,056)</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3"/>
        </w:trPr>
        <w:tc>
          <w:tcPr>
            <w:tcW w:w="60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obligation as of December 31</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(41,060)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(33,889)</w:t>
            </w:r>
          </w:p>
        </w:tc>
        <w:tc>
          <w:tcPr>
            <w:tcW w:w="0" w:type="dxa"/>
            <w:vAlign w:val="bottom"/>
          </w:tcPr>
          <w:p>
            <w:pPr>
              <w:spacing w:after="0"/>
              <w:rPr>
                <w:sz w:val="1"/>
                <w:szCs w:val="1"/>
                <w:color w:val="auto"/>
              </w:rPr>
            </w:pPr>
          </w:p>
        </w:tc>
      </w:tr>
      <w:tr>
        <w:trPr>
          <w:trHeight w:val="20"/>
        </w:trPr>
        <w:tc>
          <w:tcPr>
            <w:tcW w:w="608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  Change in fair value of plan assets</w:t>
            </w: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8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40" w:type="dxa"/>
            <w:vAlign w:val="bottom"/>
            <w:gridSpan w:val="3"/>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Pr>
          <w:p>
            <w:pPr>
              <w:spacing w:after="0"/>
              <w:rPr>
                <w:sz w:val="16"/>
                <w:szCs w:val="16"/>
                <w:color w:val="auto"/>
              </w:rPr>
            </w:pPr>
          </w:p>
        </w:tc>
        <w:tc>
          <w:tcPr>
            <w:tcW w:w="7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0" w:type="dxa"/>
            <w:vAlign w:val="bottom"/>
            <w:gridSpan w:val="3"/>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plan assets as of January 1</w:t>
            </w:r>
          </w:p>
        </w:tc>
        <w:tc>
          <w:tcPr>
            <w:tcW w:w="2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29,197</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 contributions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Employer’s contributions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deposited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Return on plan assets excluding interest income</w:t>
            </w: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plan assets as of December 31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Expected contributions by the employer to be paid to the post-employment benefit plans during the annual period beginning after the end of the reporting period amount to approximately CHF 1.6 million.</w:t>
      </w:r>
    </w:p>
    <w:p>
      <w:pPr>
        <w:spacing w:after="0" w:line="15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Change in net defined benefit liability</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defined benefit liabilities as of January 1</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pension cost through statement of income/(loss)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through other comprehensive income/(loss)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(4,426)</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Employer’s contribution</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(1,567)</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defined benefit liabilities as of December 31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4300"/>
              <w:spacing w:after="0"/>
              <w:rPr>
                <w:sz w:val="20"/>
                <w:szCs w:val="20"/>
                <w:color w:val="auto"/>
              </w:rPr>
            </w:pPr>
            <w:r>
              <w:rPr>
                <w:rFonts w:ascii="Times New Roman" w:cs="Times New Roman" w:eastAsia="Times New Roman" w:hAnsi="Times New Roman"/>
                <w:sz w:val="18"/>
                <w:szCs w:val="18"/>
                <w:color w:val="auto"/>
              </w:rPr>
              <w:t>F-35</w:t>
            </w: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0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10" w:name="page211"/>
    <w:bookmarkEnd w:id="2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Other comprehensive gains/(losses)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demographic assumptions</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changes in financial assumptions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experience assumptions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(1,726)</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Return on plan assets excluding interest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19"/>
                <w:szCs w:val="19"/>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23"/>
        </w:trPr>
        <w:tc>
          <w:tcPr>
            <w:tcW w:w="6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gain/(loss)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2022, the change in experience assumptions results from an increased sum of insured salaries.</w:t>
      </w:r>
    </w:p>
    <w:p>
      <w:pPr>
        <w:spacing w:after="0" w:line="225"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plan assets is the cash surrender value of the insurance with the insurance company (AXA). The investment strategy defined by the board of trustees follows a conservative profile.</w:t>
      </w:r>
    </w:p>
    <w:p>
      <w:pPr>
        <w:spacing w:after="0" w:line="16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plan assets are primarily held within instruments with quoted market prices in an active market, with the exception of real estate and mortgages.</w:t>
      </w:r>
    </w:p>
    <w:p>
      <w:pPr>
        <w:spacing w:after="0" w:line="16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duration of the defined benefit obligation is 15.5 years and 14.9 years as of December 31, 2023 and 2022, respectively.</w:t>
      </w:r>
    </w:p>
    <w:p>
      <w:pPr>
        <w:spacing w:after="0" w:line="148"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actuarial assumptions used for the calculation of the pension cost and the defined benefit obligation of the defined benefit pension plan for the years ended December 31, 2023, 2022 and 2021, respectively, are as follows: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4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5"/>
        </w:trPr>
        <w:tc>
          <w:tcPr>
            <w:tcW w:w="408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4080" w:type="dxa"/>
            <w:vAlign w:val="bottom"/>
          </w:tcPr>
          <w:p>
            <w:pPr>
              <w:spacing w:after="0"/>
              <w:rPr>
                <w:sz w:val="16"/>
                <w:szCs w:val="16"/>
                <w:color w:val="auto"/>
              </w:rPr>
            </w:pP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30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2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r>
      <w:tr>
        <w:trPr>
          <w:trHeight w:val="223"/>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Rate of future increase in compensations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1.75 %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future increase in current pensions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5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0.00 %</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on retirement savings capital</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2.25 %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0.75 %</w:t>
            </w: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Mortality and disability rates</w:t>
            </w:r>
          </w:p>
        </w:tc>
        <w:tc>
          <w:tcPr>
            <w:tcW w:w="18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99"/>
              </w:rPr>
              <w:t>BVG 2020 GT (CMI)</w:t>
            </w:r>
          </w:p>
        </w:tc>
        <w:tc>
          <w:tcPr>
            <w:tcW w:w="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9"/>
              </w:rPr>
              <w:t>BVG 2020-CMI</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BVG 2020-CMI</w:t>
            </w:r>
          </w:p>
        </w:tc>
      </w:tr>
    </w:tbl>
    <w:p>
      <w:pPr>
        <w:spacing w:after="0" w:line="211"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In defining the benefits, the minimum requirements of the Swiss BVG and its implementing provisions must be observed. The BVG defines the minimum pensionable salary and the minimum retirement credits.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quantitative sensitivity analysis for significant assumptions as of December 31, 2023 is shown below:</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Interest rate 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40" w:type="dxa"/>
            <w:vAlign w:val="bottom"/>
          </w:tcPr>
          <w:p>
            <w:pPr>
              <w:spacing w:after="0"/>
              <w:rPr>
                <w:sz w:val="16"/>
                <w:szCs w:val="16"/>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Future salary increase</w:t>
            </w: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Future pension cost</w:t>
            </w:r>
          </w:p>
        </w:tc>
        <w:tc>
          <w:tcPr>
            <w:tcW w:w="144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savings capital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CHF</w:t>
            </w:r>
          </w:p>
        </w:tc>
        <w:tc>
          <w:tcPr>
            <w:tcW w:w="140" w:type="dxa"/>
            <w:vAlign w:val="bottom"/>
          </w:tcPr>
          <w:p>
            <w:pPr>
              <w:spacing w:after="0"/>
              <w:rPr>
                <w:sz w:val="16"/>
                <w:szCs w:val="16"/>
                <w:color w:val="auto"/>
              </w:rPr>
            </w:pPr>
          </w:p>
        </w:tc>
        <w:tc>
          <w:tcPr>
            <w:tcW w:w="6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defined benefit obligation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38,132</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41,997</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42,681</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39,578</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42,158</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Decrease/(increase) from actual</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6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4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6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3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F-36</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11" w:name="page212"/>
    <w:bookmarkEnd w:id="2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quantitative sensitivity analysis for significant assumptions as of December 31, 2022 is shown below:</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Interest rate on</w:t>
            </w:r>
          </w:p>
        </w:tc>
      </w:tr>
      <w:tr>
        <w:trPr>
          <w:trHeight w:val="195"/>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Future salary increase</w:t>
            </w: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Future pension cost</w:t>
            </w:r>
          </w:p>
        </w:tc>
        <w:tc>
          <w:tcPr>
            <w:tcW w:w="144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savings capital</w:t>
            </w:r>
          </w:p>
        </w:tc>
      </w:tr>
      <w:tr>
        <w:trPr>
          <w:trHeight w:val="176"/>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r>
      <w:tr>
        <w:trPr>
          <w:trHeight w:val="195"/>
        </w:trPr>
        <w:tc>
          <w:tcPr>
            <w:tcW w:w="28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87"/>
        </w:trPr>
        <w:tc>
          <w:tcPr>
            <w:tcW w:w="2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CHF</w:t>
            </w:r>
          </w:p>
        </w:tc>
        <w:tc>
          <w:tcPr>
            <w:tcW w:w="140" w:type="dxa"/>
            <w:vAlign w:val="bottom"/>
          </w:tcPr>
          <w:p>
            <w:pPr>
              <w:spacing w:after="0"/>
              <w:rPr>
                <w:sz w:val="16"/>
                <w:szCs w:val="16"/>
                <w:color w:val="auto"/>
              </w:rPr>
            </w:pPr>
          </w:p>
        </w:tc>
        <w:tc>
          <w:tcPr>
            <w:tcW w:w="6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r>
      <w:tr>
        <w:trPr>
          <w:trHeight w:val="230"/>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defined benefit obligation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34,916</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32,940</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31,841</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33,601</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33,322</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31,545</w:t>
            </w:r>
          </w:p>
        </w:tc>
      </w:tr>
      <w:tr>
        <w:trPr>
          <w:trHeight w:val="225"/>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Decrease/(increase) from actual</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bl>
    <w:p>
      <w:pPr>
        <w:spacing w:after="0" w:line="19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sensitivity analyses above are subject to limitations and have been determined based on a method that extrapolates the impact on net defined benefit obligation as a result of reasonable changes in key assumptions occurring at the end of the reporting period.</w:t>
      </w:r>
    </w:p>
    <w:p>
      <w:pPr>
        <w:spacing w:after="0" w:line="172" w:lineRule="exact"/>
        <w:rPr>
          <w:sz w:val="20"/>
          <w:szCs w:val="20"/>
          <w:color w:val="auto"/>
        </w:rPr>
      </w:pPr>
    </w:p>
    <w:p>
      <w:pPr>
        <w:ind w:left="380" w:right="6599" w:hanging="330"/>
        <w:spacing w:after="0" w:line="524" w:lineRule="auto"/>
        <w:tabs>
          <w:tab w:leader="none" w:pos="38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i w:val="1"/>
          <w:iCs w:val="1"/>
          <w:color w:val="auto"/>
        </w:rPr>
        <w:t>Share-based option awards</w:t>
      </w:r>
    </w:p>
    <w:p>
      <w:pPr>
        <w:spacing w:after="0" w:line="1"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there are equity-based instruments outstanding that the Company has granted under two different plans.</w:t>
      </w:r>
    </w:p>
    <w:p>
      <w:pPr>
        <w:spacing w:after="0" w:line="16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Company’s 2016 Share Option and Incentive Plan (SOIP)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the SOIP as of December 31, 2023.</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equity-settled share option grants for plans that existed during the period:</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880" w:type="dxa"/>
            <w:vAlign w:val="bottom"/>
            <w:gridSpan w:val="5"/>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rPr>
              <w:t>options awarded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r>
      <w:tr>
        <w:trPr>
          <w:trHeight w:val="195"/>
        </w:trPr>
        <w:tc>
          <w:tcPr>
            <w:tcW w:w="20" w:type="dxa"/>
            <w:vAlign w:val="bottom"/>
          </w:tcPr>
          <w:p>
            <w:pPr>
              <w:spacing w:after="0"/>
              <w:rPr>
                <w:sz w:val="16"/>
                <w:szCs w:val="16"/>
                <w:color w:val="auto"/>
              </w:rPr>
            </w:pPr>
          </w:p>
        </w:tc>
        <w:tc>
          <w:tcPr>
            <w:tcW w:w="35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 inception)</w:t>
            </w:r>
          </w:p>
        </w:tc>
        <w:tc>
          <w:tcPr>
            <w:tcW w:w="200" w:type="dxa"/>
            <w:vAlign w:val="bottom"/>
          </w:tcPr>
          <w:p>
            <w:pPr>
              <w:spacing w:after="0"/>
              <w:rPr>
                <w:sz w:val="16"/>
                <w:szCs w:val="16"/>
                <w:color w:val="auto"/>
              </w:rPr>
            </w:pPr>
          </w:p>
        </w:tc>
        <w:tc>
          <w:tcPr>
            <w:tcW w:w="25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Vesting conditions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of options</w:t>
            </w:r>
          </w:p>
        </w:tc>
      </w:tr>
      <w:tr>
        <w:trPr>
          <w:trHeight w:val="228"/>
        </w:trPr>
        <w:tc>
          <w:tcPr>
            <w:tcW w:w="20" w:type="dxa"/>
            <w:vAlign w:val="bottom"/>
          </w:tcPr>
          <w:p>
            <w:pPr>
              <w:spacing w:after="0"/>
              <w:rPr>
                <w:sz w:val="19"/>
                <w:szCs w:val="19"/>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 plan C1</w:t>
            </w:r>
          </w:p>
        </w:tc>
        <w:tc>
          <w:tcPr>
            <w:tcW w:w="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6,775,250</w:t>
            </w:r>
          </w:p>
        </w:tc>
        <w:tc>
          <w:tcPr>
            <w:tcW w:w="2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 years’ service from grant date</w:t>
            </w:r>
          </w:p>
        </w:tc>
        <w:tc>
          <w:tcPr>
            <w:tcW w:w="1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2016 SOIP:</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Executives and directors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4,831,325</w:t>
            </w:r>
          </w:p>
        </w:tc>
        <w:tc>
          <w:tcPr>
            <w:tcW w:w="2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 year, 3 year and 4 years’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20" w:type="dxa"/>
            <w:vAlign w:val="bottom"/>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from the date of grant,</w:t>
            </w:r>
          </w:p>
        </w:tc>
        <w:tc>
          <w:tcPr>
            <w:tcW w:w="144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quarterly and annually</w:t>
            </w:r>
          </w:p>
        </w:tc>
        <w:tc>
          <w:tcPr>
            <w:tcW w:w="1440" w:type="dxa"/>
            <w:vAlign w:val="bottom"/>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Employees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1,811,687</w:t>
            </w:r>
          </w:p>
        </w:tc>
        <w:tc>
          <w:tcPr>
            <w:tcW w:w="2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4 years’ service from the date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234"/>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grant, annually</w:t>
            </w:r>
          </w:p>
        </w:tc>
        <w:tc>
          <w:tcPr>
            <w:tcW w:w="144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F-37</w:t>
            </w:r>
          </w:p>
        </w:tc>
        <w:tc>
          <w:tcPr>
            <w:tcW w:w="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12" w:name="page213"/>
    <w:bookmarkEnd w:id="2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number and weighted-average exercise prices (in CHF) of options under the share option programs for Plans C1 and the 2016 SOIP are as follows: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9"/>
        </w:trPr>
        <w:tc>
          <w:tcPr>
            <w:tcW w:w="6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89"/>
        </w:trPr>
        <w:tc>
          <w:tcPr>
            <w:tcW w:w="60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95"/>
        </w:trPr>
        <w:tc>
          <w:tcPr>
            <w:tcW w:w="600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(CHF)</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r>
      <w:tr>
        <w:trPr>
          <w:trHeight w:val="228"/>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2,900,667</w:t>
            </w:r>
          </w:p>
        </w:tc>
        <w:tc>
          <w:tcPr>
            <w:tcW w:w="2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(207,331)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(218,561)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1,110,914</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3,585,689</w:t>
            </w:r>
          </w:p>
        </w:tc>
        <w:tc>
          <w:tcPr>
            <w:tcW w:w="2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6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1,613,242</w:t>
            </w:r>
          </w:p>
        </w:tc>
        <w:tc>
          <w:tcPr>
            <w:tcW w:w="2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3,585,689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(304,738)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(110,250)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1,090,316</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4,261,017</w:t>
            </w:r>
          </w:p>
        </w:tc>
        <w:tc>
          <w:tcPr>
            <w:tcW w:w="2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6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2,345,648</w:t>
            </w:r>
          </w:p>
        </w:tc>
        <w:tc>
          <w:tcPr>
            <w:tcW w:w="2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4,261,017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(824,084)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(42,037)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1,554,281</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4,949,177</w:t>
            </w:r>
          </w:p>
        </w:tc>
        <w:tc>
          <w:tcPr>
            <w:tcW w:w="2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3,022,345</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6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outstanding stock options as of December 31, 2023 have the following range of exercise prices: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w:t>
            </w:r>
          </w:p>
        </w:tc>
      </w:tr>
      <w:tr>
        <w:trPr>
          <w:trHeight w:val="189"/>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194"/>
        </w:trPr>
        <w:tc>
          <w:tcPr>
            <w:tcW w:w="70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options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dates</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30"/>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CHF 0.15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92,875</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2024–2026</w:t>
            </w:r>
          </w:p>
        </w:tc>
      </w:tr>
      <w:tr>
        <w:trPr>
          <w:trHeight w:val="229"/>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CHF 9.53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109,665</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30"/>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USD 5.04 to USD 12.30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2,417,545</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2027–2031</w:t>
            </w:r>
          </w:p>
        </w:tc>
      </w:tr>
      <w:tr>
        <w:trPr>
          <w:trHeight w:val="23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USD 2.76 to USD 4.57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1,034,326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2032–2033</w:t>
            </w:r>
          </w:p>
        </w:tc>
      </w:tr>
      <w:tr>
        <w:trPr>
          <w:trHeight w:val="230"/>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USD 2.03 to USD 2.32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1,294,766</w:t>
            </w:r>
          </w:p>
        </w:tc>
        <w:tc>
          <w:tcPr>
            <w:tcW w:w="1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2032–2033</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outstanding options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4,949,177</w:t>
            </w:r>
          </w:p>
        </w:tc>
        <w:tc>
          <w:tcPr>
            <w:tcW w:w="1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weighted-average exercise price for options granted in 2023, 2022 and 2021 is USD 2.08 (CHF 1.75), USD 3.44 (CHF 3.18) and USD 6.95 (CHF 6.34), respectively. The range of exercise prices for outstanding options was CHF 0.15 to CHF 9.53 for awards previously granted in CHF (prior to 2018) and USD 2.03 to USD 12.30 for awards granted in USD as of December 31, 2023.</w:t>
      </w:r>
    </w:p>
    <w:p>
      <w:pPr>
        <w:spacing w:after="0" w:line="187" w:lineRule="exact"/>
        <w:rPr>
          <w:sz w:val="20"/>
          <w:szCs w:val="20"/>
          <w:color w:val="auto"/>
        </w:rPr>
      </w:pPr>
    </w:p>
    <w:p>
      <w:pPr>
        <w:jc w:val="both"/>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For awards issued in 2023, the volatility is based on the Company’s actual volatility for the period congruent with the expected term of the underlying option. The risk-free interest rate is based on yields of long-dated U.S. Treasury notes that align with the expected term of the award. The weighted-average share price of common share options exercised in 2023 is USD 3.18 (CHF 2.68).</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3" w:name="page214"/>
    <w:bookmarkEnd w:id="2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values of the options granted in 2023, 2022 and 2021 are USD 1.57 (CHF 1.33), USD 2.38 (CHF 2.20) and USD 5.23 (CHF 4.78), respectively. The following table illustrates the weighted-average assumptions for the Black-Scholes option-pricing model used in determining the fair value of these awards: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5"/>
        </w:trPr>
        <w:tc>
          <w:tcPr>
            <w:tcW w:w="59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5980" w:type="dxa"/>
            <w:vAlign w:val="bottom"/>
          </w:tcPr>
          <w:p>
            <w:pPr>
              <w:spacing w:after="0"/>
              <w:rPr>
                <w:sz w:val="16"/>
                <w:szCs w:val="16"/>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 (USD)</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2.03-3.11</w:t>
            </w: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2.76-4.57</w:t>
            </w:r>
          </w:p>
        </w:tc>
        <w:tc>
          <w:tcPr>
            <w:tcW w:w="2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5.31-7.72</w:t>
            </w:r>
          </w:p>
        </w:tc>
        <w:tc>
          <w:tcPr>
            <w:tcW w:w="160" w:type="dxa"/>
            <w:vAlign w:val="bottom"/>
            <w:tcBorders>
              <w:top w:val="single" w:sz="8" w:color="CCEEFF"/>
            </w:tcBorders>
            <w:shd w:val="clear" w:color="auto" w:fill="CCEEFF"/>
          </w:tcPr>
          <w:p>
            <w:pPr>
              <w:spacing w:after="0"/>
              <w:rPr>
                <w:sz w:val="19"/>
                <w:szCs w:val="19"/>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price (USD and weighted average)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60" w:type="dxa"/>
            <w:vAlign w:val="bottom"/>
          </w:tcPr>
          <w:p>
            <w:pPr>
              <w:spacing w:after="0"/>
              <w:rPr>
                <w:sz w:val="19"/>
                <w:szCs w:val="19"/>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4.0-4.6 %</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0-2.4 %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72-86 %</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67-80 %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5.5 - 6.25</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5.1 - 6</w:t>
            </w:r>
          </w:p>
        </w:tc>
        <w:tc>
          <w:tcPr>
            <w:tcW w:w="160" w:type="dxa"/>
            <w:vAlign w:val="bottom"/>
            <w:shd w:val="clear" w:color="auto" w:fill="CCEEFF"/>
          </w:tcPr>
          <w:p>
            <w:pPr>
              <w:spacing w:after="0"/>
              <w:rPr>
                <w:sz w:val="19"/>
                <w:szCs w:val="19"/>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227"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 summary of share awards (restricted share and restricted share units) activity as of December 31, 2023 and changes during the year then ended is presented below:</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life of non-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98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vested share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Grantee type</w:t>
            </w:r>
          </w:p>
        </w:tc>
        <w:tc>
          <w:tcPr>
            <w:tcW w:w="16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40" w:type="dxa"/>
            <w:vAlign w:val="bottom"/>
          </w:tcPr>
          <w:p>
            <w:pPr>
              <w:spacing w:after="0"/>
              <w:rPr>
                <w:sz w:val="16"/>
                <w:szCs w:val="16"/>
                <w:color w:val="auto"/>
              </w:rPr>
            </w:pPr>
          </w:p>
        </w:tc>
        <w:tc>
          <w:tcPr>
            <w:tcW w:w="3280" w:type="dxa"/>
            <w:vAlign w:val="bottom"/>
            <w:gridSpan w:val="4"/>
          </w:tcPr>
          <w:p>
            <w:pPr>
              <w:ind w:left="1000"/>
              <w:spacing w:after="0"/>
              <w:rPr>
                <w:sz w:val="20"/>
                <w:szCs w:val="20"/>
                <w:color w:val="auto"/>
              </w:rPr>
            </w:pPr>
            <w:r>
              <w:rPr>
                <w:rFonts w:ascii="Times New Roman" w:cs="Times New Roman" w:eastAsia="Times New Roman" w:hAnsi="Times New Roman"/>
                <w:sz w:val="14"/>
                <w:szCs w:val="14"/>
                <w:b w:val="1"/>
                <w:bCs w:val="1"/>
                <w:color w:val="auto"/>
              </w:rPr>
              <w:t>Vesting conditions</w:t>
            </w:r>
          </w:p>
        </w:tc>
        <w:tc>
          <w:tcPr>
            <w:tcW w:w="14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Restricted share units</w:t>
            </w:r>
          </w:p>
        </w:tc>
        <w:tc>
          <w:tcPr>
            <w:tcW w:w="1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257,329</w:t>
            </w:r>
          </w:p>
        </w:tc>
        <w:tc>
          <w:tcPr>
            <w:tcW w:w="34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 year service from date of grant, annually</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Executives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3 year and 4 years’ service from the date</w:t>
            </w:r>
          </w:p>
        </w:tc>
        <w:tc>
          <w:tcPr>
            <w:tcW w:w="140" w:type="dxa"/>
            <w:vAlign w:val="bottom"/>
          </w:tcPr>
          <w:p>
            <w:pPr>
              <w:spacing w:after="0"/>
              <w:rPr>
                <w:sz w:val="19"/>
                <w:szCs w:val="19"/>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905,803  of grant, quarterly and semi-annually</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 years’ service from the date of grant,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458,335</w:t>
            </w:r>
          </w:p>
        </w:tc>
        <w:tc>
          <w:tcPr>
            <w:tcW w:w="342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annually</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(CHF)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2021</w:t>
            </w:r>
          </w:p>
        </w:tc>
        <w:tc>
          <w:tcPr>
            <w:tcW w:w="1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CCEEFF"/>
            </w:tcBorders>
            <w:gridSpan w:val="2"/>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19,494</w:t>
            </w: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(18,697)</w:t>
            </w: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3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797</w:t>
            </w:r>
          </w:p>
        </w:tc>
        <w:tc>
          <w:tcPr>
            <w:tcW w:w="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Vested and exercisable at December 31, 2021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5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65,515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60" w:type="dxa"/>
            <w:vAlign w:val="bottom"/>
            <w:gridSpan w:val="2"/>
          </w:tcPr>
          <w:p>
            <w:pPr>
              <w:spacing w:after="0"/>
              <w:rPr>
                <w:sz w:val="18"/>
                <w:szCs w:val="18"/>
                <w:color w:val="auto"/>
              </w:rPr>
            </w:pPr>
          </w:p>
        </w:tc>
        <w:tc>
          <w:tcPr>
            <w:tcW w:w="8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3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239,194</w:t>
            </w: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(23,505)</w:t>
            </w:r>
          </w:p>
        </w:tc>
        <w:tc>
          <w:tcPr>
            <w:tcW w:w="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3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216,486</w:t>
            </w: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6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Vested and exercisable at December 31, 2022</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560" w:type="dxa"/>
            <w:vAlign w:val="bottom"/>
            <w:gridSpan w:val="2"/>
          </w:tcPr>
          <w:p>
            <w:pPr>
              <w:spacing w:after="0"/>
              <w:rPr>
                <w:sz w:val="22"/>
                <w:szCs w:val="22"/>
                <w:color w:val="auto"/>
              </w:rPr>
            </w:pP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89,020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216,486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(134,947)</w:t>
            </w:r>
          </w:p>
        </w:tc>
        <w:tc>
          <w:tcPr>
            <w:tcW w:w="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(55,503)</w:t>
            </w: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3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1,187,570</w:t>
            </w:r>
          </w:p>
        </w:tc>
        <w:tc>
          <w:tcPr>
            <w:tcW w:w="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(265,366)</w:t>
            </w: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3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1,003,743</w:t>
            </w:r>
          </w:p>
        </w:tc>
        <w:tc>
          <w:tcPr>
            <w:tcW w:w="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Vested and exercisable at December 31, 2023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5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298,883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4" w:name="page215"/>
    <w:bookmarkEnd w:id="2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values of the remaining non-vested share awards as of the respective year end for the restricted share units were CHF 1.97, CHF 3.06 and CHF 9.41 for the years ended December 31, 2023, 2022 and 2021, respectively. The fair values of these non-vested share awards granted were determined using a reasonable estimate of market value of the common shares on the date of the award.</w:t>
      </w:r>
    </w:p>
    <w:p>
      <w:pPr>
        <w:spacing w:after="0" w:line="180" w:lineRule="exact"/>
        <w:rPr>
          <w:sz w:val="20"/>
          <w:szCs w:val="20"/>
          <w:color w:val="auto"/>
        </w:rPr>
      </w:pPr>
    </w:p>
    <w:p>
      <w:pPr>
        <w:jc w:val="both"/>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expense charged against the income statement was CHF 4.4 million, CHF 3.3 million and CHF 4.1 million for the years ended December 31, 2023, 2022 and 2021, respectively. The expense is revised by the Company based on the number of instruments that are expected to become exercisable.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229"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Company’s commitments and contingencies relate to its ongoing operating activities, mainly research and development programs, as well as its leased corporate space.</w:t>
      </w:r>
    </w:p>
    <w:p>
      <w:pPr>
        <w:spacing w:after="0" w:line="14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conduct product research and development programs through collaborative programs that include, among others, arrangements with universities, contract research organizations and clinical research sites. We have contractual arrangements with these organizations. As of December 31, 2023, we have contractual obligations, other than for leases (see below), totaling CHF 21.4 million for 2024.</w:t>
      </w:r>
    </w:p>
    <w:p>
      <w:pPr>
        <w:spacing w:after="0" w:line="180"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lease our corporate, laboratory and other facilities under multiple leases at the EPFL Innovation Park in Ecublens, near Lausanne, Canton of Vaud, Switzerland. Our lease agreements have no termination clauses longer than a 12-month contractual notice period. The Company recognizes a right-of-use asset for its leases, except for short-term and low-value leases as indicated in Note 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5. Right-of-use assets, long-term financial assets and lease liabilities” for the contractual undiscounted cash flows for lease obligations.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ind w:left="29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9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9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21,746</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3 years</w:t>
            </w:r>
          </w:p>
        </w:tc>
        <w:tc>
          <w:tcPr>
            <w:tcW w:w="920" w:type="dxa"/>
            <w:vAlign w:val="bottom"/>
          </w:tcPr>
          <w:p>
            <w:pPr>
              <w:spacing w:after="0"/>
              <w:rPr>
                <w:sz w:val="19"/>
                <w:szCs w:val="19"/>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 and 5 years</w:t>
            </w:r>
          </w:p>
        </w:tc>
        <w:tc>
          <w:tcPr>
            <w:tcW w:w="920" w:type="dxa"/>
            <w:vAlign w:val="bottom"/>
            <w:shd w:val="clear" w:color="auto" w:fill="CCEEFF"/>
          </w:tcPr>
          <w:p>
            <w:pPr>
              <w:spacing w:after="0"/>
              <w:rPr>
                <w:sz w:val="19"/>
                <w:szCs w:val="19"/>
                <w:color w:val="auto"/>
              </w:rPr>
            </w:pP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More than 5 years</w:t>
            </w:r>
          </w:p>
        </w:tc>
        <w:tc>
          <w:tcPr>
            <w:tcW w:w="920" w:type="dxa"/>
            <w:vAlign w:val="bottom"/>
          </w:tcPr>
          <w:p>
            <w:pPr>
              <w:spacing w:after="0"/>
              <w:rPr>
                <w:sz w:val="19"/>
                <w:szCs w:val="19"/>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21. Earnings per share</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gridSpan w:val="4"/>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6"/>
                <w:szCs w:val="16"/>
                <w:color w:val="auto"/>
              </w:rPr>
            </w:pPr>
          </w:p>
        </w:tc>
        <w:tc>
          <w:tcPr>
            <w:tcW w:w="9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Loss per share (EPS)</w:t>
            </w: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(70,753)</w:t>
            </w: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used to compute EPS basic</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diluted attributable to equity holders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84,694,616</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83,554,412</w:t>
            </w: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74,951,833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80"/>
              <w:spacing w:after="0"/>
              <w:rPr>
                <w:sz w:val="20"/>
                <w:szCs w:val="20"/>
                <w:color w:val="auto"/>
              </w:rPr>
            </w:pPr>
            <w:r>
              <w:rPr>
                <w:rFonts w:ascii="Times New Roman" w:cs="Times New Roman" w:eastAsia="Times New Roman" w:hAnsi="Times New Roman"/>
                <w:sz w:val="18"/>
                <w:szCs w:val="18"/>
                <w:color w:val="auto"/>
              </w:rPr>
              <w:t>F-40</w:t>
            </w: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15" w:name="page216"/>
    <w:bookmarkEnd w:id="2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periods for which we have a loss, basic net loss per share is the same as diluted net loss per share. We have excluded from our calculation of diluted loss per share all potentially dilutive in-the-money (i) share options, (ii) non-vested restricted share awards and (iii) shares that were issued upon conversion of two different convertible notes as their inclusion would have been anti-dilutive. The weighted-average number of potentially dilutive securities that were not included in the diluted per share calculations because they would be anti-dilutive were as follows:</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Pr>
          <w:p>
            <w:pPr>
              <w:spacing w:after="0"/>
              <w:rPr>
                <w:sz w:val="16"/>
                <w:szCs w:val="16"/>
                <w:color w:val="auto"/>
              </w:rPr>
            </w:pPr>
          </w:p>
        </w:tc>
      </w:tr>
      <w:tr>
        <w:trPr>
          <w:trHeight w:val="195"/>
        </w:trPr>
        <w:tc>
          <w:tcPr>
            <w:tcW w:w="61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8"/>
        </w:trPr>
        <w:tc>
          <w:tcPr>
            <w:tcW w:w="6180" w:type="dxa"/>
            <w:vAlign w:val="bottom"/>
          </w:tcPr>
          <w:p>
            <w:pPr>
              <w:spacing w:after="0"/>
              <w:rPr>
                <w:sz w:val="16"/>
                <w:szCs w:val="16"/>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issued and outstanding (in-the-money)</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97,683</w:t>
            </w:r>
          </w:p>
        </w:tc>
        <w:tc>
          <w:tcPr>
            <w:tcW w:w="2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135,827</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1,140,388</w:t>
            </w:r>
          </w:p>
        </w:tc>
      </w:t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 subject to future vesting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1,160,240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117,292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shares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41,461</w:t>
            </w: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1,257,923</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253,119</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1,188,113</w:t>
            </w: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22. Financial instruments and risk management</w:t>
      </w:r>
    </w:p>
    <w:p>
      <w:pPr>
        <w:spacing w:after="0" w:line="229" w:lineRule="exact"/>
        <w:rPr>
          <w:sz w:val="20"/>
          <w:szCs w:val="20"/>
          <w:color w:val="auto"/>
        </w:rPr>
      </w:pPr>
    </w:p>
    <w:p>
      <w:pPr>
        <w:jc w:val="both"/>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Company’s activities expose it to the following financial risks: market risk (foreign exchange and interest rate risk), credit risk and liquidity risk. The Company’s overall risk management program focuses on the unpredictability of financial markets and seeks to minimize potential adverse effects on the Company’s financial performance.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and financial liabilities: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3"/>
          </w:tcPr>
          <w:p>
            <w:pPr>
              <w:jc w:val="center"/>
              <w:ind w:right="59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4"/>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200" w:type="dxa"/>
            <w:vAlign w:val="bottom"/>
            <w:gridSpan w:val="2"/>
          </w:tcPr>
          <w:p>
            <w:pPr>
              <w:ind w:left="29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6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r>
      <w:tr>
        <w:trPr>
          <w:trHeight w:val="23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9"/>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91,000</w:t>
            </w:r>
          </w:p>
        </w:tc>
      </w:tr>
      <w:tr>
        <w:trPr>
          <w:trHeight w:val="23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31,586</w:t>
            </w:r>
          </w:p>
        </w:tc>
      </w:tr>
      <w:tr>
        <w:trPr>
          <w:trHeight w:val="223"/>
        </w:trPr>
        <w:tc>
          <w:tcPr>
            <w:tcW w:w="7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122,339</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126,147</w:t>
            </w: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88"/>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3"/>
          </w:tcPr>
          <w:p>
            <w:pPr>
              <w:jc w:val="center"/>
              <w:ind w:right="59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4"/>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200" w:type="dxa"/>
            <w:vAlign w:val="bottom"/>
            <w:gridSpan w:val="2"/>
          </w:tcPr>
          <w:p>
            <w:pPr>
              <w:ind w:left="29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6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3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r>
      <w:tr>
        <w:trPr>
          <w:trHeight w:val="229"/>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3"/>
        </w:trPr>
        <w:tc>
          <w:tcPr>
            <w:tcW w:w="7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w:t>
            </w: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is exposed to foreign exchange risk arising from currency exposures, primarily with respect to the EUR, USD and to a lesser extent to GBP, DKK and SEK. The currency exposure is not hedged. However, the Company has a policy of matching its cash holdings to the currency structure of its expenses, which means that the Company holds predominately CHF, with lesser balances of EUR and USD (see “Note 8. Cash and cash equivalents and short-term financial assets”). The Company recognized a loss of CHF 1.5 million, a gain of CHF 0.5 million and a loss of CHF 0.1 million for the years ended December 31, 2023, 2022 and 2021, respectively, within “Finance result, net.”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6" w:name="page217"/>
    <w:bookmarkEnd w:id="2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if the CHF had strengthened/weakened by 10% against the EUR and the USD with all other variables held constant, the net loss for the period would have been lower/higher by CHF 2.6 million (2022: CHF 0.7 million), mainly as a result of foreign exchange gains/losses on predominantly EUR/USD denominated cash and cash equivalents and short-term financial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2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Company’s CHF cash holdings (inclusive of those held in short-term financial assets) were subject to positive interest rates at certain counterparty thresholds through 2023. As of December 31, 2023 if the interest rates granted by the counterparties had increased/decreased by 10%, the net income for the period would have been higher/lower by CHF 0.1 million. Interest income and interest expense are recorded within finance results, net in our consolidated statements of income/(loss).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maintains a formal treasury risk and investment management policy to limit counterparty credit risk. As of December 31, 2023, the Company’s cash and cash equivalents and short-term financial assets are held with five financial institutions, each with a high credit rating ranging from A+ to AA- assigned by international credit-rating agencies. The maximum amount of credit risk is the carrying amount of the financial assets. Accounts receivable and other receivables are fully performing, not past due and not impaired (see “Note 8. Cash and cash equivalents and short-term financial assets”, “Note 10. Accounts receivable” and “Note 11. Other current receivables”).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Inherent in the Company’s business are various risks and uncertainties, including the high uncertainty that new therapeutic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pacing w:after="0" w:line="18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12 months. The Company has CHF 1.7 million in trade and other payables, and CHF 11.1 million in accrued expenses which are due within 12 months from the reporting date. Finally, as it relates to the Company’s lease liabilities please see “Note 5. Right-of-use assets, long-term financial assets and lease liabilities” for detail of when corresponding lease liabilities are due.</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23. Capital risk management</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Company’s objectives when managing capital are to safeguard the Company’s ability to continue as a going concern and to preserve the capital on the required statutory level in order to succeed in developing a cure against (i) AD, (ii) focused non-Alzheimer’s neurodegenerative diseases including NeuroOrphan indications and (iii) diagnostics.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24. Subsequent events</w:t>
      </w:r>
    </w:p>
    <w:p>
      <w:pPr>
        <w:spacing w:after="0" w:line="22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these consolidated financial statements, for appropriate accounting and disclosures.</w:t>
      </w:r>
    </w:p>
    <w:p>
      <w:pPr>
        <w:spacing w:after="0" w:line="148"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On January 22, 2024, the Company announced that it will regain all global rights to the anti-amyloid beta antibody crenezumab and the anti-Tau antibody semorinemab following termination of the collaboration agreements with Genentech, a member of the Roche Group, and Roche, which termination will be effective in April 2024. Both antibodies have been evaluated in clinical studies for AD. AC Immune will also regain rights to existing GMP drug-product for clinical testing as well as associated data generated under each of the agreements. AC Immune will carefully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7" w:name="page218"/>
    <w:bookmarkEnd w:id="2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review and evaluate available data sets, including the final open label extension results from the Lauriet trial when they become available and are received in full by AC Immune, before decisions are made on potential further development and other opportunities.</w:t>
      </w:r>
    </w:p>
    <w:p>
      <w:pPr>
        <w:spacing w:after="0" w:line="1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On February 1, 2024, the Company received the milestone payment of CHF 14.8 million due from Janssen for the commencement of first Phase 2b clinical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8" w:name="page219"/>
    <w:bookmarkEnd w:id="218"/>
    <w:p>
      <w:pPr>
        <w:ind w:left="8340"/>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173" w:lineRule="exact"/>
        <w:rPr>
          <w:sz w:val="20"/>
          <w:szCs w:val="20"/>
          <w:color w:val="auto"/>
        </w:rPr>
      </w:pPr>
    </w:p>
    <w:tbl>
      <w:tblPr>
        <w:tblLayout w:type="fixed"/>
        <w:tblInd w:w="230" w:type="dxa"/>
        <w:tblCellMar>
          <w:top w:w="0" w:type="dxa"/>
          <w:left w:w="0" w:type="dxa"/>
          <w:bottom w:w="0" w:type="dxa"/>
          <w:right w:w="0" w:type="dxa"/>
        </w:tblCellMar>
      </w:tblPr>
      <w:tr>
        <w:trPr>
          <w:trHeight w:val="338"/>
        </w:trPr>
        <w:tc>
          <w:tcPr>
            <w:tcW w:w="960" w:type="dxa"/>
            <w:vAlign w:val="bottom"/>
            <w:tcBorders>
              <w:top w:val="single" w:sz="8" w:color="auto"/>
              <w:left w:val="single" w:sz="8" w:color="auto"/>
            </w:tcBorders>
          </w:tcPr>
          <w:p>
            <w:pPr>
              <w:spacing w:after="0"/>
              <w:rPr>
                <w:sz w:val="24"/>
                <w:szCs w:val="24"/>
                <w:color w:val="auto"/>
              </w:rPr>
            </w:pPr>
          </w:p>
        </w:tc>
        <w:tc>
          <w:tcPr>
            <w:tcW w:w="35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ARTICLES OF ASSOCIATION</w:t>
            </w:r>
          </w:p>
        </w:tc>
        <w:tc>
          <w:tcPr>
            <w:tcW w:w="380" w:type="dxa"/>
            <w:vAlign w:val="bottom"/>
            <w:tcBorders>
              <w:top w:val="single" w:sz="8" w:color="auto"/>
              <w:right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20" w:type="dxa"/>
            <w:vAlign w:val="bottom"/>
            <w:tcBorders>
              <w:top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STATUTS</w:t>
            </w:r>
          </w:p>
        </w:tc>
      </w:tr>
      <w:tr>
        <w:trPr>
          <w:trHeight w:val="378"/>
        </w:trPr>
        <w:tc>
          <w:tcPr>
            <w:tcW w:w="960" w:type="dxa"/>
            <w:vAlign w:val="bottom"/>
            <w:tcBorders>
              <w:left w:val="single" w:sz="8" w:color="auto"/>
            </w:tcBorders>
          </w:tcPr>
          <w:p>
            <w:pPr>
              <w:spacing w:after="0"/>
              <w:rPr>
                <w:sz w:val="24"/>
                <w:szCs w:val="24"/>
                <w:color w:val="auto"/>
              </w:rPr>
            </w:pPr>
          </w:p>
        </w:tc>
        <w:tc>
          <w:tcPr>
            <w:tcW w:w="3500" w:type="dxa"/>
            <w:vAlign w:val="bottom"/>
            <w:tcBorders>
              <w:right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38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de</w:t>
            </w:r>
          </w:p>
        </w:tc>
      </w:tr>
      <w:tr>
        <w:trPr>
          <w:trHeight w:val="342"/>
        </w:trPr>
        <w:tc>
          <w:tcPr>
            <w:tcW w:w="960" w:type="dxa"/>
            <w:vAlign w:val="bottom"/>
            <w:tcBorders>
              <w:left w:val="single" w:sz="8" w:color="auto"/>
            </w:tcBorders>
          </w:tcPr>
          <w:p>
            <w:pPr>
              <w:spacing w:after="0"/>
              <w:rPr>
                <w:sz w:val="24"/>
                <w:szCs w:val="24"/>
                <w:color w:val="auto"/>
              </w:rPr>
            </w:pPr>
          </w:p>
        </w:tc>
        <w:tc>
          <w:tcPr>
            <w:tcW w:w="3500" w:type="dxa"/>
            <w:vAlign w:val="bottom"/>
            <w:tcBorders>
              <w:right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AC Immune SA</w:t>
            </w:r>
          </w:p>
        </w:tc>
        <w:tc>
          <w:tcPr>
            <w:tcW w:w="38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AC Immune SA</w:t>
            </w:r>
          </w:p>
        </w:tc>
      </w:tr>
      <w:tr>
        <w:trPr>
          <w:trHeight w:val="216"/>
        </w:trPr>
        <w:tc>
          <w:tcPr>
            <w:tcW w:w="960" w:type="dxa"/>
            <w:vAlign w:val="bottom"/>
            <w:tcBorders>
              <w:left w:val="single" w:sz="8" w:color="auto"/>
            </w:tcBorders>
          </w:tcPr>
          <w:p>
            <w:pPr>
              <w:spacing w:after="0"/>
              <w:rPr>
                <w:sz w:val="18"/>
                <w:szCs w:val="18"/>
                <w:color w:val="auto"/>
              </w:rPr>
            </w:pPr>
          </w:p>
        </w:tc>
        <w:tc>
          <w:tcPr>
            <w:tcW w:w="3500" w:type="dxa"/>
            <w:vAlign w:val="bottom"/>
            <w:tcBorders>
              <w:right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(AC Immune AG)</w:t>
            </w:r>
          </w:p>
        </w:tc>
        <w:tc>
          <w:tcPr>
            <w:tcW w:w="38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82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(AC Immune AG)</w:t>
            </w:r>
          </w:p>
        </w:tc>
      </w:tr>
      <w:tr>
        <w:trPr>
          <w:trHeight w:val="238"/>
        </w:trPr>
        <w:tc>
          <w:tcPr>
            <w:tcW w:w="960" w:type="dxa"/>
            <w:vAlign w:val="bottom"/>
            <w:tcBorders>
              <w:left w:val="single" w:sz="8" w:color="auto"/>
            </w:tcBorders>
          </w:tcPr>
          <w:p>
            <w:pPr>
              <w:spacing w:after="0"/>
              <w:rPr>
                <w:sz w:val="20"/>
                <w:szCs w:val="20"/>
                <w:color w:val="auto"/>
              </w:rPr>
            </w:pPr>
          </w:p>
        </w:tc>
        <w:tc>
          <w:tcPr>
            <w:tcW w:w="3500" w:type="dxa"/>
            <w:vAlign w:val="bottom"/>
            <w:tcBorders>
              <w:right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(AC Immune Ltd)</w:t>
            </w:r>
          </w:p>
        </w:tc>
        <w:tc>
          <w:tcPr>
            <w:tcW w:w="38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3820" w:type="dxa"/>
            <w:vAlign w:val="bottom"/>
            <w:tcBorders>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(AC Immune Ltd)</w:t>
            </w:r>
          </w:p>
        </w:tc>
      </w:tr>
      <w:tr>
        <w:trPr>
          <w:trHeight w:val="688"/>
        </w:trPr>
        <w:tc>
          <w:tcPr>
            <w:tcW w:w="960" w:type="dxa"/>
            <w:vAlign w:val="bottom"/>
            <w:tcBorders>
              <w:left w:val="single" w:sz="8" w:color="auto"/>
            </w:tcBorders>
          </w:tcPr>
          <w:p>
            <w:pPr>
              <w:spacing w:after="0"/>
              <w:rPr>
                <w:sz w:val="24"/>
                <w:szCs w:val="24"/>
                <w:color w:val="auto"/>
              </w:rPr>
            </w:pPr>
          </w:p>
        </w:tc>
        <w:tc>
          <w:tcPr>
            <w:tcW w:w="3500" w:type="dxa"/>
            <w:vAlign w:val="bottom"/>
            <w:tcBorders>
              <w:right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with registered office in</w:t>
            </w:r>
          </w:p>
        </w:tc>
        <w:tc>
          <w:tcPr>
            <w:tcW w:w="38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avec siège à</w:t>
            </w:r>
          </w:p>
        </w:tc>
      </w:tr>
      <w:tr>
        <w:trPr>
          <w:trHeight w:val="378"/>
        </w:trPr>
        <w:tc>
          <w:tcPr>
            <w:tcW w:w="960" w:type="dxa"/>
            <w:vAlign w:val="bottom"/>
            <w:tcBorders>
              <w:left w:val="single" w:sz="8" w:color="auto"/>
            </w:tcBorders>
          </w:tcPr>
          <w:p>
            <w:pPr>
              <w:spacing w:after="0"/>
              <w:rPr>
                <w:sz w:val="24"/>
                <w:szCs w:val="24"/>
                <w:color w:val="auto"/>
              </w:rPr>
            </w:pPr>
          </w:p>
        </w:tc>
        <w:tc>
          <w:tcPr>
            <w:tcW w:w="3500" w:type="dxa"/>
            <w:vAlign w:val="bottom"/>
            <w:tcBorders>
              <w:right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Ecublens (VD)</w:t>
            </w:r>
          </w:p>
        </w:tc>
        <w:tc>
          <w:tcPr>
            <w:tcW w:w="38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tcBorders>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Ecublens (VD)</w:t>
            </w:r>
          </w:p>
        </w:tc>
      </w:tr>
      <w:tr>
        <w:trPr>
          <w:trHeight w:val="346"/>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French version of these articles of association shall</w:t>
            </w:r>
          </w:p>
        </w:tc>
        <w:tc>
          <w:tcPr>
            <w:tcW w:w="38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La version française de ces statuts fait foi.</w:t>
            </w:r>
          </w:p>
        </w:tc>
      </w:tr>
      <w:tr>
        <w:trPr>
          <w:trHeight w:val="234"/>
        </w:trPr>
        <w:tc>
          <w:tcPr>
            <w:tcW w:w="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prevail.</w:t>
            </w:r>
          </w:p>
        </w:tc>
        <w:tc>
          <w:tcPr>
            <w:tcW w:w="350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108"/>
        </w:trPr>
        <w:tc>
          <w:tcPr>
            <w:tcW w:w="960" w:type="dxa"/>
            <w:vAlign w:val="bottom"/>
            <w:tcBorders>
              <w:left w:val="single" w:sz="8" w:color="auto"/>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20" w:type="dxa"/>
            <w:vAlign w:val="bottom"/>
            <w:tcBorders>
              <w:bottom w:val="single" w:sz="8" w:color="auto"/>
              <w:right w:val="single" w:sz="8" w:color="auto"/>
            </w:tcBorders>
            <w:gridSpan w:val="2"/>
          </w:tcPr>
          <w:p>
            <w:pPr>
              <w:spacing w:after="0"/>
              <w:rPr>
                <w:sz w:val="9"/>
                <w:szCs w:val="9"/>
                <w:color w:val="auto"/>
              </w:rPr>
            </w:pPr>
          </w:p>
        </w:tc>
      </w:tr>
      <w:tr>
        <w:trPr>
          <w:trHeight w:val="295"/>
        </w:trPr>
        <w:tc>
          <w:tcPr>
            <w:tcW w:w="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w:t>
            </w: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NAME, PRINCIPAL</w:t>
            </w:r>
          </w:p>
        </w:tc>
        <w:tc>
          <w:tcPr>
            <w:tcW w:w="380" w:type="dxa"/>
            <w:vAlign w:val="bottom"/>
            <w:tcBorders>
              <w:right w:val="single" w:sz="8" w:color="auto"/>
            </w:tcBorders>
          </w:tcPr>
          <w:p>
            <w:pPr>
              <w:spacing w:after="0"/>
              <w:rPr>
                <w:sz w:val="24"/>
                <w:szCs w:val="2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w:t>
            </w:r>
          </w:p>
        </w:tc>
        <w:tc>
          <w:tcPr>
            <w:tcW w:w="382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RAISON SOCIALE, SIÈGE,</w:t>
            </w:r>
          </w:p>
        </w:tc>
      </w:tr>
      <w:tr>
        <w:trPr>
          <w:trHeight w:val="216"/>
        </w:trPr>
        <w:tc>
          <w:tcPr>
            <w:tcW w:w="960" w:type="dxa"/>
            <w:vAlign w:val="bottom"/>
            <w:tcBorders>
              <w:left w:val="single" w:sz="8" w:color="auto"/>
            </w:tcBorders>
          </w:tcPr>
          <w:p>
            <w:pPr>
              <w:spacing w:after="0"/>
              <w:rPr>
                <w:sz w:val="18"/>
                <w:szCs w:val="18"/>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OFFICE, DURATION AND PURPOSE</w:t>
            </w:r>
          </w:p>
        </w:tc>
        <w:tc>
          <w:tcPr>
            <w:tcW w:w="38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82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DURÉE ET BUT DE LA SOCIÉTÉ</w:t>
            </w:r>
          </w:p>
        </w:tc>
      </w:tr>
      <w:tr>
        <w:trPr>
          <w:trHeight w:val="238"/>
        </w:trPr>
        <w:tc>
          <w:tcPr>
            <w:tcW w:w="960" w:type="dxa"/>
            <w:vAlign w:val="bottom"/>
            <w:tcBorders>
              <w:left w:val="single" w:sz="8" w:color="auto"/>
            </w:tcBorders>
          </w:tcPr>
          <w:p>
            <w:pPr>
              <w:spacing w:after="0"/>
              <w:rPr>
                <w:sz w:val="20"/>
                <w:szCs w:val="20"/>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OF THE COMPANY</w:t>
            </w:r>
          </w:p>
        </w:tc>
        <w:tc>
          <w:tcPr>
            <w:tcW w:w="38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364"/>
        </w:trPr>
        <w:tc>
          <w:tcPr>
            <w:tcW w:w="960" w:type="dxa"/>
            <w:vAlign w:val="bottom"/>
            <w:tcBorders>
              <w:left w:val="single" w:sz="8" w:color="auto"/>
              <w:bottom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gridSpan w:val="2"/>
          </w:tcPr>
          <w:p>
            <w:pPr>
              <w:spacing w:after="0"/>
              <w:rPr>
                <w:sz w:val="24"/>
                <w:szCs w:val="24"/>
                <w:color w:val="auto"/>
              </w:rPr>
            </w:pPr>
          </w:p>
        </w:tc>
      </w:tr>
      <w:tr>
        <w:trPr>
          <w:trHeight w:val="318"/>
        </w:trPr>
        <w:tc>
          <w:tcPr>
            <w:tcW w:w="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1</w:t>
            </w: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Name and Duration</w:t>
            </w:r>
          </w:p>
        </w:tc>
        <w:tc>
          <w:tcPr>
            <w:tcW w:w="380" w:type="dxa"/>
            <w:vAlign w:val="bottom"/>
            <w:tcBorders>
              <w:right w:val="single" w:sz="8" w:color="auto"/>
            </w:tcBorders>
          </w:tcPr>
          <w:p>
            <w:pPr>
              <w:spacing w:after="0"/>
              <w:rPr>
                <w:sz w:val="24"/>
                <w:szCs w:val="2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Art. 1</w:t>
            </w:r>
          </w:p>
        </w:tc>
        <w:tc>
          <w:tcPr>
            <w:tcW w:w="3820" w:type="dxa"/>
            <w:vAlign w:val="bottom"/>
            <w:tcBorders>
              <w:right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Raison sociale et durée</w:t>
            </w:r>
          </w:p>
        </w:tc>
      </w:tr>
      <w:tr>
        <w:trPr>
          <w:trHeight w:val="378"/>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Under the name</w:t>
            </w:r>
          </w:p>
        </w:tc>
        <w:tc>
          <w:tcPr>
            <w:tcW w:w="38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Sous la raison sociale</w:t>
            </w:r>
          </w:p>
        </w:tc>
      </w:tr>
      <w:tr>
        <w:trPr>
          <w:trHeight w:val="346"/>
        </w:trPr>
        <w:tc>
          <w:tcPr>
            <w:tcW w:w="960" w:type="dxa"/>
            <w:vAlign w:val="bottom"/>
            <w:tcBorders>
              <w:left w:val="single" w:sz="8" w:color="auto"/>
            </w:tcBorders>
          </w:tcPr>
          <w:p>
            <w:pPr>
              <w:spacing w:after="0"/>
              <w:rPr>
                <w:sz w:val="24"/>
                <w:szCs w:val="24"/>
                <w:color w:val="auto"/>
              </w:rPr>
            </w:pPr>
          </w:p>
        </w:tc>
        <w:tc>
          <w:tcPr>
            <w:tcW w:w="3500" w:type="dxa"/>
            <w:vAlign w:val="bottom"/>
            <w:tcBorders>
              <w:right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color w:val="auto"/>
              </w:rPr>
              <w:t>AC Immune SA</w:t>
            </w:r>
          </w:p>
        </w:tc>
        <w:tc>
          <w:tcPr>
            <w:tcW w:w="38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8"/>
                <w:szCs w:val="18"/>
                <w:color w:val="auto"/>
              </w:rPr>
              <w:t>AC Immune SA</w:t>
            </w:r>
          </w:p>
        </w:tc>
      </w:tr>
      <w:tr>
        <w:trPr>
          <w:trHeight w:val="216"/>
        </w:trPr>
        <w:tc>
          <w:tcPr>
            <w:tcW w:w="960" w:type="dxa"/>
            <w:vAlign w:val="bottom"/>
            <w:tcBorders>
              <w:left w:val="single" w:sz="8" w:color="auto"/>
            </w:tcBorders>
          </w:tcPr>
          <w:p>
            <w:pPr>
              <w:spacing w:after="0"/>
              <w:rPr>
                <w:sz w:val="18"/>
                <w:szCs w:val="18"/>
                <w:color w:val="auto"/>
              </w:rPr>
            </w:pPr>
          </w:p>
        </w:tc>
        <w:tc>
          <w:tcPr>
            <w:tcW w:w="3500" w:type="dxa"/>
            <w:vAlign w:val="bottom"/>
            <w:tcBorders>
              <w:right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color w:val="auto"/>
                <w:w w:val="99"/>
              </w:rPr>
              <w:t>(AC Immune AG)</w:t>
            </w:r>
          </w:p>
        </w:tc>
        <w:tc>
          <w:tcPr>
            <w:tcW w:w="38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820" w:type="dxa"/>
            <w:vAlign w:val="bottom"/>
            <w:tcBorders>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(AC Immune AG)</w:t>
            </w:r>
          </w:p>
        </w:tc>
      </w:tr>
      <w:tr>
        <w:trPr>
          <w:trHeight w:val="234"/>
        </w:trPr>
        <w:tc>
          <w:tcPr>
            <w:tcW w:w="960" w:type="dxa"/>
            <w:vAlign w:val="bottom"/>
            <w:tcBorders>
              <w:left w:val="single" w:sz="8" w:color="auto"/>
            </w:tcBorders>
          </w:tcPr>
          <w:p>
            <w:pPr>
              <w:spacing w:after="0"/>
              <w:rPr>
                <w:sz w:val="20"/>
                <w:szCs w:val="20"/>
                <w:color w:val="auto"/>
              </w:rPr>
            </w:pPr>
          </w:p>
        </w:tc>
        <w:tc>
          <w:tcPr>
            <w:tcW w:w="3500" w:type="dxa"/>
            <w:vAlign w:val="bottom"/>
            <w:tcBorders>
              <w:right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color w:val="auto"/>
                <w:w w:val="99"/>
              </w:rPr>
              <w:t>(AC Immune Ltd)</w:t>
            </w:r>
          </w:p>
        </w:tc>
        <w:tc>
          <w:tcPr>
            <w:tcW w:w="38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382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(AC Immune Ltd)</w:t>
            </w:r>
          </w:p>
        </w:tc>
      </w:tr>
      <w:tr>
        <w:trPr>
          <w:trHeight w:val="304"/>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there exists a Company pursuant to the provisions of</w:t>
            </w:r>
          </w:p>
        </w:tc>
        <w:tc>
          <w:tcPr>
            <w:tcW w:w="38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il existe une société conformément aux articles 620 ss. du</w:t>
            </w:r>
          </w:p>
        </w:tc>
      </w:tr>
      <w:tr>
        <w:trPr>
          <w:trHeight w:val="218"/>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Articles 620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Swiss Code of Obligations</w:t>
            </w:r>
          </w:p>
        </w:tc>
        <w:tc>
          <w:tcPr>
            <w:tcW w:w="38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Code des Obligations suisse (CO) ayant son siège à</w:t>
            </w:r>
          </w:p>
        </w:tc>
      </w:tr>
      <w:tr>
        <w:trPr>
          <w:trHeight w:val="216"/>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  with  registered  office  in  Ecublens  (VD).  The</w:t>
            </w:r>
          </w:p>
        </w:tc>
        <w:tc>
          <w:tcPr>
            <w:tcW w:w="38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Ecublens (VD). La durée de la société est illimitée.</w:t>
            </w:r>
          </w:p>
        </w:tc>
      </w:tr>
      <w:tr>
        <w:trPr>
          <w:trHeight w:val="234"/>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duration of the Company is unlimited.</w:t>
            </w:r>
          </w:p>
        </w:tc>
        <w:tc>
          <w:tcPr>
            <w:tcW w:w="38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108"/>
        </w:trPr>
        <w:tc>
          <w:tcPr>
            <w:tcW w:w="960" w:type="dxa"/>
            <w:vAlign w:val="bottom"/>
            <w:tcBorders>
              <w:left w:val="single" w:sz="8" w:color="auto"/>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20" w:type="dxa"/>
            <w:vAlign w:val="bottom"/>
            <w:tcBorders>
              <w:bottom w:val="single" w:sz="8" w:color="auto"/>
              <w:right w:val="single" w:sz="8" w:color="auto"/>
            </w:tcBorders>
            <w:gridSpan w:val="2"/>
          </w:tcPr>
          <w:p>
            <w:pPr>
              <w:spacing w:after="0"/>
              <w:rPr>
                <w:sz w:val="9"/>
                <w:szCs w:val="9"/>
                <w:color w:val="auto"/>
              </w:rPr>
            </w:pPr>
          </w:p>
        </w:tc>
      </w:tr>
      <w:tr>
        <w:trPr>
          <w:trHeight w:val="318"/>
        </w:trPr>
        <w:tc>
          <w:tcPr>
            <w:tcW w:w="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2</w:t>
            </w: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380" w:type="dxa"/>
            <w:vAlign w:val="bottom"/>
            <w:tcBorders>
              <w:right w:val="single" w:sz="8" w:color="auto"/>
            </w:tcBorders>
          </w:tcPr>
          <w:p>
            <w:pPr>
              <w:spacing w:after="0"/>
              <w:rPr>
                <w:sz w:val="24"/>
                <w:szCs w:val="2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Art. 2</w:t>
            </w:r>
          </w:p>
        </w:tc>
        <w:tc>
          <w:tcPr>
            <w:tcW w:w="3820" w:type="dxa"/>
            <w:vAlign w:val="bottom"/>
            <w:tcBorders>
              <w:right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But</w:t>
            </w:r>
          </w:p>
        </w:tc>
      </w:tr>
      <w:tr>
        <w:trPr>
          <w:trHeight w:val="360"/>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purpose of the Company is the research, study,</w:t>
            </w:r>
          </w:p>
        </w:tc>
        <w:tc>
          <w:tcPr>
            <w:tcW w:w="38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Le but de la société est la recherche, les études, le</w:t>
            </w:r>
          </w:p>
        </w:tc>
      </w:tr>
      <w:tr>
        <w:trPr>
          <w:trHeight w:val="216"/>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development, manufacture, promotion, sale and marketing</w:t>
            </w:r>
          </w:p>
        </w:tc>
        <w:tc>
          <w:tcPr>
            <w:tcW w:w="38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développement, la fabrication, la promotion, la vente et le</w:t>
            </w:r>
          </w:p>
        </w:tc>
      </w:tr>
      <w:tr>
        <w:trPr>
          <w:trHeight w:val="216"/>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 products and substances within the pharmaceutical and</w:t>
            </w:r>
          </w:p>
        </w:tc>
        <w:tc>
          <w:tcPr>
            <w:tcW w:w="38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marketing des produits et des substances au sein de</w:t>
            </w:r>
          </w:p>
        </w:tc>
      </w:tr>
      <w:tr>
        <w:trPr>
          <w:trHeight w:val="216"/>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nutrition  industry  as  well  as  the  purchase,  sale  and</w:t>
            </w:r>
          </w:p>
        </w:tc>
        <w:tc>
          <w:tcPr>
            <w:tcW w:w="38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l'industrie pharmaceutique et de la nutrition ainsi que</w:t>
            </w:r>
          </w:p>
        </w:tc>
      </w:tr>
      <w:tr>
        <w:trPr>
          <w:trHeight w:val="216"/>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exploitation of patents and licenses in this field.</w:t>
            </w:r>
          </w:p>
        </w:tc>
        <w:tc>
          <w:tcPr>
            <w:tcW w:w="38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l'achat, la vente et l'exploitation de brevets et de licences</w:t>
            </w:r>
          </w:p>
        </w:tc>
      </w:tr>
      <w:tr>
        <w:trPr>
          <w:trHeight w:val="234"/>
        </w:trPr>
        <w:tc>
          <w:tcPr>
            <w:tcW w:w="960" w:type="dxa"/>
            <w:vAlign w:val="bottom"/>
            <w:tcBorders>
              <w:lef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dans ce domaine.</w:t>
            </w:r>
          </w:p>
        </w:tc>
      </w:tr>
      <w:tr>
        <w:trPr>
          <w:trHeight w:val="95"/>
        </w:trPr>
        <w:tc>
          <w:tcPr>
            <w:tcW w:w="4460" w:type="dxa"/>
            <w:vAlign w:val="bottom"/>
            <w:tcBorders>
              <w:left w:val="single" w:sz="8" w:color="auto"/>
              <w:bottom w:val="single" w:sz="8" w:color="auto"/>
              <w:right w:val="single" w:sz="8" w:color="auto"/>
            </w:tcBorders>
            <w:gridSpan w:val="2"/>
          </w:tcPr>
          <w:p>
            <w:pPr>
              <w:spacing w:after="0"/>
              <w:rPr>
                <w:sz w:val="8"/>
                <w:szCs w:val="8"/>
                <w:color w:val="auto"/>
              </w:rPr>
            </w:pPr>
          </w:p>
        </w:tc>
        <w:tc>
          <w:tcPr>
            <w:tcW w:w="380" w:type="dxa"/>
            <w:vAlign w:val="bottom"/>
            <w:tcBorders>
              <w:bottom w:val="single" w:sz="8" w:color="auto"/>
              <w:right w:val="single" w:sz="8" w:color="auto"/>
            </w:tcBorders>
          </w:tcPr>
          <w:p>
            <w:pPr>
              <w:spacing w:after="0"/>
              <w:rPr>
                <w:sz w:val="8"/>
                <w:szCs w:val="8"/>
                <w:color w:val="auto"/>
              </w:rPr>
            </w:pPr>
          </w:p>
        </w:tc>
        <w:tc>
          <w:tcPr>
            <w:tcW w:w="4440" w:type="dxa"/>
            <w:vAlign w:val="bottom"/>
            <w:tcBorders>
              <w:bottom w:val="single" w:sz="8" w:color="auto"/>
              <w:right w:val="single" w:sz="8" w:color="auto"/>
            </w:tcBorders>
            <w:gridSpan w:val="3"/>
          </w:tcPr>
          <w:p>
            <w:pPr>
              <w:spacing w:after="0"/>
              <w:rPr>
                <w:sz w:val="8"/>
                <w:szCs w:val="8"/>
                <w:color w:val="auto"/>
              </w:rPr>
            </w:pPr>
          </w:p>
        </w:tc>
      </w:tr>
      <w:tr>
        <w:trPr>
          <w:trHeight w:val="299"/>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Company may engage in any activities which are apt</w:t>
            </w:r>
          </w:p>
        </w:tc>
        <w:tc>
          <w:tcPr>
            <w:tcW w:w="38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La société peut se livrer à des activités qui sont de nature à</w:t>
            </w:r>
          </w:p>
        </w:tc>
      </w:tr>
      <w:tr>
        <w:trPr>
          <w:trHeight w:val="216"/>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 favor the purpose of the Company directly or indirectly.</w:t>
            </w:r>
          </w:p>
        </w:tc>
        <w:tc>
          <w:tcPr>
            <w:tcW w:w="38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favoriser directement ou indirectement le but de la société.</w:t>
            </w:r>
          </w:p>
        </w:tc>
      </w:tr>
      <w:tr>
        <w:trPr>
          <w:trHeight w:val="216"/>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Company may also acquire and sell real estate.</w:t>
            </w:r>
          </w:p>
        </w:tc>
        <w:tc>
          <w:tcPr>
            <w:tcW w:w="38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La société peut également acquérir et vendre des biens</w:t>
            </w:r>
          </w:p>
        </w:tc>
      </w:tr>
      <w:tr>
        <w:trPr>
          <w:trHeight w:val="234"/>
        </w:trPr>
        <w:tc>
          <w:tcPr>
            <w:tcW w:w="960" w:type="dxa"/>
            <w:vAlign w:val="bottom"/>
            <w:tcBorders>
              <w:lef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immobiliers.</w:t>
            </w:r>
          </w:p>
        </w:tc>
      </w:tr>
      <w:tr>
        <w:trPr>
          <w:trHeight w:val="108"/>
        </w:trPr>
        <w:tc>
          <w:tcPr>
            <w:tcW w:w="4460" w:type="dxa"/>
            <w:vAlign w:val="bottom"/>
            <w:tcBorders>
              <w:left w:val="single" w:sz="8" w:color="auto"/>
              <w:bottom w:val="single" w:sz="8" w:color="auto"/>
              <w:right w:val="single" w:sz="8" w:color="auto"/>
            </w:tcBorders>
            <w:gridSpan w:val="2"/>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444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Company may open branch offices in Switzerland</w:t>
            </w:r>
          </w:p>
        </w:tc>
        <w:tc>
          <w:tcPr>
            <w:tcW w:w="38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La société peut ouvrir des succursales en Suisse et à</w:t>
            </w:r>
          </w:p>
        </w:tc>
      </w:tr>
      <w:tr>
        <w:trPr>
          <w:trHeight w:val="216"/>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and abroad and may also acquire participations in other</w:t>
            </w:r>
          </w:p>
        </w:tc>
        <w:tc>
          <w:tcPr>
            <w:tcW w:w="38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l'étranger et peut également acquérir des participations</w:t>
            </w:r>
          </w:p>
        </w:tc>
      </w:tr>
      <w:tr>
        <w:trPr>
          <w:trHeight w:val="234"/>
        </w:trPr>
        <w:tc>
          <w:tcPr>
            <w:tcW w:w="9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companies.</w:t>
            </w:r>
          </w:p>
        </w:tc>
        <w:tc>
          <w:tcPr>
            <w:tcW w:w="350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dans d'autres sociétés.</w:t>
            </w:r>
          </w:p>
        </w:tc>
      </w:tr>
      <w:tr>
        <w:trPr>
          <w:trHeight w:val="108"/>
        </w:trPr>
        <w:tc>
          <w:tcPr>
            <w:tcW w:w="4460" w:type="dxa"/>
            <w:vAlign w:val="bottom"/>
            <w:tcBorders>
              <w:left w:val="single" w:sz="8" w:color="auto"/>
              <w:bottom w:val="single" w:sz="8" w:color="auto"/>
              <w:right w:val="single" w:sz="8" w:color="auto"/>
            </w:tcBorders>
            <w:gridSpan w:val="2"/>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4440" w:type="dxa"/>
            <w:vAlign w:val="bottom"/>
            <w:tcBorders>
              <w:bottom w:val="single" w:sz="8" w:color="auto"/>
              <w:right w:val="single" w:sz="8" w:color="auto"/>
            </w:tcBorders>
            <w:gridSpan w:val="3"/>
          </w:tcPr>
          <w:p>
            <w:pPr>
              <w:spacing w:after="0"/>
              <w:rPr>
                <w:sz w:val="9"/>
                <w:szCs w:val="9"/>
                <w:color w:val="auto"/>
              </w:rPr>
            </w:pPr>
          </w:p>
        </w:tc>
      </w:tr>
      <w:tr>
        <w:trPr>
          <w:trHeight w:val="317"/>
        </w:trPr>
        <w:tc>
          <w:tcPr>
            <w:tcW w:w="44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Company may provide securities to its subsidiaries</w:t>
            </w:r>
          </w:p>
        </w:tc>
        <w:tc>
          <w:tcPr>
            <w:tcW w:w="380" w:type="dxa"/>
            <w:vAlign w:val="bottom"/>
            <w:tcBorders>
              <w:right w:val="single" w:sz="8" w:color="auto"/>
            </w:tcBorders>
          </w:tcPr>
          <w:p>
            <w:pPr>
              <w:spacing w:after="0"/>
              <w:rPr>
                <w:sz w:val="24"/>
                <w:szCs w:val="24"/>
                <w:color w:val="auto"/>
              </w:rPr>
            </w:pPr>
          </w:p>
        </w:tc>
        <w:tc>
          <w:tcPr>
            <w:tcW w:w="44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La société peut fournir des titres à ses filiales et des</w:t>
            </w:r>
          </w:p>
        </w:tc>
      </w:tr>
      <w:tr>
        <w:trPr>
          <w:trHeight w:val="149"/>
        </w:trPr>
        <w:tc>
          <w:tcPr>
            <w:tcW w:w="960" w:type="dxa"/>
            <w:vAlign w:val="bottom"/>
            <w:tcBorders>
              <w:left w:val="single" w:sz="8" w:color="auto"/>
              <w:bottom w:val="single" w:sz="8" w:color="auto"/>
            </w:tcBorders>
          </w:tcPr>
          <w:p>
            <w:pPr>
              <w:spacing w:after="0"/>
              <w:rPr>
                <w:sz w:val="12"/>
                <w:szCs w:val="12"/>
                <w:color w:val="auto"/>
              </w:rPr>
            </w:pPr>
          </w:p>
        </w:tc>
        <w:tc>
          <w:tcPr>
            <w:tcW w:w="350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50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r>
      <w:tr>
        <w:trPr>
          <w:trHeight w:val="554"/>
        </w:trPr>
        <w:tc>
          <w:tcPr>
            <w:tcW w:w="9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9480"/>
          </w:cols>
          <w:pgMar w:left="1440" w:top="887" w:right="979" w:bottom="1440" w:gutter="0" w:footer="0" w:header="0"/>
        </w:sectPr>
      </w:pPr>
    </w:p>
    <w:bookmarkStart w:id="219" w:name="page220"/>
    <w:bookmarkEnd w:id="219"/>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338"/>
        </w:trPr>
        <w:tc>
          <w:tcPr>
            <w:tcW w:w="44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and supply guarantees.</w:t>
            </w:r>
          </w:p>
        </w:tc>
        <w:tc>
          <w:tcPr>
            <w:tcW w:w="400" w:type="dxa"/>
            <w:vAlign w:val="bottom"/>
            <w:tcBorders>
              <w:top w:val="single" w:sz="8" w:color="auto"/>
              <w:right w:val="single" w:sz="8" w:color="auto"/>
            </w:tcBorders>
          </w:tcPr>
          <w:p>
            <w:pPr>
              <w:spacing w:after="0"/>
              <w:rPr>
                <w:sz w:val="24"/>
                <w:szCs w:val="24"/>
                <w:color w:val="auto"/>
              </w:rPr>
            </w:pPr>
          </w:p>
        </w:tc>
        <w:tc>
          <w:tcPr>
            <w:tcW w:w="442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garanties d'approvisionnement.</w:t>
            </w:r>
          </w:p>
        </w:tc>
      </w:tr>
      <w:tr>
        <w:trPr>
          <w:trHeight w:val="148"/>
        </w:trPr>
        <w:tc>
          <w:tcPr>
            <w:tcW w:w="760" w:type="dxa"/>
            <w:vAlign w:val="bottom"/>
            <w:tcBorders>
              <w:left w:val="single" w:sz="8" w:color="auto"/>
              <w:bottom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580" w:type="dxa"/>
            <w:vAlign w:val="bottom"/>
            <w:tcBorders>
              <w:bottom w:val="single" w:sz="8" w:color="auto"/>
              <w:right w:val="single" w:sz="8" w:color="auto"/>
            </w:tcBorders>
            <w:gridSpan w:val="2"/>
          </w:tcPr>
          <w:p>
            <w:pPr>
              <w:spacing w:after="0"/>
              <w:rPr>
                <w:sz w:val="12"/>
                <w:szCs w:val="12"/>
                <w:color w:val="auto"/>
              </w:rPr>
            </w:pPr>
          </w:p>
        </w:tc>
      </w:tr>
      <w:tr>
        <w:trPr>
          <w:trHeight w:val="318"/>
        </w:trPr>
        <w:tc>
          <w:tcPr>
            <w:tcW w:w="7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II.</w:t>
            </w:r>
          </w:p>
        </w:tc>
        <w:tc>
          <w:tcPr>
            <w:tcW w:w="3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SHARE CAPITAL AND SHARES</w:t>
            </w:r>
          </w:p>
        </w:tc>
        <w:tc>
          <w:tcPr>
            <w:tcW w:w="400" w:type="dxa"/>
            <w:vAlign w:val="bottom"/>
            <w:tcBorders>
              <w:right w:val="single" w:sz="8" w:color="auto"/>
            </w:tcBorders>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II.</w:t>
            </w:r>
          </w:p>
        </w:tc>
        <w:tc>
          <w:tcPr>
            <w:tcW w:w="35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CAPITAL-ACTIONS ET ACTIONS</w:t>
            </w:r>
          </w:p>
        </w:tc>
      </w:tr>
      <w:tr>
        <w:trPr>
          <w:trHeight w:val="148"/>
        </w:trPr>
        <w:tc>
          <w:tcPr>
            <w:tcW w:w="760" w:type="dxa"/>
            <w:vAlign w:val="bottom"/>
            <w:tcBorders>
              <w:left w:val="single" w:sz="8" w:color="auto"/>
              <w:bottom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580" w:type="dxa"/>
            <w:vAlign w:val="bottom"/>
            <w:tcBorders>
              <w:bottom w:val="single" w:sz="8" w:color="auto"/>
              <w:right w:val="single" w:sz="8" w:color="auto"/>
            </w:tcBorders>
            <w:gridSpan w:val="2"/>
          </w:tcPr>
          <w:p>
            <w:pPr>
              <w:spacing w:after="0"/>
              <w:rPr>
                <w:sz w:val="12"/>
                <w:szCs w:val="12"/>
                <w:color w:val="auto"/>
              </w:rPr>
            </w:pPr>
          </w:p>
        </w:tc>
      </w:tr>
      <w:tr>
        <w:trPr>
          <w:trHeight w:val="318"/>
        </w:trPr>
        <w:tc>
          <w:tcPr>
            <w:tcW w:w="7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3</w:t>
            </w:r>
          </w:p>
        </w:tc>
        <w:tc>
          <w:tcPr>
            <w:tcW w:w="3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Share Capital and Shares</w:t>
            </w:r>
          </w:p>
        </w:tc>
        <w:tc>
          <w:tcPr>
            <w:tcW w:w="400" w:type="dxa"/>
            <w:vAlign w:val="bottom"/>
            <w:tcBorders>
              <w:right w:val="single" w:sz="8" w:color="auto"/>
            </w:tcBorders>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3</w:t>
            </w:r>
          </w:p>
        </w:tc>
        <w:tc>
          <w:tcPr>
            <w:tcW w:w="35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Capital-actions et actions</w:t>
            </w: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Share Capital of the Company is CHF 2'082'858.10.</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capital-actions   de   la   société   se   monte   à</w:t>
            </w:r>
          </w:p>
        </w:tc>
      </w:tr>
      <w:tr>
        <w:trPr>
          <w:trHeight w:val="221"/>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It is divided into 104'142'905 registered shares with a</w:t>
            </w:r>
          </w:p>
        </w:tc>
        <w:tc>
          <w:tcPr>
            <w:tcW w:w="400" w:type="dxa"/>
            <w:vAlign w:val="bottom"/>
            <w:tcBorders>
              <w:right w:val="single" w:sz="8" w:color="auto"/>
            </w:tcBorders>
          </w:tcPr>
          <w:p>
            <w:pPr>
              <w:spacing w:after="0"/>
              <w:rPr>
                <w:sz w:val="19"/>
                <w:szCs w:val="19"/>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CHF 2'082'858.10. Il est divisé en 104'142'905 actions</w:t>
            </w:r>
          </w:p>
        </w:tc>
      </w:tr>
      <w:tr>
        <w:trPr>
          <w:trHeight w:val="22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nominal value of CHF 0.02 each, fully paid-in.</w:t>
            </w:r>
          </w:p>
        </w:tc>
        <w:tc>
          <w:tcPr>
            <w:tcW w:w="400" w:type="dxa"/>
            <w:vAlign w:val="bottom"/>
            <w:tcBorders>
              <w:right w:val="single" w:sz="8" w:color="auto"/>
            </w:tcBorders>
          </w:tcPr>
          <w:p>
            <w:pPr>
              <w:spacing w:after="0"/>
              <w:rPr>
                <w:sz w:val="19"/>
                <w:szCs w:val="19"/>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nominatives d'une valeur nominale de CHF 0.02 chacune,</w:t>
            </w:r>
          </w:p>
        </w:tc>
      </w:tr>
      <w:tr>
        <w:trPr>
          <w:trHeight w:val="234"/>
        </w:trPr>
        <w:tc>
          <w:tcPr>
            <w:tcW w:w="76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entièrement libérées.</w:t>
            </w: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According to the contribution in kind agreement dated</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Selon contrat d’apport du 12 octobre 2021, la Société</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October 12th, 2021, the Company acquires from Affiris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acquiert de Affiris AG (FN 240538), société de droit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AG (FN 240538), a company incorporated under Austrian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autrichien ayant son siège à Vienne (Autriche) les droits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law with its registered office in Vienna (Austria),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liés à des brevets, dépôts de brevets, marques et savoir-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rights related to patents, patent applications, trademarks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faire. Cet apport est fait et accepté pour le prix de USD</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and know-how. This contribution is made and accepted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53'702'500.--, et payé par la remise à l'apporteur d’un total</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 the price of USD 53,702,500.--, and paid by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 6'501'513 actions nominatives de la Société d'une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delivery to the contributor of a total of 6,501,513 fully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valeur  nominale  de  CHF  0.02  chacune,  entièrement</w:t>
            </w:r>
          </w:p>
        </w:tc>
      </w:tr>
      <w:tr>
        <w:trPr>
          <w:trHeight w:val="252"/>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paid up registered shares of the Company with a nominal</w:t>
            </w:r>
          </w:p>
        </w:tc>
        <w:tc>
          <w:tcPr>
            <w:tcW w:w="400" w:type="dxa"/>
            <w:vAlign w:val="bottom"/>
            <w:tcBorders>
              <w:right w:val="single" w:sz="8" w:color="auto"/>
            </w:tcBorders>
          </w:tcPr>
          <w:p>
            <w:pPr>
              <w:spacing w:after="0"/>
              <w:rPr>
                <w:sz w:val="21"/>
                <w:szCs w:val="21"/>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libérées.</w:t>
            </w:r>
          </w:p>
        </w:tc>
        <w:tc>
          <w:tcPr>
            <w:tcW w:w="32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value of CHF 0.02 each.</w:t>
            </w:r>
          </w:p>
        </w:tc>
        <w:tc>
          <w:tcPr>
            <w:tcW w:w="40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216"/>
        </w:trPr>
        <w:tc>
          <w:tcPr>
            <w:tcW w:w="760" w:type="dxa"/>
            <w:vAlign w:val="bottom"/>
            <w:tcBorders>
              <w:left w:val="single" w:sz="8" w:color="auto"/>
              <w:bottom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gridSpan w:val="2"/>
          </w:tcPr>
          <w:p>
            <w:pPr>
              <w:spacing w:after="0"/>
              <w:rPr>
                <w:sz w:val="18"/>
                <w:szCs w:val="18"/>
                <w:color w:val="auto"/>
              </w:rPr>
            </w:pPr>
          </w:p>
        </w:tc>
      </w:tr>
      <w:tr>
        <w:trPr>
          <w:trHeight w:val="295"/>
        </w:trPr>
        <w:tc>
          <w:tcPr>
            <w:tcW w:w="7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3a</w:t>
            </w:r>
          </w:p>
        </w:tc>
        <w:tc>
          <w:tcPr>
            <w:tcW w:w="3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Authorized Capital Increase of Share</w:t>
            </w:r>
          </w:p>
        </w:tc>
        <w:tc>
          <w:tcPr>
            <w:tcW w:w="400" w:type="dxa"/>
            <w:vAlign w:val="bottom"/>
            <w:tcBorders>
              <w:right w:val="single" w:sz="8" w:color="auto"/>
            </w:tcBorders>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3a</w:t>
            </w:r>
          </w:p>
        </w:tc>
        <w:tc>
          <w:tcPr>
            <w:tcW w:w="35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Augmentation autorisée du</w:t>
            </w:r>
          </w:p>
        </w:tc>
      </w:tr>
      <w:tr>
        <w:trPr>
          <w:trHeight w:val="238"/>
        </w:trPr>
        <w:tc>
          <w:tcPr>
            <w:tcW w:w="76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35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capital-actions</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Board of Directors is authorized to increase the share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conseil d'administration est autorisé à augmenter 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capital, in one or several steps, until 24 June 2024, by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capital-actions, en une ou plusieurs étapes jusqu'au 24 juin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maximum  amount  of  CHF  114’000  by  issuing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2024,  d'un  montant  maximum  de  CHF  114'000  par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maximum of 5'700'000 registered shares with a par value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l'émission d'un nombre maximum de 5'700'000 actions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 CHF 0.02 each, to be fully paid up. An increase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nominatives d'une valeur nominale de CHF 0.02 chacune,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 capital (i) by means of an offering underwritten by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à libérer entièrement. Une augmentation de capital (i) par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financial institution, a syndicate or another third party 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souscription d'actions par une institution financière, un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third parties, followed by an offer to the then-existing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syndicat  ou  un  tiers  ou  des  tiers,  suivie  par  une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 of the Company and (ii) in partial amounts,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souscription d'actions par les actionnaires de la société</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shall also be permissible.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alors existants et (ii) par montants partiels, est également</w:t>
            </w:r>
          </w:p>
        </w:tc>
      </w:tr>
      <w:tr>
        <w:trPr>
          <w:trHeight w:val="234"/>
        </w:trPr>
        <w:tc>
          <w:tcPr>
            <w:tcW w:w="76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autorisée.</w:t>
            </w:r>
          </w:p>
        </w:tc>
        <w:tc>
          <w:tcPr>
            <w:tcW w:w="32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Board of Directors shall determine the time of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conseil d'administration fixe la date d'émission, le prix</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issuance, the issue price, the manner in which the new</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d'émission, la manière de libérer les nouvelles actions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registered shares have to be paid up, the date from which</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nominatives,  la  date  à  partir  de  laquelle  les  actions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registered shares carry the right to dividends,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nominatives donnent droit à un dividende, les conditions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conditions for the exercise of the preemptive rights and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pour l'exercice des droits de souscription préférentiels et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allotment of preemptive rights that have not been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l'attribution des droits de souscription préférentiels qui</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exercised.  The  Board  of  Directors  may  allow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n'ont pas été exercés. Le conseil d'administration peut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preemptive rights that have not been exercised to expire,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autoriser que des droits de souscription préférentiels qui</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or it may place with third parties such rights or registered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n'ont pas été exercés expirent ou attribuer à des tiers ces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shares, the preemptive rights of which have not been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droits  ou  actions  nominatives,  dont  les  droits  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exercised, at market conditions or use them otherwise in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souscription  préférentiels  n'ont  pas  été  exercés,  aux</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interest of the Company.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conditions  du  marché  ou  les  utiliser  autrement  dans</w:t>
            </w:r>
          </w:p>
        </w:tc>
      </w:tr>
      <w:tr>
        <w:trPr>
          <w:trHeight w:val="234"/>
        </w:trPr>
        <w:tc>
          <w:tcPr>
            <w:tcW w:w="76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l'intérêt de la société.</w:t>
            </w:r>
          </w:p>
        </w:tc>
      </w:tr>
      <w:tr>
        <w:trPr>
          <w:trHeight w:val="257"/>
        </w:trPr>
        <w:tc>
          <w:tcPr>
            <w:tcW w:w="760" w:type="dxa"/>
            <w:vAlign w:val="bottom"/>
            <w:tcBorders>
              <w:left w:val="single" w:sz="8" w:color="auto"/>
              <w:bottom w:val="single" w:sz="8" w:color="auto"/>
            </w:tcBorders>
          </w:tcPr>
          <w:p>
            <w:pPr>
              <w:spacing w:after="0"/>
              <w:rPr>
                <w:sz w:val="22"/>
                <w:szCs w:val="22"/>
                <w:color w:val="auto"/>
              </w:rPr>
            </w:pPr>
          </w:p>
        </w:tc>
        <w:tc>
          <w:tcPr>
            <w:tcW w:w="368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r>
      <w:tr>
        <w:trPr>
          <w:trHeight w:val="540"/>
        </w:trPr>
        <w:tc>
          <w:tcPr>
            <w:tcW w:w="7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480"/>
          </w:cols>
          <w:pgMar w:left="1440" w:top="660" w:right="979" w:bottom="1440" w:gutter="0" w:footer="0" w:header="0"/>
        </w:sectPr>
      </w:pPr>
    </w:p>
    <w:bookmarkStart w:id="220" w:name="page221"/>
    <w:bookmarkEnd w:id="220"/>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319"/>
        </w:trPr>
        <w:tc>
          <w:tcPr>
            <w:tcW w:w="4440" w:type="dxa"/>
            <w:vAlign w:val="bottom"/>
            <w:tcBorders>
              <w:top w:val="single" w:sz="8" w:color="auto"/>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The Board of Directors is authorized to withdraw or limit</w:t>
            </w:r>
          </w:p>
        </w:tc>
        <w:tc>
          <w:tcPr>
            <w:tcW w:w="400" w:type="dxa"/>
            <w:vAlign w:val="bottom"/>
            <w:tcBorders>
              <w:top w:val="single" w:sz="8" w:color="auto"/>
              <w:right w:val="single" w:sz="8" w:color="auto"/>
            </w:tcBorders>
          </w:tcPr>
          <w:p>
            <w:pPr>
              <w:spacing w:after="0"/>
              <w:rPr>
                <w:sz w:val="24"/>
                <w:szCs w:val="24"/>
                <w:color w:val="auto"/>
              </w:rPr>
            </w:pPr>
          </w:p>
        </w:tc>
        <w:tc>
          <w:tcPr>
            <w:tcW w:w="442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conseil d'administration est autorisé à retirer ou à</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the preemptive rights of the shareholders and to allot them</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limiter  les  droits  préférentiels  de  souscription  des</w:t>
            </w:r>
          </w:p>
        </w:tc>
      </w:tr>
      <w:tr>
        <w:trPr>
          <w:trHeight w:val="234"/>
        </w:trPr>
        <w:tc>
          <w:tcPr>
            <w:tcW w:w="12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 third parties:</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actionnaires et à les attribuer à des tiers:</w:t>
            </w:r>
          </w:p>
        </w:tc>
      </w:tr>
      <w:tr>
        <w:trPr>
          <w:trHeight w:val="30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a) if the issue price of the new registered shares is</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 si le prix d'émission des nouvelles actions nominatives</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determined by reference to the market price (with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est déterminé avec une référence au prix de marché (avec</w:t>
            </w:r>
          </w:p>
        </w:tc>
      </w:tr>
      <w:tr>
        <w:trPr>
          <w:trHeight w:val="234"/>
        </w:trPr>
        <w:tc>
          <w:tcPr>
            <w:tcW w:w="234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customary discount); or</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un rabais usuel); ou</w:t>
            </w:r>
          </w:p>
        </w:tc>
      </w:tr>
      <w:tr>
        <w:trPr>
          <w:trHeight w:val="306"/>
        </w:trPr>
        <w:tc>
          <w:tcPr>
            <w:tcW w:w="84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 pour l'acquisition d'une entreprise, part d'entreprise ou</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b) for the acquisition of an enterprise, part of an enterprise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participation, ou pour le financement ou le refinancement</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or participations, or for the financing or refinancing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 ladite acquisition, ou en cas de placement d'actions</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any of such acquisition, or in the event of share placement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pour le financement ou le refinancement dudit placement;</w:t>
            </w:r>
          </w:p>
        </w:tc>
      </w:tr>
      <w:tr>
        <w:trPr>
          <w:trHeight w:val="234"/>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for the financing or refinancing of such placement; or</w:t>
            </w:r>
          </w:p>
        </w:tc>
        <w:tc>
          <w:tcPr>
            <w:tcW w:w="400" w:type="dxa"/>
            <w:vAlign w:val="bottom"/>
            <w:tcBorders>
              <w:right w:val="single" w:sz="8" w:color="auto"/>
            </w:tcBorders>
          </w:tcPr>
          <w:p>
            <w:pPr>
              <w:spacing w:after="0"/>
              <w:rPr>
                <w:sz w:val="20"/>
                <w:szCs w:val="20"/>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w:t>
            </w:r>
          </w:p>
        </w:tc>
        <w:tc>
          <w:tcPr>
            <w:tcW w:w="32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30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c) for raising of capital (including private placements) in a</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 pour lever des capitaux (y compris des placements</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fast and flexible manner which probably could not be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privés) dans un délai rapide et flexible, ce qui ne pourrait</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reached without the exclusion of the statutory pre-emptive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probablement pas être réalisé sans l'exclusion du droit</w:t>
            </w:r>
          </w:p>
        </w:tc>
      </w:tr>
      <w:tr>
        <w:trPr>
          <w:trHeight w:val="216"/>
        </w:trPr>
        <w:tc>
          <w:tcPr>
            <w:tcW w:w="3140" w:type="dxa"/>
            <w:vAlign w:val="bottom"/>
            <w:tcBorders>
              <w:lef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right of the existing shareholders.</w:t>
            </w: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préférentiel  de  souscription  statuaire  des  actionnaires</w:t>
            </w:r>
          </w:p>
        </w:tc>
      </w:tr>
      <w:tr>
        <w:trPr>
          <w:trHeight w:val="234"/>
        </w:trPr>
        <w:tc>
          <w:tcPr>
            <w:tcW w:w="8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existants.</w:t>
            </w:r>
          </w:p>
        </w:tc>
        <w:tc>
          <w:tcPr>
            <w:tcW w:w="32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108"/>
        </w:trPr>
        <w:tc>
          <w:tcPr>
            <w:tcW w:w="4440" w:type="dxa"/>
            <w:vAlign w:val="bottom"/>
            <w:tcBorders>
              <w:left w:val="single" w:sz="8" w:color="auto"/>
              <w:bottom w:val="single" w:sz="8" w:color="auto"/>
              <w:right w:val="single" w:sz="8" w:color="auto"/>
            </w:tcBorders>
            <w:gridSpan w:val="6"/>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The acquisition of registered shares out of authorized</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L'acquisition d'actions nominatives dans le cadre d'une</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capital increase of share capital for general purposes and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augmentation  autorisée  du  capital-actions  à  des  fins</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any transfers of registered shares shall be subject to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générales  et  les  transferts  d'actions  nominatives  sont</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restrictions  specified  in  Article  4  of  the  Articles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soumis aux restrictions prévues à l'article 4 des statuts.</w:t>
            </w:r>
          </w:p>
        </w:tc>
      </w:tr>
      <w:tr>
        <w:trPr>
          <w:trHeight w:val="234"/>
        </w:trPr>
        <w:tc>
          <w:tcPr>
            <w:tcW w:w="12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Association.</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108"/>
        </w:trPr>
        <w:tc>
          <w:tcPr>
            <w:tcW w:w="840" w:type="dxa"/>
            <w:vAlign w:val="bottom"/>
            <w:tcBorders>
              <w:left w:val="single" w:sz="8" w:color="auto"/>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gridSpan w:val="5"/>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gridSpan w:val="2"/>
          </w:tcPr>
          <w:p>
            <w:pPr>
              <w:spacing w:after="0"/>
              <w:rPr>
                <w:sz w:val="9"/>
                <w:szCs w:val="9"/>
                <w:color w:val="auto"/>
              </w:rPr>
            </w:pPr>
          </w:p>
        </w:tc>
      </w:tr>
      <w:tr>
        <w:trPr>
          <w:trHeight w:val="295"/>
        </w:trPr>
        <w:tc>
          <w:tcPr>
            <w:tcW w:w="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3b</w:t>
            </w:r>
          </w:p>
        </w:tc>
        <w:tc>
          <w:tcPr>
            <w:tcW w:w="360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Conditional capital for financing and other</w:t>
            </w:r>
          </w:p>
        </w:tc>
        <w:tc>
          <w:tcPr>
            <w:tcW w:w="400" w:type="dxa"/>
            <w:vAlign w:val="bottom"/>
            <w:tcBorders>
              <w:right w:val="single" w:sz="8" w:color="auto"/>
            </w:tcBorders>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3b</w:t>
            </w:r>
          </w:p>
        </w:tc>
        <w:tc>
          <w:tcPr>
            <w:tcW w:w="35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Capital conditionnel pour des financements</w:t>
            </w:r>
          </w:p>
        </w:tc>
      </w:tr>
      <w:tr>
        <w:trPr>
          <w:trHeight w:val="238"/>
        </w:trPr>
        <w:tc>
          <w:tcPr>
            <w:tcW w:w="840" w:type="dxa"/>
            <w:vAlign w:val="bottom"/>
            <w:tcBorders>
              <w:left w:val="single" w:sz="8" w:color="auto"/>
            </w:tcBorders>
          </w:tcPr>
          <w:p>
            <w:pPr>
              <w:spacing w:after="0"/>
              <w:rPr>
                <w:sz w:val="20"/>
                <w:szCs w:val="20"/>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purposes</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35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et autres objets</w:t>
            </w:r>
          </w:p>
        </w:tc>
      </w:tr>
      <w:tr>
        <w:trPr>
          <w:trHeight w:val="108"/>
        </w:trPr>
        <w:tc>
          <w:tcPr>
            <w:tcW w:w="4440" w:type="dxa"/>
            <w:vAlign w:val="bottom"/>
            <w:tcBorders>
              <w:left w:val="single" w:sz="8" w:color="auto"/>
              <w:bottom w:val="single" w:sz="8" w:color="auto"/>
              <w:right w:val="single" w:sz="8" w:color="auto"/>
            </w:tcBorders>
            <w:gridSpan w:val="6"/>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The share capital of the Company shall be increased by a</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capital-actions de la société peut être augmenté d'un</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maximum amount of CHF 100,000 through the issue of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montant maximum de CHF 100’000 par l'émission d'un</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maximum of 5,000,000 registered shares, payable in full,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maximum  de  5’000’000  d’actions  nominatives,  d'une</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each with a nominal value of CHF 0.02 through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valeur  nominale  de  CHF  0.02  chacune,  à  libérer</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optional or mandatory exercise of conversion, exchange,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entièrement, suite à l'exercice optionnel ou obligatoire de</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option, warrant or similar rights or obligations for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droits de conversion, d’échange, d'option, d’acquisition («</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subscription of shares granted to shareholders or third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warrants ») ou de droits ou obligations similaires portant</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parties on a standalone basis or in connection with bonds,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sur la souscription d’actions, accordés aux actionnaires ou</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notes, options, warrants or other securities or contractual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à des tiers sur une base individuelle ou en relation avec</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obligations of the Company or any subsidiaries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des obligations, reconnaissances de dette (« notes »),</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Company, including convertible debt instruments, as may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options, droits d’acquisition (« warrants ») ou autres titres</w:t>
            </w:r>
          </w:p>
        </w:tc>
      </w:tr>
      <w:tr>
        <w:trPr>
          <w:trHeight w:val="216"/>
        </w:trPr>
        <w:tc>
          <w:tcPr>
            <w:tcW w:w="3140" w:type="dxa"/>
            <w:vAlign w:val="bottom"/>
            <w:tcBorders>
              <w:lef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w w:val="99"/>
              </w:rPr>
              <w:t>be amended or novated from time to time.</w:t>
            </w: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ou obligations contractuelles de la société ou de filiales de</w:t>
            </w:r>
          </w:p>
        </w:tc>
      </w:tr>
      <w:tr>
        <w:trPr>
          <w:trHeight w:val="216"/>
        </w:trPr>
        <w:tc>
          <w:tcPr>
            <w:tcW w:w="84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  société,  y  compris  les  instruments  d'emprunt</w:t>
            </w:r>
          </w:p>
        </w:tc>
      </w:tr>
      <w:tr>
        <w:trPr>
          <w:trHeight w:val="234"/>
        </w:trPr>
        <w:tc>
          <w:tcPr>
            <w:tcW w:w="8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convertible, tels que modifiés ou novés ultérieurement.</w:t>
            </w:r>
          </w:p>
        </w:tc>
      </w:tr>
      <w:tr>
        <w:trPr>
          <w:trHeight w:val="108"/>
        </w:trPr>
        <w:tc>
          <w:tcPr>
            <w:tcW w:w="1280" w:type="dxa"/>
            <w:vAlign w:val="bottom"/>
            <w:tcBorders>
              <w:left w:val="single" w:sz="8" w:color="auto"/>
              <w:bottom w:val="single" w:sz="8" w:color="auto"/>
            </w:tcBorders>
            <w:gridSpan w:val="2"/>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12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subscription</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are</w:t>
            </w:r>
          </w:p>
        </w:tc>
        <w:tc>
          <w:tcPr>
            <w:tcW w:w="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excluded.</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droit de souscription préférentiel des actionnaires est</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Shareholders' advance subscription rights with regard to</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exclu. Les droits de souscription préférentiels préalables</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the new bonds, warrants or similar instruments may be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des  actionnaires  à  l'égard  des  nouvelles  obligations,</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restricted  or  excluded  by  decision  of  the  Board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nouveaux  droits  d’acquisition  («  warrants  »)  ou</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Directors in order to finance or re-finance the acquisition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instruments similaires peuvent être limités ou exclus par</w:t>
            </w:r>
          </w:p>
        </w:tc>
      </w:tr>
      <w:tr>
        <w:trPr>
          <w:trHeight w:val="216"/>
        </w:trPr>
        <w:tc>
          <w:tcPr>
            <w:tcW w:w="4440" w:type="dxa"/>
            <w:vAlign w:val="bottom"/>
            <w:tcBorders>
              <w:left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of companies, parts of companies or holdings, or new</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décision du conseil d'administration afin de financer ou de</w:t>
            </w:r>
          </w:p>
        </w:tc>
      </w:tr>
      <w:tr>
        <w:trPr>
          <w:trHeight w:val="234"/>
        </w:trPr>
        <w:tc>
          <w:tcPr>
            <w:tcW w:w="44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investments planned by the Company, or in order to</w:t>
            </w:r>
          </w:p>
        </w:tc>
        <w:tc>
          <w:tcPr>
            <w:tcW w:w="400" w:type="dxa"/>
            <w:vAlign w:val="bottom"/>
            <w:tcBorders>
              <w:bottom w:val="single" w:sz="8" w:color="auto"/>
              <w:right w:val="single" w:sz="8" w:color="auto"/>
            </w:tcBorders>
          </w:tcPr>
          <w:p>
            <w:pPr>
              <w:spacing w:after="0"/>
              <w:rPr>
                <w:sz w:val="20"/>
                <w:szCs w:val="20"/>
                <w:color w:val="auto"/>
              </w:rPr>
            </w:pPr>
          </w:p>
        </w:tc>
        <w:tc>
          <w:tcPr>
            <w:tcW w:w="44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refinancer l'acquisition d'entreprises, parts</w:t>
            </w:r>
          </w:p>
        </w:tc>
      </w:tr>
      <w:tr>
        <w:trPr>
          <w:trHeight w:val="541"/>
        </w:trPr>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480"/>
          </w:cols>
          <w:pgMar w:left="1440" w:top="660" w:right="979" w:bottom="1440" w:gutter="0" w:footer="0" w:header="0"/>
        </w:sectPr>
      </w:pPr>
    </w:p>
    <w:bookmarkStart w:id="221" w:name="page222"/>
    <w:bookmarkEnd w:id="221"/>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8"/>
        </w:trPr>
        <w:tc>
          <w:tcPr>
            <w:tcW w:w="98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issue</w:t>
            </w:r>
          </w:p>
        </w:tc>
        <w:tc>
          <w:tcPr>
            <w:tcW w:w="3460" w:type="dxa"/>
            <w:vAlign w:val="bottom"/>
            <w:tcBorders>
              <w:top w:val="single" w:sz="8" w:color="auto"/>
              <w:right w:val="single" w:sz="8" w:color="auto"/>
            </w:tcBorders>
          </w:tcPr>
          <w:p>
            <w:pPr>
              <w:spacing w:after="0"/>
              <w:rPr>
                <w:sz w:val="21"/>
                <w:szCs w:val="21"/>
                <w:color w:val="auto"/>
              </w:rPr>
            </w:pPr>
          </w:p>
        </w:tc>
        <w:tc>
          <w:tcPr>
            <w:tcW w:w="400" w:type="dxa"/>
            <w:vAlign w:val="bottom"/>
            <w:tcBorders>
              <w:top w:val="single" w:sz="8" w:color="auto"/>
              <w:right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tcPr>
          <w:p>
            <w:pPr>
              <w:spacing w:after="0"/>
              <w:rPr>
                <w:sz w:val="21"/>
                <w:szCs w:val="21"/>
                <w:color w:val="auto"/>
              </w:rPr>
            </w:pPr>
          </w:p>
        </w:tc>
        <w:tc>
          <w:tcPr>
            <w:tcW w:w="300" w:type="dxa"/>
            <w:vAlign w:val="bottom"/>
            <w:tcBorders>
              <w:top w:val="single" w:sz="8" w:color="auto"/>
              <w:right w:val="single" w:sz="8" w:color="auto"/>
            </w:tcBorders>
          </w:tcPr>
          <w:p>
            <w:pPr>
              <w:spacing w:after="0"/>
              <w:rPr>
                <w:sz w:val="21"/>
                <w:szCs w:val="21"/>
                <w:color w:val="auto"/>
              </w:rPr>
            </w:pPr>
          </w:p>
        </w:tc>
      </w:tr>
      <w:tr>
        <w:trPr>
          <w:trHeight w:val="22"/>
        </w:trPr>
        <w:tc>
          <w:tcPr>
            <w:tcW w:w="444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4420" w:type="dxa"/>
            <w:vAlign w:val="bottom"/>
            <w:tcBorders>
              <w:bottom w:val="single" w:sz="8" w:color="auto"/>
              <w:right w:val="single" w:sz="8" w:color="auto"/>
            </w:tcBorders>
            <w:gridSpan w:val="3"/>
          </w:tcPr>
          <w:p>
            <w:pPr>
              <w:spacing w:after="0" w:line="20" w:lineRule="exact"/>
              <w:rPr>
                <w:sz w:val="1"/>
                <w:szCs w:val="1"/>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convertible  bonds  and  warrants  on  the  international</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d'entreprises   ou   de   holdings,   ou   de   nouveaux</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capital markets or through private placement. If advance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investissements prévus par la société, ou en vue d'émettre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subscription rights are excluded, then (1) the instruments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des obligations convertibles et des droits d’acquisition («</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are to be placed at market conditions, (2) the exercise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warrants ») sur les marchés internationaux de capitaux ou</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period is not to exceed ten years from the date of issue for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par  placement  privé.  Si  les  droits  de  souscription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warrants and twenty years for conversion rights and (3)</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préférentiels préalables sont exclus, (1) les instruments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conversion or exercise price for the new shares is to be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doivent être attribués aux conditions du marché, (2) la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set at least in line with the market conditions prevailing at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période d'exercice ne doit pas dépasser dix ans à partir 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date  on  which  the  instruments  are  issued.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 date d'émission des droits d’acquisitions (« warrants »)</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respective holders of conversion and/or option or warrant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et vingt ans pour les droits de conversion et (3) le prix 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rights are entitled to subscribe the new shares.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conversion ou d'exercice des actions nouvelles doit être</w:t>
            </w:r>
          </w:p>
        </w:tc>
      </w:tr>
      <w:tr>
        <w:trPr>
          <w:trHeight w:val="216"/>
        </w:trPr>
        <w:tc>
          <w:tcPr>
            <w:tcW w:w="980" w:type="dxa"/>
            <w:vAlign w:val="bottom"/>
            <w:tcBorders>
              <w:lef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fixé au moins aux conditions du marché prévalant à la</w:t>
            </w:r>
          </w:p>
        </w:tc>
      </w:tr>
      <w:tr>
        <w:trPr>
          <w:trHeight w:val="216"/>
        </w:trPr>
        <w:tc>
          <w:tcPr>
            <w:tcW w:w="980" w:type="dxa"/>
            <w:vAlign w:val="bottom"/>
            <w:tcBorders>
              <w:lef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date à laquelle les instruments sont émis. Les détenteurs</w:t>
            </w:r>
          </w:p>
        </w:tc>
      </w:tr>
      <w:tr>
        <w:trPr>
          <w:trHeight w:val="216"/>
        </w:trPr>
        <w:tc>
          <w:tcPr>
            <w:tcW w:w="980" w:type="dxa"/>
            <w:vAlign w:val="bottom"/>
            <w:tcBorders>
              <w:lef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respectifs de droits de conversion et/ou option ou de droits</w:t>
            </w:r>
          </w:p>
        </w:tc>
      </w:tr>
      <w:tr>
        <w:trPr>
          <w:trHeight w:val="216"/>
        </w:trPr>
        <w:tc>
          <w:tcPr>
            <w:tcW w:w="980" w:type="dxa"/>
            <w:vAlign w:val="bottom"/>
            <w:tcBorders>
              <w:lef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d’acquisition (« warrants ») ont le droit de souscrire les</w:t>
            </w:r>
          </w:p>
        </w:tc>
      </w:tr>
      <w:tr>
        <w:trPr>
          <w:trHeight w:val="234"/>
        </w:trPr>
        <w:tc>
          <w:tcPr>
            <w:tcW w:w="980" w:type="dxa"/>
            <w:vAlign w:val="bottom"/>
            <w:tcBorders>
              <w:lef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nouvelles actions.</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exercise of conversion or option rights, as well as the</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L’exercice des droits de conversion ou d’options, 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waiver  of  such  rights,  may  be  exercised  by  written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même que la renonciation à ces droits, s’exercent par</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declaration or by electronic means.</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déclaration écrite ou par voie électronique.</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acquisition of registered shares through the exercise</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L'acquisition d'actions nominatives par l'exercice de droits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 conversion rights or warrants and any transfers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ou  de  bons  de  conversion  et  les  transferts  d'actions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registered  shares  shall  be  subject  to  the  restrictions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nominatives sont assujetties aux restrictions prévues par</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specified in Article 4 of the Articles of Association.</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l'article 4 des statuts.</w:t>
            </w:r>
          </w:p>
        </w:tc>
      </w:tr>
      <w:tr>
        <w:trPr>
          <w:trHeight w:val="108"/>
        </w:trPr>
        <w:tc>
          <w:tcPr>
            <w:tcW w:w="980" w:type="dxa"/>
            <w:vAlign w:val="bottom"/>
            <w:tcBorders>
              <w:left w:val="single" w:sz="8" w:color="auto"/>
              <w:bottom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140" w:type="dxa"/>
            <w:vAlign w:val="bottom"/>
            <w:tcBorders>
              <w:bottom w:val="single" w:sz="8" w:color="auto"/>
              <w:right w:val="single" w:sz="8" w:color="auto"/>
            </w:tcBorders>
            <w:gridSpan w:val="2"/>
          </w:tcPr>
          <w:p>
            <w:pPr>
              <w:spacing w:after="0"/>
              <w:rPr>
                <w:sz w:val="9"/>
                <w:szCs w:val="9"/>
                <w:color w:val="auto"/>
              </w:rPr>
            </w:pPr>
          </w:p>
        </w:tc>
      </w:tr>
      <w:tr>
        <w:trPr>
          <w:trHeight w:val="187"/>
        </w:trPr>
        <w:tc>
          <w:tcPr>
            <w:tcW w:w="980" w:type="dxa"/>
            <w:vAlign w:val="bottom"/>
            <w:tcBorders>
              <w:lef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Art. 3c</w:t>
            </w:r>
          </w:p>
        </w:tc>
        <w:tc>
          <w:tcPr>
            <w:tcW w:w="3460" w:type="dxa"/>
            <w:vAlign w:val="bottom"/>
            <w:tcBorders>
              <w:right w:val="single" w:sz="8" w:color="auto"/>
            </w:tcBorders>
          </w:tcPr>
          <w:p>
            <w:pPr>
              <w:ind w:left="340"/>
              <w:spacing w:after="0" w:line="188" w:lineRule="exact"/>
              <w:rPr>
                <w:sz w:val="20"/>
                <w:szCs w:val="20"/>
                <w:color w:val="auto"/>
              </w:rPr>
            </w:pPr>
            <w:r>
              <w:rPr>
                <w:rFonts w:ascii="Times New Roman" w:cs="Times New Roman" w:eastAsia="Times New Roman" w:hAnsi="Times New Roman"/>
                <w:sz w:val="18"/>
                <w:szCs w:val="18"/>
                <w:b w:val="1"/>
                <w:bCs w:val="1"/>
                <w:color w:val="auto"/>
              </w:rPr>
              <w:t>Conditional Share Capital Increase for</w:t>
            </w:r>
          </w:p>
        </w:tc>
        <w:tc>
          <w:tcPr>
            <w:tcW w:w="400" w:type="dxa"/>
            <w:vAlign w:val="bottom"/>
            <w:tcBorders>
              <w:right w:val="single" w:sz="8" w:color="auto"/>
            </w:tcBorders>
          </w:tcPr>
          <w:p>
            <w:pPr>
              <w:spacing w:after="0"/>
              <w:rPr>
                <w:sz w:val="16"/>
                <w:szCs w:val="16"/>
                <w:color w:val="auto"/>
              </w:rPr>
            </w:pPr>
          </w:p>
        </w:tc>
        <w:tc>
          <w:tcPr>
            <w:tcW w:w="128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Art. 3c</w:t>
            </w:r>
          </w:p>
        </w:tc>
        <w:tc>
          <w:tcPr>
            <w:tcW w:w="3140" w:type="dxa"/>
            <w:vAlign w:val="bottom"/>
            <w:tcBorders>
              <w:right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Augmentation conditionnelle du</w:t>
            </w:r>
          </w:p>
        </w:tc>
      </w:tr>
      <w:tr>
        <w:trPr>
          <w:trHeight w:val="216"/>
        </w:trPr>
        <w:tc>
          <w:tcPr>
            <w:tcW w:w="980" w:type="dxa"/>
            <w:vAlign w:val="bottom"/>
            <w:tcBorders>
              <w:left w:val="single" w:sz="8" w:color="auto"/>
            </w:tcBorders>
          </w:tcPr>
          <w:p>
            <w:pPr>
              <w:spacing w:after="0"/>
              <w:rPr>
                <w:sz w:val="18"/>
                <w:szCs w:val="18"/>
                <w:color w:val="auto"/>
              </w:rPr>
            </w:pPr>
          </w:p>
        </w:tc>
        <w:tc>
          <w:tcPr>
            <w:tcW w:w="34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Employee Benefit Plans</w:t>
            </w:r>
          </w:p>
        </w:tc>
        <w:tc>
          <w:tcPr>
            <w:tcW w:w="40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3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capital-actions pour les plans</w:t>
            </w:r>
          </w:p>
        </w:tc>
      </w:tr>
      <w:tr>
        <w:trPr>
          <w:trHeight w:val="238"/>
        </w:trPr>
        <w:tc>
          <w:tcPr>
            <w:tcW w:w="980" w:type="dxa"/>
            <w:vAlign w:val="bottom"/>
            <w:tcBorders>
              <w:lef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3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d'avantages sociaux</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share capital of the Company shall be increased by an</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Le capital social de la société sera augmenté d'un montant</w:t>
            </w:r>
          </w:p>
        </w:tc>
      </w:tr>
      <w:tr>
        <w:trPr>
          <w:trHeight w:val="221"/>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not exceeding CHF 91'844.20 through the issue</w:t>
            </w:r>
          </w:p>
        </w:tc>
        <w:tc>
          <w:tcPr>
            <w:tcW w:w="400" w:type="dxa"/>
            <w:vAlign w:val="bottom"/>
            <w:tcBorders>
              <w:right w:val="single" w:sz="8" w:color="auto"/>
            </w:tcBorders>
          </w:tcPr>
          <w:p>
            <w:pPr>
              <w:spacing w:after="0"/>
              <w:rPr>
                <w:sz w:val="19"/>
                <w:szCs w:val="19"/>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ne dépassant pas</w:t>
            </w:r>
          </w:p>
        </w:tc>
        <w:tc>
          <w:tcPr>
            <w:tcW w:w="284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r>
      <w:tr>
        <w:trPr>
          <w:trHeight w:val="230"/>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 a maximum of 4'592'210 registered shares, payable in</w:t>
            </w:r>
          </w:p>
        </w:tc>
        <w:tc>
          <w:tcPr>
            <w:tcW w:w="400" w:type="dxa"/>
            <w:vAlign w:val="bottom"/>
            <w:tcBorders>
              <w:right w:val="single" w:sz="8" w:color="auto"/>
            </w:tcBorders>
          </w:tcPr>
          <w:p>
            <w:pPr>
              <w:spacing w:after="0"/>
              <w:rPr>
                <w:sz w:val="19"/>
                <w:szCs w:val="19"/>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CHF 91'844.20 par l'émission d'un maximum de 4'592'210</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full,  each  with  a  nominal  value  of  CHF  0.02,  in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actions nominatives, entièrement libérées, chacune avec</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connection with the exercise of option rights granted to</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une valeur nominale de CHF 0.02, dans le cadre 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any employee of the Company or a subsidiary, and 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l'exercice de droits d'option accordés à tout employé de la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consultant, members of the Board of Directors, or other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Société ou d'une succursale, et à tout consultant, aux</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person providing services to the Company or a subsidiary.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membres du conseil d'administration, ou à d'autres</w:t>
            </w:r>
          </w:p>
        </w:tc>
      </w:tr>
      <w:tr>
        <w:trPr>
          <w:trHeight w:val="198"/>
        </w:trPr>
        <w:tc>
          <w:tcPr>
            <w:tcW w:w="980" w:type="dxa"/>
            <w:vAlign w:val="bottom"/>
            <w:tcBorders>
              <w:left w:val="single" w:sz="8" w:color="auto"/>
            </w:tcBorders>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rPr>
              <w:t>personnes fournissant des services en faveur de la Société</w:t>
            </w:r>
          </w:p>
        </w:tc>
      </w:tr>
      <w:tr>
        <w:trPr>
          <w:trHeight w:val="234"/>
        </w:trPr>
        <w:tc>
          <w:tcPr>
            <w:tcW w:w="980" w:type="dxa"/>
            <w:vAlign w:val="bottom"/>
            <w:tcBorders>
              <w:left w:val="single" w:sz="8" w:color="auto"/>
              <w:bottom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 d'une filiale.</w:t>
            </w:r>
          </w:p>
        </w:tc>
        <w:tc>
          <w:tcPr>
            <w:tcW w:w="2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Shareholders' subscription rights shall be excluded with</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Le droit de souscription préférentiel des actionnaires est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regard to these shares. These new registered shares may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exclu à l'égard de ces actions. Ces nouvelles actions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be issued at a price below the current market price.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nominatives peuvent être émises à un prix inférieur au</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Board of Directors shall specify the precise conditions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prix du marché actuel. Le conseil d'administration doit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issue including the issue price of the shares.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préciser les conditions précises d'émission, y compris le</w:t>
            </w:r>
          </w:p>
        </w:tc>
      </w:tr>
      <w:tr>
        <w:trPr>
          <w:trHeight w:val="234"/>
        </w:trPr>
        <w:tc>
          <w:tcPr>
            <w:tcW w:w="980" w:type="dxa"/>
            <w:vAlign w:val="bottom"/>
            <w:tcBorders>
              <w:lef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prix d'émission des actions.</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acquisition of registered shares in connection with</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L'acquisition d'actions nominatives dans le cadre de la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employee  participation  and  any  further  transfers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participation des employés et d'autres transferts d'actions</w:t>
            </w:r>
          </w:p>
        </w:tc>
      </w:tr>
      <w:tr>
        <w:trPr>
          <w:trHeight w:val="234"/>
        </w:trPr>
        <w:tc>
          <w:tcPr>
            <w:tcW w:w="44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registered shares shall be subject to the restrictions</w:t>
            </w:r>
          </w:p>
        </w:tc>
        <w:tc>
          <w:tcPr>
            <w:tcW w:w="4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r>
      <w:tr>
        <w:trPr>
          <w:trHeight w:val="541"/>
        </w:trPr>
        <w:tc>
          <w:tcPr>
            <w:tcW w:w="9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480"/>
          </w:cols>
          <w:pgMar w:left="1440" w:top="660" w:right="979" w:bottom="1440" w:gutter="0" w:footer="0" w:header="0"/>
        </w:sectPr>
      </w:pPr>
    </w:p>
    <w:bookmarkStart w:id="222" w:name="page223"/>
    <w:bookmarkEnd w:id="222"/>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8"/>
        </w:trPr>
        <w:tc>
          <w:tcPr>
            <w:tcW w:w="88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specified</w:t>
            </w:r>
          </w:p>
        </w:tc>
        <w:tc>
          <w:tcPr>
            <w:tcW w:w="3560" w:type="dxa"/>
            <w:vAlign w:val="bottom"/>
            <w:tcBorders>
              <w:top w:val="single" w:sz="8" w:color="auto"/>
              <w:right w:val="single" w:sz="8" w:color="auto"/>
            </w:tcBorders>
          </w:tcPr>
          <w:p>
            <w:pPr>
              <w:spacing w:after="0"/>
              <w:rPr>
                <w:sz w:val="21"/>
                <w:szCs w:val="21"/>
                <w:color w:val="auto"/>
              </w:rPr>
            </w:pPr>
          </w:p>
        </w:tc>
        <w:tc>
          <w:tcPr>
            <w:tcW w:w="400" w:type="dxa"/>
            <w:vAlign w:val="bottom"/>
            <w:tcBorders>
              <w:top w:val="single" w:sz="8" w:color="auto"/>
              <w:right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3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44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4420" w:type="dxa"/>
            <w:vAlign w:val="bottom"/>
            <w:tcBorders>
              <w:bottom w:val="single" w:sz="8" w:color="auto"/>
              <w:right w:val="single" w:sz="8" w:color="auto"/>
            </w:tcBorders>
            <w:gridSpan w:val="9"/>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in Article 4 of the Articles of Association.</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9"/>
          </w:tcPr>
          <w:p>
            <w:pPr>
              <w:ind w:left="80"/>
              <w:spacing w:after="0" w:line="191" w:lineRule="exact"/>
              <w:rPr>
                <w:sz w:val="20"/>
                <w:szCs w:val="20"/>
                <w:color w:val="auto"/>
              </w:rPr>
            </w:pPr>
            <w:r>
              <w:rPr>
                <w:rFonts w:ascii="Times New Roman" w:cs="Times New Roman" w:eastAsia="Times New Roman" w:hAnsi="Times New Roman"/>
                <w:sz w:val="18"/>
                <w:szCs w:val="18"/>
                <w:color w:val="auto"/>
              </w:rPr>
              <w:t>nominatives  sont  soumis  aux  restrictions  prévues  à</w:t>
            </w:r>
          </w:p>
        </w:tc>
        <w:tc>
          <w:tcPr>
            <w:tcW w:w="0" w:type="dxa"/>
            <w:vAlign w:val="bottom"/>
          </w:tcPr>
          <w:p>
            <w:pPr>
              <w:spacing w:after="0"/>
              <w:rPr>
                <w:sz w:val="1"/>
                <w:szCs w:val="1"/>
                <w:color w:val="auto"/>
              </w:rPr>
            </w:pPr>
          </w:p>
        </w:tc>
      </w:tr>
      <w:tr>
        <w:trPr>
          <w:trHeight w:val="234"/>
        </w:trPr>
        <w:tc>
          <w:tcPr>
            <w:tcW w:w="88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l'article 4 des statuts.</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auto"/>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gridSpan w:val="4"/>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4</w:t>
            </w:r>
          </w:p>
        </w:tc>
        <w:tc>
          <w:tcPr>
            <w:tcW w:w="3560" w:type="dxa"/>
            <w:vAlign w:val="bottom"/>
            <w:tcBorders>
              <w:right w:val="single" w:sz="8" w:color="auto"/>
            </w:tcBorders>
          </w:tcPr>
          <w:p>
            <w:pPr>
              <w:jc w:val="right"/>
              <w:ind w:right="2233"/>
              <w:spacing w:after="0"/>
              <w:rPr>
                <w:sz w:val="20"/>
                <w:szCs w:val="20"/>
                <w:color w:val="auto"/>
              </w:rPr>
            </w:pPr>
            <w:r>
              <w:rPr>
                <w:rFonts w:ascii="Times New Roman" w:cs="Times New Roman" w:eastAsia="Times New Roman" w:hAnsi="Times New Roman"/>
                <w:sz w:val="18"/>
                <w:szCs w:val="18"/>
                <w:b w:val="1"/>
                <w:bCs w:val="1"/>
                <w:color w:val="auto"/>
              </w:rPr>
              <w:t>Share Register</w:t>
            </w:r>
          </w:p>
        </w:tc>
        <w:tc>
          <w:tcPr>
            <w:tcW w:w="400" w:type="dxa"/>
            <w:vAlign w:val="bottom"/>
            <w:tcBorders>
              <w:right w:val="single" w:sz="8" w:color="auto"/>
            </w:tcBorders>
          </w:tcPr>
          <w:p>
            <w:pPr>
              <w:spacing w:after="0"/>
              <w:rPr>
                <w:sz w:val="24"/>
                <w:szCs w:val="24"/>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4</w:t>
            </w: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Registre des actions</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The Company shall maintain a share register in which it</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La société tient un registre des actions nominatives, dans</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9"/>
            <w:vMerge w:val="restart"/>
          </w:tcPr>
          <w:p>
            <w:pPr>
              <w:ind w:left="80"/>
              <w:spacing w:after="0"/>
              <w:rPr>
                <w:sz w:val="20"/>
                <w:szCs w:val="20"/>
                <w:color w:val="auto"/>
              </w:rPr>
            </w:pPr>
            <w:r>
              <w:rPr>
                <w:rFonts w:ascii="Times New Roman" w:cs="Times New Roman" w:eastAsia="Times New Roman" w:hAnsi="Times New Roman"/>
                <w:sz w:val="18"/>
                <w:szCs w:val="18"/>
                <w:color w:val="auto"/>
              </w:rPr>
              <w:t>lequel sont inscrits le nom, le prénom et l'adresse (dans le</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shall register the name, first name and place of residence</w:t>
            </w: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9"/>
            <w:vMerge w:val="restart"/>
          </w:tcPr>
          <w:p>
            <w:pPr>
              <w:ind w:left="80"/>
              <w:spacing w:after="0"/>
              <w:rPr>
                <w:sz w:val="20"/>
                <w:szCs w:val="20"/>
                <w:color w:val="auto"/>
              </w:rPr>
            </w:pPr>
            <w:r>
              <w:rPr>
                <w:rFonts w:ascii="Times New Roman" w:cs="Times New Roman" w:eastAsia="Times New Roman" w:hAnsi="Times New Roman"/>
                <w:sz w:val="18"/>
                <w:szCs w:val="18"/>
                <w:color w:val="auto"/>
              </w:rPr>
              <w:t>cas d'une personne morale, le siège) des propriétaires et</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(in case of legal persons the place of incorporation) of the</w:t>
            </w: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9"/>
            <w:vMerge w:val="restart"/>
          </w:tcPr>
          <w:p>
            <w:pPr>
              <w:ind w:left="80"/>
              <w:spacing w:after="0"/>
              <w:rPr>
                <w:sz w:val="20"/>
                <w:szCs w:val="20"/>
                <w:color w:val="auto"/>
              </w:rPr>
            </w:pPr>
            <w:r>
              <w:rPr>
                <w:rFonts w:ascii="Times New Roman" w:cs="Times New Roman" w:eastAsia="Times New Roman" w:hAnsi="Times New Roman"/>
                <w:sz w:val="18"/>
                <w:szCs w:val="18"/>
                <w:color w:val="auto"/>
              </w:rPr>
              <w:t>des usufruitiers des actions. Les personnes physiques et</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owners and usufructuaries of its registered shares. Natural</w:t>
            </w: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morales ainsi</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que</w:t>
            </w:r>
          </w:p>
        </w:tc>
        <w:tc>
          <w:tcPr>
            <w:tcW w:w="1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les représentants légaux</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1"/>
              </w:rPr>
              <w:t>des</w:t>
            </w:r>
          </w:p>
        </w:tc>
        <w:tc>
          <w:tcPr>
            <w:tcW w:w="78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mineurs</w:t>
            </w:r>
          </w:p>
        </w:tc>
        <w:tc>
          <w:tcPr>
            <w:tcW w:w="0" w:type="dxa"/>
            <w:vAlign w:val="bottom"/>
          </w:tcPr>
          <w:p>
            <w:pPr>
              <w:spacing w:after="0"/>
              <w:rPr>
                <w:sz w:val="1"/>
                <w:szCs w:val="1"/>
                <w:color w:val="auto"/>
              </w:rPr>
            </w:pPr>
          </w:p>
        </w:tc>
      </w:tr>
      <w:tr>
        <w:trPr>
          <w:trHeight w:val="108"/>
        </w:trPr>
        <w:tc>
          <w:tcPr>
            <w:tcW w:w="88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and legal</w:t>
            </w:r>
          </w:p>
        </w:tc>
        <w:tc>
          <w:tcPr>
            <w:tcW w:w="3560" w:type="dxa"/>
            <w:vAlign w:val="bottom"/>
            <w:tcBorders>
              <w:right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persons as well as legal representatives of</w:t>
            </w:r>
          </w:p>
        </w:tc>
        <w:tc>
          <w:tcPr>
            <w:tcW w:w="40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auto"/>
            </w:tcBorders>
            <w:vMerge w:val="continue"/>
          </w:tcPr>
          <w:p>
            <w:pPr>
              <w:spacing w:after="0"/>
              <w:rPr>
                <w:sz w:val="9"/>
                <w:szCs w:val="9"/>
                <w:color w:val="auto"/>
              </w:rPr>
            </w:pPr>
          </w:p>
        </w:tc>
        <w:tc>
          <w:tcPr>
            <w:tcW w:w="3560" w:type="dxa"/>
            <w:vAlign w:val="bottom"/>
            <w:tcBorders>
              <w:right w:val="single" w:sz="8" w:color="auto"/>
            </w:tcBorders>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etc. autorisés</w:t>
            </w: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par</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 loi à</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voter</w:t>
            </w: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alors qu'ils</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ne</w:t>
            </w:r>
          </w:p>
        </w:tc>
        <w:tc>
          <w:tcPr>
            <w:tcW w:w="78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sont pas</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minors etc. entitled by law to the voting rights of a share</w:t>
            </w:r>
          </w:p>
        </w:tc>
        <w:tc>
          <w:tcPr>
            <w:tcW w:w="40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9"/>
            <w:vMerge w:val="restart"/>
          </w:tcPr>
          <w:p>
            <w:pPr>
              <w:ind w:left="80"/>
              <w:spacing w:after="0"/>
              <w:rPr>
                <w:sz w:val="20"/>
                <w:szCs w:val="20"/>
                <w:color w:val="auto"/>
              </w:rPr>
            </w:pPr>
            <w:r>
              <w:rPr>
                <w:rFonts w:ascii="Times New Roman" w:cs="Times New Roman" w:eastAsia="Times New Roman" w:hAnsi="Times New Roman"/>
                <w:sz w:val="18"/>
                <w:szCs w:val="18"/>
                <w:color w:val="auto"/>
              </w:rPr>
              <w:t>propriétaires des actions seront, sur demande, inscrits dans</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which they do not own will be noted in the share register</w:t>
            </w: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le registre des actions.</w:t>
            </w: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upon request.</w:t>
            </w:r>
          </w:p>
        </w:tc>
        <w:tc>
          <w:tcPr>
            <w:tcW w:w="400" w:type="dxa"/>
            <w:vAlign w:val="bottom"/>
            <w:tcBorders>
              <w:right w:val="single" w:sz="8" w:color="auto"/>
            </w:tcBorders>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9"/>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Upon request, acquirers of shares will be registered in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Sur demande, les acquéreurs d'actions seront inscrits dans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 register without limitation as shareholders if they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le registre des actions sans limitation comme actionnaires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expressly certify that they acquired the shares in their own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s'ils attestent expressément qu'ils ont acquis les actions en</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name and for their own account.</w:t>
            </w:r>
          </w:p>
        </w:tc>
        <w:tc>
          <w:tcPr>
            <w:tcW w:w="400" w:type="dxa"/>
            <w:vAlign w:val="bottom"/>
            <w:tcBorders>
              <w:right w:val="single" w:sz="8" w:color="auto"/>
            </w:tcBorders>
          </w:tcPr>
          <w:p>
            <w:pPr>
              <w:spacing w:after="0"/>
              <w:rPr>
                <w:sz w:val="20"/>
                <w:szCs w:val="20"/>
                <w:color w:val="auto"/>
              </w:rPr>
            </w:pPr>
          </w:p>
        </w:tc>
        <w:tc>
          <w:tcPr>
            <w:tcW w:w="33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leur propre nom et pour leur propre compte.</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9"/>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Persons who do not expressly declare in the registration</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Les personnes qui ne déclarent pas expressément dans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application that they are holding the shares on their own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demande d'inscription qu'ils détiennent les actions pour</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account (thereafter: nominees) shall forthwith be entered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leur propre compte (par la suite: les candidats) doivent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on the share register as shareholders with voting rights up</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immédiatement être inscrits dans le registre des actions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 a maximum of 3 percent of the share capital. Beyond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comme actionnaires avec droit de vote pour un maximum</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that limit, registered shares of nominees shall only be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de 3 pour cent du capital-actions. Au-delà de cette limite,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entered as voting if the nominees in question confirm in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les actions nominatives des candidats ne sont inscrites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writing  that  they  are  willing  to  disclose  the  names,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avec droit de vote que si les candidats en question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addresses and shareholdings of the persons on whose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confirment par écrit qu'ils sont prêts à divulguer les noms,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account they hold 0.5 percent or more of the share capital.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adresses et participations des personnes pour le compte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Board  of  Directors  concludes  agreements  with</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desquelles ils détiennent 0,5 pour cent ou plus du capital-</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nominees  that  among  other  things  govern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actions. Le conseil d'administration conclut des accords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representation of shareholders and the voting rights.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avec les candidats qui, entre autres choses, régissent la</w:t>
            </w:r>
          </w:p>
        </w:tc>
        <w:tc>
          <w:tcPr>
            <w:tcW w:w="0" w:type="dxa"/>
            <w:vAlign w:val="bottom"/>
          </w:tcPr>
          <w:p>
            <w:pPr>
              <w:spacing w:after="0"/>
              <w:rPr>
                <w:sz w:val="1"/>
                <w:szCs w:val="1"/>
                <w:color w:val="auto"/>
              </w:rPr>
            </w:pPr>
          </w:p>
        </w:tc>
      </w:tr>
      <w:tr>
        <w:trPr>
          <w:trHeight w:val="234"/>
        </w:trPr>
        <w:tc>
          <w:tcPr>
            <w:tcW w:w="88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représentation des actionnaires et des droits de vote.</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9"/>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After hearing the registered shareholder or nominee,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Après  avoir  entendu  l'actionnaire  enregistré  ou  le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Board of Directors may remove entries in the share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candidat, le conseil d'administration peut supprimer des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register with retroactive effect as per the date of entry, if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inscriptions  dans  le  registre  des  actions  avec  effet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such entry was based on false information. The party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rétroactif à la date d'inscription, si cette inscription était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affected must be informed of such removal immediately.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basée sur de fausses informations. La partie touchée doit</w:t>
            </w:r>
          </w:p>
        </w:tc>
        <w:tc>
          <w:tcPr>
            <w:tcW w:w="0" w:type="dxa"/>
            <w:vAlign w:val="bottom"/>
          </w:tcPr>
          <w:p>
            <w:pPr>
              <w:spacing w:after="0"/>
              <w:rPr>
                <w:sz w:val="1"/>
                <w:szCs w:val="1"/>
                <w:color w:val="auto"/>
              </w:rPr>
            </w:pPr>
          </w:p>
        </w:tc>
      </w:tr>
      <w:tr>
        <w:trPr>
          <w:trHeight w:val="234"/>
        </w:trPr>
        <w:tc>
          <w:tcPr>
            <w:tcW w:w="88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être immédiatement informée de cette suppression.</w:t>
            </w:r>
          </w:p>
        </w:tc>
        <w:tc>
          <w:tcPr>
            <w:tcW w:w="0" w:type="dxa"/>
            <w:vAlign w:val="bottom"/>
          </w:tcPr>
          <w:p>
            <w:pPr>
              <w:spacing w:after="0"/>
              <w:rPr>
                <w:sz w:val="1"/>
                <w:szCs w:val="1"/>
                <w:color w:val="auto"/>
              </w:rPr>
            </w:pPr>
          </w:p>
        </w:tc>
      </w:tr>
      <w:tr>
        <w:trPr>
          <w:trHeight w:val="148"/>
        </w:trPr>
        <w:tc>
          <w:tcPr>
            <w:tcW w:w="4440" w:type="dxa"/>
            <w:vAlign w:val="bottom"/>
            <w:tcBorders>
              <w:left w:val="single" w:sz="8" w:color="auto"/>
              <w:bottom w:val="single" w:sz="8" w:color="auto"/>
              <w:right w:val="single" w:sz="8" w:color="auto"/>
            </w:tcBorders>
            <w:gridSpan w:val="2"/>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4420" w:type="dxa"/>
            <w:vAlign w:val="bottom"/>
            <w:tcBorders>
              <w:bottom w:val="single" w:sz="8" w:color="auto"/>
              <w:right w:val="single" w:sz="8" w:color="auto"/>
            </w:tcBorders>
            <w:gridSpan w:val="9"/>
          </w:tcPr>
          <w:p>
            <w:pPr>
              <w:spacing w:after="0"/>
              <w:rPr>
                <w:sz w:val="12"/>
                <w:szCs w:val="12"/>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 individual or legal entity may, directly or indirectly,</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Aucune personne physique ou morale ne peut, directement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formally, constructively or beneficially own (as defined in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ou indirectement, formellement ou implicitement détenir à</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next paragraph below) or otherwise control voting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son profit (comme défini dans le paragraphe ci-dessous)</w:t>
            </w:r>
          </w:p>
        </w:tc>
        <w:tc>
          <w:tcPr>
            <w:tcW w:w="0" w:type="dxa"/>
            <w:vAlign w:val="bottom"/>
          </w:tcPr>
          <w:p>
            <w:pPr>
              <w:spacing w:after="0"/>
              <w:rPr>
                <w:sz w:val="1"/>
                <w:szCs w:val="1"/>
                <w:color w:val="auto"/>
              </w:rPr>
            </w:pPr>
          </w:p>
        </w:tc>
      </w:tr>
      <w:tr>
        <w:trPr>
          <w:trHeight w:val="180"/>
        </w:trPr>
        <w:tc>
          <w:tcPr>
            <w:tcW w:w="4440" w:type="dxa"/>
            <w:vAlign w:val="bottom"/>
            <w:tcBorders>
              <w:left w:val="single" w:sz="8" w:color="auto"/>
              <w:right w:val="single" w:sz="8" w:color="auto"/>
            </w:tcBorders>
            <w:gridSpan w:val="2"/>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rights ("Controlled Shares") with respect to 33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4"/>
                <w:szCs w:val="14"/>
                <w:color w:val="auto"/>
              </w:rPr>
              <w:t>/  % or</w:t>
            </w:r>
          </w:p>
        </w:tc>
        <w:tc>
          <w:tcPr>
            <w:tcW w:w="400" w:type="dxa"/>
            <w:vAlign w:val="bottom"/>
            <w:tcBorders>
              <w:right w:val="single" w:sz="8" w:color="auto"/>
            </w:tcBorders>
          </w:tcPr>
          <w:p>
            <w:pPr>
              <w:spacing w:after="0"/>
              <w:rPr>
                <w:sz w:val="15"/>
                <w:szCs w:val="15"/>
                <w:color w:val="auto"/>
              </w:rPr>
            </w:pPr>
          </w:p>
        </w:tc>
        <w:tc>
          <w:tcPr>
            <w:tcW w:w="7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ou, d'une</w:t>
            </w:r>
          </w:p>
        </w:tc>
        <w:tc>
          <w:tcPr>
            <w:tcW w:w="122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autre manière,</w:t>
            </w:r>
          </w:p>
        </w:tc>
        <w:tc>
          <w:tcPr>
            <w:tcW w:w="1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contrôler le droit</w:t>
            </w:r>
          </w:p>
        </w:tc>
        <w:tc>
          <w:tcPr>
            <w:tcW w:w="2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de</w:t>
            </w:r>
          </w:p>
        </w:tc>
        <w:tc>
          <w:tcPr>
            <w:tcW w:w="780" w:type="dxa"/>
            <w:vAlign w:val="bottom"/>
            <w:tcBorders>
              <w:right w:val="single" w:sz="8" w:color="auto"/>
            </w:tcBorders>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vote (les</w:t>
            </w:r>
          </w:p>
        </w:tc>
        <w:tc>
          <w:tcPr>
            <w:tcW w:w="0" w:type="dxa"/>
            <w:vAlign w:val="bottom"/>
          </w:tcPr>
          <w:p>
            <w:pPr>
              <w:spacing w:after="0"/>
              <w:rPr>
                <w:sz w:val="1"/>
                <w:szCs w:val="1"/>
                <w:color w:val="auto"/>
              </w:rPr>
            </w:pPr>
          </w:p>
        </w:tc>
      </w:tr>
      <w:tr>
        <w:trPr>
          <w:trHeight w:val="49"/>
        </w:trPr>
        <w:tc>
          <w:tcPr>
            <w:tcW w:w="880" w:type="dxa"/>
            <w:vAlign w:val="bottom"/>
            <w:tcBorders>
              <w:left w:val="single" w:sz="8" w:color="auto"/>
            </w:tcBorders>
          </w:tcPr>
          <w:p>
            <w:pPr>
              <w:spacing w:after="0"/>
              <w:rPr>
                <w:sz w:val="4"/>
                <w:szCs w:val="4"/>
                <w:color w:val="auto"/>
              </w:rPr>
            </w:pPr>
          </w:p>
        </w:tc>
        <w:tc>
          <w:tcPr>
            <w:tcW w:w="3560" w:type="dxa"/>
            <w:vAlign w:val="bottom"/>
            <w:tcBorders>
              <w:right w:val="single" w:sz="8" w:color="auto"/>
            </w:tcBorders>
          </w:tcPr>
          <w:p>
            <w:pPr>
              <w:jc w:val="right"/>
              <w:ind w:right="493"/>
              <w:spacing w:after="0"/>
              <w:rPr>
                <w:sz w:val="20"/>
                <w:szCs w:val="20"/>
                <w:color w:val="auto"/>
              </w:rPr>
            </w:pPr>
            <w:r>
              <w:rPr>
                <w:rFonts w:ascii="Times New Roman" w:cs="Times New Roman" w:eastAsia="Times New Roman" w:hAnsi="Times New Roman"/>
                <w:sz w:val="4"/>
                <w:szCs w:val="4"/>
                <w:color w:val="auto"/>
              </w:rPr>
              <w:t>3</w:t>
            </w:r>
          </w:p>
        </w:tc>
        <w:tc>
          <w:tcPr>
            <w:tcW w:w="400" w:type="dxa"/>
            <w:vAlign w:val="bottom"/>
            <w:tcBorders>
              <w:right w:val="single" w:sz="8" w:color="auto"/>
            </w:tcBorders>
          </w:tcPr>
          <w:p>
            <w:pPr>
              <w:spacing w:after="0"/>
              <w:rPr>
                <w:sz w:val="4"/>
                <w:szCs w:val="4"/>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"Actions</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Contrôlées") de</w:t>
            </w:r>
          </w:p>
        </w:tc>
        <w:tc>
          <w:tcPr>
            <w:tcW w:w="520" w:type="dxa"/>
            <w:vAlign w:val="bottom"/>
            <w:vMerge w:val="restart"/>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1900" w:type="dxa"/>
            <w:vAlign w:val="bottom"/>
            <w:tcBorders>
              <w:right w:val="single" w:sz="8" w:color="auto"/>
            </w:tcBorders>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 ou plus du capital-</w:t>
            </w:r>
          </w:p>
        </w:tc>
        <w:tc>
          <w:tcPr>
            <w:tcW w:w="0" w:type="dxa"/>
            <w:vAlign w:val="bottom"/>
          </w:tcPr>
          <w:p>
            <w:pPr>
              <w:spacing w:after="0"/>
              <w:rPr>
                <w:sz w:val="1"/>
                <w:szCs w:val="1"/>
                <w:color w:val="auto"/>
              </w:rPr>
            </w:pPr>
          </w:p>
        </w:tc>
      </w:tr>
      <w:tr>
        <w:trPr>
          <w:trHeight w:val="167"/>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more of the registered share capital recorded in the</w:t>
            </w:r>
          </w:p>
        </w:tc>
        <w:tc>
          <w:tcPr>
            <w:tcW w:w="400" w:type="dxa"/>
            <w:vAlign w:val="bottom"/>
            <w:tcBorders>
              <w:right w:val="single" w:sz="8" w:color="auto"/>
            </w:tcBorders>
          </w:tcPr>
          <w:p>
            <w:pPr>
              <w:spacing w:after="0"/>
              <w:rPr>
                <w:sz w:val="14"/>
                <w:szCs w:val="14"/>
                <w:color w:val="auto"/>
              </w:rPr>
            </w:pPr>
          </w:p>
        </w:tc>
        <w:tc>
          <w:tcPr>
            <w:tcW w:w="78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900" w:type="dxa"/>
            <w:vAlign w:val="bottom"/>
            <w:tcBorders>
              <w:right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4440" w:type="dxa"/>
            <w:vAlign w:val="bottom"/>
            <w:tcBorders>
              <w:left w:val="single" w:sz="8" w:color="auto"/>
              <w:right w:val="single" w:sz="8" w:color="auto"/>
            </w:tcBorders>
            <w:gridSpan w:val="2"/>
            <w:vMerge w:val="continue"/>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3</w:t>
            </w: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Commercial Register except if such individual or legal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actions nominatif tel qu'inscrit au registre du commerce</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entity has submitted prior to the acquisition of such</w:t>
            </w:r>
          </w:p>
        </w:tc>
        <w:tc>
          <w:tcPr>
            <w:tcW w:w="40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sauf si cette personne</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23" w:name="page224"/>
    <w:bookmarkEnd w:id="223"/>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4440" w:type="dxa"/>
            <w:vAlign w:val="bottom"/>
            <w:tcBorders>
              <w:top w:val="single" w:sz="8" w:color="auto"/>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Controlled  Shares  an  orderly  tender  offer  to  all</w:t>
            </w:r>
          </w:p>
        </w:tc>
        <w:tc>
          <w:tcPr>
            <w:tcW w:w="400" w:type="dxa"/>
            <w:vAlign w:val="bottom"/>
            <w:tcBorders>
              <w:top w:val="single" w:sz="8" w:color="auto"/>
              <w:right w:val="single" w:sz="8" w:color="auto"/>
            </w:tcBorders>
          </w:tcPr>
          <w:p>
            <w:pPr>
              <w:spacing w:after="0"/>
              <w:rPr>
                <w:sz w:val="18"/>
                <w:szCs w:val="18"/>
                <w:color w:val="auto"/>
              </w:rPr>
            </w:pPr>
          </w:p>
        </w:tc>
        <w:tc>
          <w:tcPr>
            <w:tcW w:w="4420" w:type="dxa"/>
            <w:vAlign w:val="bottom"/>
            <w:tcBorders>
              <w:top w:val="single" w:sz="8" w:color="auto"/>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physique ou morale a présenté avant l'acquisition de ces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shareholders with a minimum price of the higher of (i)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Actions Contrôlée une offre publique d'achat en bonne et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volume weighted average price of the last 60 trading days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due forme à tous les actionnaires à un prix minimum</w:t>
            </w: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équivalent au montant le</w:t>
            </w: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40" w:type="dxa"/>
            <w:vAlign w:val="bottom"/>
            <w:tcBorders>
              <w:left w:val="single" w:sz="8" w:color="auto"/>
              <w:right w:val="single" w:sz="8" w:color="auto"/>
            </w:tcBorders>
            <w:gridSpan w:val="4"/>
          </w:tcPr>
          <w:p>
            <w:pPr>
              <w:ind w:left="120"/>
              <w:spacing w:after="0" w:line="191" w:lineRule="exact"/>
              <w:rPr>
                <w:sz w:val="20"/>
                <w:szCs w:val="20"/>
                <w:color w:val="auto"/>
              </w:rPr>
            </w:pPr>
            <w:r>
              <w:rPr>
                <w:rFonts w:ascii="Times New Roman" w:cs="Times New Roman" w:eastAsia="Times New Roman" w:hAnsi="Times New Roman"/>
                <w:sz w:val="18"/>
                <w:szCs w:val="18"/>
                <w:color w:val="auto"/>
              </w:rPr>
              <w:t>prior to the publication of the tender offer or (ii) the</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10"/>
          </w:tcPr>
          <w:p>
            <w:pPr>
              <w:ind w:left="80"/>
              <w:spacing w:after="0" w:line="191" w:lineRule="exact"/>
              <w:rPr>
                <w:sz w:val="20"/>
                <w:szCs w:val="20"/>
                <w:color w:val="auto"/>
              </w:rPr>
            </w:pPr>
            <w:r>
              <w:rPr>
                <w:rFonts w:ascii="Times New Roman" w:cs="Times New Roman" w:eastAsia="Times New Roman" w:hAnsi="Times New Roman"/>
                <w:sz w:val="18"/>
                <w:szCs w:val="18"/>
                <w:color w:val="auto"/>
              </w:rPr>
              <w:t>plus élevé entre (i) le cours moyen pondéré en fonction du</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highest price paid by such individual or legal entity in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volume des 60 derniers jours de bourse précédant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12 months preceding to the publication of the tender offer.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publication de l'offre publique d'achat et (ii) le plus haut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Those associated through capital, voting power, joint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prix payé par cette personne physique ou morale dans les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management or in any other way, or joining for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12  mois  précédant  la  publication  de  l'offre  publique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acquisition of shares, shall be regarded as one person.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d'achat. Les personnes associées par le capital, les droits</w:t>
            </w:r>
          </w:p>
        </w:tc>
        <w:tc>
          <w:tcPr>
            <w:tcW w:w="0" w:type="dxa"/>
            <w:vAlign w:val="bottom"/>
          </w:tcPr>
          <w:p>
            <w:pPr>
              <w:spacing w:after="0"/>
              <w:rPr>
                <w:sz w:val="1"/>
                <w:szCs w:val="1"/>
                <w:color w:val="auto"/>
              </w:rPr>
            </w:pPr>
          </w:p>
        </w:tc>
      </w:tr>
      <w:tr>
        <w:trPr>
          <w:trHeight w:val="180"/>
        </w:trPr>
        <w:tc>
          <w:tcPr>
            <w:tcW w:w="3260" w:type="dxa"/>
            <w:vAlign w:val="bottom"/>
            <w:tcBorders>
              <w:left w:val="single" w:sz="8" w:color="auto"/>
            </w:tcBorders>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registered shares exceeding the limit of 33</w:t>
            </w:r>
          </w:p>
        </w:tc>
        <w:tc>
          <w:tcPr>
            <w:tcW w:w="260" w:type="dxa"/>
            <w:vAlign w:val="bottom"/>
          </w:tcPr>
          <w:p>
            <w:pPr>
              <w:jc w:val="right"/>
              <w:ind w:right="46"/>
              <w:spacing w:after="0" w:line="181" w:lineRule="exact"/>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bscript"/>
              </w:rPr>
              <w:t>/</w:t>
            </w:r>
          </w:p>
        </w:tc>
        <w:tc>
          <w:tcPr>
            <w:tcW w:w="920" w:type="dxa"/>
            <w:vAlign w:val="bottom"/>
            <w:tcBorders>
              <w:right w:val="single" w:sz="8" w:color="auto"/>
            </w:tcBorders>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 and not</w:t>
            </w:r>
          </w:p>
        </w:tc>
        <w:tc>
          <w:tcPr>
            <w:tcW w:w="4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gridSpan w:val="10"/>
          </w:tcPr>
          <w:p>
            <w:pPr>
              <w:ind w:left="80"/>
              <w:spacing w:after="0" w:line="181" w:lineRule="exact"/>
              <w:rPr>
                <w:sz w:val="20"/>
                <w:szCs w:val="20"/>
                <w:color w:val="auto"/>
              </w:rPr>
            </w:pPr>
            <w:r>
              <w:rPr>
                <w:rFonts w:ascii="Times New Roman" w:cs="Times New Roman" w:eastAsia="Times New Roman" w:hAnsi="Times New Roman"/>
                <w:sz w:val="18"/>
                <w:szCs w:val="18"/>
                <w:color w:val="auto"/>
              </w:rPr>
              <w:t>de vote, une gestion commune ou de toute autre manière,</w:t>
            </w:r>
          </w:p>
        </w:tc>
        <w:tc>
          <w:tcPr>
            <w:tcW w:w="0" w:type="dxa"/>
            <w:vAlign w:val="bottom"/>
          </w:tcPr>
          <w:p>
            <w:pPr>
              <w:spacing w:after="0"/>
              <w:rPr>
                <w:sz w:val="1"/>
                <w:szCs w:val="1"/>
                <w:color w:val="auto"/>
              </w:rPr>
            </w:pPr>
          </w:p>
        </w:tc>
      </w:tr>
      <w:tr>
        <w:trPr>
          <w:trHeight w:val="49"/>
        </w:trPr>
        <w:tc>
          <w:tcPr>
            <w:tcW w:w="1620" w:type="dxa"/>
            <w:vAlign w:val="bottom"/>
            <w:tcBorders>
              <w:left w:val="single" w:sz="8" w:color="auto"/>
            </w:tcBorders>
          </w:tcPr>
          <w:p>
            <w:pPr>
              <w:spacing w:after="0"/>
              <w:rPr>
                <w:sz w:val="4"/>
                <w:szCs w:val="4"/>
                <w:color w:val="auto"/>
              </w:rPr>
            </w:pPr>
          </w:p>
        </w:tc>
        <w:tc>
          <w:tcPr>
            <w:tcW w:w="1640" w:type="dxa"/>
            <w:vAlign w:val="bottom"/>
          </w:tcPr>
          <w:p>
            <w:pPr>
              <w:spacing w:after="0"/>
              <w:rPr>
                <w:sz w:val="4"/>
                <w:szCs w:val="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3</w:t>
            </w:r>
          </w:p>
        </w:tc>
        <w:tc>
          <w:tcPr>
            <w:tcW w:w="920" w:type="dxa"/>
            <w:vAlign w:val="bottom"/>
            <w:tcBorders>
              <w:right w:val="single" w:sz="8" w:color="auto"/>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4420" w:type="dxa"/>
            <w:vAlign w:val="bottom"/>
            <w:tcBorders>
              <w:right w:val="single" w:sz="8" w:color="auto"/>
            </w:tcBorders>
            <w:gridSpan w:val="10"/>
            <w:vMerge w:val="restart"/>
          </w:tcPr>
          <w:p>
            <w:pPr>
              <w:ind w:left="80"/>
              <w:spacing w:after="0"/>
              <w:rPr>
                <w:sz w:val="20"/>
                <w:szCs w:val="20"/>
                <w:color w:val="auto"/>
              </w:rPr>
            </w:pPr>
            <w:r>
              <w:rPr>
                <w:rFonts w:ascii="Times New Roman" w:cs="Times New Roman" w:eastAsia="Times New Roman" w:hAnsi="Times New Roman"/>
                <w:sz w:val="18"/>
                <w:szCs w:val="18"/>
                <w:color w:val="auto"/>
              </w:rPr>
              <w:t>ou qui se joignent pour une acquisition d'actions, sont</w:t>
            </w:r>
          </w:p>
        </w:tc>
        <w:tc>
          <w:tcPr>
            <w:tcW w:w="0" w:type="dxa"/>
            <w:vAlign w:val="bottom"/>
          </w:tcPr>
          <w:p>
            <w:pPr>
              <w:spacing w:after="0"/>
              <w:rPr>
                <w:sz w:val="1"/>
                <w:szCs w:val="1"/>
                <w:color w:val="auto"/>
              </w:rPr>
            </w:pPr>
          </w:p>
        </w:tc>
      </w:tr>
      <w:tr>
        <w:trPr>
          <w:trHeight w:val="203"/>
        </w:trPr>
        <w:tc>
          <w:tcPr>
            <w:tcW w:w="4440" w:type="dxa"/>
            <w:vAlign w:val="bottom"/>
            <w:tcBorders>
              <w:left w:val="single" w:sz="8" w:color="auto"/>
              <w:right w:val="single" w:sz="8" w:color="auto"/>
            </w:tcBorders>
            <w:gridSpan w:val="4"/>
          </w:tcPr>
          <w:p>
            <w:pPr>
              <w:ind w:left="120"/>
              <w:spacing w:after="0" w:line="202" w:lineRule="exact"/>
              <w:rPr>
                <w:sz w:val="20"/>
                <w:szCs w:val="20"/>
                <w:color w:val="auto"/>
              </w:rPr>
            </w:pPr>
            <w:r>
              <w:rPr>
                <w:rFonts w:ascii="Times New Roman" w:cs="Times New Roman" w:eastAsia="Times New Roman" w:hAnsi="Times New Roman"/>
                <w:sz w:val="18"/>
                <w:szCs w:val="18"/>
                <w:color w:val="auto"/>
              </w:rPr>
              <w:t>benefiting from the exemption regarding a tender offer</w:t>
            </w:r>
          </w:p>
        </w:tc>
        <w:tc>
          <w:tcPr>
            <w:tcW w:w="400" w:type="dxa"/>
            <w:vAlign w:val="bottom"/>
            <w:tcBorders>
              <w:right w:val="single" w:sz="8" w:color="auto"/>
            </w:tcBorders>
          </w:tcPr>
          <w:p>
            <w:pPr>
              <w:spacing w:after="0"/>
              <w:rPr>
                <w:sz w:val="17"/>
                <w:szCs w:val="17"/>
                <w:color w:val="auto"/>
              </w:rPr>
            </w:pPr>
          </w:p>
        </w:tc>
        <w:tc>
          <w:tcPr>
            <w:tcW w:w="4420" w:type="dxa"/>
            <w:vAlign w:val="bottom"/>
            <w:tcBorders>
              <w:right w:val="single" w:sz="8" w:color="auto"/>
            </w:tcBorders>
            <w:gridSpan w:val="1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shall be entered in the share register as shares without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considérées   comme   une   personne.   Les   actions</w:t>
            </w:r>
          </w:p>
        </w:tc>
        <w:tc>
          <w:tcPr>
            <w:tcW w:w="0" w:type="dxa"/>
            <w:vAlign w:val="bottom"/>
          </w:tcPr>
          <w:p>
            <w:pPr>
              <w:spacing w:after="0"/>
              <w:rPr>
                <w:sz w:val="1"/>
                <w:szCs w:val="1"/>
                <w:color w:val="auto"/>
              </w:rPr>
            </w:pPr>
          </w:p>
        </w:tc>
      </w:tr>
      <w:tr>
        <w:trPr>
          <w:trHeight w:val="180"/>
        </w:trPr>
        <w:tc>
          <w:tcPr>
            <w:tcW w:w="162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voting rights.</w:t>
            </w: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10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nominatives</w:t>
            </w:r>
          </w:p>
        </w:tc>
        <w:tc>
          <w:tcPr>
            <w:tcW w:w="9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rPr>
              <w:t>dépassant  la</w:t>
            </w:r>
          </w:p>
        </w:tc>
        <w:tc>
          <w:tcPr>
            <w:tcW w:w="8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limite  de</w:t>
            </w:r>
          </w:p>
        </w:tc>
        <w:tc>
          <w:tcPr>
            <w:tcW w:w="580" w:type="dxa"/>
            <w:vAlign w:val="bottom"/>
          </w:tcPr>
          <w:p>
            <w:pPr>
              <w:ind w:left="80"/>
              <w:spacing w:after="0" w:line="181" w:lineRule="exact"/>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4"/>
                <w:szCs w:val="14"/>
                <w:color w:val="auto"/>
              </w:rPr>
              <w:t>/</w:t>
            </w:r>
          </w:p>
        </w:tc>
        <w:tc>
          <w:tcPr>
            <w:tcW w:w="5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et</w:t>
            </w:r>
          </w:p>
        </w:tc>
        <w:tc>
          <w:tcPr>
            <w:tcW w:w="360" w:type="dxa"/>
            <w:vAlign w:val="bottom"/>
            <w:tcBorders>
              <w:right w:val="single" w:sz="8" w:color="auto"/>
            </w:tcBorders>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ne</w:t>
            </w:r>
          </w:p>
        </w:tc>
        <w:tc>
          <w:tcPr>
            <w:tcW w:w="0" w:type="dxa"/>
            <w:vAlign w:val="bottom"/>
          </w:tcPr>
          <w:p>
            <w:pPr>
              <w:spacing w:after="0"/>
              <w:rPr>
                <w:sz w:val="1"/>
                <w:szCs w:val="1"/>
                <w:color w:val="auto"/>
              </w:rPr>
            </w:pPr>
          </w:p>
        </w:tc>
      </w:tr>
      <w:tr>
        <w:trPr>
          <w:trHeight w:val="49"/>
        </w:trPr>
        <w:tc>
          <w:tcPr>
            <w:tcW w:w="1620" w:type="dxa"/>
            <w:vAlign w:val="bottom"/>
            <w:tcBorders>
              <w:left w:val="single" w:sz="8" w:color="auto"/>
            </w:tcBorders>
            <w:vMerge w:val="continue"/>
          </w:tcPr>
          <w:p>
            <w:pPr>
              <w:spacing w:after="0"/>
              <w:rPr>
                <w:sz w:val="4"/>
                <w:szCs w:val="4"/>
                <w:color w:val="auto"/>
              </w:rPr>
            </w:pPr>
          </w:p>
        </w:tc>
        <w:tc>
          <w:tcPr>
            <w:tcW w:w="1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ind w:left="500"/>
              <w:spacing w:after="0"/>
              <w:rPr>
                <w:sz w:val="20"/>
                <w:szCs w:val="20"/>
                <w:color w:val="auto"/>
              </w:rPr>
            </w:pPr>
            <w:r>
              <w:rPr>
                <w:rFonts w:ascii="Times New Roman" w:cs="Times New Roman" w:eastAsia="Times New Roman" w:hAnsi="Times New Roman"/>
                <w:sz w:val="4"/>
                <w:szCs w:val="4"/>
                <w:color w:val="auto"/>
              </w:rPr>
              <w:t>3</w:t>
            </w: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bénéficiant  pas  de  l'exemption  relative  à  une  offre</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publique d'achat sont inscrites dans le registre des actions</w:t>
            </w: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9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comme des actions sans droit de vote.</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4"/>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10"/>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For the purposes of this Article 4, "Controlled Shares" in</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Aux fins du présent article 4, Actions Contrôlées signifie</w:t>
            </w:r>
          </w:p>
        </w:tc>
        <w:tc>
          <w:tcPr>
            <w:tcW w:w="0" w:type="dxa"/>
            <w:vAlign w:val="bottom"/>
          </w:tcPr>
          <w:p>
            <w:pPr>
              <w:spacing w:after="0"/>
              <w:rPr>
                <w:sz w:val="1"/>
                <w:szCs w:val="1"/>
                <w:color w:val="auto"/>
              </w:rPr>
            </w:pPr>
          </w:p>
        </w:tc>
      </w:tr>
      <w:tr>
        <w:trPr>
          <w:trHeight w:val="234"/>
        </w:trPr>
        <w:tc>
          <w:tcPr>
            <w:tcW w:w="32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9"/>
              </w:rPr>
              <w:t>reference to any individual or entity means:</w:t>
            </w:r>
          </w:p>
        </w:tc>
        <w:tc>
          <w:tcPr>
            <w:tcW w:w="26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06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en référence à toute personne physique ou morale:</w:t>
            </w:r>
          </w:p>
        </w:tc>
        <w:tc>
          <w:tcPr>
            <w:tcW w:w="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  all shares of the Company directly, indirectly or</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10"/>
          </w:tcPr>
          <w:p>
            <w:pPr>
              <w:ind w:left="80"/>
              <w:spacing w:after="0"/>
              <w:rPr>
                <w:sz w:val="20"/>
                <w:szCs w:val="20"/>
                <w:color w:val="auto"/>
              </w:rPr>
            </w:pPr>
            <w:r>
              <w:rPr>
                <w:rFonts w:ascii="Times New Roman" w:cs="Times New Roman" w:eastAsia="Times New Roman" w:hAnsi="Times New Roman"/>
                <w:sz w:val="18"/>
                <w:szCs w:val="18"/>
                <w:color w:val="auto"/>
              </w:rPr>
              <w:t>(a)  toutes   actions   directement,   indirectement   ou</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color w:val="auto"/>
              </w:rPr>
              <w:t>constructively owned by such individual or entity;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0"/>
          </w:tcPr>
          <w:p>
            <w:pPr>
              <w:ind w:left="460"/>
              <w:spacing w:after="0"/>
              <w:rPr>
                <w:sz w:val="20"/>
                <w:szCs w:val="20"/>
                <w:color w:val="auto"/>
              </w:rPr>
            </w:pPr>
            <w:r>
              <w:rPr>
                <w:rFonts w:ascii="Times New Roman" w:cs="Times New Roman" w:eastAsia="Times New Roman" w:hAnsi="Times New Roman"/>
                <w:sz w:val="18"/>
                <w:szCs w:val="18"/>
                <w:color w:val="auto"/>
              </w:rPr>
              <w:t>implicitement détenues par cette personne physique</w:t>
            </w: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provided that</w:t>
            </w: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4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w w:val="99"/>
              </w:rPr>
              <w:t>ou morale, à condition que</w:t>
            </w: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40" w:type="dxa"/>
            <w:vAlign w:val="bottom"/>
            <w:tcBorders>
              <w:left w:val="single" w:sz="8" w:color="auto"/>
              <w:right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color w:val="auto"/>
              </w:rPr>
              <w:t>(i)   shares owned, directly or indirectly, by or for a</w:t>
            </w:r>
          </w:p>
        </w:tc>
        <w:tc>
          <w:tcPr>
            <w:tcW w:w="400" w:type="dxa"/>
            <w:vAlign w:val="bottom"/>
            <w:tcBorders>
              <w:right w:val="single" w:sz="8" w:color="auto"/>
            </w:tcBorders>
          </w:tcPr>
          <w:p>
            <w:pPr>
              <w:spacing w:after="0"/>
              <w:rPr>
                <w:sz w:val="24"/>
                <w:szCs w:val="24"/>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les</w:t>
            </w:r>
          </w:p>
        </w:tc>
        <w:tc>
          <w:tcPr>
            <w:tcW w:w="180" w:type="dxa"/>
            <w:vAlign w:val="bottom"/>
          </w:tcPr>
          <w:p>
            <w:pPr>
              <w:spacing w:after="0"/>
              <w:rPr>
                <w:sz w:val="24"/>
                <w:szCs w:val="24"/>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actions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détenues,</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directement</w:t>
            </w:r>
          </w:p>
        </w:tc>
        <w:tc>
          <w:tcPr>
            <w:tcW w:w="3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ou</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860"/>
              <w:spacing w:after="0"/>
              <w:rPr>
                <w:sz w:val="20"/>
                <w:szCs w:val="20"/>
                <w:color w:val="auto"/>
              </w:rPr>
            </w:pPr>
            <w:r>
              <w:rPr>
                <w:rFonts w:ascii="Times New Roman" w:cs="Times New Roman" w:eastAsia="Times New Roman" w:hAnsi="Times New Roman"/>
                <w:sz w:val="18"/>
                <w:szCs w:val="18"/>
                <w:color w:val="auto"/>
              </w:rPr>
              <w:t>partnership, or trust or estate will be considered</w:t>
            </w: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indirectement, par ou pour un partenariat, une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860"/>
              <w:spacing w:after="0"/>
              <w:rPr>
                <w:sz w:val="20"/>
                <w:szCs w:val="20"/>
                <w:color w:val="auto"/>
              </w:rPr>
            </w:pPr>
            <w:r>
              <w:rPr>
                <w:rFonts w:ascii="Times New Roman" w:cs="Times New Roman" w:eastAsia="Times New Roman" w:hAnsi="Times New Roman"/>
                <w:sz w:val="18"/>
                <w:szCs w:val="18"/>
                <w:color w:val="auto"/>
              </w:rPr>
              <w:t>as being owned proportionately by its partners,</w:t>
            </w: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fiducie ou une communauté d'héritiers sont</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or beneficiaries; and</w:t>
            </w:r>
          </w:p>
        </w:tc>
        <w:tc>
          <w:tcPr>
            <w:tcW w:w="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considérées</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étant</w:t>
            </w:r>
          </w:p>
        </w:tc>
        <w:tc>
          <w:tcPr>
            <w:tcW w:w="92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détenues</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proportionnellement par leurs partenaires ou</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4"/>
            <w:vMerge w:val="restart"/>
          </w:tcPr>
          <w:p>
            <w:pPr>
              <w:ind w:left="480"/>
              <w:spacing w:after="0"/>
              <w:rPr>
                <w:sz w:val="20"/>
                <w:szCs w:val="20"/>
                <w:color w:val="auto"/>
              </w:rPr>
            </w:pPr>
            <w:r>
              <w:rPr>
                <w:rFonts w:ascii="Times New Roman" w:cs="Times New Roman" w:eastAsia="Times New Roman" w:hAnsi="Times New Roman"/>
                <w:sz w:val="18"/>
                <w:szCs w:val="18"/>
                <w:color w:val="auto"/>
              </w:rPr>
              <w:t>(ii)  shares owned, directly or indirectly, by or for a</w:t>
            </w:r>
          </w:p>
        </w:tc>
        <w:tc>
          <w:tcPr>
            <w:tcW w:w="40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bénéficiaires; et</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40" w:type="dxa"/>
            <w:vAlign w:val="bottom"/>
            <w:tcBorders>
              <w:left w:val="single" w:sz="8" w:color="auto"/>
              <w:right w:val="single" w:sz="8" w:color="auto"/>
            </w:tcBorders>
            <w:gridSpan w:val="4"/>
            <w:vMerge w:val="continue"/>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860"/>
              <w:spacing w:after="0"/>
              <w:rPr>
                <w:sz w:val="20"/>
                <w:szCs w:val="20"/>
                <w:color w:val="auto"/>
              </w:rPr>
            </w:pPr>
            <w:r>
              <w:rPr>
                <w:rFonts w:ascii="Times New Roman" w:cs="Times New Roman" w:eastAsia="Times New Roman" w:hAnsi="Times New Roman"/>
                <w:sz w:val="18"/>
                <w:szCs w:val="18"/>
                <w:color w:val="auto"/>
              </w:rPr>
              <w:t>corporation will be considered as being owned</w:t>
            </w:r>
          </w:p>
        </w:tc>
        <w:tc>
          <w:tcPr>
            <w:tcW w:w="400" w:type="dxa"/>
            <w:vAlign w:val="bottom"/>
            <w:tcBorders>
              <w:right w:val="single" w:sz="8" w:color="auto"/>
            </w:tcBorders>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(ii)</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les</w:t>
            </w:r>
          </w:p>
        </w:tc>
        <w:tc>
          <w:tcPr>
            <w:tcW w:w="180" w:type="dxa"/>
            <w:vAlign w:val="bottom"/>
          </w:tcPr>
          <w:p>
            <w:pPr>
              <w:spacing w:after="0"/>
              <w:rPr>
                <w:sz w:val="18"/>
                <w:szCs w:val="18"/>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actions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détenues,</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directement</w:t>
            </w:r>
          </w:p>
        </w:tc>
        <w:tc>
          <w:tcPr>
            <w:tcW w:w="3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ou</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860"/>
              <w:spacing w:after="0"/>
              <w:rPr>
                <w:sz w:val="20"/>
                <w:szCs w:val="20"/>
                <w:color w:val="auto"/>
              </w:rPr>
            </w:pPr>
            <w:r>
              <w:rPr>
                <w:rFonts w:ascii="Times New Roman" w:cs="Times New Roman" w:eastAsia="Times New Roman" w:hAnsi="Times New Roman"/>
                <w:sz w:val="18"/>
                <w:szCs w:val="18"/>
                <w:color w:val="auto"/>
              </w:rPr>
              <w:t>proportionately  by  any  shareholder  owning</w:t>
            </w: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indirectement, par ou pour une société seront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860"/>
              <w:spacing w:after="0"/>
              <w:rPr>
                <w:sz w:val="20"/>
                <w:szCs w:val="20"/>
                <w:color w:val="auto"/>
              </w:rPr>
            </w:pPr>
            <w:r>
              <w:rPr>
                <w:rFonts w:ascii="Times New Roman" w:cs="Times New Roman" w:eastAsia="Times New Roman" w:hAnsi="Times New Roman"/>
                <w:sz w:val="18"/>
                <w:szCs w:val="18"/>
                <w:color w:val="auto"/>
              </w:rPr>
              <w:t>50% or more of the outstanding voting shares</w:t>
            </w: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considérées</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étant</w:t>
            </w:r>
          </w:p>
        </w:tc>
        <w:tc>
          <w:tcPr>
            <w:tcW w:w="92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détenues</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of such corporation; and</w:t>
            </w:r>
          </w:p>
        </w:tc>
        <w:tc>
          <w:tcPr>
            <w:tcW w:w="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proportionnellement</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tout</w:t>
            </w:r>
          </w:p>
        </w:tc>
        <w:tc>
          <w:tcPr>
            <w:tcW w:w="92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7"/>
              </w:rPr>
              <w:t>actionnaire</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détenant 50% ou plus des actions avec droit de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color w:val="auto"/>
              </w:rPr>
              <w:t>(iii) shares subject to options, warrants or other</w:t>
            </w: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32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vote en circulation de cette société; et</w:t>
            </w:r>
          </w:p>
        </w:tc>
        <w:tc>
          <w:tcPr>
            <w:tcW w:w="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4"/>
          </w:tcPr>
          <w:p>
            <w:pPr>
              <w:ind w:left="860"/>
              <w:spacing w:after="0"/>
              <w:rPr>
                <w:sz w:val="20"/>
                <w:szCs w:val="20"/>
                <w:color w:val="auto"/>
              </w:rPr>
            </w:pPr>
            <w:r>
              <w:rPr>
                <w:rFonts w:ascii="Times New Roman" w:cs="Times New Roman" w:eastAsia="Times New Roman" w:hAnsi="Times New Roman"/>
                <w:sz w:val="18"/>
                <w:szCs w:val="18"/>
                <w:color w:val="auto"/>
              </w:rPr>
              <w:t>similar rights shall be deemed to be owned; and</w:t>
            </w:r>
          </w:p>
        </w:tc>
        <w:tc>
          <w:tcPr>
            <w:tcW w:w="400" w:type="dxa"/>
            <w:vAlign w:val="bottom"/>
            <w:tcBorders>
              <w:right w:val="single" w:sz="8" w:color="auto"/>
            </w:tcBorders>
          </w:tcPr>
          <w:p>
            <w:pPr>
              <w:spacing w:after="0"/>
              <w:rPr>
                <w:sz w:val="20"/>
                <w:szCs w:val="20"/>
                <w:color w:val="auto"/>
              </w:rPr>
            </w:pPr>
          </w:p>
        </w:tc>
        <w:tc>
          <w:tcPr>
            <w:tcW w:w="7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(iii)</w:t>
            </w:r>
          </w:p>
        </w:tc>
        <w:tc>
          <w:tcPr>
            <w:tcW w:w="3640" w:type="dxa"/>
            <w:vAlign w:val="bottom"/>
            <w:tcBorders>
              <w:right w:val="single" w:sz="8" w:color="auto"/>
            </w:tcBorders>
            <w:gridSpan w:val="9"/>
            <w:vMerge w:val="restart"/>
          </w:tcPr>
          <w:p>
            <w:pPr>
              <w:ind w:left="60"/>
              <w:spacing w:after="0"/>
              <w:rPr>
                <w:sz w:val="20"/>
                <w:szCs w:val="20"/>
                <w:color w:val="auto"/>
              </w:rPr>
            </w:pPr>
            <w:r>
              <w:rPr>
                <w:rFonts w:ascii="Times New Roman" w:cs="Times New Roman" w:eastAsia="Times New Roman" w:hAnsi="Times New Roman"/>
                <w:sz w:val="18"/>
                <w:szCs w:val="18"/>
                <w:color w:val="auto"/>
              </w:rPr>
              <w:t>les actions sujettes à des options, des bons de</w:t>
            </w:r>
          </w:p>
        </w:tc>
        <w:tc>
          <w:tcPr>
            <w:tcW w:w="0" w:type="dxa"/>
            <w:vAlign w:val="bottom"/>
          </w:tcPr>
          <w:p>
            <w:pPr>
              <w:spacing w:after="0"/>
              <w:rPr>
                <w:sz w:val="1"/>
                <w:szCs w:val="1"/>
                <w:color w:val="auto"/>
              </w:rPr>
            </w:pPr>
          </w:p>
        </w:tc>
      </w:tr>
      <w:tr>
        <w:trPr>
          <w:trHeight w:val="198"/>
        </w:trPr>
        <w:tc>
          <w:tcPr>
            <w:tcW w:w="162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780" w:type="dxa"/>
            <w:vAlign w:val="bottom"/>
            <w:vMerge w:val="continue"/>
          </w:tcPr>
          <w:p>
            <w:pPr>
              <w:spacing w:after="0"/>
              <w:rPr>
                <w:sz w:val="17"/>
                <w:szCs w:val="17"/>
                <w:color w:val="auto"/>
              </w:rPr>
            </w:pPr>
          </w:p>
        </w:tc>
        <w:tc>
          <w:tcPr>
            <w:tcW w:w="3640" w:type="dxa"/>
            <w:vAlign w:val="bottom"/>
            <w:tcBorders>
              <w:right w:val="single" w:sz="8" w:color="auto"/>
            </w:tcBorders>
            <w:gridSpan w:val="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souscription ou autres droits semblables sont</w:t>
            </w: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  all  shares  of</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the  Company  directly,</w:t>
            </w:r>
          </w:p>
        </w:tc>
        <w:tc>
          <w:tcPr>
            <w:tcW w:w="9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indirectly</w:t>
            </w: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1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réputées être détenues; et</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color w:val="auto"/>
              </w:rPr>
              <w:t>beneficially owned by such individual or entity;</w:t>
            </w: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provided that</w:t>
            </w: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(b)  toutes actions de la</w:t>
            </w:r>
          </w:p>
        </w:tc>
        <w:tc>
          <w:tcPr>
            <w:tcW w:w="2380" w:type="dxa"/>
            <w:vAlign w:val="bottom"/>
            <w:tcBorders>
              <w:right w:val="single" w:sz="8" w:color="auto"/>
            </w:tcBorders>
            <w:gridSpan w:val="6"/>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société détenues directement,</w:t>
            </w:r>
          </w:p>
        </w:tc>
        <w:tc>
          <w:tcPr>
            <w:tcW w:w="0" w:type="dxa"/>
            <w:vAlign w:val="bottom"/>
          </w:tcPr>
          <w:p>
            <w:pPr>
              <w:spacing w:after="0"/>
              <w:rPr>
                <w:sz w:val="1"/>
                <w:szCs w:val="1"/>
                <w:color w:val="auto"/>
              </w:rPr>
            </w:pPr>
          </w:p>
        </w:tc>
      </w:tr>
      <w:tr>
        <w:trPr>
          <w:trHeight w:val="198"/>
        </w:trPr>
        <w:tc>
          <w:tcPr>
            <w:tcW w:w="162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040" w:type="dxa"/>
            <w:vAlign w:val="bottom"/>
            <w:gridSpan w:val="4"/>
            <w:vMerge w:val="continue"/>
          </w:tcPr>
          <w:p>
            <w:pPr>
              <w:spacing w:after="0"/>
              <w:rPr>
                <w:sz w:val="17"/>
                <w:szCs w:val="17"/>
                <w:color w:val="auto"/>
              </w:rPr>
            </w:pPr>
          </w:p>
        </w:tc>
        <w:tc>
          <w:tcPr>
            <w:tcW w:w="2380" w:type="dxa"/>
            <w:vAlign w:val="bottom"/>
            <w:tcBorders>
              <w:right w:val="single" w:sz="8" w:color="auto"/>
            </w:tcBorders>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0"/>
          </w:tcPr>
          <w:p>
            <w:pPr>
              <w:ind w:left="460"/>
              <w:spacing w:after="0"/>
              <w:rPr>
                <w:sz w:val="20"/>
                <w:szCs w:val="20"/>
                <w:color w:val="auto"/>
              </w:rPr>
            </w:pPr>
            <w:r>
              <w:rPr>
                <w:rFonts w:ascii="Times New Roman" w:cs="Times New Roman" w:eastAsia="Times New Roman" w:hAnsi="Times New Roman"/>
                <w:sz w:val="18"/>
                <w:szCs w:val="18"/>
                <w:color w:val="auto"/>
              </w:rPr>
              <w:t>indirectement ou à son profit par cette personne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color w:val="auto"/>
              </w:rPr>
              <w:t>(i)   a beneficial owner of a security includes any</w:t>
            </w:r>
          </w:p>
        </w:tc>
        <w:tc>
          <w:tcPr>
            <w:tcW w:w="400" w:type="dxa"/>
            <w:vAlign w:val="bottom"/>
            <w:tcBorders>
              <w:right w:val="single" w:sz="8" w:color="auto"/>
            </w:tcBorders>
          </w:tcPr>
          <w:p>
            <w:pPr>
              <w:spacing w:after="0"/>
              <w:rPr>
                <w:sz w:val="18"/>
                <w:szCs w:val="18"/>
                <w:color w:val="auto"/>
              </w:rPr>
            </w:pPr>
          </w:p>
        </w:tc>
        <w:tc>
          <w:tcPr>
            <w:tcW w:w="350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physique ou morale, à condition que</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860"/>
              <w:spacing w:after="0"/>
              <w:rPr>
                <w:sz w:val="20"/>
                <w:szCs w:val="20"/>
                <w:color w:val="auto"/>
              </w:rPr>
            </w:pPr>
            <w:r>
              <w:rPr>
                <w:rFonts w:ascii="Times New Roman" w:cs="Times New Roman" w:eastAsia="Times New Roman" w:hAnsi="Times New Roman"/>
                <w:sz w:val="18"/>
                <w:szCs w:val="18"/>
                <w:color w:val="auto"/>
              </w:rPr>
              <w:t>person who, directly or indirectly, through any</w:t>
            </w: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contract,</w:t>
            </w: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arrangement,</w:t>
            </w:r>
          </w:p>
        </w:tc>
        <w:tc>
          <w:tcPr>
            <w:tcW w:w="11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7"/>
              </w:rPr>
              <w:t>understanding,</w:t>
            </w:r>
          </w:p>
        </w:tc>
        <w:tc>
          <w:tcPr>
            <w:tcW w:w="400" w:type="dxa"/>
            <w:vAlign w:val="bottom"/>
            <w:tcBorders>
              <w:right w:val="single" w:sz="8" w:color="auto"/>
            </w:tcBorders>
          </w:tcPr>
          <w:p>
            <w:pPr>
              <w:spacing w:after="0"/>
              <w:rPr>
                <w:sz w:val="18"/>
                <w:szCs w:val="18"/>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bénéficiaire</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effectif  d'un  titre</w:t>
            </w:r>
          </w:p>
        </w:tc>
        <w:tc>
          <w:tcPr>
            <w:tcW w:w="92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comprend</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860"/>
              <w:spacing w:after="0"/>
              <w:rPr>
                <w:sz w:val="20"/>
                <w:szCs w:val="20"/>
                <w:color w:val="auto"/>
              </w:rPr>
            </w:pPr>
            <w:r>
              <w:rPr>
                <w:rFonts w:ascii="Times New Roman" w:cs="Times New Roman" w:eastAsia="Times New Roman" w:hAnsi="Times New Roman"/>
                <w:sz w:val="18"/>
                <w:szCs w:val="18"/>
                <w:color w:val="auto"/>
              </w:rPr>
              <w:t>relationship, or otherwise alone or together</w:t>
            </w: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toute</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personne</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qui,</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directement</w:t>
            </w:r>
          </w:p>
        </w:tc>
        <w:tc>
          <w:tcPr>
            <w:tcW w:w="3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ou</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4"/>
          </w:tcPr>
          <w:p>
            <w:pPr>
              <w:ind w:left="860"/>
              <w:spacing w:after="0"/>
              <w:rPr>
                <w:sz w:val="20"/>
                <w:szCs w:val="20"/>
                <w:color w:val="auto"/>
              </w:rPr>
            </w:pPr>
            <w:r>
              <w:rPr>
                <w:rFonts w:ascii="Times New Roman" w:cs="Times New Roman" w:eastAsia="Times New Roman" w:hAnsi="Times New Roman"/>
                <w:sz w:val="18"/>
                <w:szCs w:val="18"/>
                <w:color w:val="auto"/>
              </w:rPr>
              <w:t>with other such persons has or shares:</w:t>
            </w:r>
          </w:p>
        </w:tc>
        <w:tc>
          <w:tcPr>
            <w:tcW w:w="4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indirectement, par le biais d'un contrat, d'un</w:t>
            </w: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32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accord, d'une entente, d'une relation, ou</w:t>
            </w:r>
          </w:p>
        </w:tc>
        <w:tc>
          <w:tcPr>
            <w:tcW w:w="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16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24" w:name="page225"/>
    <w:bookmarkEnd w:id="224"/>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820" w:type="dxa"/>
            <w:vAlign w:val="bottom"/>
            <w:tcBorders>
              <w:top w:val="single" w:sz="8" w:color="auto"/>
              <w:left w:val="single" w:sz="8" w:color="auto"/>
            </w:tcBorders>
          </w:tcPr>
          <w:p>
            <w:pPr>
              <w:spacing w:after="0"/>
              <w:rPr>
                <w:sz w:val="18"/>
                <w:szCs w:val="18"/>
                <w:color w:val="auto"/>
              </w:rPr>
            </w:pPr>
          </w:p>
        </w:tc>
        <w:tc>
          <w:tcPr>
            <w:tcW w:w="3620" w:type="dxa"/>
            <w:vAlign w:val="bottom"/>
            <w:tcBorders>
              <w:top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  voting power which includes the power to</w:t>
            </w:r>
          </w:p>
        </w:tc>
        <w:tc>
          <w:tcPr>
            <w:tcW w:w="40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0" w:type="dxa"/>
            <w:vAlign w:val="bottom"/>
            <w:tcBorders>
              <w:top w:val="single" w:sz="8" w:color="auto"/>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autrement, seul ou avec d'autres personnes a ou</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tcBorders>
          </w:tcPr>
          <w:p>
            <w:pPr>
              <w:spacing w:after="0"/>
              <w:rPr>
                <w:sz w:val="9"/>
                <w:szCs w:val="9"/>
                <w:color w:val="auto"/>
              </w:rPr>
            </w:pPr>
          </w:p>
        </w:tc>
        <w:tc>
          <w:tcPr>
            <w:tcW w:w="3620" w:type="dxa"/>
            <w:vAlign w:val="bottom"/>
            <w:tcBorders>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partage:</w:t>
            </w: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20" w:type="dxa"/>
            <w:vAlign w:val="bottom"/>
            <w:tcBorders>
              <w:lef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2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vote,  or  to  direct  the  voting  of,  such</w:t>
            </w:r>
          </w:p>
        </w:tc>
        <w:tc>
          <w:tcPr>
            <w:tcW w:w="40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20" w:type="dxa"/>
            <w:vAlign w:val="bottom"/>
            <w:tcBorders>
              <w:lef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200" w:type="dxa"/>
            <w:vAlign w:val="bottom"/>
            <w:tcBorders>
              <w:right w:val="single" w:sz="8" w:color="auto"/>
            </w:tcBorders>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security; and/or</w:t>
            </w:r>
          </w:p>
        </w:tc>
        <w:tc>
          <w:tcPr>
            <w:tcW w:w="4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3600" w:type="dxa"/>
            <w:vAlign w:val="bottom"/>
            <w:tcBorders>
              <w:right w:val="single" w:sz="8" w:color="auto"/>
            </w:tcBorders>
            <w:gridSpan w:val="8"/>
            <w:vMerge w:val="restart"/>
          </w:tcPr>
          <w:p>
            <w:pPr>
              <w:ind w:left="20"/>
              <w:spacing w:after="0"/>
              <w:rPr>
                <w:sz w:val="20"/>
                <w:szCs w:val="20"/>
                <w:color w:val="auto"/>
              </w:rPr>
            </w:pPr>
            <w:r>
              <w:rPr>
                <w:rFonts w:ascii="Times New Roman" w:cs="Times New Roman" w:eastAsia="Times New Roman" w:hAnsi="Times New Roman"/>
                <w:sz w:val="18"/>
                <w:szCs w:val="18"/>
                <w:color w:val="auto"/>
              </w:rPr>
              <w:t>(1)  le pouvoir de voter, y compris le pouvoir</w:t>
            </w:r>
          </w:p>
        </w:tc>
        <w:tc>
          <w:tcPr>
            <w:tcW w:w="0" w:type="dxa"/>
            <w:vAlign w:val="bottom"/>
          </w:tcPr>
          <w:p>
            <w:pPr>
              <w:spacing w:after="0"/>
              <w:rPr>
                <w:sz w:val="1"/>
                <w:szCs w:val="1"/>
                <w:color w:val="auto"/>
              </w:rPr>
            </w:pPr>
          </w:p>
        </w:tc>
      </w:tr>
      <w:tr>
        <w:trPr>
          <w:trHeight w:val="90"/>
        </w:trPr>
        <w:tc>
          <w:tcPr>
            <w:tcW w:w="820" w:type="dxa"/>
            <w:vAlign w:val="bottom"/>
            <w:tcBorders>
              <w:lef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20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3600" w:type="dxa"/>
            <w:vAlign w:val="bottom"/>
            <w:tcBorders>
              <w:right w:val="single" w:sz="8" w:color="auto"/>
            </w:tcBorders>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400"/>
              <w:spacing w:after="0"/>
              <w:rPr>
                <w:sz w:val="20"/>
                <w:szCs w:val="20"/>
                <w:color w:val="auto"/>
              </w:rPr>
            </w:pPr>
            <w:r>
              <w:rPr>
                <w:rFonts w:ascii="Times New Roman" w:cs="Times New Roman" w:eastAsia="Times New Roman" w:hAnsi="Times New Roman"/>
                <w:sz w:val="18"/>
                <w:szCs w:val="18"/>
                <w:color w:val="auto"/>
              </w:rPr>
              <w:t>de voter ou de diriger le vote d'un tel titre;</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et/ou</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gridSpan w:val="8"/>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820" w:type="dxa"/>
            <w:vAlign w:val="bottom"/>
            <w:tcBorders>
              <w:left w:val="single" w:sz="8" w:color="auto"/>
            </w:tcBorders>
          </w:tcPr>
          <w:p>
            <w:pPr>
              <w:spacing w:after="0"/>
              <w:rPr>
                <w:sz w:val="24"/>
                <w:szCs w:val="2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investment  power  which  includes  the</w:t>
            </w:r>
          </w:p>
        </w:tc>
        <w:tc>
          <w:tcPr>
            <w:tcW w:w="40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(2)  le pouvoir d'investir, y compris le pouvoir</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power  to  dispose,  or  to  direct  the</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400"/>
              <w:spacing w:after="0"/>
              <w:rPr>
                <w:sz w:val="20"/>
                <w:szCs w:val="20"/>
                <w:color w:val="auto"/>
              </w:rPr>
            </w:pPr>
            <w:r>
              <w:rPr>
                <w:rFonts w:ascii="Times New Roman" w:cs="Times New Roman" w:eastAsia="Times New Roman" w:hAnsi="Times New Roman"/>
                <w:sz w:val="18"/>
                <w:szCs w:val="18"/>
                <w:color w:val="auto"/>
              </w:rPr>
              <w:t>de disposer ou de diriger la disposition</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disposition of, such security.</w:t>
            </w:r>
          </w:p>
        </w:tc>
        <w:tc>
          <w:tcPr>
            <w:tcW w:w="4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15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d'un tel titre.</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(ii)</w:t>
            </w: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Any person who, directly or indirectly, creates</w:t>
            </w:r>
          </w:p>
        </w:tc>
        <w:tc>
          <w:tcPr>
            <w:tcW w:w="400" w:type="dxa"/>
            <w:vAlign w:val="bottom"/>
            <w:tcBorders>
              <w:right w:val="single" w:sz="8" w:color="auto"/>
            </w:tcBorders>
          </w:tcPr>
          <w:p>
            <w:pPr>
              <w:spacing w:after="0"/>
              <w:rPr>
                <w:sz w:val="24"/>
                <w:szCs w:val="24"/>
                <w:color w:val="auto"/>
              </w:rPr>
            </w:pP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(ii)</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Toute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personne</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qui,</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directement</w:t>
            </w:r>
          </w:p>
        </w:tc>
        <w:tc>
          <w:tcPr>
            <w:tcW w:w="4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ou</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or  uses  a  trust,  proxy,  power  of  attorney,</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indirectement, crée ou utilise une fiducie, une</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pooling  arrangement  or  any  other  contract,</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procuration, un pooling ou tout autre contrat,</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arrangement, or device with the purpose or</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accord, ou un dispositif ayant pour objet ou</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effect of divesting such person of beneficial</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pour  effet  de  priver  cette  personne  de  la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ownership  of  shares  of  the  Company  or</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propriété effective des actions de la société ou</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preventing  the  vesting  of  such  beneficial</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d'en empêcher l'acquisition effective au moyen</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ownership as part of a plan or scheme to evade</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d'un plan ou programme visant à se soustraire</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the provisions of these articles of association</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aux dispositions de ces statuts est réputée être le</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shall be deemed to be the beneficial owner of</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propriétaire effectif de ces actions.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such shares.</w:t>
            </w:r>
          </w:p>
        </w:tc>
        <w:tc>
          <w:tcPr>
            <w:tcW w:w="400" w:type="dxa"/>
            <w:vAlign w:val="bottom"/>
            <w:tcBorders>
              <w:right w:val="single" w:sz="8" w:color="auto"/>
            </w:tcBorders>
          </w:tcPr>
          <w:p>
            <w:pPr>
              <w:spacing w:after="0"/>
              <w:rPr>
                <w:sz w:val="20"/>
                <w:szCs w:val="20"/>
                <w:color w:val="auto"/>
              </w:rPr>
            </w:pPr>
          </w:p>
        </w:tc>
        <w:tc>
          <w:tcPr>
            <w:tcW w:w="8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(iii)</w:t>
            </w:r>
          </w:p>
        </w:tc>
        <w:tc>
          <w:tcPr>
            <w:tcW w:w="3600" w:type="dxa"/>
            <w:vAlign w:val="bottom"/>
            <w:tcBorders>
              <w:right w:val="single" w:sz="8" w:color="auto"/>
            </w:tcBorders>
            <w:gridSpan w:val="8"/>
            <w:vMerge w:val="restart"/>
          </w:tcPr>
          <w:p>
            <w:pPr>
              <w:ind w:left="20"/>
              <w:spacing w:after="0"/>
              <w:rPr>
                <w:sz w:val="20"/>
                <w:szCs w:val="20"/>
                <w:color w:val="auto"/>
              </w:rPr>
            </w:pPr>
            <w:r>
              <w:rPr>
                <w:rFonts w:ascii="Times New Roman" w:cs="Times New Roman" w:eastAsia="Times New Roman" w:hAnsi="Times New Roman"/>
                <w:sz w:val="18"/>
                <w:szCs w:val="18"/>
                <w:color w:val="auto"/>
              </w:rPr>
              <w:t>Une  personne  est  réputée  être  propriétaire</w:t>
            </w:r>
          </w:p>
        </w:tc>
        <w:tc>
          <w:tcPr>
            <w:tcW w:w="0" w:type="dxa"/>
            <w:vAlign w:val="bottom"/>
          </w:tcPr>
          <w:p>
            <w:pPr>
              <w:spacing w:after="0"/>
              <w:rPr>
                <w:sz w:val="1"/>
                <w:szCs w:val="1"/>
                <w:color w:val="auto"/>
              </w:rPr>
            </w:pPr>
          </w:p>
        </w:tc>
      </w:tr>
      <w:tr>
        <w:trPr>
          <w:trHeight w:val="198"/>
        </w:trPr>
        <w:tc>
          <w:tcPr>
            <w:tcW w:w="82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20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600" w:type="dxa"/>
            <w:vAlign w:val="bottom"/>
            <w:tcBorders>
              <w:right w:val="single" w:sz="8" w:color="auto"/>
            </w:tcBorders>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(iii)</w:t>
            </w: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 person shall be deemed to be the beneficial</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effective d'actions si cette personne a le droit</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owner of shares if that person has the right to</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d'acquérir la propriété effective de ces actions</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acquire beneficial ownership of such shares</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dans les 60 jours, y compris, mais pas limité à</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within 60 days, including but not limited to any</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un droit acquis: (A) au moyen de l'exercice</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right acquired: (A) through the exercise of any</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d'une  option,  d'un  bon  ou  d'un  droit  de</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option,  warrant  or  right;  (B)  through  the</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souscription; (B) par la conversion d'un titre;</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conversion of a security; (C) pursuant to the</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(C)  en  vertu  du  pouvoir  de  révoquer  une</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power to revoke a trust, discretionary account,</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fiducie,  compte  discrétionnaire  ou  accord</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or similar arrangement; or (D) pursuant to the</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60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semblable; ou (D) conformément à la résiliation</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automatic termination of a trust, discretionary</w:t>
            </w:r>
          </w:p>
        </w:tc>
        <w:tc>
          <w:tcPr>
            <w:tcW w:w="4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automatique</w:t>
            </w: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d'une</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fiducie,</w:t>
            </w:r>
          </w:p>
        </w:tc>
        <w:tc>
          <w:tcPr>
            <w:tcW w:w="88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compte</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account or similar arrangement.</w:t>
            </w:r>
          </w:p>
        </w:tc>
        <w:tc>
          <w:tcPr>
            <w:tcW w:w="4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discrétionnaire ou accord semblable.</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limit of 33</w:t>
            </w:r>
          </w:p>
        </w:tc>
        <w:tc>
          <w:tcPr>
            <w:tcW w:w="3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 of the registered share capital also</w:t>
            </w:r>
          </w:p>
        </w:tc>
        <w:tc>
          <w:tcPr>
            <w:tcW w:w="400" w:type="dxa"/>
            <w:vAlign w:val="bottom"/>
            <w:tcBorders>
              <w:right w:val="single" w:sz="8" w:color="auto"/>
            </w:tcBorders>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  limite</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  33</w:t>
            </w:r>
          </w:p>
        </w:tc>
        <w:tc>
          <w:tcPr>
            <w:tcW w:w="320" w:type="dxa"/>
            <w:vAlign w:val="bottom"/>
          </w:tcPr>
          <w:p>
            <w:pPr>
              <w:ind w:left="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du</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capital-actions</w:t>
            </w:r>
          </w:p>
        </w:tc>
        <w:tc>
          <w:tcPr>
            <w:tcW w:w="88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nominatif</w:t>
            </w:r>
          </w:p>
        </w:tc>
        <w:tc>
          <w:tcPr>
            <w:tcW w:w="0" w:type="dxa"/>
            <w:vAlign w:val="bottom"/>
          </w:tcPr>
          <w:p>
            <w:pPr>
              <w:spacing w:after="0"/>
              <w:rPr>
                <w:sz w:val="1"/>
                <w:szCs w:val="1"/>
                <w:color w:val="auto"/>
              </w:rPr>
            </w:pPr>
          </w:p>
        </w:tc>
      </w:tr>
      <w:tr>
        <w:trPr>
          <w:trHeight w:val="49"/>
        </w:trPr>
        <w:tc>
          <w:tcPr>
            <w:tcW w:w="820" w:type="dxa"/>
            <w:vAlign w:val="bottom"/>
            <w:tcBorders>
              <w:lef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2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3</w:t>
            </w:r>
          </w:p>
        </w:tc>
        <w:tc>
          <w:tcPr>
            <w:tcW w:w="400" w:type="dxa"/>
            <w:vAlign w:val="bottom"/>
            <w:tcBorders>
              <w:right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3</w:t>
            </w: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applies to the subscription for, or acquisition of, registered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s'applique également à la souscription ou l'acquisition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shares by exercising option or convertible rights arising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d'actions nominatives par l'exercice d'options ou de droits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from registered or bearer securities or any other securities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convertibles découlant de titres nominatifs ou au porteur</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issued by the Company or third parties, as well as by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ou d'autres titres émis par la société ou par des tiers, ainsi</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means of exercising purchased preemptive rights arising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que par le biais de l'exercice de droits de souscription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from either registered or bearer shares. The registered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préférentiels achetés découlant d'actions nominatives ou</w:t>
            </w:r>
          </w:p>
        </w:tc>
        <w:tc>
          <w:tcPr>
            <w:tcW w:w="0" w:type="dxa"/>
            <w:vAlign w:val="bottom"/>
          </w:tcPr>
          <w:p>
            <w:pPr>
              <w:spacing w:after="0"/>
              <w:rPr>
                <w:sz w:val="1"/>
                <w:szCs w:val="1"/>
                <w:color w:val="auto"/>
              </w:rPr>
            </w:pPr>
          </w:p>
        </w:tc>
      </w:tr>
      <w:tr>
        <w:trPr>
          <w:trHeight w:val="180"/>
        </w:trPr>
        <w:tc>
          <w:tcPr>
            <w:tcW w:w="4440" w:type="dxa"/>
            <w:vAlign w:val="bottom"/>
            <w:tcBorders>
              <w:left w:val="single" w:sz="8" w:color="auto"/>
              <w:right w:val="single" w:sz="8" w:color="auto"/>
            </w:tcBorders>
            <w:gridSpan w:val="3"/>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shares exceeding the limit of 33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4"/>
                <w:szCs w:val="14"/>
                <w:color w:val="auto"/>
              </w:rPr>
              <w:t>/  % shall be entered in</w:t>
            </w:r>
          </w:p>
        </w:tc>
        <w:tc>
          <w:tcPr>
            <w:tcW w:w="4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gridSpan w:val="9"/>
          </w:tcPr>
          <w:p>
            <w:pPr>
              <w:ind w:left="80"/>
              <w:spacing w:after="0" w:line="181" w:lineRule="exact"/>
              <w:rPr>
                <w:sz w:val="20"/>
                <w:szCs w:val="20"/>
                <w:color w:val="auto"/>
              </w:rPr>
            </w:pPr>
            <w:r>
              <w:rPr>
                <w:rFonts w:ascii="Times New Roman" w:cs="Times New Roman" w:eastAsia="Times New Roman" w:hAnsi="Times New Roman"/>
                <w:sz w:val="18"/>
                <w:szCs w:val="18"/>
                <w:color w:val="auto"/>
              </w:rPr>
              <w:t>au porteur. Les actions nominatives dépassant la limite de</w:t>
            </w:r>
          </w:p>
        </w:tc>
        <w:tc>
          <w:tcPr>
            <w:tcW w:w="0" w:type="dxa"/>
            <w:vAlign w:val="bottom"/>
          </w:tcPr>
          <w:p>
            <w:pPr>
              <w:spacing w:after="0"/>
              <w:rPr>
                <w:sz w:val="1"/>
                <w:szCs w:val="1"/>
                <w:color w:val="auto"/>
              </w:rPr>
            </w:pPr>
          </w:p>
        </w:tc>
      </w:tr>
      <w:tr>
        <w:trPr>
          <w:trHeight w:val="49"/>
        </w:trPr>
        <w:tc>
          <w:tcPr>
            <w:tcW w:w="820" w:type="dxa"/>
            <w:vAlign w:val="bottom"/>
            <w:tcBorders>
              <w:lef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2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4"/>
                <w:szCs w:val="4"/>
                <w:color w:val="auto"/>
              </w:rPr>
              <w:t>3</w:t>
            </w:r>
          </w:p>
        </w:tc>
        <w:tc>
          <w:tcPr>
            <w:tcW w:w="400" w:type="dxa"/>
            <w:vAlign w:val="bottom"/>
            <w:tcBorders>
              <w:right w:val="single" w:sz="8" w:color="auto"/>
            </w:tcBorders>
          </w:tcPr>
          <w:p>
            <w:pPr>
              <w:spacing w:after="0"/>
              <w:rPr>
                <w:sz w:val="4"/>
                <w:szCs w:val="4"/>
                <w:color w:val="auto"/>
              </w:rPr>
            </w:pPr>
          </w:p>
        </w:tc>
        <w:tc>
          <w:tcPr>
            <w:tcW w:w="4420" w:type="dxa"/>
            <w:vAlign w:val="bottom"/>
            <w:tcBorders>
              <w:right w:val="single" w:sz="8" w:color="auto"/>
            </w:tcBorders>
            <w:gridSpan w:val="9"/>
            <w:vMerge w:val="restart"/>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 sont inscrites dans le registre des actions comme</w:t>
            </w:r>
          </w:p>
        </w:tc>
        <w:tc>
          <w:tcPr>
            <w:tcW w:w="0" w:type="dxa"/>
            <w:vAlign w:val="bottom"/>
          </w:tcPr>
          <w:p>
            <w:pPr>
              <w:spacing w:after="0"/>
              <w:rPr>
                <w:sz w:val="1"/>
                <w:szCs w:val="1"/>
                <w:color w:val="auto"/>
              </w:rPr>
            </w:pPr>
          </w:p>
        </w:tc>
      </w:tr>
      <w:tr>
        <w:trPr>
          <w:trHeight w:val="167"/>
        </w:trPr>
        <w:tc>
          <w:tcPr>
            <w:tcW w:w="444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the share register as shares without voting rights.</w:t>
            </w:r>
          </w:p>
        </w:tc>
        <w:tc>
          <w:tcPr>
            <w:tcW w:w="400" w:type="dxa"/>
            <w:vAlign w:val="bottom"/>
            <w:tcBorders>
              <w:right w:val="single" w:sz="8" w:color="auto"/>
            </w:tcBorders>
          </w:tcPr>
          <w:p>
            <w:pPr>
              <w:spacing w:after="0"/>
              <w:rPr>
                <w:sz w:val="14"/>
                <w:szCs w:val="14"/>
                <w:color w:val="auto"/>
              </w:rPr>
            </w:pPr>
          </w:p>
        </w:tc>
        <w:tc>
          <w:tcPr>
            <w:tcW w:w="4420" w:type="dxa"/>
            <w:vAlign w:val="bottom"/>
            <w:tcBorders>
              <w:right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4440" w:type="dxa"/>
            <w:vAlign w:val="bottom"/>
            <w:tcBorders>
              <w:left w:val="single" w:sz="8" w:color="auto"/>
              <w:right w:val="single" w:sz="8" w:color="auto"/>
            </w:tcBorders>
            <w:gridSpan w:val="3"/>
            <w:vMerge w:val="continue"/>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8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3</w:t>
            </w: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The Board of Directors may in special cases approve</w:t>
            </w:r>
          </w:p>
        </w:tc>
        <w:tc>
          <w:tcPr>
            <w:tcW w:w="400" w:type="dxa"/>
            <w:vAlign w:val="bottom"/>
            <w:tcBorders>
              <w:right w:val="single" w:sz="8" w:color="auto"/>
            </w:tcBorders>
          </w:tcPr>
          <w:p>
            <w:pPr>
              <w:spacing w:after="0"/>
              <w:rPr>
                <w:sz w:val="20"/>
                <w:szCs w:val="20"/>
                <w:color w:val="auto"/>
              </w:rPr>
            </w:pPr>
          </w:p>
        </w:tc>
        <w:tc>
          <w:tcPr>
            <w:tcW w:w="23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des actions sans droit de vote.</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440" w:type="dxa"/>
            <w:vAlign w:val="bottom"/>
            <w:tcBorders>
              <w:left w:val="single" w:sz="8" w:color="auto"/>
              <w:right w:val="single" w:sz="8" w:color="auto"/>
            </w:tcBorders>
            <w:gridSpan w:val="3"/>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exceptions  to  the  above  regulations.  The  Board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Le conseil d'administration peut dans des cas particuliers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Directors is in addition authorized, after due consultation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approuver des exceptions aux règles précitées. Il est en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with the person concerned, to delete with retroactive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outre  autorisé,  après  consultation  avec  la  personne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effect entries in the share register which were effected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concernée,  de  supprimer  avec  effet  rétroactif  des</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2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inscriptions du registre des actions qui ont été effectuées</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25" w:name="page226"/>
    <w:bookmarkEnd w:id="225"/>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8"/>
        </w:trPr>
        <w:tc>
          <w:tcPr>
            <w:tcW w:w="4440" w:type="dxa"/>
            <w:vAlign w:val="bottom"/>
            <w:tcBorders>
              <w:top w:val="single" w:sz="8" w:color="auto"/>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on the basis of false information.</w:t>
            </w:r>
          </w:p>
        </w:tc>
        <w:tc>
          <w:tcPr>
            <w:tcW w:w="400" w:type="dxa"/>
            <w:vAlign w:val="bottom"/>
            <w:tcBorders>
              <w:top w:val="single" w:sz="8" w:color="auto"/>
              <w:right w:val="single" w:sz="8" w:color="auto"/>
            </w:tcBorders>
          </w:tcPr>
          <w:p>
            <w:pPr>
              <w:spacing w:after="0"/>
              <w:rPr>
                <w:sz w:val="21"/>
                <w:szCs w:val="21"/>
                <w:color w:val="auto"/>
              </w:rPr>
            </w:pPr>
          </w:p>
        </w:tc>
        <w:tc>
          <w:tcPr>
            <w:tcW w:w="442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sur la base de fausses informations.</w:t>
            </w:r>
          </w:p>
        </w:tc>
        <w:tc>
          <w:tcPr>
            <w:tcW w:w="0" w:type="dxa"/>
            <w:vAlign w:val="bottom"/>
          </w:tcPr>
          <w:p>
            <w:pPr>
              <w:spacing w:after="0"/>
              <w:rPr>
                <w:sz w:val="1"/>
                <w:szCs w:val="1"/>
                <w:color w:val="auto"/>
              </w:rPr>
            </w:pPr>
          </w:p>
        </w:tc>
      </w:tr>
      <w:tr>
        <w:trPr>
          <w:trHeight w:val="130"/>
        </w:trPr>
        <w:tc>
          <w:tcPr>
            <w:tcW w:w="780" w:type="dxa"/>
            <w:vAlign w:val="bottom"/>
            <w:tcBorders>
              <w:left w:val="single" w:sz="8" w:color="auto"/>
              <w:bottom w:val="single" w:sz="8" w:color="auto"/>
            </w:tcBorders>
            <w:gridSpan w:val="2"/>
          </w:tcPr>
          <w:p>
            <w:pPr>
              <w:spacing w:after="0"/>
              <w:rPr>
                <w:sz w:val="11"/>
                <w:szCs w:val="11"/>
                <w:color w:val="auto"/>
              </w:rPr>
            </w:pPr>
          </w:p>
        </w:tc>
        <w:tc>
          <w:tcPr>
            <w:tcW w:w="366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gridSpan w:val="2"/>
          </w:tcPr>
          <w:p>
            <w:pPr>
              <w:spacing w:after="0"/>
              <w:rPr>
                <w:sz w:val="11"/>
                <w:szCs w:val="11"/>
                <w:color w:val="auto"/>
              </w:rPr>
            </w:pPr>
          </w:p>
        </w:tc>
        <w:tc>
          <w:tcPr>
            <w:tcW w:w="368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7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Art. 5</w:t>
            </w:r>
          </w:p>
        </w:tc>
        <w:tc>
          <w:tcPr>
            <w:tcW w:w="3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Share Certificates and Intermediated</w:t>
            </w:r>
          </w:p>
        </w:tc>
        <w:tc>
          <w:tcPr>
            <w:tcW w:w="400" w:type="dxa"/>
            <w:vAlign w:val="bottom"/>
            <w:tcBorders>
              <w:right w:val="single" w:sz="8" w:color="auto"/>
            </w:tcBorders>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5</w:t>
            </w:r>
          </w:p>
        </w:tc>
        <w:tc>
          <w:tcPr>
            <w:tcW w:w="36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Certificats d'actions et titres</w:t>
            </w:r>
          </w:p>
        </w:tc>
        <w:tc>
          <w:tcPr>
            <w:tcW w:w="0" w:type="dxa"/>
            <w:vAlign w:val="bottom"/>
          </w:tcPr>
          <w:p>
            <w:pPr>
              <w:spacing w:after="0"/>
              <w:rPr>
                <w:sz w:val="1"/>
                <w:szCs w:val="1"/>
                <w:color w:val="auto"/>
              </w:rPr>
            </w:pPr>
          </w:p>
        </w:tc>
      </w:tr>
      <w:tr>
        <w:trPr>
          <w:trHeight w:val="238"/>
        </w:trPr>
        <w:tc>
          <w:tcPr>
            <w:tcW w:w="42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40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intermédiés</w:t>
            </w:r>
          </w:p>
        </w:tc>
        <w:tc>
          <w:tcPr>
            <w:tcW w:w="0" w:type="dxa"/>
            <w:vAlign w:val="bottom"/>
          </w:tcPr>
          <w:p>
            <w:pPr>
              <w:spacing w:after="0"/>
              <w:rPr>
                <w:sz w:val="1"/>
                <w:szCs w:val="1"/>
                <w:color w:val="auto"/>
              </w:rPr>
            </w:pPr>
          </w:p>
        </w:tc>
      </w:tr>
      <w:tr>
        <w:trPr>
          <w:trHeight w:val="41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Company may issue registered shares in the form of</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 société peut émettre des actions nominatives sous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single certificates, global certificates and uncertificated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forme de certificats individuels, de certificats globaux et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securities. Under the conditions set forth by statutory law,</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 titres dématérialisés. Dans les conditions prévues par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Company may convert its registered shares from one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loi, la société peut convertir ses actions nominatives d'une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form into another form at any time and without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forme  en  une  autre  forme,  à  tout  moment  et  sans</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approval of the shareholders.</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l'approbation des actionnaires.</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3"/>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shareholder has no right to demand a conversion of</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L'actionnaire n'a pas le droit d'exiger une conversion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registered shares. Each shareholder may, however, at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d'actions nominatives. Chaque actionnaire peut toutefois,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any  time  request  a  written  confirmation  from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à tout moment, demander une confirmation écrite de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Company  of  the  registered  shares  held  by  such</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société du nombres d'actions nominatives détenues par cet</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shareholder, as reflected in the share register.</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actionnaire telles qu'inscrites au registre du commerce.</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3"/>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transfer of intermediated securities and the pledging</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 transfert des titres intermédiés et la mise en gage de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of these intermediated securities shall be based on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ces titres intermédiés suivent les dispositions de la Loi</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provisions of the Swiss Federal Intermediated Securities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fédérale sur les titres intermédiés. Le transfert de propriété</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Act. Transfer of propriety as collateral by means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à titre de sûreté par cession écrite n'est pas autorisé.</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written assignment are not permitted.</w:t>
            </w:r>
          </w:p>
        </w:tc>
        <w:tc>
          <w:tcPr>
            <w:tcW w:w="40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tcBorders>
            <w:gridSpan w:val="2"/>
          </w:tcPr>
          <w:p>
            <w:pPr>
              <w:spacing w:after="0"/>
              <w:rPr>
                <w:sz w:val="9"/>
                <w:szCs w:val="9"/>
                <w:color w:val="auto"/>
              </w:rPr>
            </w:pPr>
          </w:p>
        </w:tc>
        <w:tc>
          <w:tcPr>
            <w:tcW w:w="36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36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7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Art. 6</w:t>
            </w:r>
          </w:p>
        </w:tc>
        <w:tc>
          <w:tcPr>
            <w:tcW w:w="3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Exercise of Shareholders Rights</w:t>
            </w:r>
          </w:p>
        </w:tc>
        <w:tc>
          <w:tcPr>
            <w:tcW w:w="400" w:type="dxa"/>
            <w:vAlign w:val="bottom"/>
            <w:tcBorders>
              <w:right w:val="single" w:sz="8" w:color="auto"/>
            </w:tcBorders>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6</w:t>
            </w:r>
          </w:p>
        </w:tc>
        <w:tc>
          <w:tcPr>
            <w:tcW w:w="36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Exercice des droits des actionnaires</w:t>
            </w:r>
          </w:p>
        </w:tc>
        <w:tc>
          <w:tcPr>
            <w:tcW w:w="0" w:type="dxa"/>
            <w:vAlign w:val="bottom"/>
          </w:tcPr>
          <w:p>
            <w:pPr>
              <w:spacing w:after="0"/>
              <w:rPr>
                <w:sz w:val="1"/>
                <w:szCs w:val="1"/>
                <w:color w:val="auto"/>
              </w:rPr>
            </w:pPr>
          </w:p>
        </w:tc>
      </w:tr>
      <w:tr>
        <w:trPr>
          <w:trHeight w:val="45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shares are indivisible and the Company recognizes</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Les actions sont indivisibles et la société ne reconnaît</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only one single representative per share.</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qu'un seul représentant par action.</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3"/>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right to vote and the other rights pertaining to a</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 droit de vote et les autres droits relatifs à une action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registered share may only be exercised by a shareholder,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nominative ne peut être exercé que par un actionnaire, un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usufructuary or a nominee who is registered with the right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usufruitier ou un candidat qui est inscrit avec le droit de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 vote in the share register and by persons who are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vote dans le registre des actions et par des personnes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entitled by law to the voting rights of a share.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autorisées par la loi à exercer les droits de vote d'une</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6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action.</w:t>
            </w:r>
          </w:p>
        </w:tc>
        <w:tc>
          <w:tcPr>
            <w:tcW w:w="33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0" w:type="dxa"/>
            <w:vAlign w:val="bottom"/>
            <w:tcBorders>
              <w:left w:val="single" w:sz="8" w:color="auto"/>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660" w:type="dxa"/>
            <w:vAlign w:val="bottom"/>
            <w:tcBorders>
              <w:bottom w:val="single" w:sz="8" w:color="auto"/>
              <w:right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68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III.</w:t>
            </w:r>
          </w:p>
        </w:tc>
        <w:tc>
          <w:tcPr>
            <w:tcW w:w="360" w:type="dxa"/>
            <w:vAlign w:val="bottom"/>
          </w:tcPr>
          <w:p>
            <w:pPr>
              <w:spacing w:after="0"/>
              <w:rPr>
                <w:sz w:val="24"/>
                <w:szCs w:val="24"/>
                <w:color w:val="auto"/>
              </w:rPr>
            </w:pPr>
          </w:p>
        </w:tc>
        <w:tc>
          <w:tcPr>
            <w:tcW w:w="3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CORPORATE STRUCTURE</w:t>
            </w:r>
          </w:p>
        </w:tc>
        <w:tc>
          <w:tcPr>
            <w:tcW w:w="400" w:type="dxa"/>
            <w:vAlign w:val="bottom"/>
            <w:tcBorders>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III.</w:t>
            </w:r>
          </w:p>
        </w:tc>
        <w:tc>
          <w:tcPr>
            <w:tcW w:w="380" w:type="dxa"/>
            <w:vAlign w:val="bottom"/>
          </w:tcPr>
          <w:p>
            <w:pPr>
              <w:spacing w:after="0"/>
              <w:rPr>
                <w:sz w:val="24"/>
                <w:szCs w:val="24"/>
                <w:color w:val="auto"/>
              </w:rPr>
            </w:pPr>
          </w:p>
        </w:tc>
        <w:tc>
          <w:tcPr>
            <w:tcW w:w="36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STRUCTURE DE LA SOCIÉTÉ</w:t>
            </w:r>
          </w:p>
        </w:tc>
        <w:tc>
          <w:tcPr>
            <w:tcW w:w="0" w:type="dxa"/>
            <w:vAlign w:val="bottom"/>
          </w:tcPr>
          <w:p>
            <w:pPr>
              <w:spacing w:after="0"/>
              <w:rPr>
                <w:sz w:val="1"/>
                <w:szCs w:val="1"/>
                <w:color w:val="auto"/>
              </w:rPr>
            </w:pPr>
          </w:p>
        </w:tc>
      </w:tr>
      <w:tr>
        <w:trPr>
          <w:trHeight w:val="148"/>
        </w:trPr>
        <w:tc>
          <w:tcPr>
            <w:tcW w:w="780" w:type="dxa"/>
            <w:vAlign w:val="bottom"/>
            <w:tcBorders>
              <w:left w:val="single" w:sz="8" w:color="auto"/>
              <w:bottom w:val="single" w:sz="8" w:color="auto"/>
            </w:tcBorders>
            <w:gridSpan w:val="2"/>
          </w:tcPr>
          <w:p>
            <w:pPr>
              <w:spacing w:after="0"/>
              <w:rPr>
                <w:sz w:val="12"/>
                <w:szCs w:val="12"/>
                <w:color w:val="auto"/>
              </w:rPr>
            </w:pPr>
          </w:p>
        </w:tc>
        <w:tc>
          <w:tcPr>
            <w:tcW w:w="366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rPr>
                <w:sz w:val="12"/>
                <w:szCs w:val="12"/>
                <w:color w:val="auto"/>
              </w:rPr>
            </w:pPr>
          </w:p>
        </w:tc>
        <w:tc>
          <w:tcPr>
            <w:tcW w:w="368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7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Art. 7</w:t>
            </w:r>
          </w:p>
        </w:tc>
        <w:tc>
          <w:tcPr>
            <w:tcW w:w="3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400" w:type="dxa"/>
            <w:vAlign w:val="bottom"/>
            <w:tcBorders>
              <w:right w:val="single" w:sz="8" w:color="auto"/>
            </w:tcBorders>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7</w:t>
            </w:r>
          </w:p>
        </w:tc>
        <w:tc>
          <w:tcPr>
            <w:tcW w:w="36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Organisation</w:t>
            </w:r>
          </w:p>
        </w:tc>
        <w:tc>
          <w:tcPr>
            <w:tcW w:w="0" w:type="dxa"/>
            <w:vAlign w:val="bottom"/>
          </w:tcPr>
          <w:p>
            <w:pPr>
              <w:spacing w:after="0"/>
              <w:rPr>
                <w:sz w:val="1"/>
                <w:szCs w:val="1"/>
                <w:color w:val="auto"/>
              </w:rPr>
            </w:pPr>
          </w:p>
        </w:tc>
      </w:tr>
      <w:tr>
        <w:trPr>
          <w:trHeight w:val="365"/>
        </w:trPr>
        <w:tc>
          <w:tcPr>
            <w:tcW w:w="4440" w:type="dxa"/>
            <w:vAlign w:val="bottom"/>
            <w:tcBorders>
              <w:left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The corporate bodies are: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Les organes de la société sont:</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3"/>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38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2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402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the General Meeting;</w:t>
            </w:r>
          </w:p>
        </w:tc>
        <w:tc>
          <w:tcPr>
            <w:tcW w:w="400" w:type="dxa"/>
            <w:vAlign w:val="bottom"/>
            <w:tcBorders>
              <w:right w:val="single" w:sz="8" w:color="auto"/>
            </w:tcBorders>
          </w:tcPr>
          <w:p>
            <w:pPr>
              <w:spacing w:after="0"/>
              <w:rPr>
                <w:sz w:val="22"/>
                <w:szCs w:val="22"/>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0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L'assemblé générale;</w:t>
            </w:r>
          </w:p>
        </w:tc>
        <w:tc>
          <w:tcPr>
            <w:tcW w:w="0" w:type="dxa"/>
            <w:vAlign w:val="bottom"/>
          </w:tcPr>
          <w:p>
            <w:pPr>
              <w:spacing w:after="0"/>
              <w:rPr>
                <w:sz w:val="1"/>
                <w:szCs w:val="1"/>
                <w:color w:val="auto"/>
              </w:rPr>
            </w:pPr>
          </w:p>
        </w:tc>
      </w:tr>
      <w:tr>
        <w:trPr>
          <w:trHeight w:val="108"/>
        </w:trPr>
        <w:tc>
          <w:tcPr>
            <w:tcW w:w="420" w:type="dxa"/>
            <w:vAlign w:val="bottom"/>
            <w:tcBorders>
              <w:left w:val="single" w:sz="8" w:color="auto"/>
            </w:tcBorders>
            <w:vMerge w:val="continue"/>
          </w:tcPr>
          <w:p>
            <w:pPr>
              <w:spacing w:after="0"/>
              <w:rPr>
                <w:sz w:val="9"/>
                <w:szCs w:val="9"/>
                <w:color w:val="auto"/>
              </w:rPr>
            </w:pPr>
          </w:p>
        </w:tc>
        <w:tc>
          <w:tcPr>
            <w:tcW w:w="4020" w:type="dxa"/>
            <w:vAlign w:val="bottom"/>
            <w:tcBorders>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38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2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402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the Board of Directors;</w:t>
            </w:r>
          </w:p>
        </w:tc>
        <w:tc>
          <w:tcPr>
            <w:tcW w:w="400" w:type="dxa"/>
            <w:vAlign w:val="bottom"/>
            <w:tcBorders>
              <w:right w:val="single" w:sz="8" w:color="auto"/>
            </w:tcBorders>
          </w:tcPr>
          <w:p>
            <w:pPr>
              <w:spacing w:after="0"/>
              <w:rPr>
                <w:sz w:val="23"/>
                <w:szCs w:val="23"/>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0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conseil d'administration;</w:t>
            </w:r>
          </w:p>
        </w:tc>
        <w:tc>
          <w:tcPr>
            <w:tcW w:w="0" w:type="dxa"/>
            <w:vAlign w:val="bottom"/>
          </w:tcPr>
          <w:p>
            <w:pPr>
              <w:spacing w:after="0"/>
              <w:rPr>
                <w:sz w:val="1"/>
                <w:szCs w:val="1"/>
                <w:color w:val="auto"/>
              </w:rPr>
            </w:pPr>
          </w:p>
        </w:tc>
      </w:tr>
      <w:tr>
        <w:trPr>
          <w:trHeight w:val="95"/>
        </w:trPr>
        <w:tc>
          <w:tcPr>
            <w:tcW w:w="420" w:type="dxa"/>
            <w:vAlign w:val="bottom"/>
            <w:tcBorders>
              <w:left w:val="single" w:sz="8" w:color="auto"/>
            </w:tcBorders>
            <w:vMerge w:val="continue"/>
          </w:tcPr>
          <w:p>
            <w:pPr>
              <w:spacing w:after="0"/>
              <w:rPr>
                <w:sz w:val="8"/>
                <w:szCs w:val="8"/>
                <w:color w:val="auto"/>
              </w:rPr>
            </w:pPr>
          </w:p>
        </w:tc>
        <w:tc>
          <w:tcPr>
            <w:tcW w:w="4020" w:type="dxa"/>
            <w:vAlign w:val="bottom"/>
            <w:tcBorders>
              <w:right w:val="single" w:sz="8" w:color="auto"/>
            </w:tcBorders>
            <w:gridSpan w:val="2"/>
            <w:vMerge w:val="continue"/>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42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402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the Auditors.</w:t>
            </w:r>
          </w:p>
        </w:tc>
        <w:tc>
          <w:tcPr>
            <w:tcW w:w="400" w:type="dxa"/>
            <w:vAlign w:val="bottom"/>
            <w:tcBorders>
              <w:right w:val="single" w:sz="8" w:color="auto"/>
            </w:tcBorders>
          </w:tcPr>
          <w:p>
            <w:pPr>
              <w:spacing w:after="0"/>
              <w:rPr>
                <w:sz w:val="23"/>
                <w:szCs w:val="23"/>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0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l'organe de révision.</w:t>
            </w:r>
          </w:p>
        </w:tc>
        <w:tc>
          <w:tcPr>
            <w:tcW w:w="0" w:type="dxa"/>
            <w:vAlign w:val="bottom"/>
          </w:tcPr>
          <w:p>
            <w:pPr>
              <w:spacing w:after="0"/>
              <w:rPr>
                <w:sz w:val="1"/>
                <w:szCs w:val="1"/>
                <w:color w:val="auto"/>
              </w:rPr>
            </w:pPr>
          </w:p>
        </w:tc>
      </w:tr>
      <w:tr>
        <w:trPr>
          <w:trHeight w:val="108"/>
        </w:trPr>
        <w:tc>
          <w:tcPr>
            <w:tcW w:w="420" w:type="dxa"/>
            <w:vAlign w:val="bottom"/>
            <w:tcBorders>
              <w:left w:val="single" w:sz="8" w:color="auto"/>
            </w:tcBorders>
            <w:vMerge w:val="continue"/>
          </w:tcPr>
          <w:p>
            <w:pPr>
              <w:spacing w:after="0"/>
              <w:rPr>
                <w:sz w:val="9"/>
                <w:szCs w:val="9"/>
                <w:color w:val="auto"/>
              </w:rPr>
            </w:pPr>
          </w:p>
        </w:tc>
        <w:tc>
          <w:tcPr>
            <w:tcW w:w="4020" w:type="dxa"/>
            <w:vAlign w:val="bottom"/>
            <w:tcBorders>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38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 w:type="dxa"/>
            <w:vAlign w:val="bottom"/>
            <w:tcBorders>
              <w:left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66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68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IV.</w:t>
            </w:r>
          </w:p>
        </w:tc>
        <w:tc>
          <w:tcPr>
            <w:tcW w:w="360" w:type="dxa"/>
            <w:vAlign w:val="bottom"/>
          </w:tcPr>
          <w:p>
            <w:pPr>
              <w:spacing w:after="0"/>
              <w:rPr>
                <w:sz w:val="24"/>
                <w:szCs w:val="24"/>
                <w:color w:val="auto"/>
              </w:rPr>
            </w:pPr>
          </w:p>
        </w:tc>
        <w:tc>
          <w:tcPr>
            <w:tcW w:w="3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THE GENERAL MEETING</w:t>
            </w:r>
          </w:p>
        </w:tc>
        <w:tc>
          <w:tcPr>
            <w:tcW w:w="400" w:type="dxa"/>
            <w:vAlign w:val="bottom"/>
            <w:tcBorders>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IV.</w:t>
            </w:r>
          </w:p>
        </w:tc>
        <w:tc>
          <w:tcPr>
            <w:tcW w:w="380" w:type="dxa"/>
            <w:vAlign w:val="bottom"/>
          </w:tcPr>
          <w:p>
            <w:pPr>
              <w:spacing w:after="0"/>
              <w:rPr>
                <w:sz w:val="24"/>
                <w:szCs w:val="24"/>
                <w:color w:val="auto"/>
              </w:rPr>
            </w:pPr>
          </w:p>
        </w:tc>
        <w:tc>
          <w:tcPr>
            <w:tcW w:w="36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L'ASSEMBLÉE GÉNÉRALE</w:t>
            </w:r>
          </w:p>
        </w:tc>
        <w:tc>
          <w:tcPr>
            <w:tcW w:w="0" w:type="dxa"/>
            <w:vAlign w:val="bottom"/>
          </w:tcPr>
          <w:p>
            <w:pPr>
              <w:spacing w:after="0"/>
              <w:rPr>
                <w:sz w:val="1"/>
                <w:szCs w:val="1"/>
                <w:color w:val="auto"/>
              </w:rPr>
            </w:pPr>
          </w:p>
        </w:tc>
      </w:tr>
      <w:tr>
        <w:trPr>
          <w:trHeight w:val="148"/>
        </w:trPr>
        <w:tc>
          <w:tcPr>
            <w:tcW w:w="780" w:type="dxa"/>
            <w:vAlign w:val="bottom"/>
            <w:tcBorders>
              <w:left w:val="single" w:sz="8" w:color="auto"/>
              <w:bottom w:val="single" w:sz="8" w:color="auto"/>
            </w:tcBorders>
            <w:gridSpan w:val="2"/>
          </w:tcPr>
          <w:p>
            <w:pPr>
              <w:spacing w:after="0"/>
              <w:rPr>
                <w:sz w:val="12"/>
                <w:szCs w:val="12"/>
                <w:color w:val="auto"/>
              </w:rPr>
            </w:pPr>
          </w:p>
        </w:tc>
        <w:tc>
          <w:tcPr>
            <w:tcW w:w="366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rPr>
                <w:sz w:val="12"/>
                <w:szCs w:val="12"/>
                <w:color w:val="auto"/>
              </w:rPr>
            </w:pPr>
          </w:p>
        </w:tc>
        <w:tc>
          <w:tcPr>
            <w:tcW w:w="368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7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Art. 8</w:t>
            </w:r>
          </w:p>
        </w:tc>
        <w:tc>
          <w:tcPr>
            <w:tcW w:w="3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Powers</w:t>
            </w:r>
          </w:p>
        </w:tc>
        <w:tc>
          <w:tcPr>
            <w:tcW w:w="400" w:type="dxa"/>
            <w:vAlign w:val="bottom"/>
            <w:tcBorders>
              <w:right w:val="single" w:sz="8" w:color="auto"/>
            </w:tcBorders>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8</w:t>
            </w:r>
          </w:p>
        </w:tc>
        <w:tc>
          <w:tcPr>
            <w:tcW w:w="36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Pouvoirs</w:t>
            </w:r>
          </w:p>
        </w:tc>
        <w:tc>
          <w:tcPr>
            <w:tcW w:w="0" w:type="dxa"/>
            <w:vAlign w:val="bottom"/>
          </w:tcPr>
          <w:p>
            <w:pPr>
              <w:spacing w:after="0"/>
              <w:rPr>
                <w:sz w:val="1"/>
                <w:szCs w:val="1"/>
                <w:color w:val="auto"/>
              </w:rPr>
            </w:pPr>
          </w:p>
        </w:tc>
      </w:tr>
      <w:tr>
        <w:trPr>
          <w:trHeight w:val="34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General Meeting is the supreme body of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L'assemblée  générale  des  actionnaires  est  le  pouvoir</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6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suprême de la société. Elle a les droits intransmissibles</w:t>
            </w: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26" w:name="page227"/>
    <w:bookmarkEnd w:id="226"/>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8"/>
        </w:trPr>
        <w:tc>
          <w:tcPr>
            <w:tcW w:w="4060" w:type="dxa"/>
            <w:vAlign w:val="bottom"/>
            <w:tcBorders>
              <w:top w:val="single" w:sz="8" w:color="auto"/>
              <w:left w:val="single" w:sz="8" w:color="auto"/>
            </w:tcBorders>
            <w:gridSpan w:val="10"/>
          </w:tcPr>
          <w:p>
            <w:pPr>
              <w:ind w:left="120"/>
              <w:spacing w:after="0"/>
              <w:rPr>
                <w:sz w:val="20"/>
                <w:szCs w:val="20"/>
                <w:color w:val="auto"/>
              </w:rPr>
            </w:pPr>
            <w:r>
              <w:rPr>
                <w:rFonts w:ascii="Times New Roman" w:cs="Times New Roman" w:eastAsia="Times New Roman" w:hAnsi="Times New Roman"/>
                <w:sz w:val="18"/>
                <w:szCs w:val="18"/>
                <w:color w:val="auto"/>
              </w:rPr>
              <w:t>Company. It has the following non delegable powers:</w:t>
            </w:r>
          </w:p>
        </w:tc>
        <w:tc>
          <w:tcPr>
            <w:tcW w:w="380" w:type="dxa"/>
            <w:vAlign w:val="bottom"/>
            <w:tcBorders>
              <w:top w:val="single" w:sz="8" w:color="auto"/>
              <w:right w:val="single" w:sz="8" w:color="auto"/>
            </w:tcBorders>
          </w:tcPr>
          <w:p>
            <w:pPr>
              <w:spacing w:after="0"/>
              <w:rPr>
                <w:sz w:val="21"/>
                <w:szCs w:val="21"/>
                <w:color w:val="auto"/>
              </w:rPr>
            </w:pPr>
          </w:p>
        </w:tc>
        <w:tc>
          <w:tcPr>
            <w:tcW w:w="400" w:type="dxa"/>
            <w:vAlign w:val="bottom"/>
            <w:tcBorders>
              <w:top w:val="single" w:sz="8" w:color="auto"/>
              <w:right w:val="single" w:sz="8" w:color="auto"/>
            </w:tcBorders>
          </w:tcPr>
          <w:p>
            <w:pPr>
              <w:spacing w:after="0"/>
              <w:rPr>
                <w:sz w:val="21"/>
                <w:szCs w:val="21"/>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suivants:</w:t>
            </w: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420" w:type="dxa"/>
            <w:vAlign w:val="bottom"/>
            <w:tcBorders>
              <w:left w:val="single" w:sz="8" w:color="auto"/>
              <w:bottom w:val="single" w:sz="8" w:color="auto"/>
            </w:tcBorders>
          </w:tcPr>
          <w:p>
            <w:pPr>
              <w:spacing w:after="0"/>
              <w:rPr>
                <w:sz w:val="11"/>
                <w:szCs w:val="11"/>
                <w:color w:val="auto"/>
              </w:rPr>
            </w:pPr>
          </w:p>
        </w:tc>
        <w:tc>
          <w:tcPr>
            <w:tcW w:w="4020" w:type="dxa"/>
            <w:vAlign w:val="bottom"/>
            <w:tcBorders>
              <w:bottom w:val="single" w:sz="8" w:color="auto"/>
              <w:right w:val="single" w:sz="8" w:color="auto"/>
            </w:tcBorders>
            <w:gridSpan w:val="10"/>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80" w:type="dxa"/>
            <w:vAlign w:val="bottom"/>
            <w:tcBorders>
              <w:bottom w:val="single" w:sz="8" w:color="auto"/>
              <w:right w:val="single" w:sz="8" w:color="auto"/>
            </w:tcBorders>
            <w:gridSpan w:val="17"/>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40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to adopt and amend the Articles of Association</w:t>
            </w:r>
          </w:p>
        </w:tc>
        <w:tc>
          <w:tcPr>
            <w:tcW w:w="40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080" w:type="dxa"/>
            <w:vAlign w:val="bottom"/>
            <w:tcBorders>
              <w:right w:val="single" w:sz="8" w:color="auto"/>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adapter et modifier les statuts (articles 651a, 652g,</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(Articles 651a, 652g, 653g und 653i CO remain</w:t>
            </w:r>
          </w:p>
        </w:tc>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653g et 653i CO sont réservés);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4020" w:type="dxa"/>
            <w:vAlign w:val="bottom"/>
            <w:tcBorders>
              <w:bottom w:val="single" w:sz="8" w:color="auto"/>
              <w:right w:val="single" w:sz="8" w:color="auto"/>
            </w:tcBorders>
            <w:gridSpan w:val="10"/>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80" w:type="dxa"/>
            <w:vAlign w:val="bottom"/>
            <w:tcBorders>
              <w:bottom w:val="single" w:sz="8" w:color="auto"/>
              <w:right w:val="single" w:sz="8" w:color="auto"/>
            </w:tcBorders>
            <w:gridSpan w:val="17"/>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40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to elect and remove the members of the Board of</w:t>
            </w:r>
          </w:p>
        </w:tc>
        <w:tc>
          <w:tcPr>
            <w:tcW w:w="40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080" w:type="dxa"/>
            <w:vAlign w:val="bottom"/>
            <w:tcBorders>
              <w:right w:val="single" w:sz="8" w:color="auto"/>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nommer  et  révoquer  les  membres  du  conseil</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Directors, the Chairman of the Board of Directors,</w:t>
            </w:r>
          </w:p>
        </w:tc>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d'administration,</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le</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président</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du</w:t>
            </w:r>
          </w:p>
        </w:tc>
        <w:tc>
          <w:tcPr>
            <w:tcW w:w="760" w:type="dxa"/>
            <w:vAlign w:val="bottom"/>
            <w:tcBorders>
              <w:right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conseil</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the members of the Compensation Committee, the</w:t>
            </w:r>
          </w:p>
        </w:tc>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80" w:type="dxa"/>
            <w:vAlign w:val="bottom"/>
            <w:tcBorders>
              <w:right w:val="single" w:sz="8" w:color="auto"/>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d'administration,  les  membres  du  comité  de</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8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Auditors and the Independent Proxy;</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80" w:type="dxa"/>
            <w:vAlign w:val="bottom"/>
            <w:tcBorders>
              <w:right w:val="single" w:sz="8" w:color="auto"/>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rémunération, l'organe de révision et le mandataire</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indépendant;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4020" w:type="dxa"/>
            <w:vAlign w:val="bottom"/>
            <w:tcBorders>
              <w:bottom w:val="single" w:sz="8" w:color="auto"/>
              <w:right w:val="single" w:sz="8" w:color="auto"/>
            </w:tcBorders>
            <w:gridSpan w:val="10"/>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80" w:type="dxa"/>
            <w:vAlign w:val="bottom"/>
            <w:tcBorders>
              <w:bottom w:val="single" w:sz="8" w:color="auto"/>
              <w:right w:val="single" w:sz="8" w:color="auto"/>
            </w:tcBorders>
            <w:gridSpan w:val="17"/>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40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to approve the management report and the annual</w:t>
            </w:r>
          </w:p>
        </w:tc>
        <w:tc>
          <w:tcPr>
            <w:tcW w:w="40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080" w:type="dxa"/>
            <w:vAlign w:val="bottom"/>
            <w:tcBorders>
              <w:right w:val="single" w:sz="8" w:color="auto"/>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approuver le rapport de gestion et les comptes</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accounts and to determine the allocation of profits,</w:t>
            </w:r>
          </w:p>
        </w:tc>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80" w:type="dxa"/>
            <w:vAlign w:val="bottom"/>
            <w:tcBorders>
              <w:right w:val="single" w:sz="8" w:color="auto"/>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annuels et déterminer la répartition des bénéfices,</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in particular with regard to dividends and bonus</w:t>
            </w:r>
          </w:p>
        </w:tc>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80" w:type="dxa"/>
            <w:vAlign w:val="bottom"/>
            <w:tcBorders>
              <w:right w:val="single" w:sz="8" w:color="auto"/>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en particulier en ce qui concerne les dividendes et</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payments;</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9"/>
              </w:rPr>
              <w:t>les bonus;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4020" w:type="dxa"/>
            <w:vAlign w:val="bottom"/>
            <w:tcBorders>
              <w:bottom w:val="single" w:sz="8" w:color="auto"/>
              <w:right w:val="single" w:sz="8" w:color="auto"/>
            </w:tcBorders>
            <w:gridSpan w:val="10"/>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80" w:type="dxa"/>
            <w:vAlign w:val="bottom"/>
            <w:tcBorders>
              <w:bottom w:val="single" w:sz="8" w:color="auto"/>
              <w:right w:val="single" w:sz="8" w:color="auto"/>
            </w:tcBorders>
            <w:gridSpan w:val="17"/>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40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to discharge the members of the Board of Directors</w:t>
            </w:r>
          </w:p>
        </w:tc>
        <w:tc>
          <w:tcPr>
            <w:tcW w:w="40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4080" w:type="dxa"/>
            <w:vAlign w:val="bottom"/>
            <w:tcBorders>
              <w:right w:val="single" w:sz="8" w:color="auto"/>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donner  décharge  aux  membres  du  conseil</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28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and of the Executive Committee;</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auto"/>
              </w:rPr>
              <w:t>d'administration et au comité exécutif;</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2800" w:type="dxa"/>
            <w:vAlign w:val="bottom"/>
            <w:tcBorders>
              <w:bottom w:val="single" w:sz="8" w:color="auto"/>
            </w:tcBorders>
            <w:gridSpan w:val="6"/>
          </w:tcPr>
          <w:p>
            <w:pPr>
              <w:spacing w:after="0"/>
              <w:rPr>
                <w:sz w:val="9"/>
                <w:szCs w:val="9"/>
                <w:color w:val="auto"/>
              </w:rPr>
            </w:pPr>
          </w:p>
        </w:tc>
        <w:tc>
          <w:tcPr>
            <w:tcW w:w="1220" w:type="dxa"/>
            <w:vAlign w:val="bottom"/>
            <w:tcBorders>
              <w:bottom w:val="single" w:sz="8" w:color="auto"/>
              <w:right w:val="single" w:sz="8" w:color="auto"/>
            </w:tcBorders>
            <w:gridSpan w:val="4"/>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80" w:type="dxa"/>
            <w:vAlign w:val="bottom"/>
            <w:tcBorders>
              <w:bottom w:val="single" w:sz="8" w:color="auto"/>
              <w:right w:val="single" w:sz="8" w:color="auto"/>
            </w:tcBorders>
            <w:gridSpan w:val="17"/>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28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to approve the aggregate amounts of</w:t>
            </w:r>
          </w:p>
        </w:tc>
        <w:tc>
          <w:tcPr>
            <w:tcW w:w="1220" w:type="dxa"/>
            <w:vAlign w:val="bottom"/>
            <w:tcBorders>
              <w:right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compensation</w:t>
            </w:r>
          </w:p>
        </w:tc>
        <w:tc>
          <w:tcPr>
            <w:tcW w:w="40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w:t>
            </w:r>
          </w:p>
        </w:tc>
        <w:tc>
          <w:tcPr>
            <w:tcW w:w="4080" w:type="dxa"/>
            <w:vAlign w:val="bottom"/>
            <w:tcBorders>
              <w:right w:val="single" w:sz="8" w:color="auto"/>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approuver les montants globaux des rémunérations</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of  the  Board  of  Directors  and  the  Executive</w:t>
            </w:r>
          </w:p>
        </w:tc>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80" w:type="dxa"/>
            <w:vAlign w:val="bottom"/>
            <w:tcBorders>
              <w:right w:val="single" w:sz="8" w:color="auto"/>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du conseil d'administration et du comité exécutif</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Committee in accordance with Article 18 of the</w:t>
            </w:r>
          </w:p>
        </w:tc>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auto"/>
              </w:rPr>
              <w:t>conformément à l'article 18 des statuts;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23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Articles of Association;</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4020" w:type="dxa"/>
            <w:vAlign w:val="bottom"/>
            <w:tcBorders>
              <w:bottom w:val="single" w:sz="8" w:color="auto"/>
              <w:right w:val="single" w:sz="8" w:color="auto"/>
            </w:tcBorders>
            <w:gridSpan w:val="10"/>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80" w:type="dxa"/>
            <w:vAlign w:val="bottom"/>
            <w:tcBorders>
              <w:bottom w:val="single" w:sz="8" w:color="auto"/>
              <w:right w:val="single" w:sz="8" w:color="auto"/>
            </w:tcBorders>
            <w:gridSpan w:val="17"/>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40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to pass resolutions concerning all matters which are</w:t>
            </w:r>
          </w:p>
        </w:tc>
        <w:tc>
          <w:tcPr>
            <w:tcW w:w="40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p>
        </w:tc>
        <w:tc>
          <w:tcPr>
            <w:tcW w:w="4080" w:type="dxa"/>
            <w:vAlign w:val="bottom"/>
            <w:tcBorders>
              <w:right w:val="single" w:sz="8" w:color="auto"/>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prendre les décisions sur toutes les affaires qui sont</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color w:val="auto"/>
              </w:rPr>
              <w:t>reserved to the authority of the General Meeting by</w:t>
            </w:r>
          </w:p>
        </w:tc>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80" w:type="dxa"/>
            <w:vAlign w:val="bottom"/>
            <w:tcBorders>
              <w:right w:val="single" w:sz="8" w:color="auto"/>
            </w:tcBorders>
            <w:gridSpan w:val="17"/>
          </w:tcPr>
          <w:p>
            <w:pPr>
              <w:ind w:left="180"/>
              <w:spacing w:after="0"/>
              <w:rPr>
                <w:sz w:val="20"/>
                <w:szCs w:val="20"/>
                <w:color w:val="auto"/>
              </w:rPr>
            </w:pPr>
            <w:r>
              <w:rPr>
                <w:rFonts w:ascii="Times New Roman" w:cs="Times New Roman" w:eastAsia="Times New Roman" w:hAnsi="Times New Roman"/>
                <w:sz w:val="18"/>
                <w:szCs w:val="18"/>
                <w:color w:val="auto"/>
              </w:rPr>
              <w:t>attribuées à l'assemblée générale par la loi ou les</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28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law or by the Articles of Association.</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statuts.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auto"/>
              <w:bottom w:val="single" w:sz="8" w:color="auto"/>
            </w:tcBorders>
            <w:gridSpan w:val="2"/>
          </w:tcPr>
          <w:p>
            <w:pPr>
              <w:spacing w:after="0"/>
              <w:rPr>
                <w:sz w:val="9"/>
                <w:szCs w:val="9"/>
                <w:color w:val="auto"/>
              </w:rPr>
            </w:pPr>
          </w:p>
        </w:tc>
        <w:tc>
          <w:tcPr>
            <w:tcW w:w="2340" w:type="dxa"/>
            <w:vAlign w:val="bottom"/>
            <w:tcBorders>
              <w:bottom w:val="single" w:sz="8" w:color="auto"/>
            </w:tcBorders>
            <w:gridSpan w:val="5"/>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380" w:type="dxa"/>
            <w:vAlign w:val="bottom"/>
            <w:tcBorders>
              <w:bottom w:val="single" w:sz="8" w:color="auto"/>
            </w:tcBorders>
            <w:gridSpan w:val="10"/>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Art. 9</w:t>
            </w: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Ordinary General Meeting</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9</w:t>
            </w:r>
          </w:p>
        </w:tc>
        <w:tc>
          <w:tcPr>
            <w:tcW w:w="238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Assemblée générale ordinaire</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440" w:type="dxa"/>
            <w:vAlign w:val="bottom"/>
            <w:tcBorders>
              <w:left w:val="single" w:sz="8" w:color="auto"/>
              <w:right w:val="single" w:sz="8" w:color="auto"/>
            </w:tcBorders>
            <w:gridSpan w:val="11"/>
          </w:tcPr>
          <w:p>
            <w:pPr>
              <w:ind w:left="120"/>
              <w:spacing w:after="0"/>
              <w:rPr>
                <w:sz w:val="20"/>
                <w:szCs w:val="20"/>
                <w:color w:val="auto"/>
              </w:rPr>
            </w:pPr>
            <w:r>
              <w:rPr>
                <w:rFonts w:ascii="Times New Roman" w:cs="Times New Roman" w:eastAsia="Times New Roman" w:hAnsi="Times New Roman"/>
                <w:sz w:val="18"/>
                <w:szCs w:val="18"/>
                <w:color w:val="auto"/>
              </w:rPr>
              <w:t>The Ordinary General Meeting shall be held annually</w:t>
            </w:r>
          </w:p>
        </w:tc>
        <w:tc>
          <w:tcPr>
            <w:tcW w:w="400" w:type="dxa"/>
            <w:vAlign w:val="bottom"/>
            <w:tcBorders>
              <w:right w:val="single" w:sz="8" w:color="auto"/>
            </w:tcBorders>
          </w:tcPr>
          <w:p>
            <w:pPr>
              <w:spacing w:after="0"/>
              <w:rPr>
                <w:sz w:val="24"/>
                <w:szCs w:val="24"/>
                <w:color w:val="auto"/>
              </w:rPr>
            </w:pPr>
          </w:p>
        </w:tc>
        <w:tc>
          <w:tcPr>
            <w:tcW w:w="402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w w:val="99"/>
              </w:rPr>
              <w:t>L'assemblée générale ordinaire aura lieu chaque année</w:t>
            </w: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11"/>
          </w:tcPr>
          <w:p>
            <w:pPr>
              <w:ind w:left="120"/>
              <w:spacing w:after="0"/>
              <w:rPr>
                <w:sz w:val="20"/>
                <w:szCs w:val="20"/>
                <w:color w:val="auto"/>
              </w:rPr>
            </w:pPr>
            <w:r>
              <w:rPr>
                <w:rFonts w:ascii="Times New Roman" w:cs="Times New Roman" w:eastAsia="Times New Roman" w:hAnsi="Times New Roman"/>
                <w:sz w:val="18"/>
                <w:szCs w:val="18"/>
                <w:color w:val="auto"/>
              </w:rPr>
              <w:t>within six months after the close of the business year at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8"/>
          </w:tcPr>
          <w:p>
            <w:pPr>
              <w:ind w:left="80"/>
              <w:spacing w:after="0"/>
              <w:rPr>
                <w:sz w:val="20"/>
                <w:szCs w:val="20"/>
                <w:color w:val="auto"/>
              </w:rPr>
            </w:pPr>
            <w:r>
              <w:rPr>
                <w:rFonts w:ascii="Times New Roman" w:cs="Times New Roman" w:eastAsia="Times New Roman" w:hAnsi="Times New Roman"/>
                <w:sz w:val="18"/>
                <w:szCs w:val="18"/>
                <w:color w:val="auto"/>
              </w:rPr>
              <w:t>dans les six mois qui suivent la clôture de l'exercice à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11"/>
          </w:tcPr>
          <w:p>
            <w:pPr>
              <w:ind w:left="120"/>
              <w:spacing w:after="0"/>
              <w:rPr>
                <w:sz w:val="20"/>
                <w:szCs w:val="20"/>
                <w:color w:val="auto"/>
              </w:rPr>
            </w:pPr>
            <w:r>
              <w:rPr>
                <w:rFonts w:ascii="Times New Roman" w:cs="Times New Roman" w:eastAsia="Times New Roman" w:hAnsi="Times New Roman"/>
                <w:sz w:val="18"/>
                <w:szCs w:val="18"/>
                <w:color w:val="auto"/>
              </w:rPr>
              <w:t>such time and at such location, which may be within 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18"/>
          </w:tcPr>
          <w:p>
            <w:pPr>
              <w:ind w:left="80"/>
              <w:spacing w:after="0"/>
              <w:rPr>
                <w:sz w:val="20"/>
                <w:szCs w:val="20"/>
                <w:color w:val="auto"/>
              </w:rPr>
            </w:pPr>
            <w:r>
              <w:rPr>
                <w:rFonts w:ascii="Times New Roman" w:cs="Times New Roman" w:eastAsia="Times New Roman" w:hAnsi="Times New Roman"/>
                <w:sz w:val="18"/>
                <w:szCs w:val="18"/>
                <w:color w:val="auto"/>
              </w:rPr>
              <w:t>date et à l'endroit, qui peut être en ou hors de la Suisse, tel</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11"/>
          </w:tcPr>
          <w:p>
            <w:pPr>
              <w:ind w:left="120"/>
              <w:spacing w:after="0"/>
              <w:rPr>
                <w:sz w:val="20"/>
                <w:szCs w:val="20"/>
                <w:color w:val="auto"/>
              </w:rPr>
            </w:pPr>
            <w:r>
              <w:rPr>
                <w:rFonts w:ascii="Times New Roman" w:cs="Times New Roman" w:eastAsia="Times New Roman" w:hAnsi="Times New Roman"/>
                <w:sz w:val="18"/>
                <w:szCs w:val="18"/>
                <w:color w:val="auto"/>
              </w:rPr>
              <w:t>outside  Switzerland,  as  determined  by  the  Board  of</w:t>
            </w:r>
          </w:p>
        </w:tc>
        <w:tc>
          <w:tcPr>
            <w:tcW w:w="400" w:type="dxa"/>
            <w:vAlign w:val="bottom"/>
            <w:tcBorders>
              <w:right w:val="single" w:sz="8" w:color="auto"/>
            </w:tcBorders>
          </w:tcPr>
          <w:p>
            <w:pPr>
              <w:spacing w:after="0"/>
              <w:rPr>
                <w:sz w:val="18"/>
                <w:szCs w:val="18"/>
                <w:color w:val="auto"/>
              </w:rPr>
            </w:pPr>
          </w:p>
        </w:tc>
        <w:tc>
          <w:tcPr>
            <w:tcW w:w="3500" w:type="dxa"/>
            <w:vAlign w:val="bottom"/>
            <w:gridSpan w:val="13"/>
          </w:tcPr>
          <w:p>
            <w:pPr>
              <w:ind w:left="80"/>
              <w:spacing w:after="0"/>
              <w:rPr>
                <w:sz w:val="20"/>
                <w:szCs w:val="20"/>
                <w:color w:val="auto"/>
              </w:rPr>
            </w:pPr>
            <w:r>
              <w:rPr>
                <w:rFonts w:ascii="Times New Roman" w:cs="Times New Roman" w:eastAsia="Times New Roman" w:hAnsi="Times New Roman"/>
                <w:sz w:val="18"/>
                <w:szCs w:val="18"/>
                <w:color w:val="auto"/>
              </w:rPr>
              <w:t>que déterminé par le conseil d'administration.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auto"/>
              <w:bottom w:val="single" w:sz="8" w:color="auto"/>
            </w:tcBorders>
            <w:gridSpan w:val="2"/>
          </w:tcPr>
          <w:p>
            <w:pPr>
              <w:spacing w:after="0"/>
              <w:rPr>
                <w:sz w:val="9"/>
                <w:szCs w:val="9"/>
                <w:color w:val="auto"/>
              </w:rPr>
            </w:pPr>
          </w:p>
        </w:tc>
        <w:tc>
          <w:tcPr>
            <w:tcW w:w="2660" w:type="dxa"/>
            <w:vAlign w:val="bottom"/>
            <w:tcBorders>
              <w:bottom w:val="single" w:sz="8" w:color="auto"/>
            </w:tcBorders>
            <w:gridSpan w:val="6"/>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780" w:type="dxa"/>
            <w:vAlign w:val="bottom"/>
            <w:tcBorders>
              <w:bottom w:val="single" w:sz="8" w:color="auto"/>
            </w:tcBorders>
            <w:gridSpan w:val="1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Art. 10</w:t>
            </w:r>
          </w:p>
        </w:tc>
        <w:tc>
          <w:tcPr>
            <w:tcW w:w="266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Extraordinary General Meeting</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10</w:t>
            </w:r>
          </w:p>
        </w:tc>
        <w:tc>
          <w:tcPr>
            <w:tcW w:w="2780" w:type="dxa"/>
            <w:vAlign w:val="bottom"/>
            <w:gridSpan w:val="12"/>
          </w:tcPr>
          <w:p>
            <w:pPr>
              <w:ind w:left="40"/>
              <w:spacing w:after="0"/>
              <w:rPr>
                <w:sz w:val="20"/>
                <w:szCs w:val="20"/>
                <w:color w:val="auto"/>
              </w:rPr>
            </w:pPr>
            <w:r>
              <w:rPr>
                <w:rFonts w:ascii="Times New Roman" w:cs="Times New Roman" w:eastAsia="Times New Roman" w:hAnsi="Times New Roman"/>
                <w:sz w:val="18"/>
                <w:szCs w:val="18"/>
                <w:b w:val="1"/>
                <w:bCs w:val="1"/>
                <w:color w:val="auto"/>
              </w:rPr>
              <w:t>Assemblée générale extraordinaire</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14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w w:val="99"/>
              </w:rPr>
              <w:t>Extraordinary</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Meetings</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may</w:t>
            </w:r>
          </w:p>
        </w:tc>
        <w:tc>
          <w:tcPr>
            <w:tcW w:w="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be</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called</w:t>
            </w:r>
          </w:p>
        </w:tc>
        <w:tc>
          <w:tcPr>
            <w:tcW w:w="3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Borders>
              <w:right w:val="single" w:sz="8" w:color="auto"/>
            </w:tcBorders>
          </w:tcPr>
          <w:p>
            <w:pPr>
              <w:spacing w:after="0"/>
              <w:rPr>
                <w:sz w:val="24"/>
                <w:szCs w:val="24"/>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2"/>
              </w:rPr>
              <w:t>Les</w:t>
            </w:r>
          </w:p>
        </w:tc>
        <w:tc>
          <w:tcPr>
            <w:tcW w:w="9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w w:val="96"/>
              </w:rPr>
              <w:t>assemblées</w:t>
            </w:r>
          </w:p>
        </w:tc>
        <w:tc>
          <w:tcPr>
            <w:tcW w:w="8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w w:val="97"/>
              </w:rPr>
              <w:t>générales</w:t>
            </w:r>
          </w:p>
        </w:tc>
        <w:tc>
          <w:tcPr>
            <w:tcW w:w="12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extraordinaires</w:t>
            </w:r>
          </w:p>
        </w:tc>
        <w:tc>
          <w:tcPr>
            <w:tcW w:w="7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peuvent</w:t>
            </w:r>
          </w:p>
        </w:tc>
        <w:tc>
          <w:tcPr>
            <w:tcW w:w="4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w w:val="96"/>
              </w:rPr>
              <w:t>être</w:t>
            </w:r>
          </w:p>
        </w:tc>
        <w:tc>
          <w:tcPr>
            <w:tcW w:w="0" w:type="dxa"/>
            <w:vAlign w:val="bottom"/>
          </w:tcPr>
          <w:p>
            <w:pPr>
              <w:spacing w:after="0"/>
              <w:rPr>
                <w:sz w:val="1"/>
                <w:szCs w:val="1"/>
                <w:color w:val="auto"/>
              </w:rPr>
            </w:pPr>
          </w:p>
        </w:tc>
      </w:tr>
      <w:tr>
        <w:trPr>
          <w:trHeight w:val="108"/>
        </w:trPr>
        <w:tc>
          <w:tcPr>
            <w:tcW w:w="880" w:type="dxa"/>
            <w:vAlign w:val="bottom"/>
            <w:tcBorders>
              <w:lef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resolution</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1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the General Meeting,</w:t>
            </w: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the Auditors</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or</w:t>
            </w:r>
          </w:p>
        </w:tc>
        <w:tc>
          <w:tcPr>
            <w:tcW w:w="3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the</w:t>
            </w:r>
          </w:p>
        </w:tc>
        <w:tc>
          <w:tcPr>
            <w:tcW w:w="400" w:type="dxa"/>
            <w:vAlign w:val="bottom"/>
            <w:tcBorders>
              <w:right w:val="single" w:sz="8" w:color="auto"/>
            </w:tcBorders>
          </w:tcPr>
          <w:p>
            <w:pPr>
              <w:spacing w:after="0"/>
              <w:rPr>
                <w:sz w:val="9"/>
                <w:szCs w:val="9"/>
                <w:color w:val="auto"/>
              </w:rPr>
            </w:pPr>
          </w:p>
        </w:tc>
        <w:tc>
          <w:tcPr>
            <w:tcW w:w="34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4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auto"/>
            </w:tcBorders>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tcBorders>
              <w:right w:val="single" w:sz="8" w:color="auto"/>
            </w:tcBorders>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18"/>
            <w:vMerge w:val="restart"/>
          </w:tcPr>
          <w:p>
            <w:pPr>
              <w:ind w:left="80"/>
              <w:spacing w:after="0"/>
              <w:rPr>
                <w:sz w:val="20"/>
                <w:szCs w:val="20"/>
                <w:color w:val="auto"/>
              </w:rPr>
            </w:pPr>
            <w:r>
              <w:rPr>
                <w:rFonts w:ascii="Times New Roman" w:cs="Times New Roman" w:eastAsia="Times New Roman" w:hAnsi="Times New Roman"/>
                <w:sz w:val="18"/>
                <w:szCs w:val="18"/>
                <w:color w:val="auto"/>
              </w:rPr>
              <w:t>convoquées par décision de l'assemblée générale, l'organe</w:t>
            </w:r>
          </w:p>
        </w:tc>
        <w:tc>
          <w:tcPr>
            <w:tcW w:w="0" w:type="dxa"/>
            <w:vAlign w:val="bottom"/>
          </w:tcPr>
          <w:p>
            <w:pPr>
              <w:spacing w:after="0"/>
              <w:rPr>
                <w:sz w:val="1"/>
                <w:szCs w:val="1"/>
                <w:color w:val="auto"/>
              </w:rPr>
            </w:pPr>
          </w:p>
        </w:tc>
      </w:tr>
      <w:tr>
        <w:trPr>
          <w:trHeight w:val="108"/>
        </w:trPr>
        <w:tc>
          <w:tcPr>
            <w:tcW w:w="880" w:type="dxa"/>
            <w:vAlign w:val="bottom"/>
            <w:tcBorders>
              <w:lef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Board  of</w:t>
            </w: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Directors,  or</w:t>
            </w:r>
          </w:p>
        </w:tc>
        <w:tc>
          <w:tcPr>
            <w:tcW w:w="1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by  shareholders  with</w:t>
            </w:r>
          </w:p>
        </w:tc>
        <w:tc>
          <w:tcPr>
            <w:tcW w:w="660" w:type="dxa"/>
            <w:vAlign w:val="bottom"/>
            <w:tcBorders>
              <w:right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voting</w:t>
            </w: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1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auto"/>
            </w:tcBorders>
            <w:gridSpan w:val="2"/>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660" w:type="dxa"/>
            <w:vAlign w:val="bottom"/>
            <w:tcBorders>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de</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révision</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ou</w:t>
            </w:r>
          </w:p>
        </w:tc>
        <w:tc>
          <w:tcPr>
            <w:tcW w:w="60" w:type="dxa"/>
            <w:vAlign w:val="bottom"/>
          </w:tcPr>
          <w:p>
            <w:pPr>
              <w:spacing w:after="0"/>
              <w:rPr>
                <w:sz w:val="9"/>
                <w:szCs w:val="9"/>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le</w:t>
            </w: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w w:val="97"/>
              </w:rPr>
              <w:t>conseil</w:t>
            </w:r>
          </w:p>
        </w:tc>
        <w:tc>
          <w:tcPr>
            <w:tcW w:w="16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color w:val="auto"/>
              </w:rPr>
              <w:t>d'administration, ou</w:t>
            </w: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par</w:t>
            </w:r>
          </w:p>
        </w:tc>
        <w:tc>
          <w:tcPr>
            <w:tcW w:w="4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des</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11"/>
            <w:vMerge w:val="restart"/>
          </w:tcPr>
          <w:p>
            <w:pPr>
              <w:ind w:left="120"/>
              <w:spacing w:after="0"/>
              <w:rPr>
                <w:sz w:val="20"/>
                <w:szCs w:val="20"/>
                <w:color w:val="auto"/>
              </w:rPr>
            </w:pPr>
            <w:r>
              <w:rPr>
                <w:rFonts w:ascii="Times New Roman" w:cs="Times New Roman" w:eastAsia="Times New Roman" w:hAnsi="Times New Roman"/>
                <w:sz w:val="18"/>
                <w:szCs w:val="18"/>
                <w:color w:val="auto"/>
              </w:rPr>
              <w:t>powers, provided they represent at least 10% of the share</w:t>
            </w:r>
          </w:p>
        </w:tc>
        <w:tc>
          <w:tcPr>
            <w:tcW w:w="400" w:type="dxa"/>
            <w:vAlign w:val="bottom"/>
            <w:tcBorders>
              <w:right w:val="single" w:sz="8" w:color="auto"/>
            </w:tcBorders>
          </w:tcPr>
          <w:p>
            <w:pPr>
              <w:spacing w:after="0"/>
              <w:rPr>
                <w:sz w:val="9"/>
                <w:szCs w:val="9"/>
                <w:color w:val="auto"/>
              </w:rPr>
            </w:pPr>
          </w:p>
        </w:tc>
        <w:tc>
          <w:tcPr>
            <w:tcW w:w="34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600" w:type="dxa"/>
            <w:vAlign w:val="bottom"/>
            <w:gridSpan w:val="6"/>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4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11"/>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actionnaires</w:t>
            </w:r>
          </w:p>
        </w:tc>
        <w:tc>
          <w:tcPr>
            <w:tcW w:w="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avec</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droit</w:t>
            </w: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2"/>
              </w:rPr>
              <w:t>de</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vote,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4"/>
              </w:rPr>
              <w:t>à</w:t>
            </w:r>
          </w:p>
        </w:tc>
        <w:tc>
          <w:tcPr>
            <w:tcW w:w="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condition</w:t>
            </w:r>
          </w:p>
        </w:tc>
        <w:tc>
          <w:tcPr>
            <w:tcW w:w="560" w:type="dxa"/>
            <w:vAlign w:val="bottom"/>
            <w:tcBorders>
              <w:right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qu'ils</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11"/>
            <w:vMerge w:val="restart"/>
          </w:tcPr>
          <w:p>
            <w:pPr>
              <w:ind w:left="120"/>
              <w:spacing w:after="0"/>
              <w:rPr>
                <w:sz w:val="20"/>
                <w:szCs w:val="20"/>
                <w:color w:val="auto"/>
              </w:rPr>
            </w:pPr>
            <w:r>
              <w:rPr>
                <w:rFonts w:ascii="Times New Roman" w:cs="Times New Roman" w:eastAsia="Times New Roman" w:hAnsi="Times New Roman"/>
                <w:sz w:val="18"/>
                <w:szCs w:val="18"/>
                <w:color w:val="auto"/>
              </w:rPr>
              <w:t>capital and who submit (a)(1) a request signed by such</w:t>
            </w:r>
          </w:p>
        </w:tc>
        <w:tc>
          <w:tcPr>
            <w:tcW w:w="400" w:type="dxa"/>
            <w:vAlign w:val="bottom"/>
            <w:tcBorders>
              <w:right w:val="single" w:sz="8" w:color="auto"/>
            </w:tcBorders>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440" w:type="dxa"/>
            <w:vAlign w:val="bottom"/>
            <w:gridSpan w:val="3"/>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5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11"/>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représentent</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au</w:t>
            </w: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moins</w:t>
            </w:r>
          </w:p>
        </w:tc>
        <w:tc>
          <w:tcPr>
            <w:tcW w:w="182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color w:val="auto"/>
              </w:rPr>
              <w:t>10% du capital-actions</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et</w:t>
            </w:r>
          </w:p>
        </w:tc>
        <w:tc>
          <w:tcPr>
            <w:tcW w:w="560" w:type="dxa"/>
            <w:vAlign w:val="bottom"/>
            <w:tcBorders>
              <w:right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qu'ils</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11"/>
            <w:vMerge w:val="restart"/>
          </w:tcPr>
          <w:p>
            <w:pPr>
              <w:ind w:left="120"/>
              <w:spacing w:after="0"/>
              <w:rPr>
                <w:sz w:val="20"/>
                <w:szCs w:val="20"/>
                <w:color w:val="auto"/>
              </w:rPr>
            </w:pPr>
            <w:r>
              <w:rPr>
                <w:rFonts w:ascii="Times New Roman" w:cs="Times New Roman" w:eastAsia="Times New Roman" w:hAnsi="Times New Roman"/>
                <w:sz w:val="18"/>
                <w:szCs w:val="18"/>
                <w:color w:val="auto"/>
              </w:rPr>
              <w:t>shareholder(s) that specifies the item(s) to be included on</w:t>
            </w:r>
          </w:p>
        </w:tc>
        <w:tc>
          <w:tcPr>
            <w:tcW w:w="400" w:type="dxa"/>
            <w:vAlign w:val="bottom"/>
            <w:tcBorders>
              <w:right w:val="single" w:sz="8" w:color="auto"/>
            </w:tcBorders>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820" w:type="dxa"/>
            <w:vAlign w:val="bottom"/>
            <w:gridSpan w:val="7"/>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11"/>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w w:val="98"/>
              </w:rPr>
              <w:t>soumettent</w:t>
            </w:r>
          </w:p>
        </w:tc>
        <w:tc>
          <w:tcPr>
            <w:tcW w:w="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(a)</w:t>
            </w:r>
          </w:p>
        </w:tc>
        <w:tc>
          <w:tcPr>
            <w:tcW w:w="60" w:type="dxa"/>
            <w:vAlign w:val="bottom"/>
          </w:tcPr>
          <w:p>
            <w:pPr>
              <w:spacing w:after="0"/>
              <w:rPr>
                <w:sz w:val="9"/>
                <w:szCs w:val="9"/>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 une</w:t>
            </w:r>
          </w:p>
        </w:tc>
        <w:tc>
          <w:tcPr>
            <w:tcW w:w="142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demande signée</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5"/>
              </w:rPr>
              <w:t>par</w:t>
            </w:r>
          </w:p>
        </w:tc>
        <w:tc>
          <w:tcPr>
            <w:tcW w:w="920" w:type="dxa"/>
            <w:vAlign w:val="bottom"/>
            <w:tcBorders>
              <w:right w:val="single" w:sz="8" w:color="auto"/>
            </w:tcBorders>
            <w:gridSpan w:val="5"/>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le(s)dit(s)</w:t>
            </w:r>
          </w:p>
        </w:tc>
        <w:tc>
          <w:tcPr>
            <w:tcW w:w="0" w:type="dxa"/>
            <w:vAlign w:val="bottom"/>
          </w:tcPr>
          <w:p>
            <w:pPr>
              <w:spacing w:after="0"/>
              <w:rPr>
                <w:sz w:val="1"/>
                <w:szCs w:val="1"/>
                <w:color w:val="auto"/>
              </w:rPr>
            </w:pPr>
          </w:p>
        </w:tc>
      </w:tr>
      <w:tr>
        <w:trPr>
          <w:trHeight w:val="108"/>
        </w:trPr>
        <w:tc>
          <w:tcPr>
            <w:tcW w:w="42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the</w:t>
            </w: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agenda,</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the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respective</w:t>
            </w:r>
          </w:p>
        </w:tc>
        <w:tc>
          <w:tcPr>
            <w:tcW w:w="10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proposals</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3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the</w:t>
            </w:r>
          </w:p>
        </w:tc>
        <w:tc>
          <w:tcPr>
            <w:tcW w:w="400" w:type="dxa"/>
            <w:vAlign w:val="bottom"/>
            <w:tcBorders>
              <w:right w:val="single" w:sz="8" w:color="auto"/>
            </w:tcBorders>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2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tcBorders>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tcBorders>
              <w:right w:val="single" w:sz="8" w:color="auto"/>
            </w:tcBorders>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460" w:type="dxa"/>
            <w:vAlign w:val="bottom"/>
            <w:gridSpan w:val="6"/>
            <w:vMerge w:val="restart"/>
          </w:tcPr>
          <w:p>
            <w:pPr>
              <w:ind w:left="80"/>
              <w:spacing w:after="0"/>
              <w:rPr>
                <w:sz w:val="20"/>
                <w:szCs w:val="20"/>
                <w:color w:val="auto"/>
              </w:rPr>
            </w:pPr>
            <w:r>
              <w:rPr>
                <w:rFonts w:ascii="Times New Roman" w:cs="Times New Roman" w:eastAsia="Times New Roman" w:hAnsi="Times New Roman"/>
                <w:sz w:val="18"/>
                <w:szCs w:val="18"/>
                <w:color w:val="auto"/>
              </w:rPr>
              <w:t>actionnaire(s) qui</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spécifie</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les</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objets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à</w:t>
            </w: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faire</w:t>
            </w: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figurer</w:t>
            </w:r>
          </w:p>
        </w:tc>
        <w:tc>
          <w:tcPr>
            <w:tcW w:w="4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sur</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and</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evidence</w:t>
            </w:r>
          </w:p>
        </w:tc>
        <w:tc>
          <w:tcPr>
            <w:tcW w:w="4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of</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the</w:t>
            </w:r>
          </w:p>
        </w:tc>
        <w:tc>
          <w:tcPr>
            <w:tcW w:w="900" w:type="dxa"/>
            <w:vAlign w:val="bottom"/>
            <w:tcBorders>
              <w:right w:val="single" w:sz="8" w:color="auto"/>
            </w:tcBorders>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required</w:t>
            </w:r>
          </w:p>
        </w:tc>
        <w:tc>
          <w:tcPr>
            <w:tcW w:w="400" w:type="dxa"/>
            <w:vAlign w:val="bottom"/>
            <w:tcBorders>
              <w:right w:val="single" w:sz="8" w:color="auto"/>
            </w:tcBorders>
          </w:tcPr>
          <w:p>
            <w:pPr>
              <w:spacing w:after="0"/>
              <w:rPr>
                <w:sz w:val="9"/>
                <w:szCs w:val="9"/>
                <w:color w:val="auto"/>
              </w:rPr>
            </w:pPr>
          </w:p>
        </w:tc>
        <w:tc>
          <w:tcPr>
            <w:tcW w:w="1460" w:type="dxa"/>
            <w:vAlign w:val="bottom"/>
            <w:gridSpan w:val="6"/>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520" w:type="dxa"/>
            <w:vAlign w:val="bottom"/>
            <w:gridSpan w:val="3"/>
            <w:vMerge w:val="continue"/>
          </w:tcPr>
          <w:p>
            <w:pPr>
              <w:spacing w:after="0"/>
              <w:rPr>
                <w:sz w:val="9"/>
                <w:szCs w:val="9"/>
                <w:color w:val="auto"/>
              </w:rPr>
            </w:pPr>
          </w:p>
        </w:tc>
        <w:tc>
          <w:tcPr>
            <w:tcW w:w="4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tcBorders>
            <w:gridSpan w:val="3"/>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900" w:type="dxa"/>
            <w:vAlign w:val="bottom"/>
            <w:tcBorders>
              <w:right w:val="single" w:sz="8" w:color="auto"/>
            </w:tcBorders>
            <w:gridSpan w:val="3"/>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l'ordre du</w:t>
            </w:r>
          </w:p>
        </w:tc>
        <w:tc>
          <w:tcPr>
            <w:tcW w:w="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jour,</w:t>
            </w: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(2) les</w:t>
            </w: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propositions</w:t>
            </w:r>
          </w:p>
        </w:tc>
        <w:tc>
          <w:tcPr>
            <w:tcW w:w="11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color w:val="auto"/>
              </w:rPr>
              <w:t>respectives de</w:t>
            </w:r>
          </w:p>
        </w:tc>
        <w:tc>
          <w:tcPr>
            <w:tcW w:w="4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ces</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11"/>
            <w:vMerge w:val="restart"/>
          </w:tcPr>
          <w:p>
            <w:pPr>
              <w:ind w:left="120"/>
              <w:spacing w:after="0"/>
              <w:rPr>
                <w:sz w:val="20"/>
                <w:szCs w:val="20"/>
                <w:color w:val="auto"/>
              </w:rPr>
            </w:pPr>
            <w:r>
              <w:rPr>
                <w:rFonts w:ascii="Times New Roman" w:cs="Times New Roman" w:eastAsia="Times New Roman" w:hAnsi="Times New Roman"/>
                <w:sz w:val="18"/>
                <w:szCs w:val="18"/>
                <w:color w:val="auto"/>
              </w:rPr>
              <w:t>shareholdings recorded in the share register and (b) such</w:t>
            </w:r>
          </w:p>
        </w:tc>
        <w:tc>
          <w:tcPr>
            <w:tcW w:w="400" w:type="dxa"/>
            <w:vAlign w:val="bottom"/>
            <w:tcBorders>
              <w:right w:val="single" w:sz="8" w:color="auto"/>
            </w:tcBorders>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8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160" w:type="dxa"/>
            <w:vAlign w:val="bottom"/>
            <w:gridSpan w:val="6"/>
            <w:vMerge w:val="continue"/>
          </w:tcPr>
          <w:p>
            <w:pPr>
              <w:spacing w:after="0"/>
              <w:rPr>
                <w:sz w:val="9"/>
                <w:szCs w:val="9"/>
                <w:color w:val="auto"/>
              </w:rPr>
            </w:pPr>
          </w:p>
        </w:tc>
        <w:tc>
          <w:tcPr>
            <w:tcW w:w="4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11"/>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actionnaires</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et</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la preuve</w:t>
            </w:r>
          </w:p>
        </w:tc>
        <w:tc>
          <w:tcPr>
            <w:tcW w:w="13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des participations</w:t>
            </w:r>
          </w:p>
        </w:tc>
        <w:tc>
          <w:tcPr>
            <w:tcW w:w="760" w:type="dxa"/>
            <w:vAlign w:val="bottom"/>
            <w:tcBorders>
              <w:right w:val="single" w:sz="8" w:color="auto"/>
            </w:tcBorders>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requises</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11"/>
            <w:vMerge w:val="restart"/>
          </w:tcPr>
          <w:p>
            <w:pPr>
              <w:ind w:left="120"/>
              <w:spacing w:after="0"/>
              <w:rPr>
                <w:sz w:val="20"/>
                <w:szCs w:val="20"/>
                <w:color w:val="auto"/>
              </w:rPr>
            </w:pPr>
            <w:r>
              <w:rPr>
                <w:rFonts w:ascii="Times New Roman" w:cs="Times New Roman" w:eastAsia="Times New Roman" w:hAnsi="Times New Roman"/>
                <w:sz w:val="18"/>
                <w:szCs w:val="18"/>
                <w:color w:val="auto"/>
              </w:rPr>
              <w:t>other information as would be required to be included in a</w:t>
            </w:r>
          </w:p>
        </w:tc>
        <w:tc>
          <w:tcPr>
            <w:tcW w:w="400" w:type="dxa"/>
            <w:vAlign w:val="bottom"/>
            <w:tcBorders>
              <w:right w:val="single" w:sz="8" w:color="auto"/>
            </w:tcBorders>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340" w:type="dxa"/>
            <w:vAlign w:val="bottom"/>
            <w:gridSpan w:val="5"/>
            <w:vMerge w:val="continue"/>
          </w:tcPr>
          <w:p>
            <w:pPr>
              <w:spacing w:after="0"/>
              <w:rPr>
                <w:sz w:val="9"/>
                <w:szCs w:val="9"/>
                <w:color w:val="auto"/>
              </w:rPr>
            </w:pPr>
          </w:p>
        </w:tc>
        <w:tc>
          <w:tcPr>
            <w:tcW w:w="76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11"/>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20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inscrites dans</w:t>
            </w:r>
          </w:p>
        </w:tc>
        <w:tc>
          <w:tcPr>
            <w:tcW w:w="8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rPr>
              <w:t>le registre</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des</w:t>
            </w: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actions</w:t>
            </w: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1"/>
              </w:rPr>
              <w:t>et</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w:t>
            </w: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les</w:t>
            </w:r>
          </w:p>
        </w:tc>
        <w:tc>
          <w:tcPr>
            <w:tcW w:w="560" w:type="dxa"/>
            <w:vAlign w:val="bottom"/>
            <w:tcBorders>
              <w:right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w w:val="97"/>
              </w:rPr>
              <w:t>autres</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11"/>
            <w:vMerge w:val="restart"/>
          </w:tcPr>
          <w:p>
            <w:pPr>
              <w:ind w:left="120"/>
              <w:spacing w:after="0"/>
              <w:rPr>
                <w:sz w:val="20"/>
                <w:szCs w:val="20"/>
                <w:color w:val="auto"/>
              </w:rPr>
            </w:pPr>
            <w:r>
              <w:rPr>
                <w:rFonts w:ascii="Times New Roman" w:cs="Times New Roman" w:eastAsia="Times New Roman" w:hAnsi="Times New Roman"/>
                <w:sz w:val="18"/>
                <w:szCs w:val="18"/>
                <w:color w:val="auto"/>
              </w:rPr>
              <w:t>proxy statement pursuant to the rules of the country where</w:t>
            </w:r>
          </w:p>
        </w:tc>
        <w:tc>
          <w:tcPr>
            <w:tcW w:w="400" w:type="dxa"/>
            <w:vAlign w:val="bottom"/>
            <w:tcBorders>
              <w:right w:val="single" w:sz="8" w:color="auto"/>
            </w:tcBorders>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5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11"/>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informations</w:t>
            </w:r>
          </w:p>
        </w:tc>
        <w:tc>
          <w:tcPr>
            <w:tcW w:w="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qui</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doivent</w:t>
            </w:r>
          </w:p>
        </w:tc>
        <w:tc>
          <w:tcPr>
            <w:tcW w:w="14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être  mentionnées</w:t>
            </w: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dans</w:t>
            </w:r>
          </w:p>
        </w:tc>
        <w:tc>
          <w:tcPr>
            <w:tcW w:w="40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w w:val="99"/>
              </w:rPr>
              <w:t>une</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tcBorders>
            <w:gridSpan w:val="7"/>
            <w:vMerge w:val="restart"/>
          </w:tcPr>
          <w:p>
            <w:pPr>
              <w:ind w:left="120"/>
              <w:spacing w:after="0"/>
              <w:rPr>
                <w:sz w:val="20"/>
                <w:szCs w:val="20"/>
                <w:color w:val="auto"/>
              </w:rPr>
            </w:pPr>
            <w:r>
              <w:rPr>
                <w:rFonts w:ascii="Times New Roman" w:cs="Times New Roman" w:eastAsia="Times New Roman" w:hAnsi="Times New Roman"/>
                <w:sz w:val="18"/>
                <w:szCs w:val="18"/>
                <w:color w:val="auto"/>
              </w:rPr>
              <w:t>the Company's shares are primarily listed.</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440" w:type="dxa"/>
            <w:vAlign w:val="bottom"/>
            <w:gridSpan w:val="3"/>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520" w:type="dxa"/>
            <w:vAlign w:val="bottom"/>
            <w:gridSpan w:val="3"/>
            <w:vMerge w:val="continue"/>
          </w:tcPr>
          <w:p>
            <w:pPr>
              <w:spacing w:after="0"/>
              <w:rPr>
                <w:sz w:val="9"/>
                <w:szCs w:val="9"/>
                <w:color w:val="auto"/>
              </w:rPr>
            </w:pPr>
          </w:p>
        </w:tc>
        <w:tc>
          <w:tcPr>
            <w:tcW w:w="4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220" w:type="dxa"/>
            <w:vAlign w:val="bottom"/>
            <w:tcBorders>
              <w:left w:val="single" w:sz="8" w:color="auto"/>
            </w:tcBorders>
            <w:gridSpan w:val="7"/>
            <w:vMerge w:val="continue"/>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420" w:type="dxa"/>
            <w:vAlign w:val="bottom"/>
            <w:tcBorders>
              <w:right w:val="single" w:sz="8" w:color="auto"/>
            </w:tcBorders>
            <w:gridSpan w:val="18"/>
            <w:vMerge w:val="restart"/>
          </w:tcPr>
          <w:p>
            <w:pPr>
              <w:ind w:left="80"/>
              <w:spacing w:after="0"/>
              <w:rPr>
                <w:sz w:val="20"/>
                <w:szCs w:val="20"/>
                <w:color w:val="auto"/>
              </w:rPr>
            </w:pPr>
            <w:r>
              <w:rPr>
                <w:rFonts w:ascii="Times New Roman" w:cs="Times New Roman" w:eastAsia="Times New Roman" w:hAnsi="Times New Roman"/>
                <w:sz w:val="18"/>
                <w:szCs w:val="18"/>
                <w:color w:val="auto"/>
              </w:rPr>
              <w:t>déclaration (proxy statement) conformément aux règles du</w:t>
            </w:r>
          </w:p>
        </w:tc>
        <w:tc>
          <w:tcPr>
            <w:tcW w:w="0" w:type="dxa"/>
            <w:vAlign w:val="bottom"/>
          </w:tcPr>
          <w:p>
            <w:pPr>
              <w:spacing w:after="0"/>
              <w:rPr>
                <w:sz w:val="1"/>
                <w:szCs w:val="1"/>
                <w:color w:val="auto"/>
              </w:rPr>
            </w:pPr>
          </w:p>
        </w:tc>
      </w:tr>
      <w:tr>
        <w:trPr>
          <w:trHeight w:val="90"/>
        </w:trPr>
        <w:tc>
          <w:tcPr>
            <w:tcW w:w="42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4420" w:type="dxa"/>
            <w:vAlign w:val="bottom"/>
            <w:tcBorders>
              <w:right w:val="single" w:sz="8" w:color="auto"/>
            </w:tcBorders>
            <w:gridSpan w:val="1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860" w:type="dxa"/>
            <w:vAlign w:val="bottom"/>
            <w:gridSpan w:val="15"/>
          </w:tcPr>
          <w:p>
            <w:pPr>
              <w:ind w:left="80"/>
              <w:spacing w:after="0"/>
              <w:rPr>
                <w:sz w:val="20"/>
                <w:szCs w:val="20"/>
                <w:color w:val="auto"/>
              </w:rPr>
            </w:pPr>
            <w:r>
              <w:rPr>
                <w:rFonts w:ascii="Times New Roman" w:cs="Times New Roman" w:eastAsia="Times New Roman" w:hAnsi="Times New Roman"/>
                <w:sz w:val="18"/>
                <w:szCs w:val="18"/>
                <w:color w:val="auto"/>
              </w:rPr>
              <w:t>pays où les actions de la société sont principalement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1"/>
        </w:trPr>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27" w:name="page228"/>
    <w:bookmarkEnd w:id="227"/>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8"/>
        </w:trPr>
        <w:tc>
          <w:tcPr>
            <w:tcW w:w="840" w:type="dxa"/>
            <w:vAlign w:val="bottom"/>
            <w:tcBorders>
              <w:top w:val="single" w:sz="8" w:color="auto"/>
              <w:left w:val="single" w:sz="8" w:color="auto"/>
            </w:tcBorders>
          </w:tcPr>
          <w:p>
            <w:pPr>
              <w:spacing w:after="0"/>
              <w:rPr>
                <w:sz w:val="21"/>
                <w:szCs w:val="21"/>
                <w:color w:val="auto"/>
              </w:rPr>
            </w:pPr>
          </w:p>
        </w:tc>
        <w:tc>
          <w:tcPr>
            <w:tcW w:w="3600" w:type="dxa"/>
            <w:vAlign w:val="bottom"/>
            <w:tcBorders>
              <w:top w:val="single" w:sz="8" w:color="auto"/>
              <w:right w:val="single" w:sz="8" w:color="auto"/>
            </w:tcBorders>
          </w:tcPr>
          <w:p>
            <w:pPr>
              <w:spacing w:after="0"/>
              <w:rPr>
                <w:sz w:val="21"/>
                <w:szCs w:val="21"/>
                <w:color w:val="auto"/>
              </w:rPr>
            </w:pPr>
          </w:p>
        </w:tc>
        <w:tc>
          <w:tcPr>
            <w:tcW w:w="400" w:type="dxa"/>
            <w:vAlign w:val="bottom"/>
            <w:tcBorders>
              <w:top w:val="single" w:sz="8" w:color="auto"/>
              <w:right w:val="single" w:sz="8" w:color="auto"/>
            </w:tcBorders>
          </w:tcPr>
          <w:p>
            <w:pPr>
              <w:spacing w:after="0"/>
              <w:rPr>
                <w:sz w:val="21"/>
                <w:szCs w:val="21"/>
                <w:color w:val="auto"/>
              </w:rPr>
            </w:pPr>
          </w:p>
        </w:tc>
        <w:tc>
          <w:tcPr>
            <w:tcW w:w="7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cotées.</w:t>
            </w:r>
          </w:p>
        </w:tc>
        <w:tc>
          <w:tcPr>
            <w:tcW w:w="3360" w:type="dxa"/>
            <w:vAlign w:val="bottom"/>
            <w:tcBorders>
              <w:top w:val="single" w:sz="8" w:color="auto"/>
            </w:tcBorders>
          </w:tcPr>
          <w:p>
            <w:pPr>
              <w:spacing w:after="0"/>
              <w:rPr>
                <w:sz w:val="21"/>
                <w:szCs w:val="21"/>
                <w:color w:val="auto"/>
              </w:rPr>
            </w:pPr>
          </w:p>
        </w:tc>
        <w:tc>
          <w:tcPr>
            <w:tcW w:w="300" w:type="dxa"/>
            <w:vAlign w:val="bottom"/>
            <w:tcBorders>
              <w:top w:val="single" w:sz="8" w:color="auto"/>
              <w:right w:val="single" w:sz="8" w:color="auto"/>
            </w:tcBorders>
          </w:tcPr>
          <w:p>
            <w:pPr>
              <w:spacing w:after="0"/>
              <w:rPr>
                <w:sz w:val="21"/>
                <w:szCs w:val="21"/>
                <w:color w:val="auto"/>
              </w:rPr>
            </w:pPr>
          </w:p>
        </w:tc>
      </w:tr>
      <w:tr>
        <w:trPr>
          <w:trHeight w:val="130"/>
        </w:trPr>
        <w:tc>
          <w:tcPr>
            <w:tcW w:w="840" w:type="dxa"/>
            <w:vAlign w:val="bottom"/>
            <w:tcBorders>
              <w:left w:val="single" w:sz="8" w:color="auto"/>
              <w:bottom w:val="single" w:sz="8" w:color="auto"/>
            </w:tcBorders>
          </w:tcPr>
          <w:p>
            <w:pPr>
              <w:spacing w:after="0"/>
              <w:rPr>
                <w:sz w:val="11"/>
                <w:szCs w:val="11"/>
                <w:color w:val="auto"/>
              </w:rPr>
            </w:pPr>
          </w:p>
        </w:tc>
        <w:tc>
          <w:tcPr>
            <w:tcW w:w="360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660" w:type="dxa"/>
            <w:vAlign w:val="bottom"/>
            <w:tcBorders>
              <w:bottom w:val="single" w:sz="8" w:color="auto"/>
              <w:right w:val="single" w:sz="8" w:color="auto"/>
            </w:tcBorders>
            <w:gridSpan w:val="2"/>
          </w:tcPr>
          <w:p>
            <w:pPr>
              <w:spacing w:after="0"/>
              <w:rPr>
                <w:sz w:val="11"/>
                <w:szCs w:val="11"/>
                <w:color w:val="auto"/>
              </w:rPr>
            </w:pPr>
          </w:p>
        </w:tc>
      </w:tr>
      <w:tr>
        <w:trPr>
          <w:trHeight w:val="295"/>
        </w:trPr>
        <w:tc>
          <w:tcPr>
            <w:tcW w:w="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11</w:t>
            </w:r>
          </w:p>
        </w:tc>
        <w:tc>
          <w:tcPr>
            <w:tcW w:w="36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Notice  and  Agenda  of  Shareholders'</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11</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Convocations  et  ordres  du  jour  des</w:t>
            </w:r>
          </w:p>
        </w:tc>
      </w:tr>
      <w:tr>
        <w:trPr>
          <w:trHeight w:val="238"/>
        </w:trPr>
        <w:tc>
          <w:tcPr>
            <w:tcW w:w="840" w:type="dxa"/>
            <w:vAlign w:val="bottom"/>
            <w:tcBorders>
              <w:left w:val="single" w:sz="8" w:color="auto"/>
            </w:tcBorders>
          </w:tcPr>
          <w:p>
            <w:pPr>
              <w:spacing w:after="0"/>
              <w:rPr>
                <w:sz w:val="20"/>
                <w:szCs w:val="20"/>
                <w:color w:val="auto"/>
              </w:rPr>
            </w:pPr>
          </w:p>
        </w:tc>
        <w:tc>
          <w:tcPr>
            <w:tcW w:w="36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Meetings</w:t>
            </w:r>
          </w:p>
        </w:tc>
        <w:tc>
          <w:tcPr>
            <w:tcW w:w="40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assemblées générales</w:t>
            </w:r>
          </w:p>
        </w:tc>
      </w:tr>
      <w:tr>
        <w:trPr>
          <w:trHeight w:val="41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Notice of a General Meeting of Shareholders shall be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L'assemblée générale est convoquée par le conseil</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given by the Board of Directors or, if necessary, by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d'administration ou, si nécessaire, par l'organe de révision,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Auditor, not later than twenty calendar days prior to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 moins 20 jours avant la tenue de l'assemblée générale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date of the General Meeting of Shareholders. Notice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des actionnaires. La convocation à l'assemblée générale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General Meeting of Shareholders shall be given by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des actionnaires doit être faite au moyen d'une seule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way of a one-time announcement in the official means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publication conformément à l'article 46 de ces statuts. La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publication of the Company pursuant to Article 46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période de préavis sera réputée avoir été respectée si la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these Articles of Association. The notice period shall be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convocation à l'assemblée générale des actionnaires est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deemed to have been observed if notice of the General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publiée conformément à l'article 46 de ces statuts, étant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Meeting of Shareholders is published in such official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entendu que la date de publication ne doit pas être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means of publication, it being understood that the date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calculée dans la période de préavis. Les actionnaires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publication shall not be computed in the notice period.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inscrits peuvent en outre être informés de l'assemblée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 of record may in addition be informed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générale des actionnaires par courrier ordinaire ou par 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General Meeting of Shareholders by ordinary mail or e-</w:t>
            </w:r>
          </w:p>
        </w:tc>
        <w:tc>
          <w:tcPr>
            <w:tcW w:w="400" w:type="dxa"/>
            <w:vAlign w:val="bottom"/>
            <w:tcBorders>
              <w:right w:val="single" w:sz="8" w:color="auto"/>
            </w:tcBorders>
          </w:tcPr>
          <w:p>
            <w:pPr>
              <w:spacing w:after="0"/>
              <w:rPr>
                <w:sz w:val="18"/>
                <w:szCs w:val="18"/>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mail.</w:t>
            </w:r>
          </w:p>
        </w:tc>
        <w:tc>
          <w:tcPr>
            <w:tcW w:w="33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r>
      <w:tr>
        <w:trPr>
          <w:trHeight w:val="234"/>
        </w:trPr>
        <w:tc>
          <w:tcPr>
            <w:tcW w:w="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mail.</w:t>
            </w:r>
          </w:p>
        </w:tc>
        <w:tc>
          <w:tcPr>
            <w:tcW w:w="36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notice of a General Meeting of Shareholders shall</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 convocation à l'assemblée générale des actionnaires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specify the items on the agenda and the proposals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doit préciser les objets de l'ordre du jour et les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Board of Directors and the shareholder(s) who requested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propositions du conseil d'administration et l'/les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that a General Meeting of Shareholders be held or an item</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actionnaire(s) qui a/ont demandé que l'assemblée générale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be included on the agenda, and, in the event of elections,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des actionnaires ait lieu ou qu'un objet soit inscrit à l'ordre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name(s) of the candidate(s) that has or have been put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du jour, et, dans le cas d'élections, le/les nom(s) du/des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on the ballot for election.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candidat(s) qui a ou ont été mis sur le bulletin de vote</w:t>
            </w:r>
          </w:p>
        </w:tc>
      </w:tr>
      <w:tr>
        <w:trPr>
          <w:trHeight w:val="234"/>
        </w:trPr>
        <w:tc>
          <w:tcPr>
            <w:tcW w:w="840" w:type="dxa"/>
            <w:vAlign w:val="bottom"/>
            <w:tcBorders>
              <w:left w:val="single" w:sz="8" w:color="auto"/>
            </w:tcBorders>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pour l'élection.</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Board of Directors shall state the matters on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conseil d'administration doit indiquer les objets de</w:t>
            </w:r>
          </w:p>
        </w:tc>
      </w:tr>
      <w:tr>
        <w:trPr>
          <w:trHeight w:val="234"/>
        </w:trPr>
        <w:tc>
          <w:tcPr>
            <w:tcW w:w="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agenda.</w:t>
            </w:r>
          </w:p>
        </w:tc>
        <w:tc>
          <w:tcPr>
            <w:tcW w:w="36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l'ordre du jour.</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 who represent an aggregate of at least 10</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actionnaires qui représentent un total d'au moins 10</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percent of the share capital or together representing shares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pour cent du capital-actions ou qui représentent ensemble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with a nominal value of 1 million Swiss francs may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une valeur nominale de CHF 1 million d'actions peuvent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demand that an item be placed on the agenda of a General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exiger qu'un objet soit inscrit à l'ordre du jour d'une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Meeting of Shareholders. A request for inclusion of an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assemblée  générale  des  actionnaires.  Une  demande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item on the agenda must be requested in writing delivered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d'inscription d'un objet à l'ordre du jour doit être faite par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 or mailed and received at the registered office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écrit et remise ou envoyée et reçue au siège de la société</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Company at least 120 calendar days before the first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 moins 120 jours avant le premier anniversaire de la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anniversary  of  the  date  that  the  Company's  proxy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date à laquelle la déclaration (proxy statement) de la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statement was released to shareholders in connection with</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Société  a  été  communiquée  aux  actionnaires  lors  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previous  year's  ordinary  General  Meeting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l'assemblée générale ordinaire des actionnaires de l'année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 However, if no ordinary General Meeting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précédente.  Toutefois,  si  aucune  assemblée  générale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 was held in the previous year or if the date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ordinaire des actionnaires n'a eu lieu l'année précédente ou</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 the ordinary General Meeting of Shareholders has been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si  la  date  de  l'assemblée  générale  ordinaire  des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changed by more than 30 calendar days from the date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actionnaires a été modifiée de plus de 30 jours calendaires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contemplated at the time of the previous year's proxy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à compter de la date prévue au moment de la déclaration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statement, request for inclusion of an item on the agenda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(proxy statement) de l'année précédente, une demande</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must be requested not</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d'inscription d'un objet à</w:t>
            </w:r>
          </w:p>
        </w:tc>
      </w:tr>
      <w:tr>
        <w:trPr>
          <w:trHeight w:val="108"/>
        </w:trPr>
        <w:tc>
          <w:tcPr>
            <w:tcW w:w="840" w:type="dxa"/>
            <w:vAlign w:val="bottom"/>
            <w:tcBorders>
              <w:left w:val="single" w:sz="8" w:color="auto"/>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r>
      <w:tr>
        <w:trPr>
          <w:trHeight w:val="540"/>
        </w:trPr>
        <w:tc>
          <w:tcPr>
            <w:tcW w:w="8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480"/>
          </w:cols>
          <w:pgMar w:left="1440" w:top="660" w:right="979" w:bottom="1440" w:gutter="0" w:footer="0" w:header="0"/>
        </w:sectPr>
      </w:pPr>
    </w:p>
    <w:bookmarkStart w:id="228" w:name="page229"/>
    <w:bookmarkEnd w:id="228"/>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44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fewer than the later of (i) 150 calendar days prior to the</w:t>
            </w:r>
          </w:p>
        </w:tc>
        <w:tc>
          <w:tcPr>
            <w:tcW w:w="400" w:type="dxa"/>
            <w:vAlign w:val="bottom"/>
            <w:tcBorders>
              <w:top w:val="single" w:sz="8" w:color="auto"/>
              <w:right w:val="single" w:sz="8" w:color="auto"/>
            </w:tcBorders>
          </w:tcPr>
          <w:p>
            <w:pPr>
              <w:spacing w:after="0"/>
              <w:rPr>
                <w:sz w:val="18"/>
                <w:szCs w:val="18"/>
                <w:color w:val="auto"/>
              </w:rPr>
            </w:pPr>
          </w:p>
        </w:tc>
        <w:tc>
          <w:tcPr>
            <w:tcW w:w="442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l'ordre du jour doit être demandée au moins à la date la</w:t>
            </w:r>
          </w:p>
        </w:tc>
      </w:tr>
      <w:tr>
        <w:trPr>
          <w:trHeight w:val="234"/>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date of the contemplated annual</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plus tardive entre (i) 150</w:t>
            </w:r>
          </w:p>
        </w:tc>
      </w:tr>
      <w:tr>
        <w:trPr>
          <w:trHeight w:val="108"/>
        </w:trPr>
        <w:tc>
          <w:tcPr>
            <w:tcW w:w="444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General Meeting or (ii) the date which is ten calendar</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jours calendaires avant la date de l'assemblée générale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days after the date of the first public announcement 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ordinaire envisagée ou (ii) la date qui est dix jours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notification to the shareholders of the date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calendaires plus tard que la date de la première annonce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contemplated annual General Meeting. To be timely for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publique ou autre notification aux actionnaires de la date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 extraordinary General Meeting, a shareholder's notice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envisagée de l'assemblée générale ordinaire. Pour être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 the Secretary must be delivered to or mailed and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dans   les   délais   pour   une   assemblée   générale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received at the registered office of the Company not fewer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extraordinaire, l'avis d'un actionnaire au secrétaire doit</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than the later of (i) 120 calendar days before the date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être livré ou envoyé et reçu au siège de la société au moins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extraordinary General Meeting of Shareholders or (ii)</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à la date la plus tardive entre (i) 120 jours calendaires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date which is ten calendar days after the date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avant la date de l'assemblée générale extraordinaire des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first public announcement or other notification to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actionnaires ou (ii) la date qui est dix jours calendaires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shareholders of the date of the contemplated extraordinary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plus tard que la date de la première annonce publique ou</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General Meeting of Shareholders.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autre notification aux actionnaires de la date envisagée de</w:t>
            </w:r>
          </w:p>
        </w:tc>
      </w:tr>
      <w:tr>
        <w:trPr>
          <w:trHeight w:val="234"/>
        </w:trPr>
        <w:tc>
          <w:tcPr>
            <w:tcW w:w="4440" w:type="dxa"/>
            <w:vAlign w:val="bottom"/>
            <w:tcBorders>
              <w:left w:val="single" w:sz="8" w:color="auto"/>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l'assemblée générale extraordinaire des actionnaires.</w:t>
            </w:r>
          </w:p>
        </w:tc>
      </w:tr>
      <w:tr>
        <w:trPr>
          <w:trHeight w:val="108"/>
        </w:trPr>
        <w:tc>
          <w:tcPr>
            <w:tcW w:w="444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Each request for inclusion of an item on the agenda must</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Chaque demande d'inscription d'un objet à l'ordre du jour</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include (i) a brief description of the business desired to be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doit inclure (i) une brève description de l'affaire qui sera</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brought before the meeting and the reasons for conducting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soumise à l'assemblée et les raisons pour lesquelles cette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such business at the meeting; (ii) the name and address, as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affaire est soumise à l'assemblée; (ii) le nom et l'adresse,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they appear on the Company's register of shareholders,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tels qu'ils apparaissent dans le registre des actionnaires de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shareholder proposing such business; (iii) the number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 société, de l'/des actionnaire(s) proposant un tel objet;</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shares of the Company which are beneficially owned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(iii) le  nombre  d'actions  de  la  société  effectivement</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by  such  shareholder;  (iv)  the  dates  upon  which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détenues par  (un)  tel(s)  actionnaire(s); (iv)  les  dates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shareholder  acquired  such  shares;  (v)  documentary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auxquelles l'/les actionnaire(s) a/ont acquis ces actions; (v)</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support for any claim of beneficial ownership; (vi) 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l'appui documentaire pour toute revendication de propriété</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material interest of such shareholder in such business; and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effective;  (vi)  un   intérêt   important   de   cet/ces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(vii)  a  statement  in  support  of  the  matter  and,  for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actionnaire(s)  par  rapport  à  cet  objet;  et  (vii)  une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proposals sought to be included in the Company's proxy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déclaration à l'appui de cet objet et, pour les propositions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statement, any other information required by Securities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devant être incluses dans la déclaration (proxy statement)</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Exchange Commission Rule "14a-8".</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 la société, toute  autre  information requise par  la</w:t>
            </w:r>
          </w:p>
        </w:tc>
      </w:tr>
      <w:tr>
        <w:trPr>
          <w:trHeight w:val="234"/>
        </w:trPr>
        <w:tc>
          <w:tcPr>
            <w:tcW w:w="4440" w:type="dxa"/>
            <w:vAlign w:val="bottom"/>
            <w:tcBorders>
              <w:left w:val="single" w:sz="8" w:color="auto"/>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Securities and Exchange Commission règle "14a-8".</w:t>
            </w:r>
          </w:p>
        </w:tc>
      </w:tr>
      <w:tr>
        <w:trPr>
          <w:trHeight w:val="108"/>
        </w:trPr>
        <w:tc>
          <w:tcPr>
            <w:tcW w:w="444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addition, if the shareholder intends to solicit proxies</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En outre, si un actionnaire a l'intention de solliciter des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from the shareholders of the Company, such shareholder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procurations des actionnaires de la société, cet actionnaire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shall notify the Company of this intent in accordance with</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doit en informer la société conformément aux dispositions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 Rule "14a-4" and/or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 la Securities and Exchange Commission règle "14a-4"</w:t>
            </w:r>
          </w:p>
        </w:tc>
      </w:tr>
      <w:tr>
        <w:trPr>
          <w:trHeight w:val="234"/>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Rule "14a-8".</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et "14a-8".</w:t>
            </w:r>
          </w:p>
        </w:tc>
      </w:tr>
      <w:tr>
        <w:trPr>
          <w:trHeight w:val="108"/>
        </w:trPr>
        <w:tc>
          <w:tcPr>
            <w:tcW w:w="444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 resolution may be passed at a General Meeting of</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Aucune décision ne peut être adoptée lors d'une assemblée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Shareholders concerning an item in relation to which due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générale des actionnaires si un objet n'a pas été inscrit à</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notice was not given. Proposals made during a General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l'ordre du jour dans le délai de préavis. Les propositions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Meeting of Shareholders to (i) convene a extraordinary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faites au cours d'une assemblée générale des actionnaires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General Meeting or (ii) initiate a special investigation in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pour (i) convoquer une assemblée générale extraordinaire</w:t>
            </w:r>
          </w:p>
        </w:tc>
      </w:tr>
      <w:tr>
        <w:trPr>
          <w:trHeight w:val="234"/>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accordance with article 697a of the Swiss Code of</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ou (ii) instituer un contrôle</w:t>
            </w:r>
          </w:p>
        </w:tc>
      </w:tr>
      <w:tr>
        <w:trPr>
          <w:trHeight w:val="108"/>
        </w:trPr>
        <w:tc>
          <w:tcPr>
            <w:tcW w:w="444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r>
      <w:tr>
        <w:trPr>
          <w:trHeight w:val="540"/>
        </w:trPr>
        <w:tc>
          <w:tcPr>
            <w:tcW w:w="4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480"/>
          </w:cols>
          <w:pgMar w:left="1440" w:top="660" w:right="979" w:bottom="1440" w:gutter="0" w:footer="0" w:header="0"/>
        </w:sectPr>
      </w:pPr>
    </w:p>
    <w:bookmarkStart w:id="229" w:name="page230"/>
    <w:bookmarkEnd w:id="229"/>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44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Obligations are not subject to the due notice requirement</w:t>
            </w:r>
          </w:p>
        </w:tc>
        <w:tc>
          <w:tcPr>
            <w:tcW w:w="400" w:type="dxa"/>
            <w:vAlign w:val="bottom"/>
            <w:tcBorders>
              <w:top w:val="single" w:sz="8" w:color="auto"/>
              <w:right w:val="single" w:sz="8" w:color="auto"/>
            </w:tcBorders>
          </w:tcPr>
          <w:p>
            <w:pPr>
              <w:spacing w:after="0"/>
              <w:rPr>
                <w:sz w:val="18"/>
                <w:szCs w:val="18"/>
                <w:color w:val="auto"/>
              </w:rPr>
            </w:pPr>
          </w:p>
        </w:tc>
        <w:tc>
          <w:tcPr>
            <w:tcW w:w="442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spécial au sens de l'article 697a CO ne sont pas soumises à</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set forth herein.</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l'obligation d'inscription prévue dans ces statuts.</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No advance notice is required to propose motions on duly</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Aucun préavis n'est nécessaire pour proposer des motions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notified agenda items and to debate items without passing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sur les objets inscrits à l'ordre du jour ou débattre desdits</w:t>
            </w:r>
          </w:p>
        </w:tc>
      </w:tr>
      <w:tr>
        <w:trPr>
          <w:trHeight w:val="234"/>
        </w:trPr>
        <w:tc>
          <w:tcPr>
            <w:tcW w:w="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resolutions.</w:t>
            </w:r>
          </w:p>
        </w:tc>
        <w:tc>
          <w:tcPr>
            <w:tcW w:w="34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objets sans prendre de décisions.</w:t>
            </w:r>
          </w:p>
        </w:tc>
      </w:tr>
      <w:tr>
        <w:trPr>
          <w:trHeight w:val="108"/>
        </w:trPr>
        <w:tc>
          <w:tcPr>
            <w:tcW w:w="980" w:type="dxa"/>
            <w:vAlign w:val="bottom"/>
            <w:tcBorders>
              <w:left w:val="single" w:sz="8" w:color="auto"/>
              <w:bottom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232"/>
        </w:trPr>
        <w:tc>
          <w:tcPr>
            <w:tcW w:w="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12</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Documentation</w:t>
            </w:r>
          </w:p>
        </w:tc>
        <w:tc>
          <w:tcPr>
            <w:tcW w:w="400" w:type="dxa"/>
            <w:vAlign w:val="bottom"/>
            <w:tcBorders>
              <w:right w:val="single" w:sz="8" w:color="auto"/>
            </w:tcBorders>
          </w:tcPr>
          <w:p>
            <w:pPr>
              <w:spacing w:after="0"/>
              <w:rPr>
                <w:sz w:val="20"/>
                <w:szCs w:val="20"/>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12</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Documents</w:t>
            </w:r>
          </w:p>
        </w:tc>
      </w:tr>
      <w:tr>
        <w:trPr>
          <w:trHeight w:val="32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annual business report, the compensation report and</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rapport de gestion annuel, le rapport de rémunération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Auditor's report must be submitted for examination by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et  le  rapport  du  réviseur  doivent  être  présentés  aux</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shareholders at the registered office of the Company at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actionnaires pour examen au siège de la société au moins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least 20 days prior to the date of the Ordinary General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20 jours avant la date de l'assemblée générale ordinaire.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Meeting. Each shareholder may request that a copy of this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Chaque actionnaire peut demander une copie de ces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documentation be sent to him promptly by e-mail. Such</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documents qui doivent lui être envoyés promptement par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right shall be included in the invitation to the General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e-mail. Ce droit doit être mentionné dans l'invitation à</w:t>
            </w:r>
          </w:p>
        </w:tc>
      </w:tr>
      <w:tr>
        <w:trPr>
          <w:trHeight w:val="234"/>
        </w:trPr>
        <w:tc>
          <w:tcPr>
            <w:tcW w:w="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Meeting.</w:t>
            </w:r>
          </w:p>
        </w:tc>
        <w:tc>
          <w:tcPr>
            <w:tcW w:w="34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l'assemblée générale.</w:t>
            </w:r>
          </w:p>
        </w:tc>
      </w:tr>
      <w:tr>
        <w:trPr>
          <w:trHeight w:val="108"/>
        </w:trPr>
        <w:tc>
          <w:tcPr>
            <w:tcW w:w="980" w:type="dxa"/>
            <w:vAlign w:val="bottom"/>
            <w:tcBorders>
              <w:left w:val="single" w:sz="8" w:color="auto"/>
              <w:bottom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232"/>
        </w:trPr>
        <w:tc>
          <w:tcPr>
            <w:tcW w:w="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13</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Meeting of All Shareholders</w:t>
            </w:r>
          </w:p>
        </w:tc>
        <w:tc>
          <w:tcPr>
            <w:tcW w:w="400" w:type="dxa"/>
            <w:vAlign w:val="bottom"/>
            <w:tcBorders>
              <w:right w:val="single" w:sz="8" w:color="auto"/>
            </w:tcBorders>
          </w:tcPr>
          <w:p>
            <w:pPr>
              <w:spacing w:after="0"/>
              <w:rPr>
                <w:sz w:val="20"/>
                <w:szCs w:val="20"/>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13</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Assemblée universelle</w:t>
            </w:r>
          </w:p>
        </w:tc>
      </w:tr>
      <w:tr>
        <w:trPr>
          <w:trHeight w:val="32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  or  their  proxies  representing  all  shares</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propriétaires ou les représentants de la totalité des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issued may hold a General Meeting without observing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actions peuvent, s'il n'y a pas d'opposition, tenir une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formalities  required  for  calling  a  meeting,  unless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assemblée générale sans observer les formes prévues pour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objection is raised. At such a meeting, discussions may be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 convocation. Aussi longtemps que les propriétaires ou</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held and resolutions passed on all matters within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représentants de la totalité des actions sont présents,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scope of the powers of a General Meeting for so long as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cette assemblée a le droit de délibérer et de statuer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shareholders or proxies representing all shares issued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valablement sur tous les objets qui sont du ressort de</w:t>
            </w:r>
          </w:p>
        </w:tc>
      </w:tr>
      <w:tr>
        <w:trPr>
          <w:trHeight w:val="234"/>
        </w:trPr>
        <w:tc>
          <w:tcPr>
            <w:tcW w:w="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are present.</w:t>
            </w:r>
          </w:p>
        </w:tc>
        <w:tc>
          <w:tcPr>
            <w:tcW w:w="34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l'assemblée générale.</w:t>
            </w:r>
          </w:p>
        </w:tc>
      </w:tr>
      <w:tr>
        <w:trPr>
          <w:trHeight w:val="108"/>
        </w:trPr>
        <w:tc>
          <w:tcPr>
            <w:tcW w:w="980" w:type="dxa"/>
            <w:vAlign w:val="bottom"/>
            <w:tcBorders>
              <w:left w:val="single" w:sz="8" w:color="auto"/>
              <w:bottom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232"/>
        </w:trPr>
        <w:tc>
          <w:tcPr>
            <w:tcW w:w="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14</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Chairman and Scrutineers</w:t>
            </w:r>
          </w:p>
        </w:tc>
        <w:tc>
          <w:tcPr>
            <w:tcW w:w="400" w:type="dxa"/>
            <w:vAlign w:val="bottom"/>
            <w:tcBorders>
              <w:right w:val="single" w:sz="8" w:color="auto"/>
            </w:tcBorders>
          </w:tcPr>
          <w:p>
            <w:pPr>
              <w:spacing w:after="0"/>
              <w:rPr>
                <w:sz w:val="20"/>
                <w:szCs w:val="20"/>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14</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Président et scrutateurs</w:t>
            </w:r>
          </w:p>
        </w:tc>
      </w:tr>
      <w:tr>
        <w:trPr>
          <w:trHeight w:val="32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Chairman of the Board of Directors shall preside over</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L'assemblée générale est présidée par le président du</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General Meeting. In his absence, a member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conseil d'administration. En cas d'empêchement, un autre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Board of Directors or another Chairman of the Meeting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membre du conseil d'administration ou un président ad</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designated by the General Meeting shall preside.</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hoc nommé par l'assemblée générale préside celle-ci.</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Chairman of the Meeting shall designate a Secretary</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Le président de l'assemblée générale désigne un secrétaire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and the scrutineers who need not be shareholders.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et les scrutateurs qui ne doivent pas nécessairement être</w:t>
            </w:r>
          </w:p>
        </w:tc>
      </w:tr>
      <w:tr>
        <w:trPr>
          <w:trHeight w:val="234"/>
        </w:trPr>
        <w:tc>
          <w:tcPr>
            <w:tcW w:w="980" w:type="dxa"/>
            <w:vAlign w:val="bottom"/>
            <w:tcBorders>
              <w:lef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actionnaires.</w:t>
            </w:r>
          </w:p>
        </w:tc>
      </w:tr>
      <w:tr>
        <w:trPr>
          <w:trHeight w:val="108"/>
        </w:trPr>
        <w:tc>
          <w:tcPr>
            <w:tcW w:w="980" w:type="dxa"/>
            <w:vAlign w:val="bottom"/>
            <w:tcBorders>
              <w:left w:val="single" w:sz="8" w:color="auto"/>
              <w:bottom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232"/>
        </w:trPr>
        <w:tc>
          <w:tcPr>
            <w:tcW w:w="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15</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Minutes</w:t>
            </w:r>
          </w:p>
        </w:tc>
        <w:tc>
          <w:tcPr>
            <w:tcW w:w="400" w:type="dxa"/>
            <w:vAlign w:val="bottom"/>
            <w:tcBorders>
              <w:right w:val="single" w:sz="8" w:color="auto"/>
            </w:tcBorders>
          </w:tcPr>
          <w:p>
            <w:pPr>
              <w:spacing w:after="0"/>
              <w:rPr>
                <w:sz w:val="20"/>
                <w:szCs w:val="20"/>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15</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Procès-verbal</w:t>
            </w:r>
          </w:p>
        </w:tc>
      </w:tr>
      <w:tr>
        <w:trPr>
          <w:trHeight w:val="32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Board of Directors is responsible for the keeping of</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conseil d'administration est responsable de la tenue du</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minutes of the Meeting, which shall state the number,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procès-verbal de l'assemblée, qui doit indiquer le nombre,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kind,  nominal  value  of  shares  represented  by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type, la valeur nominale des actions représentées par les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  by  the  corporate  bodies  and  by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actionnaires, par les organes sociaux et par le représentant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independent proxy and gives information on resolutions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indépendant et donne des informations sur les décisions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passed,   elections,   requests   for   information   and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adoptées, les élections, les demandes de renseignements et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information  as  well  as  declarations  given  by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informations ainsi que les déclarations faites par les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  The  minutes  shall  be  signed  by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actionnaires. Le procès-verbal est signé par le président et</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Chairman and the Secretary.</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secrétaire.</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28"/>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shareholders are entitled to inspect the minutes.</w:t>
            </w:r>
          </w:p>
        </w:tc>
        <w:tc>
          <w:tcPr>
            <w:tcW w:w="400" w:type="dxa"/>
            <w:vAlign w:val="bottom"/>
            <w:tcBorders>
              <w:right w:val="single" w:sz="8" w:color="auto"/>
            </w:tcBorders>
          </w:tcPr>
          <w:p>
            <w:pPr>
              <w:spacing w:after="0"/>
              <w:rPr>
                <w:sz w:val="19"/>
                <w:szCs w:val="19"/>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actionnaires ont le droit d'examiner le procès-verbal.</w:t>
            </w:r>
          </w:p>
        </w:tc>
      </w:tr>
      <w:tr>
        <w:trPr>
          <w:trHeight w:val="130"/>
        </w:trPr>
        <w:tc>
          <w:tcPr>
            <w:tcW w:w="980" w:type="dxa"/>
            <w:vAlign w:val="bottom"/>
            <w:tcBorders>
              <w:left w:val="single" w:sz="8" w:color="auto"/>
              <w:bottom w:val="single" w:sz="8" w:color="auto"/>
            </w:tcBorders>
          </w:tcPr>
          <w:p>
            <w:pPr>
              <w:spacing w:after="0"/>
              <w:rPr>
                <w:sz w:val="11"/>
                <w:szCs w:val="11"/>
                <w:color w:val="auto"/>
              </w:rPr>
            </w:pPr>
          </w:p>
        </w:tc>
        <w:tc>
          <w:tcPr>
            <w:tcW w:w="346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660" w:type="dxa"/>
            <w:vAlign w:val="bottom"/>
            <w:tcBorders>
              <w:bottom w:val="single" w:sz="8" w:color="auto"/>
              <w:right w:val="single" w:sz="8" w:color="auto"/>
            </w:tcBorders>
            <w:gridSpan w:val="2"/>
          </w:tcPr>
          <w:p>
            <w:pPr>
              <w:spacing w:after="0"/>
              <w:rPr>
                <w:sz w:val="11"/>
                <w:szCs w:val="11"/>
                <w:color w:val="auto"/>
              </w:rPr>
            </w:pPr>
          </w:p>
        </w:tc>
      </w:tr>
      <w:tr>
        <w:trPr>
          <w:trHeight w:val="232"/>
        </w:trPr>
        <w:tc>
          <w:tcPr>
            <w:tcW w:w="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16</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Right to Vote</w:t>
            </w:r>
          </w:p>
        </w:tc>
        <w:tc>
          <w:tcPr>
            <w:tcW w:w="400" w:type="dxa"/>
            <w:vAlign w:val="bottom"/>
            <w:tcBorders>
              <w:right w:val="single" w:sz="8" w:color="auto"/>
            </w:tcBorders>
          </w:tcPr>
          <w:p>
            <w:pPr>
              <w:spacing w:after="0"/>
              <w:rPr>
                <w:sz w:val="20"/>
                <w:szCs w:val="20"/>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16</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Droit de vote</w:t>
            </w:r>
          </w:p>
        </w:tc>
      </w:tr>
      <w:tr>
        <w:trPr>
          <w:trHeight w:val="342"/>
        </w:trPr>
        <w:tc>
          <w:tcPr>
            <w:tcW w:w="980" w:type="dxa"/>
            <w:vAlign w:val="bottom"/>
            <w:tcBorders>
              <w:left w:val="single" w:sz="8" w:color="auto"/>
            </w:tcBorders>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Chaque action donne droit à une voix.</w:t>
            </w:r>
          </w:p>
        </w:tc>
      </w:tr>
      <w:tr>
        <w:trPr>
          <w:trHeight w:val="162"/>
        </w:trPr>
        <w:tc>
          <w:tcPr>
            <w:tcW w:w="980" w:type="dxa"/>
            <w:vAlign w:val="bottom"/>
            <w:tcBorders>
              <w:left w:val="single" w:sz="8" w:color="auto"/>
              <w:bottom w:val="single" w:sz="8" w:color="auto"/>
            </w:tcBorders>
          </w:tcPr>
          <w:p>
            <w:pPr>
              <w:spacing w:after="0"/>
              <w:rPr>
                <w:sz w:val="14"/>
                <w:szCs w:val="14"/>
                <w:color w:val="auto"/>
              </w:rPr>
            </w:pPr>
          </w:p>
        </w:tc>
        <w:tc>
          <w:tcPr>
            <w:tcW w:w="346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r>
      <w:tr>
        <w:trPr>
          <w:trHeight w:val="541"/>
        </w:trPr>
        <w:tc>
          <w:tcPr>
            <w:tcW w:w="9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480"/>
          </w:cols>
          <w:pgMar w:left="1440" w:top="660" w:right="979" w:bottom="1440" w:gutter="0" w:footer="0" w:header="0"/>
        </w:sectPr>
      </w:pPr>
    </w:p>
    <w:bookmarkStart w:id="230" w:name="page231"/>
    <w:bookmarkEnd w:id="230"/>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8"/>
        </w:trPr>
        <w:tc>
          <w:tcPr>
            <w:tcW w:w="44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Each share entitles to one vote.</w:t>
            </w:r>
          </w:p>
        </w:tc>
        <w:tc>
          <w:tcPr>
            <w:tcW w:w="400" w:type="dxa"/>
            <w:vAlign w:val="bottom"/>
            <w:tcBorders>
              <w:top w:val="single" w:sz="8" w:color="auto"/>
              <w:right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tcPr>
          <w:p>
            <w:pPr>
              <w:spacing w:after="0"/>
              <w:rPr>
                <w:sz w:val="21"/>
                <w:szCs w:val="21"/>
                <w:color w:val="auto"/>
              </w:rPr>
            </w:pPr>
          </w:p>
        </w:tc>
        <w:tc>
          <w:tcPr>
            <w:tcW w:w="3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44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4420" w:type="dxa"/>
            <w:vAlign w:val="bottom"/>
            <w:tcBorders>
              <w:bottom w:val="single" w:sz="8" w:color="auto"/>
              <w:right w:val="single" w:sz="8" w:color="auto"/>
            </w:tcBorders>
            <w:gridSpan w:val="4"/>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Each  shareholder  may  be  represented  at  a  General</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Chaque actionnaire peut se faire représenter à l'assemblée</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Meeting by any person who is so authorized by a written</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générale par toute personne qui est autorisée par une</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proxy. A proxy need not be a shareholder.</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procuration  écrite.  Le  représentant  ne  doit  pas</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nécessairement être un actionnaire.</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Each shareholder may be represented by the Independent</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4"/>
          </w:tcPr>
          <w:p>
            <w:pPr>
              <w:ind w:left="80"/>
              <w:spacing w:after="0" w:line="191" w:lineRule="exact"/>
              <w:rPr>
                <w:sz w:val="20"/>
                <w:szCs w:val="20"/>
                <w:color w:val="auto"/>
              </w:rPr>
            </w:pPr>
            <w:r>
              <w:rPr>
                <w:rFonts w:ascii="Times New Roman" w:cs="Times New Roman" w:eastAsia="Times New Roman" w:hAnsi="Times New Roman"/>
                <w:sz w:val="18"/>
                <w:szCs w:val="18"/>
                <w:color w:val="auto"/>
              </w:rPr>
              <w:t>Chaque  actionnaire  peut  se  faire  représenter  par  le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Proxy.   The   requirements   regarding   proxies   and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représentant indépendant. Les exigences en matière de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instructions are determined by the Board of Directors.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procurations et les instructions sont déterminées par le</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conseil d'administration.</w:t>
            </w: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362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17</w:t>
            </w:r>
          </w:p>
        </w:tc>
        <w:tc>
          <w:tcPr>
            <w:tcW w:w="3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Resolutions and Elections</w:t>
            </w:r>
          </w:p>
        </w:tc>
        <w:tc>
          <w:tcPr>
            <w:tcW w:w="400" w:type="dxa"/>
            <w:vAlign w:val="bottom"/>
            <w:tcBorders>
              <w:right w:val="single" w:sz="8" w:color="auto"/>
            </w:tcBorders>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17</w:t>
            </w:r>
          </w:p>
        </w:tc>
        <w:tc>
          <w:tcPr>
            <w:tcW w:w="3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Décisions and élections</w:t>
            </w:r>
          </w:p>
        </w:tc>
        <w:tc>
          <w:tcPr>
            <w:tcW w:w="0" w:type="dxa"/>
            <w:vAlign w:val="bottom"/>
          </w:tcPr>
          <w:p>
            <w:pPr>
              <w:spacing w:after="0"/>
              <w:rPr>
                <w:sz w:val="1"/>
                <w:szCs w:val="1"/>
                <w:color w:val="auto"/>
              </w:rPr>
            </w:pPr>
          </w:p>
        </w:tc>
      </w:tr>
      <w:tr>
        <w:trPr>
          <w:trHeight w:val="32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All voting and elections are held openly or electronically.</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Tous votes et élections sont tenus ouvertement ou par voie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 written voting or election shall be held if instructed so</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électronique.  Sur  instruction  du  président  ou  de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by the Chairman or if decided by the General Meeting.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l'assemblée générale, un vote ou une élection doit être</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tenu par écrit.</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General Meeting shall pass its resolutions and carry</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4"/>
          </w:tcPr>
          <w:p>
            <w:pPr>
              <w:ind w:left="80"/>
              <w:spacing w:after="0" w:line="191" w:lineRule="exact"/>
              <w:rPr>
                <w:sz w:val="20"/>
                <w:szCs w:val="20"/>
                <w:color w:val="auto"/>
              </w:rPr>
            </w:pPr>
            <w:r>
              <w:rPr>
                <w:rFonts w:ascii="Times New Roman" w:cs="Times New Roman" w:eastAsia="Times New Roman" w:hAnsi="Times New Roman"/>
                <w:sz w:val="18"/>
                <w:szCs w:val="18"/>
                <w:color w:val="auto"/>
              </w:rPr>
              <w:t>Sous réserve des dispositions impératives de la loi ou des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out its elections with the simple majority of the votes cast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statuts,  l'assemblée  générale  prend  ses  décisions  et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regardless of abstentions and empty or invalid votes,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procède aux élections à la majorité simple des voix</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unless  statutory  law  or  articles  of  association  state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émises. En cas de partage égal des voix, la requête sera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otherwise. In the event of tie votes, the request shall be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refusée. Le président n'a pas voix prépondérante.</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refused. The Chairman shall not have a casting vote.</w:t>
            </w: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A resolution of the General Meeting passed by at least</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4"/>
          </w:tcPr>
          <w:p>
            <w:pPr>
              <w:ind w:left="80"/>
              <w:spacing w:after="0" w:line="191" w:lineRule="exact"/>
              <w:rPr>
                <w:sz w:val="20"/>
                <w:szCs w:val="20"/>
                <w:color w:val="auto"/>
              </w:rPr>
            </w:pPr>
            <w:r>
              <w:rPr>
                <w:rFonts w:ascii="Times New Roman" w:cs="Times New Roman" w:eastAsia="Times New Roman" w:hAnsi="Times New Roman"/>
                <w:sz w:val="18"/>
                <w:szCs w:val="18"/>
                <w:color w:val="auto"/>
              </w:rPr>
              <w:t>Une décision de l'assemblée générale recueillant au moins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two thirds of the represented share votes and the absolute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les deux tiers des voix attribuées aux actions représentées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majority of the represented shares par value is required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et la majorité absolue des valeurs nominales représentées</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w:t>
            </w:r>
          </w:p>
        </w:tc>
        <w:tc>
          <w:tcPr>
            <w:tcW w:w="36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est nécessaire pour:</w:t>
            </w:r>
          </w:p>
        </w:tc>
        <w:tc>
          <w:tcPr>
            <w:tcW w:w="0" w:type="dxa"/>
            <w:vAlign w:val="bottom"/>
          </w:tcPr>
          <w:p>
            <w:pPr>
              <w:spacing w:after="0"/>
              <w:rPr>
                <w:sz w:val="1"/>
                <w:szCs w:val="1"/>
                <w:color w:val="auto"/>
              </w:rPr>
            </w:pPr>
          </w:p>
        </w:tc>
      </w:tr>
      <w:tr>
        <w:trPr>
          <w:trHeight w:val="32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   The cases listed in art. 704 para. 1 CO, i.e.:</w:t>
            </w:r>
          </w:p>
        </w:tc>
        <w:tc>
          <w:tcPr>
            <w:tcW w:w="40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les cas énumérés dans l'art. 704 al. 1 CO, i.e.:</w:t>
            </w:r>
          </w:p>
        </w:tc>
        <w:tc>
          <w:tcPr>
            <w:tcW w:w="0" w:type="dxa"/>
            <w:vAlign w:val="bottom"/>
          </w:tcPr>
          <w:p>
            <w:pPr>
              <w:spacing w:after="0"/>
              <w:rPr>
                <w:sz w:val="1"/>
                <w:szCs w:val="1"/>
                <w:color w:val="auto"/>
              </w:rPr>
            </w:pPr>
          </w:p>
        </w:tc>
      </w:tr>
      <w:tr>
        <w:trPr>
          <w:trHeight w:val="365"/>
        </w:trPr>
        <w:tc>
          <w:tcPr>
            <w:tcW w:w="78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w:t>
            </w: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change of the company purpose;</w:t>
            </w:r>
          </w:p>
        </w:tc>
        <w:tc>
          <w:tcPr>
            <w:tcW w:w="4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la modification du but social;</w:t>
            </w:r>
          </w:p>
        </w:tc>
        <w:tc>
          <w:tcPr>
            <w:tcW w:w="0" w:type="dxa"/>
            <w:vAlign w:val="bottom"/>
          </w:tcPr>
          <w:p>
            <w:pPr>
              <w:spacing w:after="0"/>
              <w:rPr>
                <w:sz w:val="1"/>
                <w:szCs w:val="1"/>
                <w:color w:val="auto"/>
              </w:rPr>
            </w:pPr>
          </w:p>
        </w:tc>
      </w:tr>
      <w:tr>
        <w:trPr>
          <w:trHeight w:val="346"/>
        </w:trPr>
        <w:tc>
          <w:tcPr>
            <w:tcW w:w="78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(ii)</w:t>
            </w: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creation of shares with privileged voting</w:t>
            </w:r>
          </w:p>
        </w:tc>
        <w:tc>
          <w:tcPr>
            <w:tcW w:w="4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w:t>
            </w: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l'introduction  d'actions  à  droit  de  vote</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rights;</w:t>
            </w: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privilégié;</w:t>
            </w: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(iii) the  restriction  of  the  transferability  of</w:t>
            </w:r>
          </w:p>
        </w:tc>
        <w:tc>
          <w:tcPr>
            <w:tcW w:w="4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4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(iii) la restriction de la transmissibilité des actions</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registered shares;</w:t>
            </w: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nominatives;</w:t>
            </w: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(iv)  an increase of capital, authorized or subject to a</w:t>
            </w:r>
          </w:p>
        </w:tc>
        <w:tc>
          <w:tcPr>
            <w:tcW w:w="4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4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(iv) l'augmentation autorisée ou conditionnelle du</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condition;</w:t>
            </w: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capital-actions;</w:t>
            </w:r>
          </w:p>
        </w:tc>
        <w:tc>
          <w:tcPr>
            <w:tcW w:w="0" w:type="dxa"/>
            <w:vAlign w:val="bottom"/>
          </w:tcPr>
          <w:p>
            <w:pPr>
              <w:spacing w:after="0"/>
              <w:rPr>
                <w:sz w:val="1"/>
                <w:szCs w:val="1"/>
                <w:color w:val="auto"/>
              </w:rPr>
            </w:pPr>
          </w:p>
        </w:tc>
      </w:tr>
      <w:tr>
        <w:trPr>
          <w:trHeight w:val="306"/>
        </w:trPr>
        <w:tc>
          <w:tcPr>
            <w:tcW w:w="78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(v)</w:t>
            </w: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 increase of capital out of equity, against</w:t>
            </w:r>
          </w:p>
        </w:tc>
        <w:tc>
          <w:tcPr>
            <w:tcW w:w="4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w:t>
            </w:r>
          </w:p>
        </w:tc>
        <w:tc>
          <w:tcPr>
            <w:tcW w:w="36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l'augmentation du capital-actions au moyen des</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contribution in kind, or for the purpose of</w:t>
            </w:r>
          </w:p>
        </w:tc>
        <w:tc>
          <w:tcPr>
            <w:tcW w:w="4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fonds propres, contre apport en nature ou en</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acquisition of assets and the granting of special</w:t>
            </w:r>
          </w:p>
        </w:tc>
        <w:tc>
          <w:tcPr>
            <w:tcW w:w="4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vue  d'une  reprise  de  biens  et  l'octroi</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benefits;</w:t>
            </w: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d'avantages particuliers;</w:t>
            </w: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(vi)  the limitation or withdrawal of subscription</w:t>
            </w:r>
          </w:p>
        </w:tc>
        <w:tc>
          <w:tcPr>
            <w:tcW w:w="4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4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(vi) la limitation ou la suppression du droit de</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rights;</w:t>
            </w: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souscription préférentiel;</w:t>
            </w: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(vii) the change of the domicile of the Company;</w:t>
            </w:r>
          </w:p>
        </w:tc>
        <w:tc>
          <w:tcPr>
            <w:tcW w:w="4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(vii) le transfert du siège de la société; et</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w:t>
            </w: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40" w:type="dxa"/>
            <w:vAlign w:val="bottom"/>
            <w:tcBorders>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(viii)la dissolution de la société;</w:t>
            </w:r>
          </w:p>
        </w:tc>
        <w:tc>
          <w:tcPr>
            <w:tcW w:w="0" w:type="dxa"/>
            <w:vAlign w:val="bottom"/>
          </w:tcPr>
          <w:p>
            <w:pPr>
              <w:spacing w:after="0"/>
              <w:rPr>
                <w:sz w:val="1"/>
                <w:szCs w:val="1"/>
                <w:color w:val="auto"/>
              </w:rPr>
            </w:pPr>
          </w:p>
        </w:tc>
      </w:tr>
      <w:tr>
        <w:trPr>
          <w:trHeight w:val="148"/>
        </w:trPr>
        <w:tc>
          <w:tcPr>
            <w:tcW w:w="4440" w:type="dxa"/>
            <w:vAlign w:val="bottom"/>
            <w:tcBorders>
              <w:left w:val="single" w:sz="8" w:color="auto"/>
              <w:righ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(viii)the liquidation of the Company;</w:t>
            </w:r>
          </w:p>
        </w:tc>
        <w:tc>
          <w:tcPr>
            <w:tcW w:w="4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04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440" w:type="dxa"/>
            <w:vAlign w:val="bottom"/>
            <w:tcBorders>
              <w:left w:val="single" w:sz="8" w:color="auto"/>
              <w:right w:val="single" w:sz="8" w:color="auto"/>
            </w:tcBorders>
            <w:gridSpan w:val="2"/>
            <w:vMerge w:val="continue"/>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80" w:type="dxa"/>
            <w:vAlign w:val="bottom"/>
            <w:tcBorders>
              <w:left w:val="single" w:sz="8" w:color="auto"/>
            </w:tcBorders>
          </w:tcPr>
          <w:p>
            <w:pPr>
              <w:spacing w:after="0"/>
              <w:rPr>
                <w:sz w:val="24"/>
                <w:szCs w:val="24"/>
                <w:color w:val="auto"/>
              </w:rPr>
            </w:pPr>
          </w:p>
        </w:tc>
        <w:tc>
          <w:tcPr>
            <w:tcW w:w="366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la fusion, la scission ou la conversion de la société</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(sous réserve des dispositions impératives);</w:t>
            </w:r>
          </w:p>
        </w:tc>
        <w:tc>
          <w:tcPr>
            <w:tcW w:w="0" w:type="dxa"/>
            <w:vAlign w:val="bottom"/>
          </w:tcPr>
          <w:p>
            <w:pPr>
              <w:spacing w:after="0"/>
              <w:rPr>
                <w:sz w:val="1"/>
                <w:szCs w:val="1"/>
                <w:color w:val="auto"/>
              </w:rPr>
            </w:pPr>
          </w:p>
        </w:tc>
      </w:tr>
      <w:tr>
        <w:trPr>
          <w:trHeight w:val="324"/>
        </w:trPr>
        <w:tc>
          <w:tcPr>
            <w:tcW w:w="780" w:type="dxa"/>
            <w:vAlign w:val="bottom"/>
            <w:tcBorders>
              <w:left w:val="single" w:sz="8" w:color="auto"/>
            </w:tcBorders>
          </w:tcPr>
          <w:p>
            <w:pPr>
              <w:spacing w:after="0"/>
              <w:rPr>
                <w:sz w:val="24"/>
                <w:szCs w:val="24"/>
                <w:color w:val="auto"/>
              </w:rPr>
            </w:pPr>
          </w:p>
        </w:tc>
        <w:tc>
          <w:tcPr>
            <w:tcW w:w="366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l'atténuation ou la suppression des restrictions sur</w:t>
            </w:r>
          </w:p>
        </w:tc>
        <w:tc>
          <w:tcPr>
            <w:tcW w:w="0" w:type="dxa"/>
            <w:vAlign w:val="bottom"/>
          </w:tcPr>
          <w:p>
            <w:pPr>
              <w:spacing w:after="0"/>
              <w:rPr>
                <w:sz w:val="1"/>
                <w:szCs w:val="1"/>
                <w:color w:val="auto"/>
              </w:rPr>
            </w:pPr>
          </w:p>
        </w:tc>
      </w:tr>
      <w:tr>
        <w:trPr>
          <w:trHeight w:val="41"/>
        </w:trPr>
        <w:tc>
          <w:tcPr>
            <w:tcW w:w="780" w:type="dxa"/>
            <w:vAlign w:val="bottom"/>
            <w:tcBorders>
              <w:left w:val="single" w:sz="8" w:color="auto"/>
              <w:bottom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40"/>
        </w:trPr>
        <w:tc>
          <w:tcPr>
            <w:tcW w:w="7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31" w:name="page232"/>
    <w:bookmarkEnd w:id="231"/>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44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   the merger, de-merger or conversion of the Company</w:t>
            </w:r>
          </w:p>
        </w:tc>
        <w:tc>
          <w:tcPr>
            <w:tcW w:w="40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spacing w:after="0"/>
              <w:rPr>
                <w:sz w:val="18"/>
                <w:szCs w:val="18"/>
                <w:color w:val="auto"/>
              </w:rPr>
            </w:pPr>
          </w:p>
        </w:tc>
        <w:tc>
          <w:tcPr>
            <w:tcW w:w="3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(subject to mandatory law);</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   the alleviating or withdrawal of restrictions upon the</w:t>
            </w:r>
          </w:p>
        </w:tc>
        <w:tc>
          <w:tcPr>
            <w:tcW w:w="40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40" w:type="dxa"/>
            <w:vAlign w:val="bottom"/>
            <w:tcBorders>
              <w:left w:val="single" w:sz="8" w:color="auto"/>
              <w:bottom w:val="single" w:sz="8" w:color="auto"/>
              <w:right w:val="single" w:sz="8" w:color="auto"/>
            </w:tcBorders>
            <w:gridSpan w:val="2"/>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10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440" w:type="dxa"/>
            <w:vAlign w:val="bottom"/>
            <w:tcBorders>
              <w:left w:val="single" w:sz="8" w:color="auto"/>
              <w:right w:val="single" w:sz="8" w:color="auto"/>
            </w:tcBorders>
            <w:gridSpan w:val="2"/>
          </w:tcPr>
          <w:p>
            <w:pPr>
              <w:jc w:val="right"/>
              <w:ind w:right="1870"/>
              <w:spacing w:after="0"/>
              <w:rPr>
                <w:sz w:val="20"/>
                <w:szCs w:val="20"/>
                <w:color w:val="auto"/>
              </w:rPr>
            </w:pPr>
            <w:r>
              <w:rPr>
                <w:rFonts w:ascii="Times New Roman" w:cs="Times New Roman" w:eastAsia="Times New Roman" w:hAnsi="Times New Roman"/>
                <w:sz w:val="18"/>
                <w:szCs w:val="18"/>
                <w:color w:val="auto"/>
              </w:rPr>
              <w:t>transfer of registered shares;</w:t>
            </w:r>
          </w:p>
        </w:tc>
        <w:tc>
          <w:tcPr>
            <w:tcW w:w="4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transfert des actions nominatives;</w:t>
            </w:r>
          </w:p>
        </w:tc>
        <w:tc>
          <w:tcPr>
            <w:tcW w:w="0" w:type="dxa"/>
            <w:vAlign w:val="bottom"/>
          </w:tcPr>
          <w:p>
            <w:pPr>
              <w:spacing w:after="0"/>
              <w:rPr>
                <w:sz w:val="1"/>
                <w:szCs w:val="1"/>
                <w:color w:val="auto"/>
              </w:rPr>
            </w:pPr>
          </w:p>
        </w:tc>
      </w:tr>
      <w:tr>
        <w:trPr>
          <w:trHeight w:val="328"/>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   the conversion of registered shares into bearer shares</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la conversion d'actions nominatives en actions au</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and vice versa; and</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porteur et vice versa; et</w:t>
            </w: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   the amendment or elimination of the provisions of</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w:t>
            </w: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la modification ou la suppression des dispositions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Article 4 and 29 of the Articles of Association as</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des articles 4 et 29 des statuts ainsi que ceux</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well as those contained in this Article 17.</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contenues dans le présent article 17.</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380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18</w:t>
            </w:r>
          </w:p>
        </w:tc>
        <w:tc>
          <w:tcPr>
            <w:tcW w:w="3620" w:type="dxa"/>
            <w:vAlign w:val="bottom"/>
            <w:tcBorders>
              <w:right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Votes on Compensation</w:t>
            </w:r>
          </w:p>
        </w:tc>
        <w:tc>
          <w:tcPr>
            <w:tcW w:w="400" w:type="dxa"/>
            <w:vAlign w:val="bottom"/>
            <w:tcBorders>
              <w:right w:val="single" w:sz="8" w:color="auto"/>
            </w:tcBorders>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Art. 18</w:t>
            </w:r>
          </w:p>
        </w:tc>
        <w:tc>
          <w:tcPr>
            <w:tcW w:w="38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Votes sur la rémunération</w:t>
            </w:r>
          </w:p>
        </w:tc>
        <w:tc>
          <w:tcPr>
            <w:tcW w:w="0" w:type="dxa"/>
            <w:vAlign w:val="bottom"/>
          </w:tcPr>
          <w:p>
            <w:pPr>
              <w:spacing w:after="0"/>
              <w:rPr>
                <w:sz w:val="1"/>
                <w:szCs w:val="1"/>
                <w:color w:val="auto"/>
              </w:rPr>
            </w:pPr>
          </w:p>
        </w:tc>
      </w:tr>
      <w:tr>
        <w:trPr>
          <w:trHeight w:val="32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General  Meeting  shall  approve  annually  and</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L'assemblée générale approuve annuellement et séparé-­</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separately the proposals of the Board of Directors in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ment les propositions du conseil d’administration relatives</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relation to the maximum aggregate amount of:</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au montant global maximal de:</w:t>
            </w: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   compensation of the Board of Directors for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  la rémunération du conseil d'administration pour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period until the next Ordinary General Meeting;</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période allant jusqu'à l'assemblée générale ordinaire</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b)   compensation of the Executive Committee for the</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suivante;</w:t>
            </w:r>
          </w:p>
        </w:tc>
        <w:tc>
          <w:tcPr>
            <w:tcW w:w="0" w:type="dxa"/>
            <w:vAlign w:val="bottom"/>
          </w:tcPr>
          <w:p>
            <w:pPr>
              <w:spacing w:after="0"/>
              <w:rPr>
                <w:sz w:val="1"/>
                <w:szCs w:val="1"/>
                <w:color w:val="auto"/>
              </w:rPr>
            </w:pPr>
          </w:p>
        </w:tc>
      </w:tr>
      <w:tr>
        <w:trPr>
          <w:trHeight w:val="90"/>
        </w:trPr>
        <w:tc>
          <w:tcPr>
            <w:tcW w:w="4440" w:type="dxa"/>
            <w:vAlign w:val="bottom"/>
            <w:tcBorders>
              <w:left w:val="single" w:sz="8" w:color="auto"/>
              <w:right w:val="single" w:sz="8" w:color="auto"/>
            </w:tcBorders>
            <w:gridSpan w:val="2"/>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following financial year.</w:t>
            </w:r>
          </w:p>
        </w:tc>
        <w:tc>
          <w:tcPr>
            <w:tcW w:w="400" w:type="dxa"/>
            <w:vAlign w:val="bottom"/>
            <w:tcBorders>
              <w:right w:val="single" w:sz="8" w:color="auto"/>
            </w:tcBorders>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  la</w:t>
            </w:r>
          </w:p>
        </w:tc>
        <w:tc>
          <w:tcPr>
            <w:tcW w:w="3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rémunération du comité exécutif pour l’exercice</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annuel suivant.</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respective total compensation amounts include social</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4"/>
          </w:tcPr>
          <w:p>
            <w:pPr>
              <w:ind w:left="80"/>
              <w:spacing w:after="0" w:line="191" w:lineRule="exact"/>
              <w:rPr>
                <w:sz w:val="20"/>
                <w:szCs w:val="20"/>
                <w:color w:val="auto"/>
              </w:rPr>
            </w:pPr>
            <w:r>
              <w:rPr>
                <w:rFonts w:ascii="Times New Roman" w:cs="Times New Roman" w:eastAsia="Times New Roman" w:hAnsi="Times New Roman"/>
                <w:sz w:val="18"/>
                <w:szCs w:val="18"/>
                <w:color w:val="auto"/>
              </w:rPr>
              <w:t>Les  montants  totaux  de  rémunération  respectifs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security and occupational pension contributions for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comprennent  la  sécurité  sociale  et  les  cotisations  de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benefit of the members of the Board of Directors,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retraite professionnelle au profit des membres du conseil</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Executive Committee and the Company.</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d'administration, du comité exécutif et de la société.</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If the General Meeting refuses to approve a respective</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4"/>
          </w:tcPr>
          <w:p>
            <w:pPr>
              <w:ind w:left="80"/>
              <w:spacing w:after="0" w:line="191" w:lineRule="exact"/>
              <w:rPr>
                <w:sz w:val="20"/>
                <w:szCs w:val="20"/>
                <w:color w:val="auto"/>
              </w:rPr>
            </w:pPr>
            <w:r>
              <w:rPr>
                <w:rFonts w:ascii="Times New Roman" w:cs="Times New Roman" w:eastAsia="Times New Roman" w:hAnsi="Times New Roman"/>
                <w:sz w:val="18"/>
                <w:szCs w:val="18"/>
                <w:color w:val="auto"/>
              </w:rPr>
              <w:t>Si l'assemblée générale refuse d'approuver une motion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motion by the Board of Directors, the Board of Directors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soumise  par  le  conseil  d'administration,  le  conseil</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may either submit a new motion at the same meeting 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d'administration peut, soit présenter une nouvelle motion à</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determine  a  maximum  total  remuneration  or  several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  même  séance  ou  déterminer  une  rémunération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maximum partial remunerations, subject to the relevant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maximale totale ou plusieurs rémunérations maximales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principles of the compensation, or submit a new motion to</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partielles,  sous  réserve  des  principes  concernant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next General Meeting for approval. The Company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rémunération, soit soumettre une nouvelle motion à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may pay remunerations within the framework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prochaine  assemblée  générale  pour  approbation.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maximum total or partial remuneration and subject to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société peut verser des rémunérations dans le cadre de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approval by the General Meeting.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rémunération maximale totale ou partielle et sous réserve</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 l'approbation par l'assemblée générale.</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The Board of Directors shall submit the compensation</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4"/>
          </w:tcPr>
          <w:p>
            <w:pPr>
              <w:ind w:left="80"/>
              <w:spacing w:after="0" w:line="191" w:lineRule="exact"/>
              <w:rPr>
                <w:sz w:val="20"/>
                <w:szCs w:val="20"/>
                <w:color w:val="auto"/>
              </w:rPr>
            </w:pPr>
            <w:r>
              <w:rPr>
                <w:rFonts w:ascii="Times New Roman" w:cs="Times New Roman" w:eastAsia="Times New Roman" w:hAnsi="Times New Roman"/>
                <w:sz w:val="18"/>
                <w:szCs w:val="18"/>
                <w:color w:val="auto"/>
              </w:rPr>
              <w:t>Le  conseil  d'administration  soumet  le  rapport  de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report to an advisory vote of the General Meeting.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rémunération­  à  un  vote  consultatif  de  l'assemblée</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générale.</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380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19</w:t>
            </w:r>
          </w:p>
        </w:tc>
        <w:tc>
          <w:tcPr>
            <w:tcW w:w="3620" w:type="dxa"/>
            <w:vAlign w:val="bottom"/>
            <w:tcBorders>
              <w:right w:val="single" w:sz="8" w:color="auto"/>
            </w:tcBorders>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Independent Proxy</w:t>
            </w:r>
          </w:p>
        </w:tc>
        <w:tc>
          <w:tcPr>
            <w:tcW w:w="400" w:type="dxa"/>
            <w:vAlign w:val="bottom"/>
            <w:tcBorders>
              <w:right w:val="single" w:sz="8" w:color="auto"/>
            </w:tcBorders>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Art. 19</w:t>
            </w:r>
          </w:p>
        </w:tc>
        <w:tc>
          <w:tcPr>
            <w:tcW w:w="38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Représentant indépendant</w:t>
            </w:r>
          </w:p>
        </w:tc>
        <w:tc>
          <w:tcPr>
            <w:tcW w:w="0" w:type="dxa"/>
            <w:vAlign w:val="bottom"/>
          </w:tcPr>
          <w:p>
            <w:pPr>
              <w:spacing w:after="0"/>
              <w:rPr>
                <w:sz w:val="1"/>
                <w:szCs w:val="1"/>
                <w:color w:val="auto"/>
              </w:rPr>
            </w:pPr>
          </w:p>
        </w:tc>
      </w:tr>
      <w:tr>
        <w:trPr>
          <w:trHeight w:val="32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Independent Proxy shall be elected by the Ordinary</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  représentant  indépendant  est  élu  par  l'assemblée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General Meeting for a term of one year until the end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générale ordinaire pour une durée d'un an jusqu'à la fin de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next  Ordinary  General  Meeting.  Re-election  is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 prochaine assemblée générale ordinaire. Une réélection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permitted. The Independent Proxy informs the Company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est  possible.  Le  représentant  indépendant  informe  la</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about number, type, par value and category of the</w:t>
            </w:r>
          </w:p>
        </w:tc>
        <w:tc>
          <w:tcPr>
            <w:tcW w:w="400" w:type="dxa"/>
            <w:vAlign w:val="bottom"/>
            <w:tcBorders>
              <w:bottom w:val="single" w:sz="8" w:color="auto"/>
              <w:right w:val="single" w:sz="8" w:color="auto"/>
            </w:tcBorders>
          </w:tcPr>
          <w:p>
            <w:pPr>
              <w:spacing w:after="0"/>
              <w:rPr>
                <w:sz w:val="20"/>
                <w:szCs w:val="20"/>
                <w:color w:val="auto"/>
              </w:rPr>
            </w:pPr>
          </w:p>
        </w:tc>
        <w:tc>
          <w:tcPr>
            <w:tcW w:w="44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société sur le nombre, le type, la valeur</w:t>
            </w:r>
          </w:p>
        </w:tc>
        <w:tc>
          <w:tcPr>
            <w:tcW w:w="0" w:type="dxa"/>
            <w:vAlign w:val="bottom"/>
          </w:tcPr>
          <w:p>
            <w:pPr>
              <w:spacing w:after="0"/>
              <w:rPr>
                <w:sz w:val="1"/>
                <w:szCs w:val="1"/>
                <w:color w:val="auto"/>
              </w:rPr>
            </w:pPr>
          </w:p>
        </w:tc>
      </w:tr>
      <w:tr>
        <w:trPr>
          <w:trHeight w:val="541"/>
        </w:trPr>
        <w:tc>
          <w:tcPr>
            <w:tcW w:w="8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32" w:name="page233"/>
    <w:bookmarkEnd w:id="232"/>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44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represented shares. The Chairman of the Board discloses</w:t>
            </w:r>
          </w:p>
        </w:tc>
        <w:tc>
          <w:tcPr>
            <w:tcW w:w="400" w:type="dxa"/>
            <w:vAlign w:val="bottom"/>
            <w:tcBorders>
              <w:top w:val="single" w:sz="8" w:color="auto"/>
              <w:right w:val="single" w:sz="8" w:color="auto"/>
            </w:tcBorders>
          </w:tcPr>
          <w:p>
            <w:pPr>
              <w:spacing w:after="0"/>
              <w:rPr>
                <w:sz w:val="18"/>
                <w:szCs w:val="18"/>
                <w:color w:val="auto"/>
              </w:rPr>
            </w:pPr>
          </w:p>
        </w:tc>
        <w:tc>
          <w:tcPr>
            <w:tcW w:w="442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nominale et la catégorie des actions représentées. 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information to the General Meeting. The other duties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président du conseil d'administration communique ces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 the Independent Proxy are determined by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informations à l'assemblée générale. Les autres fonctions</w:t>
            </w:r>
          </w:p>
        </w:tc>
      </w:tr>
      <w:tr>
        <w:trPr>
          <w:trHeight w:val="216"/>
        </w:trPr>
        <w:tc>
          <w:tcPr>
            <w:tcW w:w="740" w:type="dxa"/>
            <w:vAlign w:val="bottom"/>
            <w:tcBorders>
              <w:lef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du représentant indépendant sont déterminées par les</w:t>
            </w:r>
          </w:p>
        </w:tc>
      </w:tr>
      <w:tr>
        <w:trPr>
          <w:trHeight w:val="234"/>
        </w:trPr>
        <w:tc>
          <w:tcPr>
            <w:tcW w:w="740" w:type="dxa"/>
            <w:vAlign w:val="bottom"/>
            <w:tcBorders>
              <w:left w:val="single" w:sz="8" w:color="auto"/>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44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dispositions</w:t>
            </w:r>
          </w:p>
        </w:tc>
      </w:tr>
      <w:tr>
        <w:trPr>
          <w:trHeight w:val="228"/>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applicable statutory provisions.</w:t>
            </w:r>
          </w:p>
        </w:tc>
        <w:tc>
          <w:tcPr>
            <w:tcW w:w="400" w:type="dxa"/>
            <w:vAlign w:val="bottom"/>
            <w:tcBorders>
              <w:right w:val="single" w:sz="8" w:color="auto"/>
            </w:tcBorders>
          </w:tcPr>
          <w:p>
            <w:pPr>
              <w:spacing w:after="0"/>
              <w:rPr>
                <w:sz w:val="19"/>
                <w:szCs w:val="19"/>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statutaires applicables.</w:t>
            </w:r>
          </w:p>
        </w:tc>
      </w:tr>
      <w:tr>
        <w:trPr>
          <w:trHeight w:val="130"/>
        </w:trPr>
        <w:tc>
          <w:tcPr>
            <w:tcW w:w="740" w:type="dxa"/>
            <w:vAlign w:val="bottom"/>
            <w:tcBorders>
              <w:left w:val="single" w:sz="8" w:color="auto"/>
              <w:bottom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660" w:type="dxa"/>
            <w:vAlign w:val="bottom"/>
            <w:tcBorders>
              <w:bottom w:val="single" w:sz="8" w:color="auto"/>
              <w:right w:val="single" w:sz="8" w:color="auto"/>
            </w:tcBorders>
            <w:gridSpan w:val="2"/>
          </w:tcPr>
          <w:p>
            <w:pPr>
              <w:spacing w:after="0"/>
              <w:rPr>
                <w:sz w:val="11"/>
                <w:szCs w:val="11"/>
                <w:color w:val="auto"/>
              </w:rPr>
            </w:pPr>
          </w:p>
        </w:tc>
      </w:tr>
      <w:tr>
        <w:trPr>
          <w:trHeight w:val="318"/>
        </w:trPr>
        <w:tc>
          <w:tcPr>
            <w:tcW w:w="7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V.</w:t>
            </w:r>
          </w:p>
        </w:tc>
        <w:tc>
          <w:tcPr>
            <w:tcW w:w="3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V.</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CONSEIL D'ADMINISTRATION</w:t>
            </w:r>
          </w:p>
        </w:tc>
      </w:tr>
      <w:tr>
        <w:trPr>
          <w:trHeight w:val="148"/>
        </w:trPr>
        <w:tc>
          <w:tcPr>
            <w:tcW w:w="740" w:type="dxa"/>
            <w:vAlign w:val="bottom"/>
            <w:tcBorders>
              <w:left w:val="single" w:sz="8" w:color="auto"/>
              <w:bottom w:val="single" w:sz="8" w:color="auto"/>
            </w:tcBorders>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660" w:type="dxa"/>
            <w:vAlign w:val="bottom"/>
            <w:tcBorders>
              <w:bottom w:val="single" w:sz="8" w:color="auto"/>
              <w:right w:val="single" w:sz="8" w:color="auto"/>
            </w:tcBorders>
            <w:gridSpan w:val="2"/>
          </w:tcPr>
          <w:p>
            <w:pPr>
              <w:spacing w:after="0"/>
              <w:rPr>
                <w:sz w:val="12"/>
                <w:szCs w:val="12"/>
                <w:color w:val="auto"/>
              </w:rPr>
            </w:pPr>
          </w:p>
        </w:tc>
      </w:tr>
      <w:tr>
        <w:trPr>
          <w:trHeight w:val="318"/>
        </w:trPr>
        <w:tc>
          <w:tcPr>
            <w:tcW w:w="7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20</w:t>
            </w:r>
          </w:p>
        </w:tc>
        <w:tc>
          <w:tcPr>
            <w:tcW w:w="37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Members, Term of Office</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20</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Nombre de membres, durée de la fonction</w:t>
            </w:r>
          </w:p>
        </w:tc>
      </w:tr>
      <w:tr>
        <w:trPr>
          <w:trHeight w:val="45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Board of Directors shall consist of at least 3 and not</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conseil d'administration se compose d'au minimum 3 et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more than 9 members. This maximum number may be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 maximum 9 membres. Ce nombre maximum pourra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exceeded if it is necessary to satisfy nationality, residency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être  dépassé  s’il  est  nécessaire  de  satisfaire  à  des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and/or gender requirements under Swiss or foreign laws.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conditions de nationalités, de résidences ou de genres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chairman and the members of the Board of Directors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selon le droit suisse ou étranger. Le président et les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are individually elected by the General Meeting for a term</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membres   du   conseil   d'administration   sont   élus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 one year until the end of the next Ordinary General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individuellement par l'assemblée générale pour un mandat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Meeting, provided that he/she does not resign or is not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d'un an jusqu'à la fin de la prochaine assemblée générale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replaced during his/her term.</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ordinaire, à condition qu'il/elle ne démissionne pas ou ne</w:t>
            </w:r>
          </w:p>
        </w:tc>
      </w:tr>
      <w:tr>
        <w:trPr>
          <w:trHeight w:val="234"/>
        </w:trPr>
        <w:tc>
          <w:tcPr>
            <w:tcW w:w="740" w:type="dxa"/>
            <w:vAlign w:val="bottom"/>
            <w:tcBorders>
              <w:lef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soit pas remplacé(e) durant son mandat.</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members of the Board of Directors may be re-elected</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membres du conseil d'administration peuvent être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without limitation. The maximum age limit of members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réélus sans limitation. La limite d’âge des membres du</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Board shall be 75 years. When a member of the Board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conseil d'administration est fixée à 75 ans. Lorsqu'un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 Directors reaches this age limit during his term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membre du conseil d'administration atteint cette limite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office, such term shall automatically extend to the next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d'âge   durant   son   mandat,   ledit   mandat   sera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ordinary shareholders' meeting. The shareholders' meeting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automatiquement prolongé jusqu'à la prochaine assemblée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may resolve to grant an exception to the age limit.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générale ordinaire. L'assemblée générale des actionnaires</w:t>
            </w:r>
          </w:p>
        </w:tc>
      </w:tr>
      <w:tr>
        <w:trPr>
          <w:trHeight w:val="234"/>
        </w:trPr>
        <w:tc>
          <w:tcPr>
            <w:tcW w:w="740" w:type="dxa"/>
            <w:vAlign w:val="bottom"/>
            <w:tcBorders>
              <w:lef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peut décider d'accorder une dérogation à la limite d'âge.</w:t>
            </w:r>
          </w:p>
        </w:tc>
      </w:tr>
      <w:tr>
        <w:trPr>
          <w:trHeight w:val="108"/>
        </w:trPr>
        <w:tc>
          <w:tcPr>
            <w:tcW w:w="740" w:type="dxa"/>
            <w:vAlign w:val="bottom"/>
            <w:tcBorders>
              <w:left w:val="single" w:sz="8" w:color="auto"/>
              <w:bottom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318"/>
        </w:trPr>
        <w:tc>
          <w:tcPr>
            <w:tcW w:w="7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21</w:t>
            </w:r>
          </w:p>
        </w:tc>
        <w:tc>
          <w:tcPr>
            <w:tcW w:w="37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Constitution</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21</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Constitution</w:t>
            </w: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Subject to the powers of the General Meeting, the Board</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Sous réserve des pouvoirs de l'assemblée générale, 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 Directors determines its own organization. It appoints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conseil d'administration détermine sa propre organisation.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Secretary who needs not be a member of the Board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Il nomme un secrétaire qui ne doit pas nécessairement être</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un membre du conseil d'administration.</w:t>
            </w:r>
          </w:p>
        </w:tc>
      </w:tr>
      <w:tr>
        <w:trPr>
          <w:trHeight w:val="108"/>
        </w:trPr>
        <w:tc>
          <w:tcPr>
            <w:tcW w:w="740" w:type="dxa"/>
            <w:vAlign w:val="bottom"/>
            <w:tcBorders>
              <w:left w:val="single" w:sz="8" w:color="auto"/>
              <w:bottom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318"/>
        </w:trPr>
        <w:tc>
          <w:tcPr>
            <w:tcW w:w="7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22</w:t>
            </w:r>
          </w:p>
        </w:tc>
        <w:tc>
          <w:tcPr>
            <w:tcW w:w="37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Function, Organization</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22</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Fonction, organisation</w:t>
            </w: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It is the Board of Director's duty to lead the Company and</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conseil  d'administration  exerce  la  direction  de  la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 supervise the management. The Board of Director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société  et  en  supervise  la  gestion.  Le  conseil</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represents the Company and may take decisions on all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d'administration représente la société et peut prendre les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affairs which are not assigned to any other body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décisions sur toutes les affaires qui ne sont pas attribuées à</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Company by law, the Articles of Association or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un autre organe de la société par la loi, les statuts ou le</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organizational regulations.</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règlement d'organisation.</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Board of Directors shall enact the organizational</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conseil   d'administration   édicte   le   règlement</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regulations and arrange for the appropriate contractual</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d'organisation et s'occupe des relations contractuelles</w:t>
            </w:r>
          </w:p>
        </w:tc>
      </w:tr>
      <w:tr>
        <w:trPr>
          <w:trHeight w:val="108"/>
        </w:trPr>
        <w:tc>
          <w:tcPr>
            <w:tcW w:w="740" w:type="dxa"/>
            <w:vAlign w:val="bottom"/>
            <w:tcBorders>
              <w:left w:val="single" w:sz="8" w:color="auto"/>
              <w:bottom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r>
      <w:tr>
        <w:trPr>
          <w:trHeight w:val="540"/>
        </w:trPr>
        <w:tc>
          <w:tcPr>
            <w:tcW w:w="7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480"/>
          </w:cols>
          <w:pgMar w:left="1440" w:top="660" w:right="979" w:bottom="1440" w:gutter="0" w:footer="0" w:header="0"/>
        </w:sectPr>
      </w:pPr>
    </w:p>
    <w:bookmarkStart w:id="233" w:name="page234"/>
    <w:bookmarkEnd w:id="233"/>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8"/>
        </w:trPr>
        <w:tc>
          <w:tcPr>
            <w:tcW w:w="4440" w:type="dxa"/>
            <w:vAlign w:val="bottom"/>
            <w:tcBorders>
              <w:top w:val="single" w:sz="8" w:color="auto"/>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relationships.</w:t>
            </w:r>
          </w:p>
        </w:tc>
        <w:tc>
          <w:tcPr>
            <w:tcW w:w="400" w:type="dxa"/>
            <w:vAlign w:val="bottom"/>
            <w:tcBorders>
              <w:top w:val="single" w:sz="8" w:color="auto"/>
              <w:right w:val="single" w:sz="8" w:color="auto"/>
            </w:tcBorders>
          </w:tcPr>
          <w:p>
            <w:pPr>
              <w:spacing w:after="0"/>
              <w:rPr>
                <w:sz w:val="21"/>
                <w:szCs w:val="21"/>
                <w:color w:val="auto"/>
              </w:rPr>
            </w:pPr>
          </w:p>
        </w:tc>
        <w:tc>
          <w:tcPr>
            <w:tcW w:w="442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appropriées.</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bottom w:val="single" w:sz="8" w:color="auto"/>
            </w:tcBorders>
            <w:gridSpan w:val="2"/>
          </w:tcPr>
          <w:p>
            <w:pPr>
              <w:spacing w:after="0"/>
              <w:rPr>
                <w:sz w:val="11"/>
                <w:szCs w:val="11"/>
                <w:color w:val="auto"/>
              </w:rPr>
            </w:pPr>
          </w:p>
        </w:tc>
        <w:tc>
          <w:tcPr>
            <w:tcW w:w="362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gridSpan w:val="2"/>
          </w:tcPr>
          <w:p>
            <w:pPr>
              <w:spacing w:after="0"/>
              <w:rPr>
                <w:sz w:val="11"/>
                <w:szCs w:val="11"/>
                <w:color w:val="auto"/>
              </w:rPr>
            </w:pPr>
          </w:p>
        </w:tc>
        <w:tc>
          <w:tcPr>
            <w:tcW w:w="366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Art. 23</w:t>
            </w:r>
          </w:p>
        </w:tc>
        <w:tc>
          <w:tcPr>
            <w:tcW w:w="36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Powers</w:t>
            </w:r>
          </w:p>
        </w:tc>
        <w:tc>
          <w:tcPr>
            <w:tcW w:w="400" w:type="dxa"/>
            <w:vAlign w:val="bottom"/>
            <w:tcBorders>
              <w:right w:val="single" w:sz="8" w:color="auto"/>
            </w:tcBorders>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23</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Pouvoirs</w:t>
            </w:r>
          </w:p>
        </w:tc>
        <w:tc>
          <w:tcPr>
            <w:tcW w:w="0" w:type="dxa"/>
            <w:vAlign w:val="bottom"/>
          </w:tcPr>
          <w:p>
            <w:pPr>
              <w:spacing w:after="0"/>
              <w:rPr>
                <w:sz w:val="1"/>
                <w:szCs w:val="1"/>
                <w:color w:val="auto"/>
              </w:rPr>
            </w:pPr>
          </w:p>
        </w:tc>
      </w:tr>
      <w:tr>
        <w:trPr>
          <w:trHeight w:val="34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Board of Directors has the following non-delegable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   conseil   d'administration   a   les   attributions</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and inalienable duties:</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intransmissibles et inaliénables suivantes:</w:t>
            </w: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overall management of the company and the</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exercer la haute direction de la société et établir les</w:t>
            </w:r>
          </w:p>
        </w:tc>
        <w:tc>
          <w:tcPr>
            <w:tcW w:w="0" w:type="dxa"/>
            <w:vAlign w:val="bottom"/>
          </w:tcPr>
          <w:p>
            <w:pPr>
              <w:spacing w:after="0"/>
              <w:rPr>
                <w:sz w:val="1"/>
                <w:szCs w:val="1"/>
                <w:color w:val="auto"/>
              </w:rPr>
            </w:pPr>
          </w:p>
        </w:tc>
      </w:tr>
      <w:tr>
        <w:trPr>
          <w:trHeight w:val="40"/>
        </w:trPr>
        <w:tc>
          <w:tcPr>
            <w:tcW w:w="420" w:type="dxa"/>
            <w:vAlign w:val="bottom"/>
            <w:tcBorders>
              <w:left w:val="single" w:sz="8" w:color="auto"/>
              <w:bottom w:val="single" w:sz="8" w:color="auto"/>
            </w:tcBorders>
          </w:tcPr>
          <w:p>
            <w:pPr>
              <w:spacing w:after="0"/>
              <w:rPr>
                <w:sz w:val="3"/>
                <w:szCs w:val="3"/>
                <w:color w:val="auto"/>
              </w:rPr>
            </w:pPr>
          </w:p>
        </w:tc>
        <w:tc>
          <w:tcPr>
            <w:tcW w:w="4020" w:type="dxa"/>
            <w:vAlign w:val="bottom"/>
            <w:tcBorders>
              <w:bottom w:val="single" w:sz="8" w:color="auto"/>
              <w:right w:val="single" w:sz="8" w:color="auto"/>
            </w:tcBorders>
            <w:gridSpan w:val="2"/>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420" w:type="dxa"/>
            <w:vAlign w:val="bottom"/>
            <w:tcBorders>
              <w:left w:val="single" w:sz="8" w:color="auto"/>
            </w:tcBorders>
          </w:tcPr>
          <w:p>
            <w:pPr>
              <w:spacing w:after="0"/>
              <w:rPr>
                <w:sz w:val="24"/>
                <w:szCs w:val="24"/>
                <w:color w:val="auto"/>
              </w:rPr>
            </w:pPr>
          </w:p>
        </w:tc>
        <w:tc>
          <w:tcPr>
            <w:tcW w:w="40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issuing of all necessary directives;</w:t>
            </w:r>
          </w:p>
        </w:tc>
        <w:tc>
          <w:tcPr>
            <w:tcW w:w="40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instructions nécessaires;</w:t>
            </w:r>
          </w:p>
        </w:tc>
        <w:tc>
          <w:tcPr>
            <w:tcW w:w="0" w:type="dxa"/>
            <w:vAlign w:val="bottom"/>
          </w:tcPr>
          <w:p>
            <w:pPr>
              <w:spacing w:after="0"/>
              <w:rPr>
                <w:sz w:val="1"/>
                <w:szCs w:val="1"/>
                <w:color w:val="auto"/>
              </w:rPr>
            </w:pPr>
          </w:p>
        </w:tc>
      </w:tr>
      <w:tr>
        <w:trPr>
          <w:trHeight w:val="365"/>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  determination of the company's organisation;</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fixer l'organisation;</w:t>
            </w:r>
          </w:p>
        </w:tc>
        <w:tc>
          <w:tcPr>
            <w:tcW w:w="0" w:type="dxa"/>
            <w:vAlign w:val="bottom"/>
          </w:tcPr>
          <w:p>
            <w:pPr>
              <w:spacing w:after="0"/>
              <w:rPr>
                <w:sz w:val="1"/>
                <w:szCs w:val="1"/>
                <w:color w:val="auto"/>
              </w:rPr>
            </w:pPr>
          </w:p>
        </w:tc>
      </w:tr>
      <w:tr>
        <w:trPr>
          <w:trHeight w:val="346"/>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organisation of the accounting, financial control</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fixer les principes de la comptabilité et du contrôle</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and  financial  planning  systems  as  required  for</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financier ainsi que le plan financier pour autant que</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management of the company;</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celui-ci soit nécessaire à la gestion de la société;</w:t>
            </w:r>
          </w:p>
        </w:tc>
        <w:tc>
          <w:tcPr>
            <w:tcW w:w="0" w:type="dxa"/>
            <w:vAlign w:val="bottom"/>
          </w:tcPr>
          <w:p>
            <w:pPr>
              <w:spacing w:after="0"/>
              <w:rPr>
                <w:sz w:val="1"/>
                <w:szCs w:val="1"/>
                <w:color w:val="auto"/>
              </w:rPr>
            </w:pPr>
          </w:p>
        </w:tc>
      </w:tr>
      <w:tr>
        <w:trPr>
          <w:trHeight w:val="306"/>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appointment and dismissal of persons entrusted</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nommer et révoquer les personnes chargées de la</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with managing and representing the company;</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gestion et de la représentation;</w:t>
            </w:r>
          </w:p>
        </w:tc>
        <w:tc>
          <w:tcPr>
            <w:tcW w:w="0" w:type="dxa"/>
            <w:vAlign w:val="bottom"/>
          </w:tcPr>
          <w:p>
            <w:pPr>
              <w:spacing w:after="0"/>
              <w:rPr>
                <w:sz w:val="1"/>
                <w:szCs w:val="1"/>
                <w:color w:val="auto"/>
              </w:rPr>
            </w:pPr>
          </w:p>
        </w:tc>
      </w:tr>
      <w:tr>
        <w:trPr>
          <w:trHeight w:val="306"/>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overall supervision of the persons entrusted with</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w:t>
            </w: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exercer  la  haute  surveillance  sur  les  personnes</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managing the company, in particular with regard to</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chargées  de  la  gestion  pour  s'assurer  notamment</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compliance with the law, articles of association,</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qu'elles observent la loi, les statuts, les règlements et</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operational regulations and directives;</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instructions données;</w:t>
            </w:r>
          </w:p>
        </w:tc>
        <w:tc>
          <w:tcPr>
            <w:tcW w:w="0" w:type="dxa"/>
            <w:vAlign w:val="bottom"/>
          </w:tcPr>
          <w:p>
            <w:pPr>
              <w:spacing w:after="0"/>
              <w:rPr>
                <w:sz w:val="1"/>
                <w:szCs w:val="1"/>
                <w:color w:val="auto"/>
              </w:rPr>
            </w:pPr>
          </w:p>
        </w:tc>
      </w:tr>
      <w:tr>
        <w:trPr>
          <w:trHeight w:val="306"/>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compilation of the annual report, preparation for the</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établir le rapport de gestion, préparer l'assemblée</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general  meeting  and  implementation  of  its</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générale et exécuter ses décisions;</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resolutions;</w:t>
            </w:r>
          </w:p>
        </w:tc>
        <w:tc>
          <w:tcPr>
            <w:tcW w:w="400" w:type="dxa"/>
            <w:vAlign w:val="bottom"/>
            <w:tcBorders>
              <w:right w:val="single" w:sz="8" w:color="auto"/>
            </w:tcBorders>
          </w:tcPr>
          <w:p>
            <w:pPr>
              <w:spacing w:after="0"/>
              <w:rPr>
                <w:sz w:val="20"/>
                <w:szCs w:val="20"/>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g)</w:t>
            </w:r>
          </w:p>
        </w:tc>
        <w:tc>
          <w:tcPr>
            <w:tcW w:w="410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la  préparation  du  rapport  de  rémunération  et  de</w:t>
            </w:r>
          </w:p>
        </w:tc>
        <w:tc>
          <w:tcPr>
            <w:tcW w:w="0" w:type="dxa"/>
            <w:vAlign w:val="bottom"/>
          </w:tcPr>
          <w:p>
            <w:pPr>
              <w:spacing w:after="0"/>
              <w:rPr>
                <w:sz w:val="1"/>
                <w:szCs w:val="1"/>
                <w:color w:val="auto"/>
              </w:rPr>
            </w:pPr>
          </w:p>
        </w:tc>
      </w:tr>
      <w:tr>
        <w:trPr>
          <w:trHeight w:val="90"/>
        </w:trPr>
        <w:tc>
          <w:tcPr>
            <w:tcW w:w="420" w:type="dxa"/>
            <w:vAlign w:val="bottom"/>
            <w:tcBorders>
              <w:lef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6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320" w:type="dxa"/>
            <w:vAlign w:val="bottom"/>
            <w:vMerge w:val="continue"/>
          </w:tcPr>
          <w:p>
            <w:pPr>
              <w:spacing w:after="0"/>
              <w:rPr>
                <w:sz w:val="7"/>
                <w:szCs w:val="7"/>
                <w:color w:val="auto"/>
              </w:rPr>
            </w:pPr>
          </w:p>
        </w:tc>
        <w:tc>
          <w:tcPr>
            <w:tcW w:w="41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w:t>
            </w: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preparation of the compensation report and to</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demander l'approbation par l'assemblée générale en</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request approval by the General Meeting regarding</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  qui  concerne  la  rémunération  du  conseil</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compensation of the Board of Directors and the</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d'administration et du comité exécutif; et</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Executive Committee; and</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informer le juge en cas de surendettement.</w:t>
            </w:r>
          </w:p>
        </w:tc>
        <w:tc>
          <w:tcPr>
            <w:tcW w:w="0" w:type="dxa"/>
            <w:vAlign w:val="bottom"/>
          </w:tcPr>
          <w:p>
            <w:pPr>
              <w:spacing w:after="0"/>
              <w:rPr>
                <w:sz w:val="1"/>
                <w:szCs w:val="1"/>
                <w:color w:val="auto"/>
              </w:rPr>
            </w:pPr>
          </w:p>
        </w:tc>
      </w:tr>
      <w:tr>
        <w:trPr>
          <w:trHeight w:val="108"/>
        </w:trPr>
        <w:tc>
          <w:tcPr>
            <w:tcW w:w="42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h)</w:t>
            </w:r>
          </w:p>
        </w:tc>
        <w:tc>
          <w:tcPr>
            <w:tcW w:w="402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notification  of  the  court  in  the  event  that  the</w:t>
            </w: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20" w:type="dxa"/>
            <w:vAlign w:val="bottom"/>
            <w:tcBorders>
              <w:left w:val="single" w:sz="8" w:color="auto"/>
            </w:tcBorders>
            <w:vMerge w:val="continue"/>
          </w:tcPr>
          <w:p>
            <w:pPr>
              <w:spacing w:after="0"/>
              <w:rPr>
                <w:sz w:val="17"/>
                <w:szCs w:val="17"/>
                <w:color w:val="auto"/>
              </w:rPr>
            </w:pPr>
          </w:p>
        </w:tc>
        <w:tc>
          <w:tcPr>
            <w:tcW w:w="4020" w:type="dxa"/>
            <w:vAlign w:val="bottom"/>
            <w:tcBorders>
              <w:right w:val="single" w:sz="8" w:color="auto"/>
            </w:tcBorders>
            <w:gridSpan w:val="2"/>
            <w:vMerge w:val="continue"/>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company is overindebted.</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3"/>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board of directors may assign responsibility for</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  conseil  d'administration  peut  déléguer  à  un  ou</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preparing and implementing its resolutions or monitoring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plusieurs membres, regroupés en comités, la charge de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transactions to committees or individual members. It must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préparer  et  d'exécuter  ses  décisions  ou  de  surveiller</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ensure appropriate reporting to its members.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certaines affaires. Il veille à ce que ses membres soient</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convenablement informés.</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gridSpan w:val="2"/>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gridSpan w:val="2"/>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Art. 24</w:t>
            </w:r>
          </w:p>
        </w:tc>
        <w:tc>
          <w:tcPr>
            <w:tcW w:w="36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Representation of the Company</w:t>
            </w:r>
          </w:p>
        </w:tc>
        <w:tc>
          <w:tcPr>
            <w:tcW w:w="400" w:type="dxa"/>
            <w:vAlign w:val="bottom"/>
            <w:tcBorders>
              <w:right w:val="single" w:sz="8" w:color="auto"/>
            </w:tcBorders>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24</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Représentation de la société</w:t>
            </w:r>
          </w:p>
        </w:tc>
        <w:tc>
          <w:tcPr>
            <w:tcW w:w="0" w:type="dxa"/>
            <w:vAlign w:val="bottom"/>
          </w:tcPr>
          <w:p>
            <w:pPr>
              <w:spacing w:after="0"/>
              <w:rPr>
                <w:sz w:val="1"/>
                <w:szCs w:val="1"/>
                <w:color w:val="auto"/>
              </w:rPr>
            </w:pPr>
          </w:p>
        </w:tc>
      </w:tr>
      <w:tr>
        <w:trPr>
          <w:trHeight w:val="346"/>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The</w:t>
            </w:r>
          </w:p>
        </w:tc>
        <w:tc>
          <w:tcPr>
            <w:tcW w:w="40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Board of Directors shall assign the persons with</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 conseil d'administration nomme les personnes pouvant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signatory  power  for  the  company  and  the  kind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représenter la société ainsi que le mode de signature.</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signatory power.</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gridSpan w:val="2"/>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gridSpan w:val="2"/>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Art. 25</w:t>
            </w:r>
          </w:p>
        </w:tc>
        <w:tc>
          <w:tcPr>
            <w:tcW w:w="36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Delegation</w:t>
            </w:r>
          </w:p>
        </w:tc>
        <w:tc>
          <w:tcPr>
            <w:tcW w:w="400" w:type="dxa"/>
            <w:vAlign w:val="bottom"/>
            <w:tcBorders>
              <w:right w:val="single" w:sz="8" w:color="auto"/>
            </w:tcBorders>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25</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Délégation</w:t>
            </w:r>
          </w:p>
        </w:tc>
        <w:tc>
          <w:tcPr>
            <w:tcW w:w="0" w:type="dxa"/>
            <w:vAlign w:val="bottom"/>
          </w:tcPr>
          <w:p>
            <w:pPr>
              <w:spacing w:after="0"/>
              <w:rPr>
                <w:sz w:val="1"/>
                <w:szCs w:val="1"/>
                <w:color w:val="auto"/>
              </w:rPr>
            </w:pPr>
          </w:p>
        </w:tc>
      </w:tr>
      <w:tr>
        <w:trPr>
          <w:trHeight w:val="34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Moreover,  the  Board  of  Directors  is  authorized  to</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En outre, le conseil d'administration peut, dans les limites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delegate, in part or entirely, the management and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 la loi, déléguer, en partie ou entièrement, la gestion et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representation of the Company, within the limits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  représentation  de  la  société  à  un  ou  plusieurs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law, to one or more individual directors (Delegates) or to</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administrateurs (délégués) ou à des tiers conformément au</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third parties pursuant to organizational regulations.</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règlement d'organisation.</w:t>
            </w: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1"/>
        </w:trPr>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34" w:name="page235"/>
    <w:bookmarkEnd w:id="234"/>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338"/>
        </w:trPr>
        <w:tc>
          <w:tcPr>
            <w:tcW w:w="94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26</w:t>
            </w:r>
          </w:p>
        </w:tc>
        <w:tc>
          <w:tcPr>
            <w:tcW w:w="35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Meetings, Resolutions and Minutes</w:t>
            </w:r>
          </w:p>
        </w:tc>
        <w:tc>
          <w:tcPr>
            <w:tcW w:w="4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26</w:t>
            </w:r>
          </w:p>
        </w:tc>
        <w:tc>
          <w:tcPr>
            <w:tcW w:w="3560" w:type="dxa"/>
            <w:vAlign w:val="bottom"/>
            <w:tcBorders>
              <w:top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Réunions, décisions et procès-verbal</w:t>
            </w:r>
          </w:p>
        </w:tc>
        <w:tc>
          <w:tcPr>
            <w:tcW w:w="0" w:type="dxa"/>
            <w:vAlign w:val="bottom"/>
          </w:tcPr>
          <w:p>
            <w:pPr>
              <w:spacing w:after="0"/>
              <w:rPr>
                <w:sz w:val="1"/>
                <w:szCs w:val="1"/>
                <w:color w:val="auto"/>
              </w:rPr>
            </w:pPr>
          </w:p>
        </w:tc>
      </w:tr>
      <w:tr>
        <w:trPr>
          <w:trHeight w:val="45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organization of the meetings, the presence quorum</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L'organisation des réunions, le quorum de présence et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and the passing of resolutions of the Board of Directors is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l'adoption de décisions du conseil d'administration sont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determined by the organizational regulations. No presence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prévus dans le règlement d'organisation. Aucun quorum</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quorum  is  required  for  the  approval  of  the  capital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  présence  n'est  nécessaire  pour  l'approbation  d'un</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increase.</w:t>
            </w:r>
          </w:p>
        </w:tc>
        <w:tc>
          <w:tcPr>
            <w:tcW w:w="35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rapport d'augmentation de capital.</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Resolutions   may   be   passed   via   telephone   or</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Les décisions peuvent être prises par téléphone ou par</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videoconference. Resolutions may also be passed by way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vidéoconférence. Les décisions peuvent également être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 circulation, provided that no member requests oral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prises par voie de circulation, à condition qu'aucun</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deliberation.</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membre ne demande une délibération orale.</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Minutes  are  kept  of  the  board's  discussions  and</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Les délibérations et les décisions du conseil</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resolutions and signed by the chairman and the minute-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d'administration sont consignées dans un procès-verbal</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taker.</w:t>
            </w:r>
          </w:p>
        </w:tc>
        <w:tc>
          <w:tcPr>
            <w:tcW w:w="35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signé par le président et le rédacteur du procès-verbal.</w:t>
            </w: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356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27</w:t>
            </w:r>
          </w:p>
        </w:tc>
        <w:tc>
          <w:tcPr>
            <w:tcW w:w="3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Right to information and inspection</w:t>
            </w:r>
          </w:p>
        </w:tc>
        <w:tc>
          <w:tcPr>
            <w:tcW w:w="400" w:type="dxa"/>
            <w:vAlign w:val="bottom"/>
            <w:tcBorders>
              <w:right w:val="single" w:sz="8" w:color="auto"/>
            </w:tcBorders>
          </w:tcPr>
          <w:p>
            <w:pPr>
              <w:spacing w:after="0"/>
              <w:rPr>
                <w:sz w:val="24"/>
                <w:szCs w:val="2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27</w:t>
            </w:r>
          </w:p>
        </w:tc>
        <w:tc>
          <w:tcPr>
            <w:tcW w:w="35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Droit aux renseignements et à la</w:t>
            </w:r>
          </w:p>
        </w:tc>
        <w:tc>
          <w:tcPr>
            <w:tcW w:w="0" w:type="dxa"/>
            <w:vAlign w:val="bottom"/>
          </w:tcPr>
          <w:p>
            <w:pPr>
              <w:spacing w:after="0"/>
              <w:rPr>
                <w:sz w:val="1"/>
                <w:szCs w:val="1"/>
                <w:color w:val="auto"/>
              </w:rPr>
            </w:pPr>
          </w:p>
        </w:tc>
      </w:tr>
      <w:tr>
        <w:trPr>
          <w:trHeight w:val="238"/>
        </w:trPr>
        <w:tc>
          <w:tcPr>
            <w:tcW w:w="940" w:type="dxa"/>
            <w:vAlign w:val="bottom"/>
            <w:tcBorders>
              <w:lef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5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consultation</w:t>
            </w:r>
          </w:p>
        </w:tc>
        <w:tc>
          <w:tcPr>
            <w:tcW w:w="0" w:type="dxa"/>
            <w:vAlign w:val="bottom"/>
          </w:tcPr>
          <w:p>
            <w:pPr>
              <w:spacing w:after="0"/>
              <w:rPr>
                <w:sz w:val="1"/>
                <w:szCs w:val="1"/>
                <w:color w:val="auto"/>
              </w:rPr>
            </w:pPr>
          </w:p>
        </w:tc>
      </w:tr>
      <w:tr>
        <w:trPr>
          <w:trHeight w:val="238"/>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Any  member  of  the  board  of  directors  may  request</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Chaque membre du conseil d'administration a le droit</w:t>
            </w:r>
          </w:p>
        </w:tc>
        <w:tc>
          <w:tcPr>
            <w:tcW w:w="0" w:type="dxa"/>
            <w:vAlign w:val="bottom"/>
          </w:tcPr>
          <w:p>
            <w:pPr>
              <w:spacing w:after="0"/>
              <w:rPr>
                <w:sz w:val="1"/>
                <w:szCs w:val="1"/>
                <w:color w:val="auto"/>
              </w:rPr>
            </w:pPr>
          </w:p>
        </w:tc>
      </w:tr>
      <w:tr>
        <w:trPr>
          <w:trHeight w:val="180"/>
        </w:trPr>
        <w:tc>
          <w:tcPr>
            <w:tcW w:w="4440" w:type="dxa"/>
            <w:vAlign w:val="bottom"/>
            <w:tcBorders>
              <w:left w:val="single" w:sz="8" w:color="auto"/>
              <w:right w:val="single" w:sz="8" w:color="auto"/>
            </w:tcBorders>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information on any company business.</w:t>
            </w:r>
          </w:p>
        </w:tc>
        <w:tc>
          <w:tcPr>
            <w:tcW w:w="4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940" w:type="dxa"/>
            <w:vAlign w:val="bottom"/>
            <w:tcBorders>
              <w:lef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d'obtenir des renseignements sur toutes les affaires de la</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société.</w:t>
            </w:r>
          </w:p>
        </w:tc>
        <w:tc>
          <w:tcPr>
            <w:tcW w:w="32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Outside meetings, any member may request information</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En dehors des séances, chaque membre du conseil</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from the persons entrusted with managing the company's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d'administration peut exiger des personnes chargées de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business concerning the company's business performance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gestion des renseignements sur la marche de l'entreprise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and,   with   the   chairman's   authorisation,   specific</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et, avec l'autorisation du président, sur des affaires</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transactions.</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déterminées.</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Where required for the performance of his duties, any</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Dans la mesure où cela est nécessaire à l'accomplissement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member may request the chairman to have books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 ses tâches, chaque membre du conseil d'administration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account  and  documents  made  available  to  him  for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peut demander au président la production des livres ou des</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inspection.</w:t>
            </w:r>
          </w:p>
        </w:tc>
        <w:tc>
          <w:tcPr>
            <w:tcW w:w="35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dossiers.</w:t>
            </w:r>
          </w:p>
        </w:tc>
        <w:tc>
          <w:tcPr>
            <w:tcW w:w="32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If the chairman refuses a request for information, a</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Si le président rejette une demande de renseignement,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request  to  be  heard  or  an  application  to  inspect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d'audition ou de consultation, le conseil d'administration</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documents, the board of directors rules on the matter.</w:t>
            </w:r>
          </w:p>
        </w:tc>
        <w:tc>
          <w:tcPr>
            <w:tcW w:w="400" w:type="dxa"/>
            <w:vAlign w:val="bottom"/>
            <w:tcBorders>
              <w:right w:val="single" w:sz="8" w:color="auto"/>
            </w:tcBorders>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tranche.</w:t>
            </w:r>
          </w:p>
        </w:tc>
        <w:tc>
          <w:tcPr>
            <w:tcW w:w="32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356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28</w:t>
            </w:r>
          </w:p>
        </w:tc>
        <w:tc>
          <w:tcPr>
            <w:tcW w:w="3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400" w:type="dxa"/>
            <w:vAlign w:val="bottom"/>
            <w:tcBorders>
              <w:right w:val="single" w:sz="8" w:color="auto"/>
            </w:tcBorders>
          </w:tcPr>
          <w:p>
            <w:pPr>
              <w:spacing w:after="0"/>
              <w:rPr>
                <w:sz w:val="24"/>
                <w:szCs w:val="2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28</w:t>
            </w:r>
          </w:p>
        </w:tc>
        <w:tc>
          <w:tcPr>
            <w:tcW w:w="35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Comité de rémunération</w:t>
            </w:r>
          </w:p>
        </w:tc>
        <w:tc>
          <w:tcPr>
            <w:tcW w:w="0" w:type="dxa"/>
            <w:vAlign w:val="bottom"/>
          </w:tcPr>
          <w:p>
            <w:pPr>
              <w:spacing w:after="0"/>
              <w:rPr>
                <w:sz w:val="1"/>
                <w:szCs w:val="1"/>
                <w:color w:val="auto"/>
              </w:rPr>
            </w:pP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Compensation Committee shall comprise at least 2</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 comité de rémunération se compose d'au moins 2</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members. The members of the Compensation Committee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membres. Les membres du comité de rémunération sont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shall be individually elected by the Ordinary General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élus par l'assemblée générale ordinaire parmi les membres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Meeting  from  among  the  members  of  the  Board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du conseil d'administration pour un mandat d'un an jusqu'à</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Directors for a term of one year until the next Ordinary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 prochaine assemblée générale ordinaire. Une réélection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General  Meeting.  Re-election  is  permitted.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est possible. Le comité de rémunération a les fonctions</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Committee has the following duties:</w:t>
            </w:r>
          </w:p>
        </w:tc>
        <w:tc>
          <w:tcPr>
            <w:tcW w:w="400" w:type="dxa"/>
            <w:vAlign w:val="bottom"/>
            <w:tcBorders>
              <w:right w:val="single" w:sz="8" w:color="auto"/>
            </w:tcBorders>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suivantes:</w:t>
            </w:r>
          </w:p>
        </w:tc>
        <w:tc>
          <w:tcPr>
            <w:tcW w:w="32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   to draw up principles for compensation of members</w:t>
            </w:r>
          </w:p>
        </w:tc>
        <w:tc>
          <w:tcPr>
            <w:tcW w:w="40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élaborer  des  principes  de  rémunération  des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of  the  Board  of  Directors  and  the  Executive</w:t>
            </w:r>
          </w:p>
        </w:tc>
        <w:tc>
          <w:tcPr>
            <w:tcW w:w="4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membres du conseil d'administration et du comité</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Committee and to submit them to the Board of</w:t>
            </w: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exécutif et de les soumettre au conseil</w:t>
            </w: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1"/>
        </w:trPr>
        <w:tc>
          <w:tcPr>
            <w:tcW w:w="9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35" w:name="page236"/>
    <w:bookmarkEnd w:id="235"/>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8"/>
        </w:trPr>
        <w:tc>
          <w:tcPr>
            <w:tcW w:w="420" w:type="dxa"/>
            <w:vAlign w:val="bottom"/>
            <w:tcBorders>
              <w:top w:val="single" w:sz="8" w:color="auto"/>
              <w:left w:val="single" w:sz="8" w:color="auto"/>
            </w:tcBorders>
          </w:tcPr>
          <w:p>
            <w:pPr>
              <w:spacing w:after="0"/>
              <w:rPr>
                <w:sz w:val="21"/>
                <w:szCs w:val="21"/>
                <w:color w:val="auto"/>
              </w:rPr>
            </w:pPr>
          </w:p>
        </w:tc>
        <w:tc>
          <w:tcPr>
            <w:tcW w:w="4020" w:type="dxa"/>
            <w:vAlign w:val="bottom"/>
            <w:tcBorders>
              <w:top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Directors for approval;</w:t>
            </w:r>
          </w:p>
        </w:tc>
        <w:tc>
          <w:tcPr>
            <w:tcW w:w="40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100" w:type="dxa"/>
            <w:vAlign w:val="bottom"/>
            <w:tcBorders>
              <w:top w:val="single" w:sz="8" w:color="auto"/>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d'administration pour approbation;</w:t>
            </w:r>
          </w:p>
        </w:tc>
        <w:tc>
          <w:tcPr>
            <w:tcW w:w="0" w:type="dxa"/>
            <w:vAlign w:val="bottom"/>
          </w:tcPr>
          <w:p>
            <w:pPr>
              <w:spacing w:after="0"/>
              <w:rPr>
                <w:sz w:val="1"/>
                <w:szCs w:val="1"/>
                <w:color w:val="auto"/>
              </w:rPr>
            </w:pPr>
          </w:p>
        </w:tc>
      </w:tr>
      <w:tr>
        <w:trPr>
          <w:trHeight w:val="328"/>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to propose to the Board of Directors the resolution to</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proposer au conseil d'administration la décision sera</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be submitted to the Ordinary General Meeting for</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soumise à l'assemblée générale ordinaire pour la</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maximum total compensation of the Board of</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rémunération   totale   maximale   du   conseil</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Directors and Executive Committee;</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d'administration et du comité exécutif;</w:t>
            </w:r>
          </w:p>
        </w:tc>
        <w:tc>
          <w:tcPr>
            <w:tcW w:w="0" w:type="dxa"/>
            <w:vAlign w:val="bottom"/>
          </w:tcPr>
          <w:p>
            <w:pPr>
              <w:spacing w:after="0"/>
              <w:rPr>
                <w:sz w:val="1"/>
                <w:szCs w:val="1"/>
                <w:color w:val="auto"/>
              </w:rPr>
            </w:pPr>
          </w:p>
        </w:tc>
      </w:tr>
      <w:tr>
        <w:trPr>
          <w:trHeight w:val="306"/>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subject to and within the bounds of the maximum</w:t>
            </w:r>
          </w:p>
        </w:tc>
        <w:tc>
          <w:tcPr>
            <w:tcW w:w="400" w:type="dxa"/>
            <w:vAlign w:val="bottom"/>
            <w:tcBorders>
              <w:right w:val="single" w:sz="8" w:color="auto"/>
            </w:tcBorders>
          </w:tcPr>
          <w:p>
            <w:pPr>
              <w:spacing w:after="0"/>
              <w:rPr>
                <w:sz w:val="24"/>
                <w:szCs w:val="24"/>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w:t>
            </w:r>
          </w:p>
        </w:tc>
        <w:tc>
          <w:tcPr>
            <w:tcW w:w="4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20" w:type="dxa"/>
            <w:vAlign w:val="bottom"/>
            <w:tcBorders>
              <w:left w:val="single" w:sz="8" w:color="auto"/>
            </w:tcBorders>
          </w:tcPr>
          <w:p>
            <w:pPr>
              <w:spacing w:after="0"/>
              <w:rPr>
                <w:sz w:val="23"/>
                <w:szCs w:val="23"/>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compensation approved by the Ordinary General</w:t>
            </w:r>
          </w:p>
        </w:tc>
        <w:tc>
          <w:tcPr>
            <w:tcW w:w="400" w:type="dxa"/>
            <w:vAlign w:val="bottom"/>
            <w:tcBorders>
              <w:right w:val="single" w:sz="8" w:color="auto"/>
            </w:tcBorders>
          </w:tcPr>
          <w:p>
            <w:pPr>
              <w:spacing w:after="0"/>
              <w:rPr>
                <w:sz w:val="23"/>
                <w:szCs w:val="23"/>
                <w:color w:val="auto"/>
              </w:rPr>
            </w:pPr>
          </w:p>
        </w:tc>
        <w:tc>
          <w:tcPr>
            <w:tcW w:w="320" w:type="dxa"/>
            <w:vAlign w:val="bottom"/>
            <w:vMerge w:val="continue"/>
          </w:tcPr>
          <w:p>
            <w:pPr>
              <w:spacing w:after="0"/>
              <w:rPr>
                <w:sz w:val="23"/>
                <w:szCs w:val="23"/>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sous réserve et dans les limites de la rémunération</w:t>
            </w:r>
          </w:p>
        </w:tc>
        <w:tc>
          <w:tcPr>
            <w:tcW w:w="0" w:type="dxa"/>
            <w:vAlign w:val="bottom"/>
          </w:tcPr>
          <w:p>
            <w:pPr>
              <w:spacing w:after="0"/>
              <w:rPr>
                <w:sz w:val="1"/>
                <w:szCs w:val="1"/>
                <w:color w:val="auto"/>
              </w:rPr>
            </w:pPr>
          </w:p>
        </w:tc>
      </w:tr>
      <w:tr>
        <w:trPr>
          <w:trHeight w:val="109"/>
        </w:trPr>
        <w:tc>
          <w:tcPr>
            <w:tcW w:w="420" w:type="dxa"/>
            <w:vAlign w:val="bottom"/>
            <w:tcBorders>
              <w:left w:val="single" w:sz="8" w:color="auto"/>
              <w:bottom w:val="single" w:sz="8" w:color="auto"/>
            </w:tcBorders>
          </w:tcPr>
          <w:p>
            <w:pPr>
              <w:spacing w:after="0"/>
              <w:rPr>
                <w:sz w:val="9"/>
                <w:szCs w:val="9"/>
                <w:color w:val="auto"/>
              </w:rPr>
            </w:pPr>
          </w:p>
        </w:tc>
        <w:tc>
          <w:tcPr>
            <w:tcW w:w="4020" w:type="dxa"/>
            <w:vAlign w:val="bottom"/>
            <w:tcBorders>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100" w:type="dxa"/>
            <w:vAlign w:val="bottom"/>
            <w:tcBorders>
              <w:bottom w:val="single" w:sz="8" w:color="auto"/>
              <w:right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20" w:type="dxa"/>
            <w:vAlign w:val="bottom"/>
            <w:tcBorders>
              <w:left w:val="single" w:sz="8" w:color="auto"/>
            </w:tcBorders>
          </w:tcPr>
          <w:p>
            <w:pPr>
              <w:spacing w:after="0"/>
              <w:rPr>
                <w:sz w:val="24"/>
                <w:szCs w:val="24"/>
                <w:color w:val="auto"/>
              </w:rPr>
            </w:pPr>
          </w:p>
        </w:tc>
        <w:tc>
          <w:tcPr>
            <w:tcW w:w="40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Meeting,  to  request  approval  by  the  Board  of</w:t>
            </w:r>
          </w:p>
        </w:tc>
        <w:tc>
          <w:tcPr>
            <w:tcW w:w="40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maximale  approuvée  par  l'assemblée  générale</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Directors of the individual remuneration packages to</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ordinaire,   demander   l'approbation   du   conseil</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 paid to members of the Board of Directors and</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d'administration quant aux paquets de rémunération</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members of the Executive Committee;</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individuels  devant  être  versés  aux  membres  du</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conseil d'administration et aux membres du comité</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402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to  request  approval  by  the  Board  of  Directors</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exécutif;</w:t>
            </w:r>
          </w:p>
        </w:tc>
        <w:tc>
          <w:tcPr>
            <w:tcW w:w="0" w:type="dxa"/>
            <w:vAlign w:val="bottom"/>
          </w:tcPr>
          <w:p>
            <w:pPr>
              <w:spacing w:after="0"/>
              <w:rPr>
                <w:sz w:val="1"/>
                <w:szCs w:val="1"/>
                <w:color w:val="auto"/>
              </w:rPr>
            </w:pPr>
          </w:p>
        </w:tc>
      </w:tr>
      <w:tr>
        <w:trPr>
          <w:trHeight w:val="90"/>
        </w:trPr>
        <w:tc>
          <w:tcPr>
            <w:tcW w:w="420" w:type="dxa"/>
            <w:vAlign w:val="bottom"/>
            <w:tcBorders>
              <w:left w:val="single" w:sz="8" w:color="auto"/>
            </w:tcBorders>
            <w:vMerge w:val="continue"/>
          </w:tcPr>
          <w:p>
            <w:pPr>
              <w:spacing w:after="0"/>
              <w:rPr>
                <w:sz w:val="7"/>
                <w:szCs w:val="7"/>
                <w:color w:val="auto"/>
              </w:rPr>
            </w:pPr>
          </w:p>
        </w:tc>
        <w:tc>
          <w:tcPr>
            <w:tcW w:w="4020" w:type="dxa"/>
            <w:vAlign w:val="bottom"/>
            <w:tcBorders>
              <w:right w:val="single" w:sz="8" w:color="auto"/>
            </w:tcBorders>
            <w:gridSpan w:val="2"/>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regarding the determination of the compensation-</w:t>
            </w:r>
          </w:p>
        </w:tc>
        <w:tc>
          <w:tcPr>
            <w:tcW w:w="400" w:type="dxa"/>
            <w:vAlign w:val="bottom"/>
            <w:tcBorders>
              <w:right w:val="single" w:sz="8" w:color="auto"/>
            </w:tcBorders>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requérir l'approbation du conseil d'administration</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related targets for the Executive Committee;</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sur la fixation d'objectifs liés à la rémunération pour</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402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to  request  approval  by  the  Board  of  Directors</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le comité exécutif;</w:t>
            </w:r>
          </w:p>
        </w:tc>
        <w:tc>
          <w:tcPr>
            <w:tcW w:w="0" w:type="dxa"/>
            <w:vAlign w:val="bottom"/>
          </w:tcPr>
          <w:p>
            <w:pPr>
              <w:spacing w:after="0"/>
              <w:rPr>
                <w:sz w:val="1"/>
                <w:szCs w:val="1"/>
                <w:color w:val="auto"/>
              </w:rPr>
            </w:pPr>
          </w:p>
        </w:tc>
      </w:tr>
      <w:tr>
        <w:trPr>
          <w:trHeight w:val="90"/>
        </w:trPr>
        <w:tc>
          <w:tcPr>
            <w:tcW w:w="420" w:type="dxa"/>
            <w:vAlign w:val="bottom"/>
            <w:tcBorders>
              <w:left w:val="single" w:sz="8" w:color="auto"/>
            </w:tcBorders>
            <w:vMerge w:val="continue"/>
          </w:tcPr>
          <w:p>
            <w:pPr>
              <w:spacing w:after="0"/>
              <w:rPr>
                <w:sz w:val="7"/>
                <w:szCs w:val="7"/>
                <w:color w:val="auto"/>
              </w:rPr>
            </w:pPr>
          </w:p>
        </w:tc>
        <w:tc>
          <w:tcPr>
            <w:tcW w:w="4020" w:type="dxa"/>
            <w:vAlign w:val="bottom"/>
            <w:tcBorders>
              <w:right w:val="single" w:sz="8" w:color="auto"/>
            </w:tcBorders>
            <w:gridSpan w:val="2"/>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regarding  the  adjustments  to  the  Articles  of</w:t>
            </w:r>
          </w:p>
        </w:tc>
        <w:tc>
          <w:tcPr>
            <w:tcW w:w="400" w:type="dxa"/>
            <w:vAlign w:val="bottom"/>
            <w:tcBorders>
              <w:right w:val="single" w:sz="8" w:color="auto"/>
            </w:tcBorders>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w:t>
            </w: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requérir l'approbation du conseil d'administration</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Association relating to remuneration; and</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sur  les  adaptations  des  statuts  relatives  à  la</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402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to prepare the Compensation Report and submit it to</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rémunération; et</w:t>
            </w:r>
          </w:p>
        </w:tc>
        <w:tc>
          <w:tcPr>
            <w:tcW w:w="0" w:type="dxa"/>
            <w:vAlign w:val="bottom"/>
          </w:tcPr>
          <w:p>
            <w:pPr>
              <w:spacing w:after="0"/>
              <w:rPr>
                <w:sz w:val="1"/>
                <w:szCs w:val="1"/>
                <w:color w:val="auto"/>
              </w:rPr>
            </w:pPr>
          </w:p>
        </w:tc>
      </w:tr>
      <w:tr>
        <w:trPr>
          <w:trHeight w:val="90"/>
        </w:trPr>
        <w:tc>
          <w:tcPr>
            <w:tcW w:w="420" w:type="dxa"/>
            <w:vAlign w:val="bottom"/>
            <w:tcBorders>
              <w:left w:val="single" w:sz="8" w:color="auto"/>
            </w:tcBorders>
            <w:vMerge w:val="continue"/>
          </w:tcPr>
          <w:p>
            <w:pPr>
              <w:spacing w:after="0"/>
              <w:rPr>
                <w:sz w:val="7"/>
                <w:szCs w:val="7"/>
                <w:color w:val="auto"/>
              </w:rPr>
            </w:pPr>
          </w:p>
        </w:tc>
        <w:tc>
          <w:tcPr>
            <w:tcW w:w="4020" w:type="dxa"/>
            <w:vAlign w:val="bottom"/>
            <w:tcBorders>
              <w:right w:val="single" w:sz="8" w:color="auto"/>
            </w:tcBorders>
            <w:gridSpan w:val="2"/>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the Board of Directors.</w:t>
            </w:r>
          </w:p>
        </w:tc>
        <w:tc>
          <w:tcPr>
            <w:tcW w:w="400" w:type="dxa"/>
            <w:vAlign w:val="bottom"/>
            <w:tcBorders>
              <w:right w:val="single" w:sz="8" w:color="auto"/>
            </w:tcBorders>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préparer  le  rapport  de  rémunération  et  de  le</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soumettre au conseil d'administration.</w:t>
            </w: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Board of Directors shall set out any further duties and</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 conseil d'administration fixe toutes les autres fonctions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responsibilities vested on the Compensation Committee in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et responsabilités dévolues au comité de rémunération</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Company's Organizational Rules.</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dans le règlement d'organisation de la société.</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3"/>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If there are vacancies on the Compensation Committee,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S'il y a des postes vacants au sein du comité de rémunéra-­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Board of Directors may appoint substitutes from</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tion,  le  conseil  d'administration  peut  désigner  des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amongst its members for the remaining term of office.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substituts parmi ses membres pour la durée restante du</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terme de fonction.</w:t>
            </w: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4020" w:type="dxa"/>
            <w:vAlign w:val="bottom"/>
            <w:tcBorders>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The</w:t>
            </w:r>
          </w:p>
        </w:tc>
        <w:tc>
          <w:tcPr>
            <w:tcW w:w="40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Board of Directors shall elect a chairman of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 conseil d'administration élit un président du comité de</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Compensation Committee.</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rémunération.</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gridSpan w:val="2"/>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gridSpan w:val="2"/>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Art. 29</w:t>
            </w:r>
          </w:p>
        </w:tc>
        <w:tc>
          <w:tcPr>
            <w:tcW w:w="36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Indemnification</w:t>
            </w:r>
          </w:p>
        </w:tc>
        <w:tc>
          <w:tcPr>
            <w:tcW w:w="400" w:type="dxa"/>
            <w:vAlign w:val="bottom"/>
            <w:tcBorders>
              <w:right w:val="single" w:sz="8" w:color="auto"/>
            </w:tcBorders>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29</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Indemnisation</w:t>
            </w:r>
          </w:p>
        </w:tc>
        <w:tc>
          <w:tcPr>
            <w:tcW w:w="0" w:type="dxa"/>
            <w:vAlign w:val="bottom"/>
          </w:tcPr>
          <w:p>
            <w:pPr>
              <w:spacing w:after="0"/>
              <w:rPr>
                <w:sz w:val="1"/>
                <w:szCs w:val="1"/>
                <w:color w:val="auto"/>
              </w:rPr>
            </w:pPr>
          </w:p>
        </w:tc>
      </w:tr>
      <w:tr>
        <w:trPr>
          <w:trHeight w:val="148"/>
        </w:trPr>
        <w:tc>
          <w:tcPr>
            <w:tcW w:w="4440" w:type="dxa"/>
            <w:vAlign w:val="bottom"/>
            <w:tcBorders>
              <w:left w:val="single" w:sz="8" w:color="auto"/>
              <w:bottom w:val="single" w:sz="8" w:color="auto"/>
              <w:right w:val="single" w:sz="8" w:color="auto"/>
            </w:tcBorders>
            <w:gridSpan w:val="3"/>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4420" w:type="dxa"/>
            <w:vAlign w:val="bottom"/>
            <w:tcBorders>
              <w:bottom w:val="single" w:sz="8" w:color="auto"/>
              <w:right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44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As  far  as  is  permissible  under  applicable  law,  the</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4"/>
          </w:tcPr>
          <w:p>
            <w:pPr>
              <w:ind w:left="80"/>
              <w:spacing w:after="0" w:line="191" w:lineRule="exact"/>
              <w:rPr>
                <w:sz w:val="20"/>
                <w:szCs w:val="20"/>
                <w:color w:val="auto"/>
              </w:rPr>
            </w:pPr>
            <w:r>
              <w:rPr>
                <w:rFonts w:ascii="Times New Roman" w:cs="Times New Roman" w:eastAsia="Times New Roman" w:hAnsi="Times New Roman"/>
                <w:sz w:val="18"/>
                <w:szCs w:val="18"/>
                <w:color w:val="auto"/>
              </w:rPr>
              <w:t>Dans la mesure permise par la loi applicable, la société</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Company shall indemnify any current or former member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indemnisera tout membre actuel ou ancien du conseil</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of  the  Board  of  Directors,  former  members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d'administration, les anciens membres du comité exécutif,</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Executive Committee, or any person who is serving or has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ou toute personne qui sert ou a servi à la demande de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served at the request of the Company as a member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société en tant que membre du conseil d'administration ou</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Board  of  Directors  or  member  of  the  Executive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membre du comité exécutif (chacun individuellement, une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Committee  (each  individually,  a  "Covered  Person"),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"Personne Couverte"), pour toutes les dépenses, y compris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against  any  expenses,  including  attorneys'  fees,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les honoraires d'avocat, jugements, amendes, et montants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judgments, fines, and amounts paid in settlement actually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versés  effectivement  et  raisonnablement  à  titre  de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and reasonably incurred by him or her in connection with</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règlement dans le cadre de toute action, poursuite ou</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any threatened, pending, or completed</w:t>
            </w:r>
          </w:p>
        </w:tc>
        <w:tc>
          <w:tcPr>
            <w:tcW w:w="400" w:type="dxa"/>
            <w:vAlign w:val="bottom"/>
            <w:tcBorders>
              <w:bottom w:val="single" w:sz="8" w:color="auto"/>
              <w:right w:val="single" w:sz="8" w:color="auto"/>
            </w:tcBorders>
          </w:tcPr>
          <w:p>
            <w:pPr>
              <w:spacing w:after="0"/>
              <w:rPr>
                <w:sz w:val="20"/>
                <w:szCs w:val="20"/>
                <w:color w:val="auto"/>
              </w:rPr>
            </w:pPr>
          </w:p>
        </w:tc>
        <w:tc>
          <w:tcPr>
            <w:tcW w:w="442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procédure imminente,</w:t>
            </w:r>
          </w:p>
        </w:tc>
        <w:tc>
          <w:tcPr>
            <w:tcW w:w="0" w:type="dxa"/>
            <w:vAlign w:val="bottom"/>
          </w:tcPr>
          <w:p>
            <w:pPr>
              <w:spacing w:after="0"/>
              <w:rPr>
                <w:sz w:val="1"/>
                <w:szCs w:val="1"/>
                <w:color w:val="auto"/>
              </w:rPr>
            </w:pPr>
          </w:p>
        </w:tc>
      </w:tr>
      <w:tr>
        <w:trPr>
          <w:trHeight w:val="541"/>
        </w:trPr>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36" w:name="page237"/>
    <w:bookmarkEnd w:id="236"/>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44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action, suit or proceeding, whether civil, criminal or</w:t>
            </w:r>
          </w:p>
        </w:tc>
        <w:tc>
          <w:tcPr>
            <w:tcW w:w="400" w:type="dxa"/>
            <w:vAlign w:val="bottom"/>
            <w:tcBorders>
              <w:top w:val="single" w:sz="8" w:color="auto"/>
              <w:right w:val="single" w:sz="8" w:color="auto"/>
            </w:tcBorders>
          </w:tcPr>
          <w:p>
            <w:pPr>
              <w:spacing w:after="0"/>
              <w:rPr>
                <w:sz w:val="18"/>
                <w:szCs w:val="18"/>
                <w:color w:val="auto"/>
              </w:rPr>
            </w:pPr>
          </w:p>
        </w:tc>
        <w:tc>
          <w:tcPr>
            <w:tcW w:w="442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pendante  ou  terminée,  qu'elle  soit  civile,  pénale  ou</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administrative, to which he or she was, is, or is threatened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administrative, à laquelle il ou elle a été, est, ou est</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  be  made  a  party,  or  is  otherwise  involved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menacé d'être partie, ou est impliqué de toute autre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"Proceeding"). This provision shall not indemnify 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manière (une "Procédure"). Cette disposition ne doit pas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Covered Person against any liability arising out of (a) 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indemniser   une   Personne   Couverte   contre   une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fraud or dishonesty in the performance of such Covered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responsabilité  découlant  de  (a)  une  fraude  ou  une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Person's duty to the Company, or (b) such Covered Party's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malhonnêteté de cette Personne Couverte dans l'exercice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conscious,  intentional  or  willful  or  grossly  negligent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  ses  fonctions  vis-à-vis  de  la  société,  ou  (b)  une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breach of the obligation to act honestly and in good faith</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violation  consciente,  intentionnelle  ou  volontaire  ou</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  a  view  to  the  best  interests  of  the  Company.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gravement négligente de l'obligation de cette Personne</w:t>
            </w:r>
          </w:p>
        </w:tc>
      </w:tr>
      <w:tr>
        <w:trPr>
          <w:trHeight w:val="234"/>
        </w:trPr>
        <w:tc>
          <w:tcPr>
            <w:tcW w:w="4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Notwithstanding the</w:t>
            </w:r>
          </w:p>
        </w:tc>
        <w:tc>
          <w:tcPr>
            <w:tcW w:w="400" w:type="dxa"/>
            <w:vAlign w:val="bottom"/>
            <w:tcBorders>
              <w:bottom w:val="single" w:sz="8" w:color="auto"/>
              <w:right w:val="single" w:sz="8" w:color="auto"/>
            </w:tcBorders>
          </w:tcPr>
          <w:p>
            <w:pPr>
              <w:spacing w:after="0"/>
              <w:rPr>
                <w:sz w:val="20"/>
                <w:szCs w:val="20"/>
                <w:color w:val="auto"/>
              </w:rPr>
            </w:pPr>
          </w:p>
        </w:tc>
        <w:tc>
          <w:tcPr>
            <w:tcW w:w="44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Couverte d'agir avec honnêteté en tenant compte du</w:t>
            </w:r>
          </w:p>
        </w:tc>
      </w:tr>
      <w:tr>
        <w:trPr>
          <w:trHeight w:val="299"/>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preceding sentence, this section shall not extend to any</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meilleur intérêt de la société. Nonobstant ce qui précède,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person holding the office of auditor or special auditor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cette  disposition  ne  s'étend  pas  aux  personnes  qui</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Company.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occupent le poste de réviseur ou de réviseur spécial de la</w:t>
            </w:r>
          </w:p>
        </w:tc>
      </w:tr>
      <w:tr>
        <w:trPr>
          <w:trHeight w:val="234"/>
        </w:trPr>
        <w:tc>
          <w:tcPr>
            <w:tcW w:w="4440" w:type="dxa"/>
            <w:vAlign w:val="bottom"/>
            <w:tcBorders>
              <w:left w:val="single" w:sz="8" w:color="auto"/>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société.</w:t>
            </w:r>
          </w:p>
        </w:tc>
      </w:tr>
      <w:tr>
        <w:trPr>
          <w:trHeight w:val="108"/>
        </w:trPr>
        <w:tc>
          <w:tcPr>
            <w:tcW w:w="444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the case of any Proceeding by or in the name of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Dans le cas de toute Procédure intentée par ou au nom de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Company, the Company shall indemnify each Covered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 société, la société doit indemniser chaque Personne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Person  against  expenses,  including  attorneys'  fees,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Couverte pour les dépenses, y compris les honoraires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actually and reasonably incurred in connection with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d'avocat, effectivement et raisonnablement encourus dans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defense or settlement thereof, except no indemnification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 cadre de la défense ou du règlement dans le cadre de la</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shall be made in respect of any claim, issue or matter as to</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Procédure. Aucune indemnisation ne sera octroyée pour</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which a Covered Person shall have been adjudged to be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une réclamation, problème ou affaire pour laquelle une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liable for fraud or dishonesty in the performance of his 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Personne Couverte est tenue responsable à la suite de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her duty to the Company, or for conscious, intentional 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fraude ou de malhonnêteté dans l'exercice de ses fonctions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willful or grossly negligent breach of his or her obligation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vis-à-vis  de  la  société,  ou  à  cause  d'une  violation</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 act honestly and in good faith with a view to the best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consciente, intentionnelle ou volontaire ou gravement</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interests of the Company, unless and only to the extent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négligente de l'obligation de la Personne Couverte d'agir</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that a court in which such action or suit was brought shall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avec honnêteté en tenant compte du meilleur intérêt de la</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determine upon application that despite the adjudication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société, sauf et uniquement si un tribunal auquel une telle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liability, but in view of all the circumstances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action ou poursuite a été porté détermine que, malgré la</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case,  such  Covered  Person  is  fairly  and  reasonably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reconnaissance de la responsabilité, mais compte tenu de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entitled to indemnity for such expenses as the court shall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toutes les circonstances du cas d'espèce, cette Personne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deem proper. Notwithstanding the preceding sentence,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Couverte a équitablement et raisonnablement droit à une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this section shall not extend to any person holding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indemnisation  de  ces  dépenses,  mais  uniquement  à</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office of auditor or special auditor of the Company.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hauteur du montant que le tribunal jugera convenable.</w:t>
            </w:r>
          </w:p>
        </w:tc>
      </w:tr>
      <w:tr>
        <w:trPr>
          <w:trHeight w:val="216"/>
        </w:trPr>
        <w:tc>
          <w:tcPr>
            <w:tcW w:w="444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Nonobstant la phrase précédente, cette disposition ne</w:t>
            </w:r>
          </w:p>
        </w:tc>
      </w:tr>
      <w:tr>
        <w:trPr>
          <w:trHeight w:val="216"/>
        </w:trPr>
        <w:tc>
          <w:tcPr>
            <w:tcW w:w="444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s'étend  pas  aux  personnes  qui  occupent  le  poste  de</w:t>
            </w:r>
          </w:p>
        </w:tc>
      </w:tr>
      <w:tr>
        <w:trPr>
          <w:trHeight w:val="234"/>
        </w:trPr>
        <w:tc>
          <w:tcPr>
            <w:tcW w:w="4440" w:type="dxa"/>
            <w:vAlign w:val="bottom"/>
            <w:tcBorders>
              <w:left w:val="single" w:sz="8" w:color="auto"/>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réviseur ou de réviseur spécial de la société.</w:t>
            </w:r>
          </w:p>
        </w:tc>
      </w:tr>
      <w:tr>
        <w:trPr>
          <w:trHeight w:val="108"/>
        </w:trPr>
        <w:tc>
          <w:tcPr>
            <w:tcW w:w="444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2"/>
          </w:tcPr>
          <w:p>
            <w:pPr>
              <w:spacing w:after="0"/>
              <w:rPr>
                <w:sz w:val="9"/>
                <w:szCs w:val="9"/>
                <w:color w:val="auto"/>
              </w:rPr>
            </w:pPr>
          </w:p>
        </w:tc>
      </w:tr>
      <w:tr>
        <w:trPr>
          <w:trHeight w:val="191"/>
        </w:trPr>
        <w:tc>
          <w:tcPr>
            <w:tcW w:w="44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Any indemnification under this Article 29 (unless ordered</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Toute indemnisation en vertu du présent article 29 (sauf si</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by a court) shall be made by the Company only as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ordonnée par un tribunal) doit être octroyée par la société</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authorized in the specific case upon a determination that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dans chaque cas dans les limites de l'autorisation sur la</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indemnification of the Covered Person is proper in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base  d'une  détermination  que  l'indemnisation  de  la</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circumstances because such person has met the applicable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Personne Couverte est appropriée dans les circonstances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Standard of conduct set forth in this Article 29. Such</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parce  que  cette  personne  a  satisfait  au  standard  de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determination shall be made, with respect to a Covered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conduite applicable énoncé dans le présent article 29. Une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Person (a) by a majority vote of the members of the Board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telle décision concernant une Personne Couverte doit être</w:t>
            </w:r>
          </w:p>
        </w:tc>
      </w:tr>
      <w:tr>
        <w:trPr>
          <w:trHeight w:val="234"/>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Directors who are not parties to such</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prise (a) par la majorité des votes des membres</w:t>
            </w:r>
          </w:p>
        </w:tc>
      </w:tr>
      <w:tr>
        <w:trPr>
          <w:trHeight w:val="108"/>
        </w:trPr>
        <w:tc>
          <w:tcPr>
            <w:tcW w:w="444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r>
      <w:tr>
        <w:trPr>
          <w:trHeight w:val="540"/>
        </w:trPr>
        <w:tc>
          <w:tcPr>
            <w:tcW w:w="4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480"/>
          </w:cols>
          <w:pgMar w:left="1440" w:top="660" w:right="979" w:bottom="1440" w:gutter="0" w:footer="0" w:header="0"/>
        </w:sectPr>
      </w:pPr>
    </w:p>
    <w:bookmarkStart w:id="237" w:name="page238"/>
    <w:bookmarkEnd w:id="237"/>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44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proceeding, even though less than a quorum; (b) by a</w:t>
            </w:r>
          </w:p>
        </w:tc>
        <w:tc>
          <w:tcPr>
            <w:tcW w:w="400" w:type="dxa"/>
            <w:vAlign w:val="bottom"/>
            <w:tcBorders>
              <w:top w:val="single" w:sz="8" w:color="auto"/>
              <w:right w:val="single" w:sz="8" w:color="auto"/>
            </w:tcBorders>
          </w:tcPr>
          <w:p>
            <w:pPr>
              <w:spacing w:after="0"/>
              <w:rPr>
                <w:sz w:val="18"/>
                <w:szCs w:val="18"/>
                <w:color w:val="auto"/>
              </w:rPr>
            </w:pPr>
          </w:p>
        </w:tc>
        <w:tc>
          <w:tcPr>
            <w:tcW w:w="442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du conseil d'administration qui ne sont pas parties à cette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committee of such members of the Board of Directors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procédure, même si le quorum requis n'est pas réuni; (b)</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designated by a majority vote of such the Board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par un comité de membres du conseil d'administration</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Directors, even though less than a quorum; (c) if there are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désignés  par  une  majorité  des  votes  du  conseil</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 such member of the Board of Directors, or if such</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d'administration, même si le quorum requis n'est pas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member  of  the  Board  of  Directors  so  direct,  by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réuni;  (c)  s'il  n'y  a  pas  de  tel  membre  du  conseil</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independent legal counsel in a written opinion; or (d) by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d'administration,   ou   si   ce   membre   du   conseil</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General Meeting of Shareholders. Such determination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d'administration  l'ordonne,  par  un  conseiller  juridique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shall be made, with respect to any other Covered Person,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indépendant dans un avis écrit; ou (d) par l'assemblée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by any person or persons having the authority to act 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générale des actionnaires. Une telle décision concernant</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matter on behalf of the Company. To the extent,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une Personne Couverte doit être prise par une personne ou</w:t>
            </w:r>
          </w:p>
        </w:tc>
      </w:tr>
      <w:tr>
        <w:trPr>
          <w:trHeight w:val="234"/>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however, that any</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des personnes ayant le pouvoir d'agir</w:t>
            </w:r>
          </w:p>
        </w:tc>
      </w:tr>
      <w:tr>
        <w:trPr>
          <w:trHeight w:val="108"/>
        </w:trPr>
        <w:tc>
          <w:tcPr>
            <w:tcW w:w="444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Covered Person has been successful on the merits or</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dans cet affaire au nom de la société. Dans la mesure,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otherwise in defense of any proceeding, or in defense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cependant, où une Personne Couverte a gagné sur le fond</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any claim, issue or matter therein, such Covered Person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ou autrement dans la défense d'une procédure, ou dans la</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shall  be  indemnified  against  expenses  (including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défense de toute réclamation, problème ou affaire dans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attorneys' fees) actually and reasonably incurred by such</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cette  procédure,  cette  Personne  Couverte  doit  être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person in connection therewith, without the necessity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indemnisée pour les dépenses (y compris les honoraires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authorization in the specific case.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d'avocat) effectivement et raisonnablement encourus dans</w:t>
            </w:r>
          </w:p>
        </w:tc>
      </w:tr>
      <w:tr>
        <w:trPr>
          <w:trHeight w:val="216"/>
        </w:trPr>
        <w:tc>
          <w:tcPr>
            <w:tcW w:w="4440" w:type="dxa"/>
            <w:vAlign w:val="bottom"/>
            <w:tcBorders>
              <w:left w:val="single" w:sz="8" w:color="auto"/>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 cadre de l'affaire en question sans qu'il soit nécessaire</w:t>
            </w:r>
          </w:p>
        </w:tc>
      </w:tr>
      <w:tr>
        <w:trPr>
          <w:trHeight w:val="234"/>
        </w:trPr>
        <w:tc>
          <w:tcPr>
            <w:tcW w:w="4440" w:type="dxa"/>
            <w:vAlign w:val="bottom"/>
            <w:tcBorders>
              <w:left w:val="single" w:sz="8" w:color="auto"/>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d'avoir une autorisation dans le cas spécifique.</w:t>
            </w:r>
          </w:p>
        </w:tc>
      </w:tr>
      <w:tr>
        <w:trPr>
          <w:trHeight w:val="108"/>
        </w:trPr>
        <w:tc>
          <w:tcPr>
            <w:tcW w:w="444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 far as is permissible under applicable law, expenses,</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Dans la mesure permise par la loi applicable, les dépenses,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including  attorneys'  fees,  incurred  in  defending  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y compris les honoraires d'avocats, encourus dans la</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proceeding  for  which  indemnification  is  permitted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défense de toute procédure pour laquelle l'indemnisation</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pursuant to this Article 29 shall be paid by the Company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est permise en vertu du présent article 29, doivent être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advance of the final disposition of such proceeding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payées par la société avant la décision finale dans cette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upon receipt by the Board of Directors of an undertaking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procédure à réception par le conseil d'administration d'une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by or on behalf of the Covered Person to repay such</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promesse faite par ou au nom de la Personne Couverte de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if it shall ultimately be determined that he or she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rembourser ce montant s'il s'avère finalement que cette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is not entitled to be indemnified by the Company under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Personne Couverte n'a pas droit à l'indemnisation par la</w:t>
            </w:r>
          </w:p>
        </w:tc>
      </w:tr>
      <w:tr>
        <w:trPr>
          <w:trHeight w:val="234"/>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these Articles of Association.</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société en vertu de ces statuts.</w:t>
            </w:r>
          </w:p>
        </w:tc>
      </w:tr>
      <w:tr>
        <w:trPr>
          <w:trHeight w:val="108"/>
        </w:trPr>
        <w:tc>
          <w:tcPr>
            <w:tcW w:w="444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2"/>
          </w:tcPr>
          <w:p>
            <w:pPr>
              <w:spacing w:after="0"/>
              <w:rPr>
                <w:sz w:val="9"/>
                <w:szCs w:val="9"/>
                <w:color w:val="auto"/>
              </w:rPr>
            </w:pPr>
          </w:p>
        </w:tc>
      </w:tr>
      <w:tr>
        <w:trPr>
          <w:trHeight w:val="191"/>
        </w:trPr>
        <w:tc>
          <w:tcPr>
            <w:tcW w:w="44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 being the policy of the Company that indemnification of</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La politique de la société prévoit que l'indemnisation des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persons specified in this Article 29 shall be made to</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personnes visées au présent article 29 doit être payée dans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fullest   extent   permitted   by   law   and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toute la mesure autorisée par la loi et l'indemnisation</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indemnification provided by this Article 29 shall not be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prévue par cet article 29 ne sera pas considérée comme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deemed exclusive (a) of any other rights to which those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exclusive  (a)  d'autres  droits  auxquels  les  personnes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seeking indemnification or advancement of expenses may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demandant une indemnisation ou une avance des dépenses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  entitled  under  these  Articles  of  Association,  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ont droit en vertu de ces statuts, d'un accord, d'une</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agreement, any insurance purchased by the Company,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assurance souscrite par la société, d'un vote d'actionnaires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vote of shareholders or disinterested members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ou de membres du conseil d'administration n'ayant pas</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Board of Directors, or pursuant to the decision of 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d'intérêt direct, ou en vertu d'une décision d'un tribunal</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court of competent jurisdiction, or otherwise, both as to</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compétent, ou autrement, soit à l'égard d'actions faites en</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action in his or her official capacity and as to action in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sa capacité officielle, soit à l'égard d'actions faites à un</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another capacity while holding such office, or (b)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autre titre tout en ayant une telle fonction, ou (b) du</w:t>
            </w:r>
          </w:p>
        </w:tc>
      </w:tr>
      <w:tr>
        <w:trPr>
          <w:trHeight w:val="216"/>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power of the Company to indemnify any person who is 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pouvoir de la société d'indemniser toute personne qui est</w:t>
            </w:r>
          </w:p>
        </w:tc>
      </w:tr>
      <w:tr>
        <w:trPr>
          <w:trHeight w:val="234"/>
        </w:trPr>
        <w:tc>
          <w:tcPr>
            <w:tcW w:w="4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was an employee or agent of the Company or of</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ou était un employé</w:t>
            </w:r>
          </w:p>
        </w:tc>
      </w:tr>
      <w:tr>
        <w:trPr>
          <w:trHeight w:val="108"/>
        </w:trPr>
        <w:tc>
          <w:tcPr>
            <w:tcW w:w="444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r>
      <w:tr>
        <w:trPr>
          <w:trHeight w:val="540"/>
        </w:trPr>
        <w:tc>
          <w:tcPr>
            <w:tcW w:w="4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480"/>
          </w:cols>
          <w:pgMar w:left="1440" w:top="660" w:right="979" w:bottom="1440" w:gutter="0" w:footer="0" w:header="0"/>
        </w:sectPr>
      </w:pPr>
    </w:p>
    <w:bookmarkStart w:id="238" w:name="page239"/>
    <w:bookmarkEnd w:id="238"/>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44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another corporation, joint venture, trust or other enterprise</w:t>
            </w:r>
          </w:p>
        </w:tc>
        <w:tc>
          <w:tcPr>
            <w:tcW w:w="400" w:type="dxa"/>
            <w:vAlign w:val="bottom"/>
            <w:tcBorders>
              <w:top w:val="single" w:sz="8" w:color="auto"/>
              <w:right w:val="single" w:sz="8" w:color="auto"/>
            </w:tcBorders>
          </w:tcPr>
          <w:p>
            <w:pPr>
              <w:spacing w:after="0"/>
              <w:rPr>
                <w:sz w:val="18"/>
                <w:szCs w:val="18"/>
                <w:color w:val="auto"/>
              </w:rPr>
            </w:pPr>
          </w:p>
        </w:tc>
        <w:tc>
          <w:tcPr>
            <w:tcW w:w="442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ou un mandataire de la société ou d'une autre société,</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which he or she is serving or has served at the request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d'une joint venture, d'une fiducie ou d'une autre entreprise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Company,  to  the  same  extent  and  in  the  same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pour laquelle il ou elle travaille ou a travaillé à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situations and subject to the same determinations as are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demande de la société, dans la même mesure et dans les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hereinabove set forth with respect to a Covered Person.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mêmes situations et sous réserve des mêmes principes</w:t>
            </w:r>
          </w:p>
        </w:tc>
        <w:tc>
          <w:tcPr>
            <w:tcW w:w="0" w:type="dxa"/>
            <w:vAlign w:val="bottom"/>
          </w:tcPr>
          <w:p>
            <w:pPr>
              <w:spacing w:after="0"/>
              <w:rPr>
                <w:sz w:val="1"/>
                <w:szCs w:val="1"/>
                <w:color w:val="auto"/>
              </w:rPr>
            </w:pPr>
          </w:p>
        </w:tc>
      </w:tr>
      <w:tr>
        <w:trPr>
          <w:trHeight w:val="234"/>
        </w:trPr>
        <w:tc>
          <w:tcPr>
            <w:tcW w:w="76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concernant une Personne Couverte évoquées ci-dessus.</w:t>
            </w:r>
          </w:p>
        </w:tc>
        <w:tc>
          <w:tcPr>
            <w:tcW w:w="0" w:type="dxa"/>
            <w:vAlign w:val="bottom"/>
          </w:tcPr>
          <w:p>
            <w:pPr>
              <w:spacing w:after="0"/>
              <w:rPr>
                <w:sz w:val="1"/>
                <w:szCs w:val="1"/>
                <w:color w:val="auto"/>
              </w:rPr>
            </w:pPr>
          </w:p>
        </w:tc>
      </w:tr>
      <w:tr>
        <w:trPr>
          <w:trHeight w:val="306"/>
        </w:trPr>
        <w:tc>
          <w:tcPr>
            <w:tcW w:w="76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Tel qu'utilisé dans le présent article 29, les références à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As used in this Article 29, references to the "Company"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"société" comprennent toutes les sociétés ayant fait l'objet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include all constituent corporations in a consolidation 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d'un regroupement ou d'une fusion dans laquelle la société</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merger in which the Company or a predecessor to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ou un prédécesseur à la société a été impliqué.</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Company by consolidation or merger was involved.</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L'indemnisation prévue par cet article 29 est maintenue à</w:t>
            </w:r>
          </w:p>
        </w:tc>
        <w:tc>
          <w:tcPr>
            <w:tcW w:w="0" w:type="dxa"/>
            <w:vAlign w:val="bottom"/>
          </w:tcPr>
          <w:p>
            <w:pPr>
              <w:spacing w:after="0"/>
              <w:rPr>
                <w:sz w:val="1"/>
                <w:szCs w:val="1"/>
                <w:color w:val="auto"/>
              </w:rPr>
            </w:pPr>
          </w:p>
        </w:tc>
      </w:tr>
      <w:tr>
        <w:trPr>
          <w:trHeight w:val="90"/>
        </w:trPr>
        <w:tc>
          <w:tcPr>
            <w:tcW w:w="760" w:type="dxa"/>
            <w:vAlign w:val="bottom"/>
            <w:tcBorders>
              <w:left w:val="single" w:sz="8" w:color="auto"/>
            </w:tcBorders>
          </w:tcPr>
          <w:p>
            <w:pPr>
              <w:spacing w:after="0"/>
              <w:rPr>
                <w:sz w:val="7"/>
                <w:szCs w:val="7"/>
                <w:color w:val="auto"/>
              </w:rPr>
            </w:pPr>
          </w:p>
        </w:tc>
        <w:tc>
          <w:tcPr>
            <w:tcW w:w="368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442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indemnification provided by this Article 29 shall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l'égard d'une personne qui a cessé d'être un membre du</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continue as to a person who has ceased to be a member of</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conseil d'administration ou le comité exécutif et sera en</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Board of Directors or the Executive Committee and</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vigueur au bénéfice de ses héritiers, exécuteurs et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shall inure to the benefit of their heirs, executors, and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administrateurs.</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administrators.</w:t>
            </w:r>
          </w:p>
        </w:tc>
        <w:tc>
          <w:tcPr>
            <w:tcW w:w="4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7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7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VI.</w:t>
            </w:r>
          </w:p>
        </w:tc>
        <w:tc>
          <w:tcPr>
            <w:tcW w:w="3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AUDITORS</w:t>
            </w:r>
          </w:p>
        </w:tc>
        <w:tc>
          <w:tcPr>
            <w:tcW w:w="400" w:type="dxa"/>
            <w:vAlign w:val="bottom"/>
            <w:tcBorders>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VI.</w:t>
            </w:r>
          </w:p>
        </w:tc>
        <w:tc>
          <w:tcPr>
            <w:tcW w:w="240" w:type="dxa"/>
            <w:vAlign w:val="bottom"/>
          </w:tcPr>
          <w:p>
            <w:pPr>
              <w:spacing w:after="0"/>
              <w:rPr>
                <w:sz w:val="24"/>
                <w:szCs w:val="24"/>
                <w:color w:val="auto"/>
              </w:rPr>
            </w:pPr>
          </w:p>
        </w:tc>
        <w:tc>
          <w:tcPr>
            <w:tcW w:w="37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ORGANE DE RÉVISION</w:t>
            </w:r>
          </w:p>
        </w:tc>
        <w:tc>
          <w:tcPr>
            <w:tcW w:w="0" w:type="dxa"/>
            <w:vAlign w:val="bottom"/>
          </w:tcPr>
          <w:p>
            <w:pPr>
              <w:spacing w:after="0"/>
              <w:rPr>
                <w:sz w:val="1"/>
                <w:szCs w:val="1"/>
                <w:color w:val="auto"/>
              </w:rPr>
            </w:pPr>
          </w:p>
        </w:tc>
      </w:tr>
      <w:tr>
        <w:trPr>
          <w:trHeight w:val="148"/>
        </w:trPr>
        <w:tc>
          <w:tcPr>
            <w:tcW w:w="760" w:type="dxa"/>
            <w:vAlign w:val="bottom"/>
            <w:tcBorders>
              <w:left w:val="single" w:sz="8" w:color="auto"/>
              <w:bottom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gridSpan w:val="2"/>
          </w:tcPr>
          <w:p>
            <w:pPr>
              <w:spacing w:after="0"/>
              <w:rPr>
                <w:sz w:val="12"/>
                <w:szCs w:val="12"/>
                <w:color w:val="auto"/>
              </w:rPr>
            </w:pPr>
          </w:p>
        </w:tc>
        <w:tc>
          <w:tcPr>
            <w:tcW w:w="378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7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30</w:t>
            </w:r>
          </w:p>
        </w:tc>
        <w:tc>
          <w:tcPr>
            <w:tcW w:w="3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Election, Term</w:t>
            </w:r>
          </w:p>
        </w:tc>
        <w:tc>
          <w:tcPr>
            <w:tcW w:w="400" w:type="dxa"/>
            <w:vAlign w:val="bottom"/>
            <w:tcBorders>
              <w:right w:val="single" w:sz="8" w:color="auto"/>
            </w:tcBorders>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Art. 30</w:t>
            </w:r>
          </w:p>
        </w:tc>
        <w:tc>
          <w:tcPr>
            <w:tcW w:w="37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Élection, durée</w:t>
            </w:r>
          </w:p>
        </w:tc>
        <w:tc>
          <w:tcPr>
            <w:tcW w:w="0" w:type="dxa"/>
            <w:vAlign w:val="bottom"/>
          </w:tcPr>
          <w:p>
            <w:pPr>
              <w:spacing w:after="0"/>
              <w:rPr>
                <w:sz w:val="1"/>
                <w:szCs w:val="1"/>
                <w:color w:val="auto"/>
              </w:rPr>
            </w:pPr>
          </w:p>
        </w:tc>
      </w:tr>
      <w:tr>
        <w:trPr>
          <w:trHeight w:val="34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General Meeting shall elect one or more accountants</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L'assemblée  générale  nomme  chaque  année  un  ou</w:t>
            </w:r>
          </w:p>
        </w:tc>
        <w:tc>
          <w:tcPr>
            <w:tcW w:w="0" w:type="dxa"/>
            <w:vAlign w:val="bottom"/>
          </w:tcPr>
          <w:p>
            <w:pPr>
              <w:spacing w:after="0"/>
              <w:rPr>
                <w:sz w:val="1"/>
                <w:szCs w:val="1"/>
                <w:color w:val="auto"/>
              </w:rPr>
            </w:pPr>
          </w:p>
        </w:tc>
      </w:tr>
      <w:tr>
        <w:trPr>
          <w:trHeight w:val="218"/>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as its Auditors in terms of Articles 727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CO every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plusieurs réviseurs comme organe de révision selon les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year with the rights and duties determined by law.</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articles  727  ss.  CO  avec  les  droits  et  les  devoirs</w:t>
            </w:r>
          </w:p>
        </w:tc>
        <w:tc>
          <w:tcPr>
            <w:tcW w:w="0" w:type="dxa"/>
            <w:vAlign w:val="bottom"/>
          </w:tcPr>
          <w:p>
            <w:pPr>
              <w:spacing w:after="0"/>
              <w:rPr>
                <w:sz w:val="1"/>
                <w:szCs w:val="1"/>
                <w:color w:val="auto"/>
              </w:rPr>
            </w:pPr>
          </w:p>
        </w:tc>
      </w:tr>
      <w:tr>
        <w:trPr>
          <w:trHeight w:val="234"/>
        </w:trPr>
        <w:tc>
          <w:tcPr>
            <w:tcW w:w="76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déterminés par la loi.</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General Meeting may appoint Special Auditors for a</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L'assemblée générale peut nommer des réviseurs spéciaux</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term of up to three years who provide the attestations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pour une durée de trois ans au maximum qui fournissent</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required for capital increases.</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les attestations requises pour les augmentations de capital.</w:t>
            </w: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37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7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31</w:t>
            </w:r>
          </w:p>
        </w:tc>
        <w:tc>
          <w:tcPr>
            <w:tcW w:w="3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Duties</w:t>
            </w:r>
          </w:p>
        </w:tc>
        <w:tc>
          <w:tcPr>
            <w:tcW w:w="400" w:type="dxa"/>
            <w:vAlign w:val="bottom"/>
            <w:tcBorders>
              <w:right w:val="single" w:sz="8" w:color="auto"/>
            </w:tcBorders>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Art. 31</w:t>
            </w:r>
          </w:p>
        </w:tc>
        <w:tc>
          <w:tcPr>
            <w:tcW w:w="37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Fonctions</w:t>
            </w:r>
          </w:p>
        </w:tc>
        <w:tc>
          <w:tcPr>
            <w:tcW w:w="0" w:type="dxa"/>
            <w:vAlign w:val="bottom"/>
          </w:tcPr>
          <w:p>
            <w:pPr>
              <w:spacing w:after="0"/>
              <w:rPr>
                <w:sz w:val="1"/>
                <w:szCs w:val="1"/>
                <w:color w:val="auto"/>
              </w:rPr>
            </w:pP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Auditors shall perform their duties to audit and report</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L'organe de révision vérifie et rapporte si la comptabilité,</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whether the accounting, the annual accounts and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les  comptes  annuels  et  la  proposition  relative  à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proposal regarding allocation of profits are in accordance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répartition des bénéfices sont en conformité avec la loi et</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with law and the Articles of Association.</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les statuts.</w:t>
            </w:r>
          </w:p>
        </w:tc>
        <w:tc>
          <w:tcPr>
            <w:tcW w:w="0" w:type="dxa"/>
            <w:vAlign w:val="bottom"/>
          </w:tcPr>
          <w:p>
            <w:pPr>
              <w:spacing w:after="0"/>
              <w:rPr>
                <w:sz w:val="1"/>
                <w:szCs w:val="1"/>
                <w:color w:val="auto"/>
              </w:rPr>
            </w:pPr>
          </w:p>
        </w:tc>
      </w:tr>
      <w:tr>
        <w:trPr>
          <w:trHeight w:val="486"/>
        </w:trPr>
        <w:tc>
          <w:tcPr>
            <w:tcW w:w="760" w:type="dxa"/>
            <w:vAlign w:val="bottom"/>
            <w:tcBorders>
              <w:left w:val="single" w:sz="8" w:color="auto"/>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8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7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VII.</w:t>
            </w:r>
          </w:p>
        </w:tc>
        <w:tc>
          <w:tcPr>
            <w:tcW w:w="3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COMPENSATION AND RELATED</w:t>
            </w:r>
          </w:p>
        </w:tc>
        <w:tc>
          <w:tcPr>
            <w:tcW w:w="400" w:type="dxa"/>
            <w:vAlign w:val="bottom"/>
            <w:tcBorders>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VII.</w:t>
            </w:r>
          </w:p>
        </w:tc>
        <w:tc>
          <w:tcPr>
            <w:tcW w:w="240" w:type="dxa"/>
            <w:vAlign w:val="bottom"/>
          </w:tcPr>
          <w:p>
            <w:pPr>
              <w:spacing w:after="0"/>
              <w:rPr>
                <w:sz w:val="24"/>
                <w:szCs w:val="24"/>
                <w:color w:val="auto"/>
              </w:rPr>
            </w:pPr>
          </w:p>
        </w:tc>
        <w:tc>
          <w:tcPr>
            <w:tcW w:w="37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RÉMUNÉRATION ET DISPOSITIONS</w:t>
            </w:r>
          </w:p>
        </w:tc>
        <w:tc>
          <w:tcPr>
            <w:tcW w:w="0" w:type="dxa"/>
            <w:vAlign w:val="bottom"/>
          </w:tcPr>
          <w:p>
            <w:pPr>
              <w:spacing w:after="0"/>
              <w:rPr>
                <w:sz w:val="1"/>
                <w:szCs w:val="1"/>
                <w:color w:val="auto"/>
              </w:rPr>
            </w:pPr>
          </w:p>
        </w:tc>
      </w:tr>
      <w:tr>
        <w:trPr>
          <w:trHeight w:val="238"/>
        </w:trPr>
        <w:tc>
          <w:tcPr>
            <w:tcW w:w="76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4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ANALOGUES</w:t>
            </w: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37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7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32</w:t>
            </w:r>
          </w:p>
        </w:tc>
        <w:tc>
          <w:tcPr>
            <w:tcW w:w="3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Principles of the Compensation of the</w:t>
            </w:r>
          </w:p>
        </w:tc>
        <w:tc>
          <w:tcPr>
            <w:tcW w:w="400" w:type="dxa"/>
            <w:vAlign w:val="bottom"/>
            <w:tcBorders>
              <w:right w:val="single" w:sz="8" w:color="auto"/>
            </w:tcBorders>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Art. 32</w:t>
            </w:r>
          </w:p>
        </w:tc>
        <w:tc>
          <w:tcPr>
            <w:tcW w:w="37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Principes de rémunération du conseil</w:t>
            </w:r>
          </w:p>
        </w:tc>
        <w:tc>
          <w:tcPr>
            <w:tcW w:w="0" w:type="dxa"/>
            <w:vAlign w:val="bottom"/>
          </w:tcPr>
          <w:p>
            <w:pPr>
              <w:spacing w:after="0"/>
              <w:rPr>
                <w:sz w:val="1"/>
                <w:szCs w:val="1"/>
                <w:color w:val="auto"/>
              </w:rPr>
            </w:pPr>
          </w:p>
        </w:tc>
      </w:tr>
      <w:tr>
        <w:trPr>
          <w:trHeight w:val="238"/>
        </w:trPr>
        <w:tc>
          <w:tcPr>
            <w:tcW w:w="76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4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d'administration</w:t>
            </w:r>
          </w:p>
        </w:tc>
        <w:tc>
          <w:tcPr>
            <w:tcW w:w="0" w:type="dxa"/>
            <w:vAlign w:val="bottom"/>
          </w:tcPr>
          <w:p>
            <w:pPr>
              <w:spacing w:after="0"/>
              <w:rPr>
                <w:sz w:val="1"/>
                <w:szCs w:val="1"/>
                <w:color w:val="auto"/>
              </w:rPr>
            </w:pPr>
          </w:p>
        </w:tc>
      </w:tr>
      <w:tr>
        <w:trPr>
          <w:trHeight w:val="414"/>
        </w:trPr>
        <w:tc>
          <w:tcPr>
            <w:tcW w:w="76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 rémunération des membres du conseil d'administration</w:t>
            </w:r>
          </w:p>
        </w:tc>
        <w:tc>
          <w:tcPr>
            <w:tcW w:w="0" w:type="dxa"/>
            <w:vAlign w:val="bottom"/>
          </w:tcPr>
          <w:p>
            <w:pPr>
              <w:spacing w:after="0"/>
              <w:rPr>
                <w:sz w:val="1"/>
                <w:szCs w:val="1"/>
                <w:color w:val="auto"/>
              </w:rPr>
            </w:pPr>
          </w:p>
        </w:tc>
      </w:tr>
      <w:tr>
        <w:trPr>
          <w:trHeight w:val="216"/>
        </w:trPr>
        <w:tc>
          <w:tcPr>
            <w:tcW w:w="760" w:type="dxa"/>
            <w:vAlign w:val="bottom"/>
            <w:tcBorders>
              <w:lef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comprend, sous réserve et dans les limites de l'approbation</w:t>
            </w:r>
          </w:p>
        </w:tc>
        <w:tc>
          <w:tcPr>
            <w:tcW w:w="0" w:type="dxa"/>
            <w:vAlign w:val="bottom"/>
          </w:tcPr>
          <w:p>
            <w:pPr>
              <w:spacing w:after="0"/>
              <w:rPr>
                <w:sz w:val="1"/>
                <w:szCs w:val="1"/>
                <w:color w:val="auto"/>
              </w:rPr>
            </w:pPr>
          </w:p>
        </w:tc>
      </w:tr>
      <w:tr>
        <w:trPr>
          <w:trHeight w:val="216"/>
        </w:trPr>
        <w:tc>
          <w:tcPr>
            <w:tcW w:w="760" w:type="dxa"/>
            <w:vAlign w:val="bottom"/>
            <w:tcBorders>
              <w:lef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 la rémunération totale par l'assemblée générale, les</w:t>
            </w:r>
          </w:p>
        </w:tc>
        <w:tc>
          <w:tcPr>
            <w:tcW w:w="0" w:type="dxa"/>
            <w:vAlign w:val="bottom"/>
          </w:tcPr>
          <w:p>
            <w:pPr>
              <w:spacing w:after="0"/>
              <w:rPr>
                <w:sz w:val="1"/>
                <w:szCs w:val="1"/>
                <w:color w:val="auto"/>
              </w:rPr>
            </w:pPr>
          </w:p>
        </w:tc>
      </w:tr>
      <w:tr>
        <w:trPr>
          <w:trHeight w:val="234"/>
        </w:trPr>
        <w:tc>
          <w:tcPr>
            <w:tcW w:w="76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éléments suivants:</w:t>
            </w:r>
          </w:p>
        </w:tc>
        <w:tc>
          <w:tcPr>
            <w:tcW w:w="0" w:type="dxa"/>
            <w:vAlign w:val="bottom"/>
          </w:tcPr>
          <w:p>
            <w:pPr>
              <w:spacing w:after="0"/>
              <w:rPr>
                <w:sz w:val="1"/>
                <w:szCs w:val="1"/>
                <w:color w:val="auto"/>
              </w:rPr>
            </w:pPr>
          </w:p>
        </w:tc>
      </w:tr>
      <w:tr>
        <w:trPr>
          <w:trHeight w:val="324"/>
        </w:trPr>
        <w:tc>
          <w:tcPr>
            <w:tcW w:w="76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  une rémunération fixe de base;</w:t>
            </w:r>
          </w:p>
        </w:tc>
        <w:tc>
          <w:tcPr>
            <w:tcW w:w="0" w:type="dxa"/>
            <w:vAlign w:val="bottom"/>
          </w:tcPr>
          <w:p>
            <w:pPr>
              <w:spacing w:after="0"/>
              <w:rPr>
                <w:sz w:val="1"/>
                <w:szCs w:val="1"/>
                <w:color w:val="auto"/>
              </w:rPr>
            </w:pPr>
          </w:p>
        </w:tc>
      </w:tr>
      <w:tr>
        <w:trPr>
          <w:trHeight w:val="346"/>
        </w:trPr>
        <w:tc>
          <w:tcPr>
            <w:tcW w:w="76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b)  des frais de commission fixes pour le travail dans un</w:t>
            </w:r>
          </w:p>
        </w:tc>
        <w:tc>
          <w:tcPr>
            <w:tcW w:w="0" w:type="dxa"/>
            <w:vAlign w:val="bottom"/>
          </w:tcPr>
          <w:p>
            <w:pPr>
              <w:spacing w:after="0"/>
              <w:rPr>
                <w:sz w:val="1"/>
                <w:szCs w:val="1"/>
                <w:color w:val="auto"/>
              </w:rPr>
            </w:pPr>
          </w:p>
        </w:tc>
      </w:tr>
      <w:tr>
        <w:trPr>
          <w:trHeight w:val="234"/>
        </w:trPr>
        <w:tc>
          <w:tcPr>
            <w:tcW w:w="76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0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comité du conseil d'administration;</w:t>
            </w:r>
          </w:p>
        </w:tc>
        <w:tc>
          <w:tcPr>
            <w:tcW w:w="0" w:type="dxa"/>
            <w:vAlign w:val="bottom"/>
          </w:tcPr>
          <w:p>
            <w:pPr>
              <w:spacing w:after="0"/>
              <w:rPr>
                <w:sz w:val="1"/>
                <w:szCs w:val="1"/>
                <w:color w:val="auto"/>
              </w:rPr>
            </w:pPr>
          </w:p>
        </w:tc>
      </w:tr>
      <w:tr>
        <w:trPr>
          <w:trHeight w:val="324"/>
        </w:trPr>
        <w:tc>
          <w:tcPr>
            <w:tcW w:w="76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0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une compensation forfaitaire pour les dépenses;</w:t>
            </w:r>
          </w:p>
        </w:tc>
        <w:tc>
          <w:tcPr>
            <w:tcW w:w="0" w:type="dxa"/>
            <w:vAlign w:val="bottom"/>
          </w:tcPr>
          <w:p>
            <w:pPr>
              <w:spacing w:after="0"/>
              <w:rPr>
                <w:sz w:val="1"/>
                <w:szCs w:val="1"/>
                <w:color w:val="auto"/>
              </w:rPr>
            </w:pPr>
          </w:p>
        </w:tc>
      </w:tr>
      <w:tr>
        <w:trPr>
          <w:trHeight w:val="346"/>
        </w:trPr>
        <w:tc>
          <w:tcPr>
            <w:tcW w:w="760" w:type="dxa"/>
            <w:vAlign w:val="bottom"/>
            <w:tcBorders>
              <w:lef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un</w:t>
            </w:r>
          </w:p>
        </w:tc>
        <w:tc>
          <w:tcPr>
            <w:tcW w:w="37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nombre d'actions ou d'options dans la société,</w:t>
            </w:r>
          </w:p>
        </w:tc>
        <w:tc>
          <w:tcPr>
            <w:tcW w:w="0" w:type="dxa"/>
            <w:vAlign w:val="bottom"/>
          </w:tcPr>
          <w:p>
            <w:pPr>
              <w:spacing w:after="0"/>
              <w:rPr>
                <w:sz w:val="1"/>
                <w:szCs w:val="1"/>
                <w:color w:val="auto"/>
              </w:rPr>
            </w:pPr>
          </w:p>
        </w:tc>
      </w:tr>
      <w:tr>
        <w:trPr>
          <w:trHeight w:val="234"/>
        </w:trPr>
        <w:tc>
          <w:tcPr>
            <w:tcW w:w="76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0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comme détaillée à l'art. 41.</w:t>
            </w:r>
          </w:p>
        </w:tc>
        <w:tc>
          <w:tcPr>
            <w:tcW w:w="0" w:type="dxa"/>
            <w:vAlign w:val="bottom"/>
          </w:tcPr>
          <w:p>
            <w:pPr>
              <w:spacing w:after="0"/>
              <w:rPr>
                <w:sz w:val="1"/>
                <w:szCs w:val="1"/>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7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39" w:name="page240"/>
    <w:bookmarkEnd w:id="239"/>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319"/>
        </w:trPr>
        <w:tc>
          <w:tcPr>
            <w:tcW w:w="4440" w:type="dxa"/>
            <w:vAlign w:val="bottom"/>
            <w:tcBorders>
              <w:top w:val="single" w:sz="8" w:color="auto"/>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compensation payable to the members of the Board</w:t>
            </w:r>
          </w:p>
        </w:tc>
        <w:tc>
          <w:tcPr>
            <w:tcW w:w="400" w:type="dxa"/>
            <w:vAlign w:val="bottom"/>
            <w:tcBorders>
              <w:top w:val="single" w:sz="8" w:color="auto"/>
              <w:right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300" w:type="dxa"/>
            <w:vAlign w:val="bottom"/>
            <w:tcBorders>
              <w:top w:val="single" w:sz="8" w:color="auto"/>
              <w:right w:val="single" w:sz="8" w:color="auto"/>
            </w:tcBorders>
          </w:tcPr>
          <w:p>
            <w:pPr>
              <w:spacing w:after="0"/>
              <w:rPr>
                <w:sz w:val="24"/>
                <w:szCs w:val="24"/>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of Directors comprises, subject to and within the bounds</w:t>
            </w:r>
          </w:p>
        </w:tc>
        <w:tc>
          <w:tcPr>
            <w:tcW w:w="4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of the approval by the General Meeting of the total</w:t>
            </w:r>
          </w:p>
        </w:tc>
        <w:tc>
          <w:tcPr>
            <w:tcW w:w="4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r>
      <w:tr>
        <w:trPr>
          <w:trHeight w:val="23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compensation, the following elements:</w:t>
            </w: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324"/>
        </w:trPr>
        <w:tc>
          <w:tcPr>
            <w:tcW w:w="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40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 fixed basic remuneration;</w:t>
            </w:r>
          </w:p>
        </w:tc>
        <w:tc>
          <w:tcPr>
            <w:tcW w:w="4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r>
      <w:tr>
        <w:trPr>
          <w:trHeight w:val="346"/>
        </w:trPr>
        <w:tc>
          <w:tcPr>
            <w:tcW w:w="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40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 fixed committee fee for work in a committee of</w:t>
            </w:r>
          </w:p>
        </w:tc>
        <w:tc>
          <w:tcPr>
            <w:tcW w:w="4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40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the Board of Directors;</w:t>
            </w: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324"/>
        </w:trPr>
        <w:tc>
          <w:tcPr>
            <w:tcW w:w="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40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 lump sum compensation for expenses;</w:t>
            </w:r>
          </w:p>
        </w:tc>
        <w:tc>
          <w:tcPr>
            <w:tcW w:w="4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r>
      <w:tr>
        <w:trPr>
          <w:trHeight w:val="346"/>
        </w:trPr>
        <w:tc>
          <w:tcPr>
            <w:tcW w:w="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40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 number of options or shares in the Company, as</w:t>
            </w:r>
          </w:p>
        </w:tc>
        <w:tc>
          <w:tcPr>
            <w:tcW w:w="4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40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further outlined in Art. 41.</w:t>
            </w: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108"/>
        </w:trPr>
        <w:tc>
          <w:tcPr>
            <w:tcW w:w="4440" w:type="dxa"/>
            <w:vAlign w:val="bottom"/>
            <w:tcBorders>
              <w:left w:val="single" w:sz="8" w:color="auto"/>
              <w:bottom w:val="single" w:sz="8" w:color="auto"/>
              <w:right w:val="single" w:sz="8" w:color="auto"/>
            </w:tcBorders>
            <w:gridSpan w:val="3"/>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compensation is paid in cash and in form of options</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 rémunération est versée en espèces et sous forme</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or shares in the Company. The board of directors or, to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d'options  ou  d'actions  de  la  société.  Le  conseil</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extent delegated to it, the compensation committee shall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d'administration ou, en cas de délégation des fonctions, le</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determine grant, exercise and forfeiture conditions. In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comité  de  rémunération  doit  fixer  les  conditions  de</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particular, they may provide for continuation, acceleration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l'octroi, de l'exercice et de la péremption. En particulier, il</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or removal of vesting, exercise and forfeiture conditions,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peut prévoir la poursuite, l'accélération ou la suppression</w:t>
            </w:r>
          </w:p>
        </w:tc>
      </w:tr>
      <w:tr>
        <w:trPr>
          <w:trHeight w:val="23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for payment or grant of compensation based</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des conditions d'acquisition, d'exercice et de</w:t>
            </w:r>
          </w:p>
        </w:tc>
      </w:tr>
      <w:tr>
        <w:trPr>
          <w:trHeight w:val="108"/>
        </w:trPr>
        <w:tc>
          <w:tcPr>
            <w:tcW w:w="4440" w:type="dxa"/>
            <w:vAlign w:val="bottom"/>
            <w:tcBorders>
              <w:left w:val="single" w:sz="8" w:color="auto"/>
              <w:bottom w:val="single" w:sz="8" w:color="auto"/>
              <w:right w:val="single" w:sz="8" w:color="auto"/>
            </w:tcBorders>
            <w:gridSpan w:val="3"/>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upon assumed target achievement, or for forfeiture, in</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péremption,  pour  le  paiement  ou  l'octroi  d'une</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each case in the event of pre-determined events such as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rémunération  basée  sur  la  réalisation  des  objectifs</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change-of-control or termination of an employment 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supposés, ou pour la péremption, dans chaque cas, dans le</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mandate  agreement.  The  Company  may  procure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cas d'événements prédéterminés tels qu'un changement de</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required shares through purchases in the market, from</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contrôle ou la résiliation d'un contrat de travail ou d'un</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treasury shares or by using contingent or authorized share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mandat. La société peut fournir les actions nécessaires par</w:t>
            </w:r>
          </w:p>
        </w:tc>
      </w:tr>
      <w:tr>
        <w:trPr>
          <w:trHeight w:val="216"/>
        </w:trPr>
        <w:tc>
          <w:tcPr>
            <w:tcW w:w="8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capital.</w:t>
            </w:r>
          </w:p>
        </w:tc>
        <w:tc>
          <w:tcPr>
            <w:tcW w:w="36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des achats sur le marché, par ses actions propres ou en</w:t>
            </w:r>
          </w:p>
        </w:tc>
      </w:tr>
      <w:tr>
        <w:trPr>
          <w:trHeight w:val="234"/>
        </w:trPr>
        <w:tc>
          <w:tcPr>
            <w:tcW w:w="40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utilisant du capital conditionnel ou autorisé.</w:t>
            </w:r>
          </w:p>
        </w:tc>
      </w:tr>
      <w:tr>
        <w:trPr>
          <w:trHeight w:val="108"/>
        </w:trPr>
        <w:tc>
          <w:tcPr>
            <w:tcW w:w="4440" w:type="dxa"/>
            <w:vAlign w:val="bottom"/>
            <w:tcBorders>
              <w:left w:val="single" w:sz="8" w:color="auto"/>
              <w:bottom w:val="single" w:sz="8" w:color="auto"/>
              <w:right w:val="single" w:sz="8" w:color="auto"/>
            </w:tcBorders>
            <w:gridSpan w:val="3"/>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Subject to the approval by the General Meeting,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Sous réserve de l'approbation par l'assemblée générale, les</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members  of  the  Board  of  Directors  may  receive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membres du conseil d'administration peuvent recevoir une</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remuneration in cash at customary conditions for advisory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rémunération en espèces dans les conditions habituelles</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services rendered outside their capacity as Board member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pour des services consultatifs rendus en-dehors de leur</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for the benefit of the Company or companies under its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qualité de membre du conseil pour le bénéfice de la</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control. The General Meeting may approve an additional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société ou des sociétés sous son contrôle. L'assemblée</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bonus for the members of the Board of Directors in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générale peut approuver un bonus supplémentaire pour les</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exceptional cases.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membres  du  conseil  d'administration  dans  des  cas</w:t>
            </w:r>
          </w:p>
        </w:tc>
      </w:tr>
      <w:tr>
        <w:trPr>
          <w:trHeight w:val="234"/>
        </w:trPr>
        <w:tc>
          <w:tcPr>
            <w:tcW w:w="40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exceptionnels.</w:t>
            </w:r>
          </w:p>
        </w:tc>
      </w:tr>
      <w:tr>
        <w:trPr>
          <w:trHeight w:val="108"/>
        </w:trPr>
        <w:tc>
          <w:tcPr>
            <w:tcW w:w="4440" w:type="dxa"/>
            <w:vAlign w:val="bottom"/>
            <w:tcBorders>
              <w:left w:val="single" w:sz="8" w:color="auto"/>
              <w:bottom w:val="single" w:sz="8" w:color="auto"/>
              <w:right w:val="single" w:sz="8" w:color="auto"/>
            </w:tcBorders>
            <w:gridSpan w:val="3"/>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compensation may also be paid for activities in</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 rémunération peut également être accordée pour des</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companies that are directly or indirectly controlled by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activités  dans  des  entreprises  qui  sont  contrôlées</w:t>
            </w:r>
          </w:p>
        </w:tc>
      </w:tr>
      <w:tr>
        <w:trPr>
          <w:trHeight w:val="216"/>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Company and may be paid by the Company or by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directement ou indirectement par la société et peuvent être</w:t>
            </w:r>
          </w:p>
        </w:tc>
      </w:tr>
      <w:tr>
        <w:trPr>
          <w:trHeight w:val="234"/>
        </w:trPr>
        <w:tc>
          <w:tcPr>
            <w:tcW w:w="44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company controlled by it.</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versées par la société ou par une société contrôlée par elle.</w:t>
            </w:r>
          </w:p>
        </w:tc>
      </w:tr>
      <w:tr>
        <w:trPr>
          <w:trHeight w:val="108"/>
        </w:trPr>
        <w:tc>
          <w:tcPr>
            <w:tcW w:w="820" w:type="dxa"/>
            <w:vAlign w:val="bottom"/>
            <w:tcBorders>
              <w:left w:val="single" w:sz="8" w:color="auto"/>
              <w:bottom w:val="single" w:sz="8" w:color="auto"/>
            </w:tcBorders>
            <w:gridSpan w:val="2"/>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gridSpan w:val="2"/>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295"/>
        </w:trPr>
        <w:tc>
          <w:tcPr>
            <w:tcW w:w="8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Art. 33</w:t>
            </w:r>
          </w:p>
        </w:tc>
        <w:tc>
          <w:tcPr>
            <w:tcW w:w="36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Principles of the Compensation of the</w:t>
            </w:r>
          </w:p>
        </w:tc>
        <w:tc>
          <w:tcPr>
            <w:tcW w:w="400" w:type="dxa"/>
            <w:vAlign w:val="bottom"/>
            <w:tcBorders>
              <w:right w:val="single" w:sz="8" w:color="auto"/>
            </w:tcBorders>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33</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Principe de rémunération du comité</w:t>
            </w:r>
          </w:p>
        </w:tc>
      </w:tr>
      <w:tr>
        <w:trPr>
          <w:trHeight w:val="238"/>
        </w:trPr>
        <w:tc>
          <w:tcPr>
            <w:tcW w:w="40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Committee</w:t>
            </w: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exécutif</w:t>
            </w:r>
          </w:p>
        </w:tc>
      </w:tr>
      <w:tr>
        <w:trPr>
          <w:trHeight w:val="414"/>
        </w:trPr>
        <w:tc>
          <w:tcPr>
            <w:tcW w:w="40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 rémunération des membres du comité exécutif est</w:t>
            </w:r>
          </w:p>
        </w:tc>
      </w:tr>
      <w:tr>
        <w:trPr>
          <w:trHeight w:val="216"/>
        </w:trPr>
        <w:tc>
          <w:tcPr>
            <w:tcW w:w="40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62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soumis à l'approbation l'assemblée générale et comprend</w:t>
            </w:r>
          </w:p>
        </w:tc>
      </w:tr>
      <w:tr>
        <w:trPr>
          <w:trHeight w:val="234"/>
        </w:trPr>
        <w:tc>
          <w:tcPr>
            <w:tcW w:w="40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les éléments suivants</w:t>
            </w:r>
          </w:p>
        </w:tc>
      </w:tr>
      <w:tr>
        <w:trPr>
          <w:trHeight w:val="324"/>
        </w:trPr>
        <w:tc>
          <w:tcPr>
            <w:tcW w:w="40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une rémunération fixe payable en espèces;</w:t>
            </w:r>
          </w:p>
        </w:tc>
      </w:tr>
      <w:tr>
        <w:trPr>
          <w:trHeight w:val="346"/>
        </w:trPr>
        <w:tc>
          <w:tcPr>
            <w:tcW w:w="40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une rémunération liée à la performance payable en</w:t>
            </w:r>
          </w:p>
        </w:tc>
      </w:tr>
      <w:tr>
        <w:trPr>
          <w:trHeight w:val="234"/>
        </w:trPr>
        <w:tc>
          <w:tcPr>
            <w:tcW w:w="40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espèces (variable);</w:t>
            </w:r>
          </w:p>
        </w:tc>
      </w:tr>
      <w:tr>
        <w:trPr>
          <w:trHeight w:val="306"/>
        </w:trPr>
        <w:tc>
          <w:tcPr>
            <w:tcW w:w="40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un nombre d'actions ou d'options dans la société,</w:t>
            </w:r>
          </w:p>
        </w:tc>
      </w:tr>
      <w:tr>
        <w:trPr>
          <w:trHeight w:val="234"/>
        </w:trPr>
        <w:tc>
          <w:tcPr>
            <w:tcW w:w="40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comme détaillée à l'art. 41.</w:t>
            </w:r>
          </w:p>
        </w:tc>
      </w:tr>
      <w:tr>
        <w:trPr>
          <w:trHeight w:val="108"/>
        </w:trPr>
        <w:tc>
          <w:tcPr>
            <w:tcW w:w="400" w:type="dxa"/>
            <w:vAlign w:val="bottom"/>
            <w:tcBorders>
              <w:left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r>
      <w:tr>
        <w:trPr>
          <w:trHeight w:val="540"/>
        </w:trPr>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480"/>
          </w:cols>
          <w:pgMar w:left="1440" w:top="660" w:right="979" w:bottom="1440" w:gutter="0" w:footer="0" w:header="0"/>
        </w:sectPr>
      </w:pPr>
    </w:p>
    <w:bookmarkStart w:id="240" w:name="page241"/>
    <w:bookmarkEnd w:id="240"/>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319"/>
        </w:trPr>
        <w:tc>
          <w:tcPr>
            <w:tcW w:w="44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compensation  payable  to  the  members  of  the</w:t>
            </w:r>
          </w:p>
        </w:tc>
        <w:tc>
          <w:tcPr>
            <w:tcW w:w="40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300" w:type="dxa"/>
            <w:vAlign w:val="bottom"/>
            <w:tcBorders>
              <w:top w:val="single" w:sz="8" w:color="auto"/>
              <w:right w:val="single" w:sz="8" w:color="auto"/>
            </w:tcBorders>
          </w:tcPr>
          <w:p>
            <w:pPr>
              <w:spacing w:after="0"/>
              <w:rPr>
                <w:sz w:val="24"/>
                <w:szCs w:val="24"/>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Executive Committee is subject to the approval by the</w:t>
            </w:r>
          </w:p>
        </w:tc>
        <w:tc>
          <w:tcPr>
            <w:tcW w:w="4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General Meeting and comprises the following elements:</w:t>
            </w:r>
          </w:p>
        </w:tc>
        <w:tc>
          <w:tcPr>
            <w:tcW w:w="40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32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   a fixed remuneration payable in cash;</w:t>
            </w:r>
          </w:p>
        </w:tc>
        <w:tc>
          <w:tcPr>
            <w:tcW w:w="4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   a performance-related remuneration payable in cash</w:t>
            </w:r>
          </w:p>
        </w:tc>
        <w:tc>
          <w:tcPr>
            <w:tcW w:w="4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r>
      <w:tr>
        <w:trPr>
          <w:trHeight w:val="234"/>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(variable);</w:t>
            </w:r>
          </w:p>
        </w:tc>
        <w:tc>
          <w:tcPr>
            <w:tcW w:w="40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   a number of options or shares in the Company, as</w:t>
            </w:r>
          </w:p>
        </w:tc>
        <w:tc>
          <w:tcPr>
            <w:tcW w:w="4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r>
      <w:tr>
        <w:trPr>
          <w:trHeight w:val="234"/>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further outlined in Art. 41.</w:t>
            </w:r>
          </w:p>
        </w:tc>
        <w:tc>
          <w:tcPr>
            <w:tcW w:w="40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performance-related remuneration depends on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 rémunération liée à la performance dépend de la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Company's   business   success   and   the   individual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réussite économique de la société et de la performance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performance of the member of the Executive Committee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individuelle du membre du comité exécutif sur la base 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based  on  the  achievement  of  pre-determined  targets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 réalisation des objectifs prédéterminés au cours d'une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during a business year. The Board of Directors determines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année d'activité. Le conseil d'administration détermine au</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annually at the beginning of each relevant business year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début de chaque exercice les objectifs décisifs et leur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decisive targets and their weighting upon proposal by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pondération sur proposition du comité de rémunération.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Compensation  Committee.  The  amount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montant de la rémunération liée à la performance pour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performance-related remuneration for each member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chaque membre du comité exécutif est déterminé par 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Executive Committee is determined by the Board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conseil d'administration et ne peut dépasser 100 pour cent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Directors  and  may  not  exceed  100  percent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 la rémunération fixe individuelle respective pour la</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respective individual fixed remuneration for the same</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même année.</w:t>
            </w: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r>
      <w:tr>
        <w:trPr>
          <w:trHeight w:val="318"/>
        </w:trPr>
        <w:tc>
          <w:tcPr>
            <w:tcW w:w="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year.</w:t>
            </w:r>
          </w:p>
        </w:tc>
        <w:tc>
          <w:tcPr>
            <w:tcW w:w="36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r>
      <w:tr>
        <w:trPr>
          <w:trHeight w:val="148"/>
        </w:trPr>
        <w:tc>
          <w:tcPr>
            <w:tcW w:w="4440" w:type="dxa"/>
            <w:vAlign w:val="bottom"/>
            <w:tcBorders>
              <w:left w:val="single" w:sz="8" w:color="auto"/>
              <w:bottom w:val="single" w:sz="8" w:color="auto"/>
              <w:right w:val="single" w:sz="8" w:color="auto"/>
            </w:tcBorders>
            <w:gridSpan w:val="2"/>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4420" w:type="dxa"/>
            <w:vAlign w:val="bottom"/>
            <w:tcBorders>
              <w:bottom w:val="single" w:sz="8" w:color="auto"/>
              <w:right w:val="single" w:sz="8" w:color="auto"/>
            </w:tcBorders>
            <w:gridSpan w:val="3"/>
          </w:tcPr>
          <w:p>
            <w:pPr>
              <w:spacing w:after="0"/>
              <w:rPr>
                <w:sz w:val="12"/>
                <w:szCs w:val="12"/>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compensation may also be paid for activities in</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 rémunération peut également être versée pour activités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companies that are directly or indirectly controlled by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dans des entreprises qui sont contrôlées directement ou</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Company and may be paid by the Company or by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indirectement par la société et peut être versée par la</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company controlled by it.</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société ou par une société contrôlée par elle.</w:t>
            </w: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295"/>
        </w:trPr>
        <w:tc>
          <w:tcPr>
            <w:tcW w:w="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34</w:t>
            </w:r>
          </w:p>
        </w:tc>
        <w:tc>
          <w:tcPr>
            <w:tcW w:w="36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Compensation for new Members of the</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34</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Rémunération pour les nouveaux membres</w:t>
            </w:r>
          </w:p>
        </w:tc>
      </w:tr>
      <w:tr>
        <w:trPr>
          <w:trHeight w:val="238"/>
        </w:trPr>
        <w:tc>
          <w:tcPr>
            <w:tcW w:w="820" w:type="dxa"/>
            <w:vAlign w:val="bottom"/>
            <w:tcBorders>
              <w:left w:val="single" w:sz="8" w:color="auto"/>
            </w:tcBorders>
          </w:tcPr>
          <w:p>
            <w:pPr>
              <w:spacing w:after="0"/>
              <w:rPr>
                <w:sz w:val="20"/>
                <w:szCs w:val="20"/>
                <w:color w:val="auto"/>
              </w:rPr>
            </w:pPr>
          </w:p>
        </w:tc>
        <w:tc>
          <w:tcPr>
            <w:tcW w:w="36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Committee</w:t>
            </w:r>
          </w:p>
        </w:tc>
        <w:tc>
          <w:tcPr>
            <w:tcW w:w="40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du comité exécutif</w:t>
            </w:r>
          </w:p>
        </w:tc>
      </w:tr>
      <w:tr>
        <w:trPr>
          <w:trHeight w:val="41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If  new  members  of  the  Executive  Committee  are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Si de nouveaux membres du comité exécutif sont nommés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appointed and take up their position in the Company after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et  prennent  leur  position  dans  la  société  après  que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General Meeting has approved the maximum total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l'assemblée générale a approuvé la rémunération totale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for members of the Executive Committee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maximale pour les membres du comité exécutif pour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 the year in question, the new members may be paid an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l'année en question, les nouveaux membres peuvent être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additional amount for the period until the next Ordinary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payés au moyen d'un montant additionnel pour la période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Meeting of Shareholder. The additional amount payable to</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allant  jusqu'à  la  prochaine  assemblée  ordinaire  des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all new members of the Executive Committee may not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actionnaires. Le montant additionnel payable à tous les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exceed 50 percent of the respective total compensation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nouveaux  membres  du  comité  exécutif  ne  peut  pas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already approved by the General Meeting. The additional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dépasser 50 pour cent de la rémunération totale respective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may only be paid if the total compensation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déjà approuvé par l'assemblée générale. La rémunération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that has been approved by the General Meeting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additionnelle ne peut être versée que si le montant total 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 the compensation of the members of the Executive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  rémunération  qui  a  été  approuvé  par  l'assemblée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Committee  is  insufficient  to  compensate  the  newly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générale pour la rémunération des membres du comité</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appointed members. The General</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exécutif est insuffisant pour rémunérer les</w:t>
            </w: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r>
      <w:tr>
        <w:trPr>
          <w:trHeight w:val="540"/>
        </w:trPr>
        <w:tc>
          <w:tcPr>
            <w:tcW w:w="8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480"/>
          </w:cols>
          <w:pgMar w:left="1440" w:top="660" w:right="979" w:bottom="1440" w:gutter="0" w:footer="0" w:header="0"/>
        </w:sectPr>
      </w:pPr>
    </w:p>
    <w:bookmarkStart w:id="241" w:name="page242"/>
    <w:bookmarkEnd w:id="241"/>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44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Meeting is not required to vote on this additional amount.</w:t>
            </w:r>
          </w:p>
        </w:tc>
        <w:tc>
          <w:tcPr>
            <w:tcW w:w="400" w:type="dxa"/>
            <w:vAlign w:val="bottom"/>
            <w:tcBorders>
              <w:top w:val="single" w:sz="8" w:color="auto"/>
              <w:right w:val="single" w:sz="8" w:color="auto"/>
            </w:tcBorders>
          </w:tcPr>
          <w:p>
            <w:pPr>
              <w:spacing w:after="0"/>
              <w:rPr>
                <w:sz w:val="18"/>
                <w:szCs w:val="18"/>
                <w:color w:val="auto"/>
              </w:rPr>
            </w:pPr>
          </w:p>
        </w:tc>
        <w:tc>
          <w:tcPr>
            <w:tcW w:w="4420" w:type="dxa"/>
            <w:vAlign w:val="bottom"/>
            <w:tcBorders>
              <w:top w:val="single" w:sz="8" w:color="auto"/>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membres nouvellement nommés. L'assemblée générale n'a</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0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pas à se prononcer sur ce montant supplémentaire.</w:t>
            </w:r>
          </w:p>
        </w:tc>
        <w:tc>
          <w:tcPr>
            <w:tcW w:w="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6"/>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This additional overall compensation is understood to</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Cette  rémunération  additionnelle  globale  est  sensée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include any settlements for any disadvantage suffered as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comprendre tous les règlements pour tout inconvénient</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result of the change of job.</w:t>
            </w:r>
          </w:p>
        </w:tc>
        <w:tc>
          <w:tcPr>
            <w:tcW w:w="400" w:type="dxa"/>
            <w:vAlign w:val="bottom"/>
            <w:tcBorders>
              <w:right w:val="single" w:sz="8" w:color="auto"/>
            </w:tcBorders>
          </w:tcPr>
          <w:p>
            <w:pPr>
              <w:spacing w:after="0"/>
              <w:rPr>
                <w:sz w:val="20"/>
                <w:szCs w:val="20"/>
                <w:color w:val="auto"/>
              </w:rPr>
            </w:pPr>
          </w:p>
        </w:tc>
        <w:tc>
          <w:tcPr>
            <w:tcW w:w="40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subi à la suite du changement de travail.</w:t>
            </w:r>
          </w:p>
        </w:tc>
        <w:tc>
          <w:tcPr>
            <w:tcW w:w="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35</w:t>
            </w:r>
          </w:p>
        </w:tc>
        <w:tc>
          <w:tcPr>
            <w:tcW w:w="36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00" w:type="dxa"/>
            <w:vAlign w:val="bottom"/>
            <w:tcBorders>
              <w:right w:val="single" w:sz="8" w:color="auto"/>
            </w:tcBorders>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35</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Dépenses</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Expenses  which  are  not  covered  by  the  lump  sum</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Les dépenses qui ne sont pas couvertes par l'indemnité</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pursuant  to  the  Company's  expense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forfaitaire conformément aux règlements de frais de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regulations shall be reimbursed following presentation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société sont remboursées à la suite de la présentation des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supporting receipts. This additional remuneration is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reçus correspondants. Cette rémunération additionnelle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not subject to a separate vote by the General Meeting.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n'est  pas  soumise  à  un  vote  séparé  par  l'assemblée</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générale.</w:t>
            </w: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338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36</w:t>
            </w:r>
          </w:p>
        </w:tc>
        <w:tc>
          <w:tcPr>
            <w:tcW w:w="36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Compensation Agreements</w:t>
            </w:r>
          </w:p>
        </w:tc>
        <w:tc>
          <w:tcPr>
            <w:tcW w:w="400" w:type="dxa"/>
            <w:vAlign w:val="bottom"/>
            <w:tcBorders>
              <w:right w:val="single" w:sz="8" w:color="auto"/>
            </w:tcBorders>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36</w:t>
            </w:r>
          </w:p>
        </w:tc>
        <w:tc>
          <w:tcPr>
            <w:tcW w:w="3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Accords sur la rémunération</w:t>
            </w:r>
          </w:p>
        </w:tc>
        <w:tc>
          <w:tcPr>
            <w:tcW w:w="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Agreements on compensation with members of the Board</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Les accords sur la rémunération des membres du conseil</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 Directors may not exceed the term of maximal one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d'administration  ne  peuvent  pas  excéder  la  durée</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year.</w:t>
            </w: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maximale d'une année.</w:t>
            </w: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6"/>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44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Employment agreements of the members of the Executive</w:t>
            </w:r>
          </w:p>
        </w:tc>
        <w:tc>
          <w:tcPr>
            <w:tcW w:w="4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gridSpan w:val="6"/>
          </w:tcPr>
          <w:p>
            <w:pPr>
              <w:ind w:left="80"/>
              <w:spacing w:after="0" w:line="191" w:lineRule="exact"/>
              <w:rPr>
                <w:sz w:val="20"/>
                <w:szCs w:val="20"/>
                <w:color w:val="auto"/>
              </w:rPr>
            </w:pPr>
            <w:r>
              <w:rPr>
                <w:rFonts w:ascii="Times New Roman" w:cs="Times New Roman" w:eastAsia="Times New Roman" w:hAnsi="Times New Roman"/>
                <w:sz w:val="18"/>
                <w:szCs w:val="18"/>
                <w:color w:val="auto"/>
              </w:rPr>
              <w:t>Les contrats de travail des membres du comité exécutif</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Committee are principally concluded for an indefinite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sont principalement conclus pour une durée indéterminée.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period of time whereas a notice period may not exceed 12</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Un délai de préavis ne peut pas excéder 12 mois. Si un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months. If an employment agreement is concluded for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accord de travail est conclu pour une durée déterminée,</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fixed term such term may not exceed one year.</w:t>
            </w:r>
          </w:p>
        </w:tc>
        <w:tc>
          <w:tcPr>
            <w:tcW w:w="400" w:type="dxa"/>
            <w:vAlign w:val="bottom"/>
            <w:tcBorders>
              <w:right w:val="single" w:sz="8" w:color="auto"/>
            </w:tcBorders>
          </w:tcPr>
          <w:p>
            <w:pPr>
              <w:spacing w:after="0"/>
              <w:rPr>
                <w:sz w:val="20"/>
                <w:szCs w:val="20"/>
                <w:color w:val="auto"/>
              </w:rPr>
            </w:pPr>
          </w:p>
        </w:tc>
        <w:tc>
          <w:tcPr>
            <w:tcW w:w="40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telle durée ne peut pas excéder un an.</w:t>
            </w:r>
          </w:p>
        </w:tc>
        <w:tc>
          <w:tcPr>
            <w:tcW w:w="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338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8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37</w:t>
            </w:r>
          </w:p>
        </w:tc>
        <w:tc>
          <w:tcPr>
            <w:tcW w:w="36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Mandates of a Member of the Board of</w:t>
            </w:r>
          </w:p>
        </w:tc>
        <w:tc>
          <w:tcPr>
            <w:tcW w:w="400" w:type="dxa"/>
            <w:vAlign w:val="bottom"/>
            <w:tcBorders>
              <w:right w:val="single" w:sz="8" w:color="auto"/>
            </w:tcBorders>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37</w:t>
            </w:r>
          </w:p>
        </w:tc>
        <w:tc>
          <w:tcPr>
            <w:tcW w:w="3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Mandats d'un membre du conseil</w:t>
            </w:r>
          </w:p>
        </w:tc>
        <w:tc>
          <w:tcPr>
            <w:tcW w:w="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20" w:type="dxa"/>
            <w:vAlign w:val="bottom"/>
            <w:tcBorders>
              <w:left w:val="single" w:sz="8" w:color="auto"/>
            </w:tcBorders>
          </w:tcPr>
          <w:p>
            <w:pPr>
              <w:spacing w:after="0"/>
              <w:rPr>
                <w:sz w:val="20"/>
                <w:szCs w:val="20"/>
                <w:color w:val="auto"/>
              </w:rPr>
            </w:pPr>
          </w:p>
        </w:tc>
        <w:tc>
          <w:tcPr>
            <w:tcW w:w="36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Directors outside the Company</w:t>
            </w:r>
          </w:p>
        </w:tc>
        <w:tc>
          <w:tcPr>
            <w:tcW w:w="40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d'administration de la société</w:t>
            </w:r>
          </w:p>
        </w:tc>
        <w:tc>
          <w:tcPr>
            <w:tcW w:w="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 member of the Board of Directors may cumulatively</w:t>
            </w:r>
          </w:p>
        </w:tc>
        <w:tc>
          <w:tcPr>
            <w:tcW w:w="400" w:type="dxa"/>
            <w:vAlign w:val="bottom"/>
            <w:tcBorders>
              <w:right w:val="single" w:sz="8" w:color="auto"/>
            </w:tcBorders>
          </w:tcPr>
          <w:p>
            <w:pPr>
              <w:spacing w:after="0"/>
              <w:rPr>
                <w:sz w:val="24"/>
                <w:szCs w:val="24"/>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Un</w:t>
            </w: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membre  du  conseil</w:t>
            </w:r>
          </w:p>
        </w:tc>
        <w:tc>
          <w:tcPr>
            <w:tcW w:w="21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d'administration  ne  peut</w:t>
            </w:r>
          </w:p>
        </w:tc>
        <w:tc>
          <w:tcPr>
            <w:tcW w:w="38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w w:val="99"/>
              </w:rPr>
              <w:t>pas</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assume not more than the following number of mandates</w:t>
            </w:r>
          </w:p>
        </w:tc>
        <w:tc>
          <w:tcPr>
            <w:tcW w:w="400" w:type="dxa"/>
            <w:vAlign w:val="bottom"/>
            <w:tcBorders>
              <w:right w:val="single" w:sz="8" w:color="auto"/>
            </w:tcBorders>
          </w:tcPr>
          <w:p>
            <w:pPr>
              <w:spacing w:after="0"/>
              <w:rPr>
                <w:sz w:val="9"/>
                <w:szCs w:val="9"/>
                <w:color w:val="auto"/>
              </w:rPr>
            </w:pPr>
          </w:p>
        </w:tc>
        <w:tc>
          <w:tcPr>
            <w:tcW w:w="360" w:type="dxa"/>
            <w:vAlign w:val="bottom"/>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3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6"/>
            <w:vMerge w:val="restart"/>
          </w:tcPr>
          <w:p>
            <w:pPr>
              <w:ind w:left="80"/>
              <w:spacing w:after="0"/>
              <w:rPr>
                <w:sz w:val="20"/>
                <w:szCs w:val="20"/>
                <w:color w:val="auto"/>
              </w:rPr>
            </w:pPr>
            <w:r>
              <w:rPr>
                <w:rFonts w:ascii="Times New Roman" w:cs="Times New Roman" w:eastAsia="Times New Roman" w:hAnsi="Times New Roman"/>
                <w:sz w:val="18"/>
                <w:szCs w:val="18"/>
                <w:color w:val="auto"/>
              </w:rPr>
              <w:t>cumuler plus que le nombre suivant de mandats dans un</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in the board of directors, the superior management or an</w:t>
            </w: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conseil</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d'administration,</w:t>
            </w:r>
          </w:p>
        </w:tc>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une direction supérieure ou</w:t>
            </w:r>
          </w:p>
        </w:tc>
        <w:tc>
          <w:tcPr>
            <w:tcW w:w="38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un</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administrative body of a legal entity which is obliged to</w:t>
            </w:r>
          </w:p>
        </w:tc>
        <w:tc>
          <w:tcPr>
            <w:tcW w:w="400" w:type="dxa"/>
            <w:vAlign w:val="bottom"/>
            <w:tcBorders>
              <w:right w:val="single" w:sz="8" w:color="auto"/>
            </w:tcBorders>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3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organisme administratif</w:t>
            </w:r>
          </w:p>
        </w:tc>
        <w:tc>
          <w:tcPr>
            <w:tcW w:w="2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d'une personne morale qui</w:t>
            </w:r>
          </w:p>
        </w:tc>
        <w:tc>
          <w:tcPr>
            <w:tcW w:w="38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est</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be registered in the Swiss commercial register or an</w:t>
            </w:r>
          </w:p>
        </w:tc>
        <w:tc>
          <w:tcPr>
            <w:tcW w:w="400" w:type="dxa"/>
            <w:vAlign w:val="bottom"/>
            <w:tcBorders>
              <w:right w:val="single" w:sz="8" w:color="auto"/>
            </w:tcBorders>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3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6"/>
            <w:vMerge w:val="restart"/>
          </w:tcPr>
          <w:p>
            <w:pPr>
              <w:ind w:left="80"/>
              <w:spacing w:after="0"/>
              <w:rPr>
                <w:sz w:val="20"/>
                <w:szCs w:val="20"/>
                <w:color w:val="auto"/>
              </w:rPr>
            </w:pPr>
            <w:r>
              <w:rPr>
                <w:rFonts w:ascii="Times New Roman" w:cs="Times New Roman" w:eastAsia="Times New Roman" w:hAnsi="Times New Roman"/>
                <w:sz w:val="18"/>
                <w:szCs w:val="18"/>
                <w:color w:val="auto"/>
              </w:rPr>
              <w:t>obligée d'être inscrite au registre du commerce suisse ou</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equivalent foreign register:</w:t>
            </w:r>
          </w:p>
        </w:tc>
        <w:tc>
          <w:tcPr>
            <w:tcW w:w="400" w:type="dxa"/>
            <w:vAlign w:val="bottom"/>
            <w:tcBorders>
              <w:right w:val="single" w:sz="8" w:color="auto"/>
            </w:tcBorders>
          </w:tcPr>
          <w:p>
            <w:pPr>
              <w:spacing w:after="0"/>
              <w:rPr>
                <w:sz w:val="9"/>
                <w:szCs w:val="9"/>
                <w:color w:val="auto"/>
              </w:rPr>
            </w:pPr>
          </w:p>
        </w:tc>
        <w:tc>
          <w:tcPr>
            <w:tcW w:w="4420" w:type="dxa"/>
            <w:vAlign w:val="bottom"/>
            <w:tcBorders>
              <w:right w:val="single" w:sz="8" w:color="auto"/>
            </w:tcBorders>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440" w:type="dxa"/>
            <w:vAlign w:val="bottom"/>
            <w:tcBorders>
              <w:left w:val="single" w:sz="8" w:color="auto"/>
              <w:right w:val="single" w:sz="8" w:color="auto"/>
            </w:tcBorders>
            <w:gridSpan w:val="2"/>
            <w:vMerge w:val="continue"/>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un registre étranger équivalent:</w:t>
            </w:r>
          </w:p>
        </w:tc>
        <w:tc>
          <w:tcPr>
            <w:tcW w:w="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   7 mandates for publicly traded companies pursuant</w:t>
            </w:r>
          </w:p>
        </w:tc>
        <w:tc>
          <w:tcPr>
            <w:tcW w:w="400" w:type="dxa"/>
            <w:vAlign w:val="bottom"/>
            <w:tcBorders>
              <w:right w:val="single" w:sz="8" w:color="auto"/>
            </w:tcBorders>
          </w:tcPr>
          <w:p>
            <w:pPr>
              <w:spacing w:after="0"/>
              <w:rPr>
                <w:sz w:val="9"/>
                <w:szCs w:val="9"/>
                <w:color w:val="auto"/>
              </w:rPr>
            </w:pPr>
          </w:p>
        </w:tc>
        <w:tc>
          <w:tcPr>
            <w:tcW w:w="40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440" w:type="dxa"/>
            <w:vAlign w:val="bottom"/>
            <w:tcBorders>
              <w:left w:val="single" w:sz="8" w:color="auto"/>
              <w:right w:val="single" w:sz="8" w:color="auto"/>
            </w:tcBorders>
            <w:gridSpan w:val="2"/>
            <w:vMerge w:val="continue"/>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w:t>
            </w:r>
          </w:p>
        </w:tc>
        <w:tc>
          <w:tcPr>
            <w:tcW w:w="3760" w:type="dxa"/>
            <w:vAlign w:val="bottom"/>
            <w:tcBorders>
              <w:right w:val="single" w:sz="8" w:color="auto"/>
            </w:tcBorders>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mandats pour les entreprises cotées en bourse</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to art. 727 para. 1 number 1 CO; and</w:t>
            </w:r>
          </w:p>
        </w:tc>
        <w:tc>
          <w:tcPr>
            <w:tcW w:w="400" w:type="dxa"/>
            <w:vAlign w:val="bottom"/>
            <w:tcBorders>
              <w:right w:val="single" w:sz="8" w:color="auto"/>
            </w:tcBorders>
          </w:tcPr>
          <w:p>
            <w:pPr>
              <w:spacing w:after="0"/>
              <w:rPr>
                <w:sz w:val="9"/>
                <w:szCs w:val="9"/>
                <w:color w:val="auto"/>
              </w:rPr>
            </w:pPr>
          </w:p>
        </w:tc>
        <w:tc>
          <w:tcPr>
            <w:tcW w:w="36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376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440" w:type="dxa"/>
            <w:vAlign w:val="bottom"/>
            <w:tcBorders>
              <w:left w:val="single" w:sz="8" w:color="auto"/>
              <w:right w:val="single" w:sz="8" w:color="auto"/>
            </w:tcBorders>
            <w:gridSpan w:val="2"/>
            <w:vMerge w:val="continue"/>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selon l'art. 727 al. 1 chiffre 1 CO; et</w:t>
            </w:r>
          </w:p>
        </w:tc>
        <w:tc>
          <w:tcPr>
            <w:tcW w:w="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b)   8 mandates for companies pursuant to art. 727 para.</w:t>
            </w:r>
          </w:p>
        </w:tc>
        <w:tc>
          <w:tcPr>
            <w:tcW w:w="40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6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440" w:type="dxa"/>
            <w:vAlign w:val="bottom"/>
            <w:tcBorders>
              <w:left w:val="single" w:sz="8" w:color="auto"/>
              <w:right w:val="single" w:sz="8" w:color="auto"/>
            </w:tcBorders>
            <w:gridSpan w:val="2"/>
            <w:vMerge w:val="continue"/>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060" w:type="dxa"/>
            <w:vAlign w:val="bottom"/>
            <w:tcBorders>
              <w:right w:val="single" w:sz="8" w:color="auto"/>
            </w:tcBorders>
            <w:gridSpan w:val="5"/>
            <w:vMerge w:val="restart"/>
          </w:tcPr>
          <w:p>
            <w:pPr>
              <w:ind w:left="160"/>
              <w:spacing w:after="0"/>
              <w:rPr>
                <w:sz w:val="20"/>
                <w:szCs w:val="20"/>
                <w:color w:val="auto"/>
              </w:rPr>
            </w:pPr>
            <w:r>
              <w:rPr>
                <w:rFonts w:ascii="Times New Roman" w:cs="Times New Roman" w:eastAsia="Times New Roman" w:hAnsi="Times New Roman"/>
                <w:sz w:val="18"/>
                <w:szCs w:val="18"/>
                <w:color w:val="auto"/>
              </w:rPr>
              <w:t>8 mandats pour des entreprises selon l'art. 727 al. 1</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1 number 2 CO; and</w:t>
            </w:r>
          </w:p>
        </w:tc>
        <w:tc>
          <w:tcPr>
            <w:tcW w:w="400" w:type="dxa"/>
            <w:vAlign w:val="bottom"/>
            <w:tcBorders>
              <w:right w:val="single" w:sz="8" w:color="auto"/>
            </w:tcBorders>
          </w:tcPr>
          <w:p>
            <w:pPr>
              <w:spacing w:after="0"/>
              <w:rPr>
                <w:sz w:val="9"/>
                <w:szCs w:val="9"/>
                <w:color w:val="auto"/>
              </w:rPr>
            </w:pPr>
          </w:p>
        </w:tc>
        <w:tc>
          <w:tcPr>
            <w:tcW w:w="360" w:type="dxa"/>
            <w:vAlign w:val="bottom"/>
            <w:vMerge w:val="continue"/>
          </w:tcPr>
          <w:p>
            <w:pPr>
              <w:spacing w:after="0"/>
              <w:rPr>
                <w:sz w:val="9"/>
                <w:szCs w:val="9"/>
                <w:color w:val="auto"/>
              </w:rPr>
            </w:pPr>
          </w:p>
        </w:tc>
        <w:tc>
          <w:tcPr>
            <w:tcW w:w="406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440" w:type="dxa"/>
            <w:vAlign w:val="bottom"/>
            <w:tcBorders>
              <w:left w:val="single" w:sz="8" w:color="auto"/>
              <w:right w:val="single" w:sz="8" w:color="auto"/>
            </w:tcBorders>
            <w:gridSpan w:val="2"/>
            <w:vMerge w:val="continue"/>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chiffre 2 CO; et</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c)   5 mandates for companies which do not fulfil the</w:t>
            </w:r>
          </w:p>
        </w:tc>
        <w:tc>
          <w:tcPr>
            <w:tcW w:w="40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440" w:type="dxa"/>
            <w:vAlign w:val="bottom"/>
            <w:tcBorders>
              <w:left w:val="single" w:sz="8" w:color="auto"/>
              <w:right w:val="single" w:sz="8" w:color="auto"/>
            </w:tcBorders>
            <w:gridSpan w:val="2"/>
            <w:vMerge w:val="continue"/>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060" w:type="dxa"/>
            <w:vAlign w:val="bottom"/>
            <w:tcBorders>
              <w:right w:val="single" w:sz="8" w:color="auto"/>
            </w:tcBorders>
            <w:gridSpan w:val="5"/>
            <w:vMerge w:val="restart"/>
          </w:tcPr>
          <w:p>
            <w:pPr>
              <w:ind w:left="160"/>
              <w:spacing w:after="0"/>
              <w:rPr>
                <w:sz w:val="20"/>
                <w:szCs w:val="20"/>
                <w:color w:val="auto"/>
              </w:rPr>
            </w:pPr>
            <w:r>
              <w:rPr>
                <w:rFonts w:ascii="Times New Roman" w:cs="Times New Roman" w:eastAsia="Times New Roman" w:hAnsi="Times New Roman"/>
                <w:sz w:val="18"/>
                <w:szCs w:val="18"/>
                <w:color w:val="auto"/>
              </w:rPr>
              <w:t>5 mandats pour les entreprises qui ne remplissent</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criteria under a) and b) above.</w:t>
            </w:r>
          </w:p>
        </w:tc>
        <w:tc>
          <w:tcPr>
            <w:tcW w:w="400" w:type="dxa"/>
            <w:vAlign w:val="bottom"/>
            <w:tcBorders>
              <w:right w:val="single" w:sz="8" w:color="auto"/>
            </w:tcBorders>
          </w:tcPr>
          <w:p>
            <w:pPr>
              <w:spacing w:after="0"/>
              <w:rPr>
                <w:sz w:val="9"/>
                <w:szCs w:val="9"/>
                <w:color w:val="auto"/>
              </w:rPr>
            </w:pPr>
          </w:p>
        </w:tc>
        <w:tc>
          <w:tcPr>
            <w:tcW w:w="360" w:type="dxa"/>
            <w:vAlign w:val="bottom"/>
            <w:vMerge w:val="continue"/>
          </w:tcPr>
          <w:p>
            <w:pPr>
              <w:spacing w:after="0"/>
              <w:rPr>
                <w:sz w:val="9"/>
                <w:szCs w:val="9"/>
                <w:color w:val="auto"/>
              </w:rPr>
            </w:pPr>
          </w:p>
        </w:tc>
        <w:tc>
          <w:tcPr>
            <w:tcW w:w="406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440" w:type="dxa"/>
            <w:vAlign w:val="bottom"/>
            <w:tcBorders>
              <w:left w:val="single" w:sz="8" w:color="auto"/>
              <w:right w:val="single" w:sz="8" w:color="auto"/>
            </w:tcBorders>
            <w:gridSpan w:val="2"/>
            <w:vMerge w:val="continue"/>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pas les critères sous a) et b) ci-dessus.</w:t>
            </w:r>
          </w:p>
        </w:tc>
        <w:tc>
          <w:tcPr>
            <w:tcW w:w="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tcBorders>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6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6"/>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Mandates held in several legal entities each operating</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Les mandats exercés dans plusieurs entités juridiques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under the same management or same beneficial owner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opérant chacune sous la même direction ou le même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(group) are deemed to be a single mandate.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bénéficiaire effectif (groupe) sont réputés être un seul</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mandat.</w:t>
            </w:r>
          </w:p>
        </w:tc>
        <w:tc>
          <w:tcPr>
            <w:tcW w:w="1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6"/>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If a legal entity fulfills several of the above mentioned</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Si  une  entité  juridique  remplit  plusieurs  des  critères</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criteria, it can be freely counted towards any category.</w:t>
            </w:r>
          </w:p>
        </w:tc>
        <w:tc>
          <w:tcPr>
            <w:tcW w:w="400" w:type="dxa"/>
            <w:vAlign w:val="bottom"/>
            <w:tcBorders>
              <w:right w:val="single" w:sz="8" w:color="auto"/>
            </w:tcBorders>
          </w:tcPr>
          <w:p>
            <w:pPr>
              <w:spacing w:after="0"/>
              <w:rPr>
                <w:sz w:val="20"/>
                <w:szCs w:val="20"/>
                <w:color w:val="auto"/>
              </w:rPr>
            </w:pPr>
          </w:p>
        </w:tc>
        <w:tc>
          <w:tcPr>
            <w:tcW w:w="40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mentionnés ci-dessus, elle peut être librement placée</w:t>
            </w:r>
          </w:p>
        </w:tc>
        <w:tc>
          <w:tcPr>
            <w:tcW w:w="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8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42" w:name="page243"/>
    <w:bookmarkEnd w:id="242"/>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44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following  mandates  are  excepted  from  these</w:t>
            </w:r>
          </w:p>
        </w:tc>
        <w:tc>
          <w:tcPr>
            <w:tcW w:w="400" w:type="dxa"/>
            <w:vAlign w:val="bottom"/>
            <w:tcBorders>
              <w:top w:val="single" w:sz="8" w:color="auto"/>
              <w:right w:val="single" w:sz="8" w:color="auto"/>
            </w:tcBorders>
          </w:tcPr>
          <w:p>
            <w:pPr>
              <w:spacing w:after="0"/>
              <w:rPr>
                <w:sz w:val="18"/>
                <w:szCs w:val="18"/>
                <w:color w:val="auto"/>
              </w:rPr>
            </w:pPr>
          </w:p>
        </w:tc>
        <w:tc>
          <w:tcPr>
            <w:tcW w:w="442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dans une catégorie. Les mandats suivants sont exceptés de</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8"/>
              </w:rPr>
              <w:t>restrictions:</w:t>
            </w:r>
          </w:p>
        </w:tc>
        <w:tc>
          <w:tcPr>
            <w:tcW w:w="34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ces restrictions:</w:t>
            </w: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   mandates in legal entities which are controlled by</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les mandats dans des entités juridiques qui sont</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the Company or which control the Company;</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contrôlées par la société ou qui contrôlent la société;</w:t>
            </w: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   honorary mandates in charitable legal entities.</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des mandats d'honneur à des personnes morales de</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bienfaisance.</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bottom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364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38</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Mandates of a Member of the Executive</w:t>
            </w: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38</w:t>
            </w:r>
          </w:p>
        </w:tc>
        <w:tc>
          <w:tcPr>
            <w:tcW w:w="36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Mandats d'un membre du comité exécutif</w:t>
            </w:r>
          </w:p>
        </w:tc>
        <w:tc>
          <w:tcPr>
            <w:tcW w:w="0" w:type="dxa"/>
            <w:vAlign w:val="bottom"/>
          </w:tcPr>
          <w:p>
            <w:pPr>
              <w:spacing w:after="0"/>
              <w:rPr>
                <w:sz w:val="1"/>
                <w:szCs w:val="1"/>
                <w:color w:val="auto"/>
              </w:rPr>
            </w:pPr>
          </w:p>
        </w:tc>
      </w:tr>
      <w:tr>
        <w:trPr>
          <w:trHeight w:val="238"/>
        </w:trPr>
        <w:tc>
          <w:tcPr>
            <w:tcW w:w="980" w:type="dxa"/>
            <w:vAlign w:val="bottom"/>
            <w:tcBorders>
              <w:left w:val="single" w:sz="8" w:color="auto"/>
            </w:tcBorders>
          </w:tcPr>
          <w:p>
            <w:pPr>
              <w:spacing w:after="0"/>
              <w:rPr>
                <w:sz w:val="20"/>
                <w:szCs w:val="20"/>
                <w:color w:val="auto"/>
              </w:rPr>
            </w:pP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outside the Company</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en-dehors de la société</w:t>
            </w:r>
          </w:p>
        </w:tc>
        <w:tc>
          <w:tcPr>
            <w:tcW w:w="0" w:type="dxa"/>
            <w:vAlign w:val="bottom"/>
          </w:tcPr>
          <w:p>
            <w:pPr>
              <w:spacing w:after="0"/>
              <w:rPr>
                <w:sz w:val="1"/>
                <w:szCs w:val="1"/>
                <w:color w:val="auto"/>
              </w:rPr>
            </w:pPr>
          </w:p>
        </w:tc>
      </w:tr>
      <w:tr>
        <w:trPr>
          <w:trHeight w:val="41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Each member of the Executive Committee may, with</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Chaque  membre  du  comité  exécutif  peut,  avec</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approval of the Board of Directors, cumulatively assume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l'approbation du conseil d'administration, cumuler pas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not more than the following number of mandates in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plus que le nombre suivant de mandats dans un conseil</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board  of  directors,  the  superior  management  or  an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d'administration,  une  direction  supérieure  ou  un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administrative body of a legal entity which is obliged to</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organisme administratif d'une personne morale qui est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be registered in the Swiss commercial register or an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obligée d'être inscrite dans le registre du commerce suisse</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equivalent foreign register:</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ou un registre étranger équivalent:</w:t>
            </w: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   2 mandates for publicly traded companies pursuant</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2 mandats pour les entreprises cotées en bourse</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to Art. 727 para. 1 number 1 CO; and</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selon l'art. 727 al. 1 chiffre 1 CO; et</w:t>
            </w: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   3 mandates for companies pursuant to Art. 727 para.</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3 mandats pour des entreprises selon l'art. 727 al. 1</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1 number 2 CO; and</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chiffre 2 CO; et</w:t>
            </w:r>
          </w:p>
        </w:tc>
        <w:tc>
          <w:tcPr>
            <w:tcW w:w="0" w:type="dxa"/>
            <w:vAlign w:val="bottom"/>
          </w:tcPr>
          <w:p>
            <w:pPr>
              <w:spacing w:after="0"/>
              <w:rPr>
                <w:sz w:val="1"/>
                <w:szCs w:val="1"/>
                <w:color w:val="auto"/>
              </w:rPr>
            </w:pP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   5 mandates for companies which do not fulfil the</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5 mandats pour les entreprises qui ne remplissent</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criteria under litera a) and b) above.</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pas les critères sous a) et b) ci-dessus.</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Mandates held in several legal entities each operating</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Les mandats exercés dans plusieurs entités juridiques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under the same management or same beneficial owner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opérant  chacun  sous  la  même  direction  ou  même</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(group) are deemed to be a single mandate.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bénéficiaire effectif (groupe) sont réputés être un seul</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If a legal entity fulfills several of the above mentioned</w:t>
            </w:r>
          </w:p>
        </w:tc>
        <w:tc>
          <w:tcPr>
            <w:tcW w:w="400" w:type="dxa"/>
            <w:vAlign w:val="bottom"/>
            <w:tcBorders>
              <w:right w:val="single" w:sz="8" w:color="auto"/>
            </w:tcBorders>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mandat.</w:t>
            </w:r>
          </w:p>
        </w:tc>
        <w:tc>
          <w:tcPr>
            <w:tcW w:w="3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440" w:type="dxa"/>
            <w:vAlign w:val="bottom"/>
            <w:tcBorders>
              <w:left w:val="single" w:sz="8" w:color="auto"/>
              <w:right w:val="single" w:sz="8" w:color="auto"/>
            </w:tcBorders>
            <w:gridSpan w:val="2"/>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criteria, it can be freely counted towards any category.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Si  une  entité  juridique  remplit  plusieurs  des  critères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following  mandates  are  excepted  from  this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mentionnés ci-dessus, elle peut être librement placée dans</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8"/>
              </w:rPr>
              <w:t>restrictions:</w:t>
            </w:r>
          </w:p>
        </w:tc>
        <w:tc>
          <w:tcPr>
            <w:tcW w:w="346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une catégorie. Les mandats suivants sont exceptés de ces</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  mandates in legal entities which are controlled by the</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restrictions:</w:t>
            </w:r>
          </w:p>
        </w:tc>
        <w:tc>
          <w:tcPr>
            <w:tcW w:w="0" w:type="dxa"/>
            <w:vAlign w:val="bottom"/>
          </w:tcPr>
          <w:p>
            <w:pPr>
              <w:spacing w:after="0"/>
              <w:rPr>
                <w:sz w:val="1"/>
                <w:szCs w:val="1"/>
                <w:color w:val="auto"/>
              </w:rPr>
            </w:pPr>
          </w:p>
        </w:tc>
      </w:tr>
      <w:tr>
        <w:trPr>
          <w:trHeight w:val="90"/>
        </w:trPr>
        <w:tc>
          <w:tcPr>
            <w:tcW w:w="4440" w:type="dxa"/>
            <w:vAlign w:val="bottom"/>
            <w:tcBorders>
              <w:left w:val="single" w:sz="8" w:color="auto"/>
              <w:right w:val="single" w:sz="8" w:color="auto"/>
            </w:tcBorders>
            <w:gridSpan w:val="2"/>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Company or which control the Company;</w:t>
            </w:r>
          </w:p>
        </w:tc>
        <w:tc>
          <w:tcPr>
            <w:tcW w:w="400" w:type="dxa"/>
            <w:vAlign w:val="bottom"/>
            <w:tcBorders>
              <w:right w:val="single" w:sz="8" w:color="auto"/>
            </w:tcBorders>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mandats dans des entités juridiques qui sont</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b)  honorary mandates in charitable legal entities.</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contrôlées par la société ou qui contrôlent la société;</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right w:val="single" w:sz="8" w:color="auto"/>
            </w:tcBorders>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10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mandats d'honneur dans des entités juridiques de</w:t>
            </w:r>
          </w:p>
        </w:tc>
        <w:tc>
          <w:tcPr>
            <w:tcW w:w="0" w:type="dxa"/>
            <w:vAlign w:val="bottom"/>
          </w:tcPr>
          <w:p>
            <w:pPr>
              <w:spacing w:after="0"/>
              <w:rPr>
                <w:sz w:val="1"/>
                <w:szCs w:val="1"/>
                <w:color w:val="auto"/>
              </w:rPr>
            </w:pPr>
          </w:p>
        </w:tc>
      </w:tr>
      <w:tr>
        <w:trPr>
          <w:trHeight w:val="198"/>
        </w:trPr>
        <w:tc>
          <w:tcPr>
            <w:tcW w:w="980" w:type="dxa"/>
            <w:vAlign w:val="bottom"/>
            <w:tcBorders>
              <w:left w:val="single" w:sz="8" w:color="auto"/>
            </w:tcBorders>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320" w:type="dxa"/>
            <w:vAlign w:val="bottom"/>
            <w:vMerge w:val="continue"/>
          </w:tcPr>
          <w:p>
            <w:pPr>
              <w:spacing w:after="0"/>
              <w:rPr>
                <w:sz w:val="17"/>
                <w:szCs w:val="17"/>
                <w:color w:val="auto"/>
              </w:rPr>
            </w:pPr>
          </w:p>
        </w:tc>
        <w:tc>
          <w:tcPr>
            <w:tcW w:w="410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bienfaisance.</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bottom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364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39</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Loans and Credits</w:t>
            </w:r>
          </w:p>
        </w:tc>
        <w:tc>
          <w:tcPr>
            <w:tcW w:w="400" w:type="dxa"/>
            <w:vAlign w:val="bottom"/>
            <w:tcBorders>
              <w:right w:val="single" w:sz="8" w:color="auto"/>
            </w:tcBorders>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39</w:t>
            </w:r>
          </w:p>
        </w:tc>
        <w:tc>
          <w:tcPr>
            <w:tcW w:w="36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Prêts et crédits</w:t>
            </w:r>
          </w:p>
        </w:tc>
        <w:tc>
          <w:tcPr>
            <w:tcW w:w="0" w:type="dxa"/>
            <w:vAlign w:val="bottom"/>
          </w:tcPr>
          <w:p>
            <w:pPr>
              <w:spacing w:after="0"/>
              <w:rPr>
                <w:sz w:val="1"/>
                <w:szCs w:val="1"/>
                <w:color w:val="auto"/>
              </w:rPr>
            </w:pP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members of the Board of Directors and the Executive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Les membres du conseil d'administration et du comité</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Committee may not be granted any loans, credits 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exécutif ne peuvent pas souscrire des prêts, des crédits ou</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securities. Excepted from the above are advances in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des  titres.  Sont  exceptées  les  avances  d'un  montant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maximum  amount  of  CHF  500'000  per  person  for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maximum de CHF 500'000 par personne pour les frais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attorneys' fees, court and other similar costs required for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d'avocat,  des  coûts  de  tribunaux  et  d'autres  coûts</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defence of third-party liability claims permitted by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similaires nécessaires à la défense contre des actions en</w:t>
            </w:r>
          </w:p>
        </w:tc>
        <w:tc>
          <w:tcPr>
            <w:tcW w:w="0" w:type="dxa"/>
            <w:vAlign w:val="bottom"/>
          </w:tcPr>
          <w:p>
            <w:pPr>
              <w:spacing w:after="0"/>
              <w:rPr>
                <w:sz w:val="1"/>
                <w:szCs w:val="1"/>
                <w:color w:val="auto"/>
              </w:rPr>
            </w:pPr>
          </w:p>
        </w:tc>
      </w:tr>
      <w:tr>
        <w:trPr>
          <w:trHeight w:val="234"/>
        </w:trPr>
        <w:tc>
          <w:tcPr>
            <w:tcW w:w="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Article 29.</w:t>
            </w:r>
          </w:p>
        </w:tc>
        <w:tc>
          <w:tcPr>
            <w:tcW w:w="346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responsabilité civile autorisés par l'article 29.</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bottom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9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43" w:name="page244"/>
    <w:bookmarkEnd w:id="243"/>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338"/>
        </w:trPr>
        <w:tc>
          <w:tcPr>
            <w:tcW w:w="90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40</w:t>
            </w:r>
          </w:p>
        </w:tc>
        <w:tc>
          <w:tcPr>
            <w:tcW w:w="35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Pension Funds</w:t>
            </w:r>
          </w:p>
        </w:tc>
        <w:tc>
          <w:tcPr>
            <w:tcW w:w="40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Art. 40</w:t>
            </w:r>
          </w:p>
        </w:tc>
        <w:tc>
          <w:tcPr>
            <w:tcW w:w="3660" w:type="dxa"/>
            <w:vAlign w:val="bottom"/>
            <w:tcBorders>
              <w:top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Fonds de pension</w:t>
            </w: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Company shall remunerate members of the Board of</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 société ne doit rémunérer les membres du conseil</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Directors only in respect of the employer's mandatory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d'administration  que  du  montant  dû  au  titre  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contributions to social insurance. Above and beyond this,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contributions  obligatoire  de  l'employeur  à  l'assurance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Company shall not make any contributions to pension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sociale. Au-delà de ce montant, la société ne doit pas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funds or other such pension plans. In exceptional cases,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verser de cotisations à des institutions de prévoyance ou à</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contributions such as these may be made subject to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d'autres régimes de retraite. Dans des cas exceptionnels,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request by the Compensation Committee and the approval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des contributions comme celles-ci peuvent être faites sur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 the General Meeting.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demande au comité de rémunération et sous réserve de</w:t>
            </w:r>
          </w:p>
        </w:tc>
      </w:tr>
      <w:tr>
        <w:trPr>
          <w:trHeight w:val="234"/>
        </w:trPr>
        <w:tc>
          <w:tcPr>
            <w:tcW w:w="900" w:type="dxa"/>
            <w:vAlign w:val="bottom"/>
            <w:tcBorders>
              <w:lef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l'approbation de l'assemblée générale.</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Members of the Executive Committee participate in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membres du comité exécutif participent aux régimes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Company's pension plans (the Company's pension fund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 retraite de la société (le fond de pension de la société et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and the management pension plan). The pension plans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régime de retraite du management). Les régimes 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conform to the legal requirements. For members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retraite sont conformes aux exigences légales (LPP). Pour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Executive Committee, the insured income is defined as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membres du comité exécutif, le revenu assuré est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fixed remuneration plus 50 percent of the target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défini comme la rémunération fixe plus les 50 pour cent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performance-related  remuneration,  up  to  the  legal</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  la  rémunération  liée  à  la  performance,  jusqu'au</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maximum.  Equity-linked  income  components  are  not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maximum légal. Les composantes du revenu liées au</w:t>
            </w:r>
          </w:p>
        </w:tc>
      </w:tr>
      <w:tr>
        <w:trPr>
          <w:trHeight w:val="234"/>
        </w:trPr>
        <w:tc>
          <w:tcPr>
            <w:tcW w:w="9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included.</w:t>
            </w:r>
          </w:p>
        </w:tc>
        <w:tc>
          <w:tcPr>
            <w:tcW w:w="354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capital propre ne sont pas inclus.</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Within the overall compensation approved by the General</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Dans la rémunération globale approuvée par l'assemblée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Meeting, the Company may make additional payments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générale,  la  société  pourra  effectuer  des  paiements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into the Company's pension funds for the benefit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supplémentaires dans les caisses de retraite de la société</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members of the Executive Committee in order to cover</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pour le bénéfice des membres du comité exécutif afin de</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any disadvantage suffered as a result of the change of jobs</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couvrir tout désavantage subi par suite de la modification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or to purchase additional pension entitlements. In this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  l'emploi  ou  pour  acheter  des  droits  de  pension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context the Company may conclude life insurance policies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supplémentaires.  Dans  ce  contexte,  la  société  peut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on behalf of members of the Executive Committee and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conclure  des  contrats  d'assurance-vie  au  nom  des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pay the insurance premiums either fully or in part.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membres du comité exécutif et payer en totalité ou en</w:t>
            </w:r>
          </w:p>
        </w:tc>
      </w:tr>
      <w:tr>
        <w:trPr>
          <w:trHeight w:val="234"/>
        </w:trPr>
        <w:tc>
          <w:tcPr>
            <w:tcW w:w="900" w:type="dxa"/>
            <w:vAlign w:val="bottom"/>
            <w:tcBorders>
              <w:lef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partie les primes d'assurance.</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Upon retirement, the Company may also grant members</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À la retraite, la société peut également accorder aux</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 the Executive Committee a bridging pension to cover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membres du comité exécutif, une pension de transition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period between early retirement at 62 and the ordinary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pour couvrir la période entre la retraite anticipée à 62 ans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age of retirement, if such bridging pension does not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et l'âge ordinaire de la retraite, si cette rente transitoire ne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exceed 100 percent of the total annual compensation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dépasse pas 100 pour cent du dernier montant de la</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respective member last paid.</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rémunération annuelle totale payée au membre respectif.</w:t>
            </w: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232"/>
        </w:trPr>
        <w:tc>
          <w:tcPr>
            <w:tcW w:w="9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41</w:t>
            </w:r>
          </w:p>
        </w:tc>
        <w:tc>
          <w:tcPr>
            <w:tcW w:w="3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Option and Share Plans</w:t>
            </w:r>
          </w:p>
        </w:tc>
        <w:tc>
          <w:tcPr>
            <w:tcW w:w="400" w:type="dxa"/>
            <w:vAlign w:val="bottom"/>
            <w:tcBorders>
              <w:right w:val="single" w:sz="8" w:color="auto"/>
            </w:tcBorders>
          </w:tcPr>
          <w:p>
            <w:pPr>
              <w:spacing w:after="0"/>
              <w:rPr>
                <w:sz w:val="20"/>
                <w:szCs w:val="20"/>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41</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Options et plan d'actions</w:t>
            </w:r>
          </w:p>
        </w:tc>
      </w:tr>
      <w:tr>
        <w:trPr>
          <w:trHeight w:val="32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Under the Company's Long Term Incentive Plan,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En vertu du plan d’intéressement à long terme de la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Board of Directors, upon proposal of the Compensation</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société, le conseil d'administration, sur proposition du</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Committee, allocates the participating members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comité   de   rémunération,   attribue   aux   membres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Executive Committee and the Board of Directors a fixed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participants   du   comité   exécutif   et   du   conseil</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number of options or shares with a vesting or a blocking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d'administration un nombre fixe d'options ou d'actions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period (the vesting period). At the end of the vesting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avec une période de vesting ou de blocage (la "Période de</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period, participants in the Long Term Incentive</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Vesting "). À la fin de la Période de Vesting, les</w:t>
            </w: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r>
      <w:tr>
        <w:trPr>
          <w:trHeight w:val="540"/>
        </w:trPr>
        <w:tc>
          <w:tcPr>
            <w:tcW w:w="9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480"/>
          </w:cols>
          <w:pgMar w:left="1440" w:top="660" w:right="979" w:bottom="1440" w:gutter="0" w:footer="0" w:header="0"/>
        </w:sectPr>
      </w:pPr>
    </w:p>
    <w:bookmarkStart w:id="244" w:name="page245"/>
    <w:bookmarkEnd w:id="244"/>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44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Plan are entitled to exercise the options granted against</w:t>
            </w:r>
          </w:p>
        </w:tc>
        <w:tc>
          <w:tcPr>
            <w:tcW w:w="400" w:type="dxa"/>
            <w:vAlign w:val="bottom"/>
            <w:tcBorders>
              <w:top w:val="single" w:sz="8" w:color="auto"/>
              <w:right w:val="single" w:sz="8" w:color="auto"/>
            </w:tcBorders>
          </w:tcPr>
          <w:p>
            <w:pPr>
              <w:spacing w:after="0"/>
              <w:rPr>
                <w:sz w:val="18"/>
                <w:szCs w:val="18"/>
                <w:color w:val="auto"/>
              </w:rPr>
            </w:pPr>
          </w:p>
        </w:tc>
        <w:tc>
          <w:tcPr>
            <w:tcW w:w="442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participants au plan d’intéressement à long terme sont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payment of the strike price. These options to acquire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habilités à exercer les options attribuées contre paiement</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shares in the Company or allocated shares are subject to</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du prix d'exercice. Ces options d'achat d'actions de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basic principles set out in the following: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société ou d'actions attribuées sont soumises aux principes</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 base suivants:</w:t>
            </w:r>
          </w:p>
        </w:tc>
        <w:tc>
          <w:tcPr>
            <w:tcW w:w="0" w:type="dxa"/>
            <w:vAlign w:val="bottom"/>
          </w:tcPr>
          <w:p>
            <w:pPr>
              <w:spacing w:after="0"/>
              <w:rPr>
                <w:sz w:val="1"/>
                <w:szCs w:val="1"/>
                <w:color w:val="auto"/>
              </w:rPr>
            </w:pPr>
          </w:p>
        </w:tc>
      </w:tr>
      <w:tr>
        <w:trPr>
          <w:trHeight w:val="306"/>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it is the sole discretion of the Board of Directors to</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il  relève  de  la  libre  appréciation  du  conseil</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decide whether to allocate options or shares and to</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d'administration de décider si des options ou actions</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whom  and  to  determine  the  valuation  of  each</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sont attribuées et à qui et de déterminer l'évaluation</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compensation element on the basis of the principles</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de chaque élément de rémunération sur la base des</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that apply to the establishment of the compensation</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principes  qui  s'appliquent  à  l'établissement  du</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report;</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rapport de rémunération;</w:t>
            </w:r>
          </w:p>
        </w:tc>
        <w:tc>
          <w:tcPr>
            <w:tcW w:w="0" w:type="dxa"/>
            <w:vAlign w:val="bottom"/>
          </w:tcPr>
          <w:p>
            <w:pPr>
              <w:spacing w:after="0"/>
              <w:rPr>
                <w:sz w:val="1"/>
                <w:szCs w:val="1"/>
                <w:color w:val="auto"/>
              </w:rPr>
            </w:pPr>
          </w:p>
        </w:tc>
      </w:tr>
      <w:tr>
        <w:trPr>
          <w:trHeight w:val="306"/>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each year, the Board of Directors, upon proposal of</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chaque  année,  le  conseil  d'administration,  sur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Compensation Committee, stipulates the number</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proposition  du  comité  de  rémunération,  fixe  le</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of options and shares to be allocated, the date of</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nombre d'options et d'actions à attribuer, la date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allocation and the strike price;</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d'attribution et le prix d'exercice;</w:t>
            </w:r>
          </w:p>
        </w:tc>
        <w:tc>
          <w:tcPr>
            <w:tcW w:w="0" w:type="dxa"/>
            <w:vAlign w:val="bottom"/>
          </w:tcPr>
          <w:p>
            <w:pPr>
              <w:spacing w:after="0"/>
              <w:rPr>
                <w:sz w:val="1"/>
                <w:szCs w:val="1"/>
                <w:color w:val="auto"/>
              </w:rPr>
            </w:pPr>
          </w:p>
        </w:tc>
      </w:tr>
      <w:tr>
        <w:trPr>
          <w:trHeight w:val="306"/>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each option incorporates a non-transferable, pre-</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chaque option comporte un droit non transférable,</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emptive, and contingent right to acquire a certain</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de souscription préférentielle et optionnel d'acquérir</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number of Company's shares;</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un certain nombre d'actions de la société;</w:t>
            </w:r>
          </w:p>
        </w:tc>
        <w:tc>
          <w:tcPr>
            <w:tcW w:w="0" w:type="dxa"/>
            <w:vAlign w:val="bottom"/>
          </w:tcPr>
          <w:p>
            <w:pPr>
              <w:spacing w:after="0"/>
              <w:rPr>
                <w:sz w:val="1"/>
                <w:szCs w:val="1"/>
                <w:color w:val="auto"/>
              </w:rPr>
            </w:pPr>
          </w:p>
        </w:tc>
      </w:tr>
      <w:tr>
        <w:trPr>
          <w:trHeight w:val="306"/>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 the case of a change of control (as defined in the</w:t>
            </w:r>
          </w:p>
        </w:tc>
        <w:tc>
          <w:tcPr>
            <w:tcW w:w="400" w:type="dxa"/>
            <w:vAlign w:val="bottom"/>
            <w:tcBorders>
              <w:right w:val="single" w:sz="8" w:color="auto"/>
            </w:tcBorders>
          </w:tcPr>
          <w:p>
            <w:pPr>
              <w:spacing w:after="0"/>
              <w:rPr>
                <w:sz w:val="24"/>
                <w:szCs w:val="2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dans le cas d'un changement de contrôle (tel que</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Long  Term  Incentive  Plan)  or  delisting  of  the</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défini dans le plan d’intéressement à long terme) ou</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Company's  shares,  the  vesting  period  shall  end</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la radiation des actions de la société, la Période de</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(accelerated vesting) and the participant shall be</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Vesting prend fin (vesting accéléré) et le participant</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entitled to exercise the options on a pro rata basis on</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est en droit d'exercer les options sur une base pro</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day the transaction that led to the change of</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rata, le jour de la transaction qui a conduit à un</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control or delisting was executed. It is at the sole</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changement de contrôle ou le jour où la radiation a</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discretion of the Board of Directors to decide upon</w:t>
            </w:r>
          </w:p>
        </w:tc>
        <w:tc>
          <w:tcPr>
            <w:tcW w:w="40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été exécutée. Il relève de la libre</w:t>
            </w:r>
          </w:p>
        </w:tc>
        <w:tc>
          <w:tcPr>
            <w:tcW w:w="0" w:type="dxa"/>
            <w:vAlign w:val="bottom"/>
          </w:tcPr>
          <w:p>
            <w:pPr>
              <w:spacing w:after="0"/>
              <w:rPr>
                <w:sz w:val="1"/>
                <w:szCs w:val="1"/>
                <w:color w:val="auto"/>
              </w:rPr>
            </w:pPr>
          </w:p>
        </w:tc>
      </w:tr>
      <w:tr>
        <w:trPr>
          <w:trHeight w:val="299"/>
        </w:trPr>
        <w:tc>
          <w:tcPr>
            <w:tcW w:w="340" w:type="dxa"/>
            <w:vAlign w:val="bottom"/>
            <w:tcBorders>
              <w:left w:val="single" w:sz="8" w:color="auto"/>
            </w:tcBorders>
          </w:tcPr>
          <w:p>
            <w:pPr>
              <w:spacing w:after="0"/>
              <w:rPr>
                <w:sz w:val="24"/>
                <w:szCs w:val="24"/>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proposal of the Compensation Committee whether</w:t>
            </w:r>
          </w:p>
        </w:tc>
        <w:tc>
          <w:tcPr>
            <w:tcW w:w="40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appréciation du conseil d'administration de décider,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financial objectives have been met;</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sur proposition du comité de rémunération, si les</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e)  the individual members of the Executive Committee</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objectifs financiers ont été atteints;</w:t>
            </w:r>
          </w:p>
        </w:tc>
        <w:tc>
          <w:tcPr>
            <w:tcW w:w="0" w:type="dxa"/>
            <w:vAlign w:val="bottom"/>
          </w:tcPr>
          <w:p>
            <w:pPr>
              <w:spacing w:after="0"/>
              <w:rPr>
                <w:sz w:val="1"/>
                <w:szCs w:val="1"/>
                <w:color w:val="auto"/>
              </w:rPr>
            </w:pPr>
          </w:p>
        </w:tc>
      </w:tr>
      <w:tr>
        <w:trPr>
          <w:trHeight w:val="90"/>
        </w:trPr>
        <w:tc>
          <w:tcPr>
            <w:tcW w:w="4440" w:type="dxa"/>
            <w:vAlign w:val="bottom"/>
            <w:tcBorders>
              <w:left w:val="single" w:sz="8" w:color="auto"/>
              <w:right w:val="single" w:sz="8" w:color="auto"/>
            </w:tcBorders>
            <w:gridSpan w:val="2"/>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the Board of Directors participating in the Long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  les membres individuels du comité exécutif ou du</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Term Incentive Plan are responsible for paying any</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conseil  d'administration  qui  participent  au  plan</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taxes  or  social  security  contributions  and  for</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d’intéressement à long terme sont responsables du</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declaring income correctly to the authorities;</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paiement de tous les impôts ou cotisations de sécurité</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sociale et de déclarer correctement le revenu aux</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f)  it is at the sole discretion of the Board of Directors to</w:t>
            </w: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autorités;</w:t>
            </w:r>
          </w:p>
        </w:tc>
        <w:tc>
          <w:tcPr>
            <w:tcW w:w="0" w:type="dxa"/>
            <w:vAlign w:val="bottom"/>
          </w:tcPr>
          <w:p>
            <w:pPr>
              <w:spacing w:after="0"/>
              <w:rPr>
                <w:sz w:val="1"/>
                <w:szCs w:val="1"/>
                <w:color w:val="auto"/>
              </w:rPr>
            </w:pPr>
          </w:p>
        </w:tc>
      </w:tr>
      <w:tr>
        <w:trPr>
          <w:trHeight w:val="90"/>
        </w:trPr>
        <w:tc>
          <w:tcPr>
            <w:tcW w:w="4440" w:type="dxa"/>
            <w:vAlign w:val="bottom"/>
            <w:tcBorders>
              <w:left w:val="single" w:sz="8" w:color="auto"/>
              <w:right w:val="single" w:sz="8" w:color="auto"/>
            </w:tcBorders>
            <w:gridSpan w:val="2"/>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decide  whether  to  supplement  the  Long  Term</w:t>
            </w:r>
          </w:p>
        </w:tc>
        <w:tc>
          <w:tcPr>
            <w:tcW w:w="400" w:type="dxa"/>
            <w:vAlign w:val="bottom"/>
            <w:tcBorders>
              <w:right w:val="single" w:sz="8" w:color="auto"/>
            </w:tcBorders>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p>
        </w:tc>
        <w:tc>
          <w:tcPr>
            <w:tcW w:w="41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il  relève  de  la  libre  appréciation  du  conseil</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Incentive Plan within the bounds of the principles set</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d'administration de compléter le plan d’intéressement</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 above or to discontinue it.</w:t>
            </w:r>
          </w:p>
        </w:tc>
        <w:tc>
          <w:tcPr>
            <w:tcW w:w="4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à long terme dans les limites des principes énoncés</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ci-dessus ou de l'interrompre.</w:t>
            </w:r>
          </w:p>
        </w:tc>
        <w:tc>
          <w:tcPr>
            <w:tcW w:w="0" w:type="dxa"/>
            <w:vAlign w:val="bottom"/>
          </w:tcPr>
          <w:p>
            <w:pPr>
              <w:spacing w:after="0"/>
              <w:rPr>
                <w:sz w:val="1"/>
                <w:szCs w:val="1"/>
                <w:color w:val="auto"/>
              </w:rPr>
            </w:pP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Company  may  periodically  offer  shares  in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 société peut périodiquement offrir des actions de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Company to important and long-term employees for a</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société aux salariés importants et à long terme pour un</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price being at maximum ten percent below the average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prix étant au maximum dix pour cent au-dessous du prix</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volume-weighted price of the last 30 trading days at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moyen pondéré par les volumes des 30 derniers jours à la</w:t>
            </w:r>
          </w:p>
        </w:tc>
        <w:tc>
          <w:tcPr>
            <w:tcW w:w="0" w:type="dxa"/>
            <w:vAlign w:val="bottom"/>
          </w:tcPr>
          <w:p>
            <w:pPr>
              <w:spacing w:after="0"/>
              <w:rPr>
                <w:sz w:val="1"/>
                <w:szCs w:val="1"/>
                <w:color w:val="auto"/>
              </w:rPr>
            </w:pP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stock exchange. Members of the Board of Directors and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bourse. Les membres du conseil d'administration et du</w:t>
            </w:r>
          </w:p>
        </w:tc>
        <w:tc>
          <w:tcPr>
            <w:tcW w:w="0" w:type="dxa"/>
            <w:vAlign w:val="bottom"/>
          </w:tcPr>
          <w:p>
            <w:pPr>
              <w:spacing w:after="0"/>
              <w:rPr>
                <w:sz w:val="1"/>
                <w:szCs w:val="1"/>
                <w:color w:val="auto"/>
              </w:rPr>
            </w:pP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Executive Committee may be included in this</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comité exécutif peuvent être inclus dans ce programme.</w:t>
            </w:r>
          </w:p>
        </w:tc>
        <w:tc>
          <w:tcPr>
            <w:tcW w:w="0" w:type="dxa"/>
            <w:vAlign w:val="bottom"/>
          </w:tcPr>
          <w:p>
            <w:pPr>
              <w:spacing w:after="0"/>
              <w:rPr>
                <w:sz w:val="1"/>
                <w:szCs w:val="1"/>
                <w:color w:val="auto"/>
              </w:rPr>
            </w:pPr>
          </w:p>
        </w:tc>
      </w:tr>
      <w:tr>
        <w:trPr>
          <w:trHeight w:val="108"/>
        </w:trPr>
        <w:tc>
          <w:tcPr>
            <w:tcW w:w="340" w:type="dxa"/>
            <w:vAlign w:val="bottom"/>
            <w:tcBorders>
              <w:left w:val="single" w:sz="8" w:color="auto"/>
              <w:bottom w:val="single" w:sz="8" w:color="auto"/>
            </w:tcBorders>
          </w:tcPr>
          <w:p>
            <w:pPr>
              <w:spacing w:after="0"/>
              <w:rPr>
                <w:sz w:val="9"/>
                <w:szCs w:val="9"/>
                <w:color w:val="auto"/>
              </w:rPr>
            </w:pPr>
          </w:p>
        </w:tc>
        <w:tc>
          <w:tcPr>
            <w:tcW w:w="410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1"/>
        </w:trPr>
        <w:tc>
          <w:tcPr>
            <w:tcW w:w="3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440" w:top="660" w:right="979" w:bottom="1440" w:gutter="0" w:footer="0" w:header="0"/>
        </w:sectPr>
      </w:pPr>
    </w:p>
    <w:bookmarkStart w:id="245" w:name="page246"/>
    <w:bookmarkEnd w:id="245"/>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44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program. The shares acquired thereby shall be blocked for</w:t>
            </w:r>
          </w:p>
        </w:tc>
        <w:tc>
          <w:tcPr>
            <w:tcW w:w="400" w:type="dxa"/>
            <w:vAlign w:val="bottom"/>
            <w:tcBorders>
              <w:top w:val="single" w:sz="8" w:color="auto"/>
              <w:right w:val="single" w:sz="8" w:color="auto"/>
            </w:tcBorders>
          </w:tcPr>
          <w:p>
            <w:pPr>
              <w:spacing w:after="0"/>
              <w:rPr>
                <w:sz w:val="18"/>
                <w:szCs w:val="18"/>
                <w:color w:val="auto"/>
              </w:rPr>
            </w:pPr>
          </w:p>
        </w:tc>
        <w:tc>
          <w:tcPr>
            <w:tcW w:w="442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actions  ainsi  acquises  seront  bloquées  pour  une</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 period of at least 3 years.</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période d'au moins 3 ans.</w:t>
            </w: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295"/>
        </w:trPr>
        <w:tc>
          <w:tcPr>
            <w:tcW w:w="9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VIII.</w:t>
            </w:r>
          </w:p>
        </w:tc>
        <w:tc>
          <w:tcPr>
            <w:tcW w:w="3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BUSINESS YEAR, ACCOUNTING,</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VIII.</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EXERCICE, COMPTABILITÉ,</w:t>
            </w:r>
          </w:p>
        </w:tc>
      </w:tr>
      <w:tr>
        <w:trPr>
          <w:trHeight w:val="238"/>
        </w:trPr>
        <w:tc>
          <w:tcPr>
            <w:tcW w:w="900" w:type="dxa"/>
            <w:vAlign w:val="bottom"/>
            <w:tcBorders>
              <w:left w:val="single" w:sz="8" w:color="auto"/>
            </w:tcBorders>
          </w:tcPr>
          <w:p>
            <w:pPr>
              <w:spacing w:after="0"/>
              <w:rPr>
                <w:sz w:val="20"/>
                <w:szCs w:val="20"/>
                <w:color w:val="auto"/>
              </w:rPr>
            </w:pPr>
          </w:p>
        </w:tc>
        <w:tc>
          <w:tcPr>
            <w:tcW w:w="3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ALLOCATION OF PROFITS</w:t>
            </w:r>
          </w:p>
        </w:tc>
        <w:tc>
          <w:tcPr>
            <w:tcW w:w="40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RÉPARTITION DES BÉNÉFICES</w:t>
            </w: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318"/>
        </w:trPr>
        <w:tc>
          <w:tcPr>
            <w:tcW w:w="9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42</w:t>
            </w:r>
          </w:p>
        </w:tc>
        <w:tc>
          <w:tcPr>
            <w:tcW w:w="3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Business Year</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42</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Exercice</w:t>
            </w: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Board of Directors shall determine the start and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conseil d'administration détermine le début et la fin de</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end of the Company's business year.</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l'exercice de la société.</w:t>
            </w: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318"/>
        </w:trPr>
        <w:tc>
          <w:tcPr>
            <w:tcW w:w="9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43</w:t>
            </w:r>
          </w:p>
        </w:tc>
        <w:tc>
          <w:tcPr>
            <w:tcW w:w="3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43</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Comptabilité</w:t>
            </w: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annual  accounts  consist  of  the  profit  and  loss</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comptes annuels se composent du compte de profits et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statement, the balance sheet, the cash flow statement,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pertes, du bilan, du tableau des flux de trésorerie, 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annex and the management report, and shall be drawn up</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l'annexe  et  du  rapport  de  gestion,  et  sont  établis</w:t>
            </w:r>
          </w:p>
        </w:tc>
      </w:tr>
      <w:tr>
        <w:trPr>
          <w:trHeight w:val="21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pursuant to the provisions of the CO, particularly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conformément aux dispositions du CO, en particulier des</w:t>
            </w:r>
          </w:p>
        </w:tc>
      </w:tr>
      <w:tr>
        <w:trPr>
          <w:trHeight w:val="218"/>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Articles 958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CO, and the generally accepted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articles  958  ss.  CO,  et  aux  principes  commerciaux</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commercial  principles  and  customary  rules  in  that</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généralement reconnus et aux règles coutumières dans ce</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business area.</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secteur d'activité.</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If required by law, the consolidated financial statements</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Si requis par la loi, les états financiers consolidés sont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shall be drawn in accordance with the provisions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établis en conformité avec les dispositions de l'article 962</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Article 962 CO.</w:t>
            </w:r>
          </w:p>
        </w:tc>
        <w:tc>
          <w:tcPr>
            <w:tcW w:w="400" w:type="dxa"/>
            <w:vAlign w:val="bottom"/>
            <w:tcBorders>
              <w:right w:val="single" w:sz="8" w:color="auto"/>
            </w:tcBorders>
          </w:tcPr>
          <w:p>
            <w:pPr>
              <w:spacing w:after="0"/>
              <w:rPr>
                <w:sz w:val="20"/>
                <w:szCs w:val="20"/>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w:t>
            </w:r>
          </w:p>
        </w:tc>
        <w:tc>
          <w:tcPr>
            <w:tcW w:w="33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318"/>
        </w:trPr>
        <w:tc>
          <w:tcPr>
            <w:tcW w:w="9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44</w:t>
            </w:r>
          </w:p>
        </w:tc>
        <w:tc>
          <w:tcPr>
            <w:tcW w:w="3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Allocation of Profits</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44</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Répartition des bénéfices</w:t>
            </w: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Subject to the legal provisions regarding distribution of</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Sous  réserve  des  dispositions  légales  en  matière  de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profits, the profit as shown on the balance sheet shall be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répartition des bénéfices, le bénéfice comme indiqué sur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allocated by the General Meeting at its discretion after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  bilan  doit  être  alloué  à  la  libre  appréciation  de</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receipt of the proposals of the Board of Directors and the</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l'assemblée générale après réception des propositions du</w:t>
            </w: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318"/>
        </w:trPr>
        <w:tc>
          <w:tcPr>
            <w:tcW w:w="9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Auditors.</w:t>
            </w:r>
          </w:p>
        </w:tc>
        <w:tc>
          <w:tcPr>
            <w:tcW w:w="354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conseil d'administration et de l'organe de révision.</w:t>
            </w:r>
          </w:p>
        </w:tc>
      </w:tr>
      <w:tr>
        <w:trPr>
          <w:trHeight w:val="148"/>
        </w:trPr>
        <w:tc>
          <w:tcPr>
            <w:tcW w:w="4440" w:type="dxa"/>
            <w:vAlign w:val="bottom"/>
            <w:tcBorders>
              <w:left w:val="single" w:sz="8" w:color="auto"/>
              <w:bottom w:val="single" w:sz="8" w:color="auto"/>
              <w:right w:val="single" w:sz="8" w:color="auto"/>
            </w:tcBorders>
            <w:gridSpan w:val="2"/>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4420" w:type="dxa"/>
            <w:vAlign w:val="bottom"/>
            <w:tcBorders>
              <w:bottom w:val="single" w:sz="8" w:color="auto"/>
              <w:right w:val="single" w:sz="8" w:color="auto"/>
            </w:tcBorders>
            <w:gridSpan w:val="3"/>
          </w:tcPr>
          <w:p>
            <w:pPr>
              <w:spacing w:after="0"/>
              <w:rPr>
                <w:sz w:val="12"/>
                <w:szCs w:val="12"/>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 addition to the legal reserves, the General Meeting may</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En plus des réserves légales, l'assemblée générale peut</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create supplemental reserves.</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créer des réserves supplémentaires.</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Dividends not claimed within five years after the due date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dividendes non réclamés dans les cinq ans après la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shall remain with the Company and be allocated to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date d'échéance restent avec la société et sont attribués</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general reserves.</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aux réserves générales.</w:t>
            </w: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318"/>
        </w:trPr>
        <w:tc>
          <w:tcPr>
            <w:tcW w:w="9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IX.</w:t>
            </w:r>
          </w:p>
        </w:tc>
        <w:tc>
          <w:tcPr>
            <w:tcW w:w="3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IX.</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DISSOLUTION ET LIQUIDATION</w:t>
            </w:r>
          </w:p>
        </w:tc>
      </w:tr>
      <w:tr>
        <w:trPr>
          <w:trHeight w:val="148"/>
        </w:trPr>
        <w:tc>
          <w:tcPr>
            <w:tcW w:w="900" w:type="dxa"/>
            <w:vAlign w:val="bottom"/>
            <w:tcBorders>
              <w:left w:val="single" w:sz="8" w:color="auto"/>
              <w:bottom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660" w:type="dxa"/>
            <w:vAlign w:val="bottom"/>
            <w:tcBorders>
              <w:bottom w:val="single" w:sz="8" w:color="auto"/>
              <w:right w:val="single" w:sz="8" w:color="auto"/>
            </w:tcBorders>
            <w:gridSpan w:val="2"/>
          </w:tcPr>
          <w:p>
            <w:pPr>
              <w:spacing w:after="0"/>
              <w:rPr>
                <w:sz w:val="12"/>
                <w:szCs w:val="12"/>
                <w:color w:val="auto"/>
              </w:rPr>
            </w:pPr>
          </w:p>
        </w:tc>
      </w:tr>
      <w:tr>
        <w:trPr>
          <w:trHeight w:val="318"/>
        </w:trPr>
        <w:tc>
          <w:tcPr>
            <w:tcW w:w="9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45</w:t>
            </w:r>
          </w:p>
        </w:tc>
        <w:tc>
          <w:tcPr>
            <w:tcW w:w="3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45</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Dissolution et Liquidation</w:t>
            </w: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dissolution and liquidation of the Company shall take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 dissolution et la liquidation de la société ont lieu en</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place in accordance with the provisions of the CO.</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conformité avec les dispositions du CO.</w:t>
            </w: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60" w:type="dxa"/>
            <w:vAlign w:val="bottom"/>
            <w:tcBorders>
              <w:bottom w:val="single" w:sz="8" w:color="auto"/>
              <w:right w:val="single" w:sz="8" w:color="auto"/>
            </w:tcBorders>
            <w:gridSpan w:val="2"/>
          </w:tcPr>
          <w:p>
            <w:pPr>
              <w:spacing w:after="0"/>
              <w:rPr>
                <w:sz w:val="9"/>
                <w:szCs w:val="9"/>
                <w:color w:val="auto"/>
              </w:rPr>
            </w:pPr>
          </w:p>
        </w:tc>
      </w:tr>
      <w:tr>
        <w:trPr>
          <w:trHeight w:val="318"/>
        </w:trPr>
        <w:tc>
          <w:tcPr>
            <w:tcW w:w="9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3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NOTICES AND PUBLICATIONS</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X.</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AVIS ET PUBLICATIONS</w:t>
            </w:r>
          </w:p>
        </w:tc>
      </w:tr>
      <w:tr>
        <w:trPr>
          <w:trHeight w:val="148"/>
        </w:trPr>
        <w:tc>
          <w:tcPr>
            <w:tcW w:w="900" w:type="dxa"/>
            <w:vAlign w:val="bottom"/>
            <w:tcBorders>
              <w:left w:val="single" w:sz="8" w:color="auto"/>
              <w:bottom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660" w:type="dxa"/>
            <w:vAlign w:val="bottom"/>
            <w:tcBorders>
              <w:bottom w:val="single" w:sz="8" w:color="auto"/>
              <w:right w:val="single" w:sz="8" w:color="auto"/>
            </w:tcBorders>
            <w:gridSpan w:val="2"/>
          </w:tcPr>
          <w:p>
            <w:pPr>
              <w:spacing w:after="0"/>
              <w:rPr>
                <w:sz w:val="12"/>
                <w:szCs w:val="12"/>
                <w:color w:val="auto"/>
              </w:rPr>
            </w:pPr>
          </w:p>
        </w:tc>
      </w:tr>
      <w:tr>
        <w:trPr>
          <w:trHeight w:val="318"/>
        </w:trPr>
        <w:tc>
          <w:tcPr>
            <w:tcW w:w="9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46</w:t>
            </w:r>
          </w:p>
        </w:tc>
        <w:tc>
          <w:tcPr>
            <w:tcW w:w="3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Notices and Publications</w:t>
            </w:r>
          </w:p>
        </w:tc>
        <w:tc>
          <w:tcPr>
            <w:tcW w:w="400" w:type="dxa"/>
            <w:vAlign w:val="bottom"/>
            <w:tcBorders>
              <w:right w:val="single" w:sz="8" w:color="auto"/>
            </w:tcBorders>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46</w:t>
            </w:r>
          </w:p>
        </w:tc>
        <w:tc>
          <w:tcPr>
            <w:tcW w:w="36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Avis et Publications</w:t>
            </w:r>
          </w:p>
        </w:tc>
      </w:tr>
      <w:tr>
        <w:trPr>
          <w:trHeight w:val="34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Swiss Official Gazette of Commerce is the official</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L'organe de publication légal est la Feuille officielle suisse</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publication medium.</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du commerce.</w:t>
            </w: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r>
      <w:tr>
        <w:trPr>
          <w:trHeight w:val="540"/>
        </w:trPr>
        <w:tc>
          <w:tcPr>
            <w:tcW w:w="9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480"/>
          </w:cols>
          <w:pgMar w:left="1440" w:top="660" w:right="979" w:bottom="1440" w:gutter="0" w:footer="0" w:header="0"/>
        </w:sectPr>
      </w:pPr>
    </w:p>
    <w:bookmarkStart w:id="246" w:name="page247"/>
    <w:bookmarkEnd w:id="246"/>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319"/>
        </w:trPr>
        <w:tc>
          <w:tcPr>
            <w:tcW w:w="44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Shareholder  communications  and  notices  to  the</w:t>
            </w:r>
          </w:p>
        </w:tc>
        <w:tc>
          <w:tcPr>
            <w:tcW w:w="400" w:type="dxa"/>
            <w:vAlign w:val="bottom"/>
            <w:tcBorders>
              <w:top w:val="single" w:sz="8" w:color="auto"/>
              <w:right w:val="single" w:sz="8" w:color="auto"/>
            </w:tcBorders>
          </w:tcPr>
          <w:p>
            <w:pPr>
              <w:spacing w:after="0"/>
              <w:rPr>
                <w:sz w:val="24"/>
                <w:szCs w:val="24"/>
                <w:color w:val="auto"/>
              </w:rPr>
            </w:pPr>
          </w:p>
        </w:tc>
        <w:tc>
          <w:tcPr>
            <w:tcW w:w="442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Les  communications  et  avis  aux  actionnaires  sont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 shall be made by publication in the Swiss</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effectués par publication dans la Feuille officielle suisse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Official Gazette of Commerce or sent by mail or e-mail to</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du commerce ou envoyés par courrier ou e-mail aux</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addresses registered in the share register.</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adresses enregistrées dans le registre des actions.</w:t>
            </w:r>
          </w:p>
        </w:tc>
      </w:tr>
      <w:tr>
        <w:trPr>
          <w:trHeight w:val="108"/>
        </w:trPr>
        <w:tc>
          <w:tcPr>
            <w:tcW w:w="4440" w:type="dxa"/>
            <w:vAlign w:val="bottom"/>
            <w:tcBorders>
              <w:left w:val="single" w:sz="8" w:color="auto"/>
              <w:bottom w:val="single" w:sz="8" w:color="auto"/>
              <w:right w:val="single" w:sz="8" w:color="auto"/>
            </w:tcBorders>
            <w:gridSpan w:val="2"/>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442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Unless the law provides otherwise, notices shall be given</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Sauf si la loi en dispose autrement, les avis seront envoyés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 creditors by publication in the Swiss Official Gazette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aux créanciers par publication dans la Feuille officielle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Commerce. The Board of Directors may assign further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suisse du commerce. Le conseil d'administration peut</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means of communication.</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prévoir d'autres moyens de communication.</w:t>
            </w: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r>
      <w:tr>
        <w:trPr>
          <w:trHeight w:val="318"/>
        </w:trPr>
        <w:tc>
          <w:tcPr>
            <w:tcW w:w="7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XI.</w:t>
            </w:r>
          </w:p>
        </w:tc>
        <w:tc>
          <w:tcPr>
            <w:tcW w:w="3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TRANSITIONAL PROVISIONS</w:t>
            </w:r>
          </w:p>
        </w:tc>
        <w:tc>
          <w:tcPr>
            <w:tcW w:w="400" w:type="dxa"/>
            <w:vAlign w:val="bottom"/>
            <w:tcBorders>
              <w:right w:val="single" w:sz="8" w:color="auto"/>
            </w:tcBorders>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XI.</w:t>
            </w:r>
          </w:p>
        </w:tc>
        <w:tc>
          <w:tcPr>
            <w:tcW w:w="3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DISPOSITIONS TRANSITOIRES</w:t>
            </w:r>
          </w:p>
        </w:tc>
      </w:tr>
      <w:tr>
        <w:trPr>
          <w:trHeight w:val="148"/>
        </w:trPr>
        <w:tc>
          <w:tcPr>
            <w:tcW w:w="760" w:type="dxa"/>
            <w:vAlign w:val="bottom"/>
            <w:tcBorders>
              <w:left w:val="single" w:sz="8" w:color="auto"/>
              <w:bottom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680" w:type="dxa"/>
            <w:vAlign w:val="bottom"/>
            <w:tcBorders>
              <w:bottom w:val="single" w:sz="8" w:color="auto"/>
              <w:right w:val="single" w:sz="8" w:color="auto"/>
            </w:tcBorders>
          </w:tcPr>
          <w:p>
            <w:pPr>
              <w:spacing w:after="0"/>
              <w:rPr>
                <w:sz w:val="12"/>
                <w:szCs w:val="12"/>
                <w:color w:val="auto"/>
              </w:rPr>
            </w:pPr>
          </w:p>
        </w:tc>
      </w:tr>
      <w:tr>
        <w:trPr>
          <w:trHeight w:val="295"/>
        </w:trPr>
        <w:tc>
          <w:tcPr>
            <w:tcW w:w="7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47</w:t>
            </w:r>
          </w:p>
        </w:tc>
        <w:tc>
          <w:tcPr>
            <w:tcW w:w="3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Transitional Provisions concerning the</w:t>
            </w:r>
          </w:p>
        </w:tc>
        <w:tc>
          <w:tcPr>
            <w:tcW w:w="400" w:type="dxa"/>
            <w:vAlign w:val="bottom"/>
            <w:tcBorders>
              <w:right w:val="single" w:sz="8" w:color="auto"/>
            </w:tcBorders>
          </w:tcPr>
          <w:p>
            <w:pPr>
              <w:spacing w:after="0"/>
              <w:rPr>
                <w:sz w:val="24"/>
                <w:szCs w:val="2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47</w:t>
            </w:r>
          </w:p>
        </w:tc>
        <w:tc>
          <w:tcPr>
            <w:tcW w:w="3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Dispositions transitoires concernant la</w:t>
            </w:r>
          </w:p>
        </w:tc>
      </w:tr>
      <w:tr>
        <w:trPr>
          <w:trHeight w:val="238"/>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the Executive Committee</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rémunération du comité exécutif</w:t>
            </w: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 the event that no vote was taken prior to the Ordinary</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Dans l’hypothèse où aucun vote n’a eu lieu avant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General Meeting 2022 with respect to i) and ii) below,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l'assemblée générale ordinaire 2022 sur les objets (i) et (ii)</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shareholders shall vote, at the Ordinary General Meeting</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ci-dessous, les actionnaires voteront lors de l'assemblée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2022, among other things, separately on the approval of</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générale ordinaire 2022, entre autres, séparément sur</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proposals of the Board of Directors in relation to (i)</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l'approbation des propositions du conseil d'administration</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maximum aggregate amount of compensation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concernant (i) le montant global maximum de la</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Executive Committee for the following financial year</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rémunération du comité exécutif pour l'exercice suivant</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2023 in accordance with the amended Articles 8 para. 1</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2023 conformément aux articles 8, al. 1 let. e) et 18 des</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lit. e) and 18 of the Articles of Association approved by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statuts approuvés par l'assemblée générale ordinaire du 25</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Ordinary General Meeting held on 25 June 2021 and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juin 2021 et les articles 33 et 35 des statuts, et (ii) le</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Articles 33 and 35 of the Articles of Association, and</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montant total maximum de la rémunération du comité</w:t>
            </w:r>
          </w:p>
        </w:tc>
      </w:tr>
      <w:tr>
        <w:trPr>
          <w:trHeight w:val="21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(ii) the total maximum amount of compensation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exécutif pour</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Executive Committee for</w:t>
            </w:r>
          </w:p>
        </w:tc>
        <w:tc>
          <w:tcPr>
            <w:tcW w:w="4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2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  the non-performance-related compensation of the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  la rémunération non liée à la performance du comité</w:t>
            </w:r>
          </w:p>
        </w:tc>
      </w:tr>
      <w:tr>
        <w:trPr>
          <w:trHeight w:val="148"/>
        </w:trPr>
        <w:tc>
          <w:tcPr>
            <w:tcW w:w="4440" w:type="dxa"/>
            <w:vAlign w:val="bottom"/>
            <w:tcBorders>
              <w:left w:val="single" w:sz="8" w:color="auto"/>
              <w:bottom w:val="single" w:sz="8" w:color="auto"/>
              <w:right w:val="single" w:sz="8" w:color="auto"/>
            </w:tcBorders>
            <w:gridSpan w:val="2"/>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4420" w:type="dxa"/>
            <w:vAlign w:val="bottom"/>
            <w:tcBorders>
              <w:bottom w:val="single" w:sz="8" w:color="auto"/>
              <w:right w:val="single" w:sz="8" w:color="auto"/>
            </w:tcBorders>
            <w:gridSpan w:val="2"/>
          </w:tcPr>
          <w:p>
            <w:pPr>
              <w:spacing w:after="0"/>
              <w:rPr>
                <w:sz w:val="12"/>
                <w:szCs w:val="12"/>
                <w:color w:val="auto"/>
              </w:rPr>
            </w:pPr>
          </w:p>
        </w:tc>
      </w:tr>
      <w:tr>
        <w:trPr>
          <w:trHeight w:val="299"/>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Executive Committee for the 6-month period starting on 1</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exécutif pour la période de 6 mois du 1er juillet 2022 au</w:t>
            </w:r>
          </w:p>
        </w:tc>
      </w:tr>
      <w:tr>
        <w:trPr>
          <w:trHeight w:val="234"/>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July 2022 to 31 December 2022;</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31 décembre 2022;</w:t>
            </w: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  the  variable  compensation  for  the  Executive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  la rémunération variable pour le comité exécutif pour</w:t>
            </w:r>
          </w:p>
        </w:tc>
      </w:tr>
      <w:tr>
        <w:trPr>
          <w:trHeight w:val="216"/>
        </w:trPr>
        <w:tc>
          <w:tcPr>
            <w:tcW w:w="4440" w:type="dxa"/>
            <w:vAlign w:val="bottom"/>
            <w:tcBorders>
              <w:left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Committee for the 12-month period starting on 1</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la période de 12 mois du 1er janvier 2022 au 31</w:t>
            </w:r>
          </w:p>
        </w:tc>
      </w:tr>
      <w:tr>
        <w:trPr>
          <w:trHeight w:val="234"/>
        </w:trPr>
        <w:tc>
          <w:tcPr>
            <w:tcW w:w="4440" w:type="dxa"/>
            <w:vAlign w:val="bottom"/>
            <w:tcBorders>
              <w:left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January 2022 to 31 December 2022; and</w:t>
            </w:r>
          </w:p>
        </w:tc>
        <w:tc>
          <w:tcPr>
            <w:tcW w:w="40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décembre 2022;</w:t>
            </w:r>
          </w:p>
        </w:tc>
      </w:tr>
      <w:tr>
        <w:trPr>
          <w:trHeight w:val="306"/>
        </w:trPr>
        <w:tc>
          <w:tcPr>
            <w:tcW w:w="44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  the grant of Equity in the Company to the Executive</w:t>
            </w:r>
          </w:p>
        </w:tc>
        <w:tc>
          <w:tcPr>
            <w:tcW w:w="40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  l'octroi de participations dans la société au comité</w:t>
            </w:r>
          </w:p>
        </w:tc>
      </w:tr>
      <w:tr>
        <w:trPr>
          <w:trHeight w:val="216"/>
        </w:trPr>
        <w:tc>
          <w:tcPr>
            <w:tcW w:w="4440" w:type="dxa"/>
            <w:vAlign w:val="bottom"/>
            <w:tcBorders>
              <w:left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Committee for the 6-month period starting on 1 July</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exécutif pour la période de 6 mois du 1er juillet 2022</w:t>
            </w:r>
          </w:p>
        </w:tc>
      </w:tr>
      <w:tr>
        <w:trPr>
          <w:trHeight w:val="216"/>
        </w:trPr>
        <w:tc>
          <w:tcPr>
            <w:tcW w:w="4440" w:type="dxa"/>
            <w:vAlign w:val="bottom"/>
            <w:tcBorders>
              <w:left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2022 to 31 December 2022, in accordance with</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au 31 décembre 2022, conformément à l'article 18 al.</w:t>
            </w:r>
          </w:p>
        </w:tc>
      </w:tr>
      <w:tr>
        <w:trPr>
          <w:trHeight w:val="216"/>
        </w:trPr>
        <w:tc>
          <w:tcPr>
            <w:tcW w:w="4440" w:type="dxa"/>
            <w:vAlign w:val="bottom"/>
            <w:tcBorders>
              <w:left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Articles 18 para. 2 and 3, 33 as well as 35 of the</w:t>
            </w:r>
          </w:p>
        </w:tc>
        <w:tc>
          <w:tcPr>
            <w:tcW w:w="40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2 et 3, ainsi que 33 et 35 des statuts.</w:t>
            </w:r>
          </w:p>
        </w:tc>
      </w:tr>
      <w:tr>
        <w:trPr>
          <w:trHeight w:val="234"/>
        </w:trPr>
        <w:tc>
          <w:tcPr>
            <w:tcW w:w="4440" w:type="dxa"/>
            <w:vAlign w:val="bottom"/>
            <w:tcBorders>
              <w:left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Articles of Association.</w:t>
            </w:r>
          </w:p>
        </w:tc>
        <w:tc>
          <w:tcPr>
            <w:tcW w:w="4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108"/>
        </w:trPr>
        <w:tc>
          <w:tcPr>
            <w:tcW w:w="76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Statuts modifiés lors de la séance du conseil d’administration du 26 février 2024.</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L’atteste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360045</wp:posOffset>
            </wp:positionV>
            <wp:extent cx="569214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5692140" cy="25400"/>
                    </a:xfrm>
                    <a:prstGeom prst="rect">
                      <a:avLst/>
                    </a:prstGeom>
                    <a:noFill/>
                  </pic:spPr>
                </pic:pic>
              </a:graphicData>
            </a:graphic>
          </wp:anchor>
        </w:drawing>
      </w:r>
    </w:p>
    <w:p>
      <w:pPr>
        <w:sectPr>
          <w:pgSz w:w="11900" w:h="16838" w:orient="portrait"/>
          <w:cols w:equalWidth="0" w:num="1">
            <w:col w:w="9480"/>
          </w:cols>
          <w:pgMar w:left="1440" w:top="660" w:right="97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4.17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87"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our securities registered under Section 12 of the Securities Exchange Act of 1934, as amended (the “Exchange Act”), as of March 14, 2024. The following description of the terms of our common shares is not meant to be complete and is qualified by reference to our articles of association (“articles of association”), which is incorporated by reference as an exhibit to our Annual Report on Form 20-F, of which this exhibit is a part. We encourage you to read our articles of association and the applicable provisions of Swiss law for additional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8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0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March 14, 2024, our issued share capital is CHF 2,082,858.10, consisting of 104,142,905 common shares of which 5,243,958 are held as treasury shares, leaving 98,898,947 common shares outstanding with a nominal value of CHF 0.02 each. We have no dividend rights certificates (</w:t>
      </w:r>
      <w:r>
        <w:rPr>
          <w:rFonts w:ascii="Times New Roman" w:cs="Times New Roman" w:eastAsia="Times New Roman" w:hAnsi="Times New Roman"/>
          <w:sz w:val="18"/>
          <w:szCs w:val="18"/>
          <w:i w:val="1"/>
          <w:iCs w:val="1"/>
          <w:color w:val="auto"/>
        </w:rPr>
        <w:t>bons de jouissance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On February 26, 2024, we adopted amended articles of association and when we refer to our articles of association, we refer to the articles of association as filed as Exhibit 3.1 to our Annual Report on Form 20-F for the fiscal year ended December 31, 2023.</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Ordinary Capital Increase, Authorized and Conditional Share Capital</w:t>
      </w:r>
    </w:p>
    <w:p>
      <w:pPr>
        <w:spacing w:after="0" w:line="20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Swiss law, we may increase our share capital (</w:t>
      </w:r>
      <w:r>
        <w:rPr>
          <w:rFonts w:ascii="Times New Roman" w:cs="Times New Roman" w:eastAsia="Times New Roman" w:hAnsi="Times New Roman"/>
          <w:sz w:val="18"/>
          <w:szCs w:val="18"/>
          <w:i w:val="1"/>
          <w:iCs w:val="1"/>
          <w:color w:val="auto"/>
        </w:rPr>
        <w:t>capital-actions</w:t>
      </w:r>
      <w:r>
        <w:rPr>
          <w:rFonts w:ascii="Times New Roman" w:cs="Times New Roman" w:eastAsia="Times New Roman" w:hAnsi="Times New Roman"/>
          <w:sz w:val="18"/>
          <w:szCs w:val="18"/>
          <w:color w:val="auto"/>
        </w:rPr>
        <w:t>) with a resolution of the general meeting of shareholders (ordinary capital increase) that must be carried out by the board of directors within three months of the general meeting of shareholders in order to become effective. Under our articles of association, in the case of an increase of capital against payment of contributions in cash, a resolution passed by a simple majority of the votes cast at the general meeting of shareholders regardless of abstentions and empty or invalid votes is required. In the case of the limitation or withdrawal of subscription rights or in the case of an increase of capital out of equity, against contribution in kind, or for the purpose of acquisition of assets and the granting of special benefits, a resolution passed by at least two-thirds of the shares represented at a general meeting of shareholders and the absolute majority of the nominal amount of the shares represented is required.</w:t>
      </w:r>
    </w:p>
    <w:p>
      <w:pPr>
        <w:spacing w:after="0" w:line="14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Furthermore, under the Swiss Code of Obligations, the CO, as effective at the time when our current conditional capitals and authorized share capital were voted by the general meeting, our shareholders, by a resolution passed by at least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41" w:lineRule="exact"/>
        <w:rPr>
          <w:sz w:val="20"/>
          <w:szCs w:val="20"/>
          <w:color w:val="auto"/>
        </w:rPr>
      </w:pPr>
    </w:p>
    <w:p>
      <w:pPr>
        <w:ind w:left="980" w:hanging="324"/>
        <w:spacing w:after="0" w:line="258" w:lineRule="auto"/>
        <w:tabs>
          <w:tab w:leader="none" w:pos="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capital (</w:t>
      </w:r>
      <w:r>
        <w:rPr>
          <w:rFonts w:ascii="Times New Roman" w:cs="Times New Roman" w:eastAsia="Times New Roman" w:hAnsi="Times New Roman"/>
          <w:sz w:val="18"/>
          <w:szCs w:val="18"/>
          <w:i w:val="1"/>
          <w:iCs w:val="1"/>
          <w:color w:val="auto"/>
        </w:rPr>
        <w:t>capital conditionnel</w:t>
      </w:r>
      <w:r>
        <w:rPr>
          <w:rFonts w:ascii="Times New Roman" w:cs="Times New Roman" w:eastAsia="Times New Roman" w:hAnsi="Times New Roman"/>
          <w:sz w:val="18"/>
          <w:szCs w:val="18"/>
          <w:color w:val="auto"/>
        </w:rPr>
        <w:t>) for the purpose of issuing shares in connection with, among other things, (i) the exercise of conversion and/or option or warrant rights granted on a standalone basis or in connection with bonds or similar instruments, issued or to be issued by the Company or by one of our subsidiaries or (ii) the exercise of option rights granted to employees of the Company or a subsidiary, members of our board of directors or any consultant of the Company, or other persons providing services to the Company or a subsidiary;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335280</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8" w:name="page249"/>
    <w:bookmarkEnd w:id="248"/>
    <w:p>
      <w:pPr>
        <w:ind w:left="980" w:right="480" w:hanging="324"/>
        <w:spacing w:after="0" w:line="284" w:lineRule="auto"/>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capital (</w:t>
      </w:r>
      <w:r>
        <w:rPr>
          <w:rFonts w:ascii="Times New Roman" w:cs="Times New Roman" w:eastAsia="Times New Roman" w:hAnsi="Times New Roman"/>
          <w:sz w:val="18"/>
          <w:szCs w:val="18"/>
          <w:i w:val="1"/>
          <w:iCs w:val="1"/>
          <w:color w:val="auto"/>
        </w:rPr>
        <w:t>capital-actions autorisé</w:t>
      </w:r>
      <w:r>
        <w:rPr>
          <w:rFonts w:ascii="Times New Roman" w:cs="Times New Roman" w:eastAsia="Times New Roman" w:hAnsi="Times New Roman"/>
          <w:sz w:val="18"/>
          <w:szCs w:val="18"/>
          <w:color w:val="auto"/>
        </w:rPr>
        <w:t>) to be utilized by the board of directors within a period determined by the shareholders but not exceeding two years from the date of the shareholder approval.</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00"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color w:val="auto"/>
        </w:rPr>
        <w:t>Pursuant to the CO, shareholders have in principle pre-emptive subscription rights (</w:t>
      </w:r>
      <w:r>
        <w:rPr>
          <w:rFonts w:ascii="Times New Roman" w:cs="Times New Roman" w:eastAsia="Times New Roman" w:hAnsi="Times New Roman"/>
          <w:sz w:val="18"/>
          <w:szCs w:val="18"/>
          <w:i w:val="1"/>
          <w:iCs w:val="1"/>
          <w:color w:val="auto"/>
        </w:rPr>
        <w:t>droit préférentiel de souscription</w:t>
      </w:r>
      <w:r>
        <w:rPr>
          <w:rFonts w:ascii="Times New Roman" w:cs="Times New Roman" w:eastAsia="Times New Roman" w:hAnsi="Times New Roman"/>
          <w:sz w:val="18"/>
          <w:szCs w:val="18"/>
          <w:color w:val="auto"/>
        </w:rPr>
        <w:t>). With respect to conditional capital in connection with the issuance of conversion rights, convertible bonds or similar debt instruments, shareholders have in principle advance subscription rights (</w:t>
      </w:r>
      <w:r>
        <w:rPr>
          <w:rFonts w:ascii="Times New Roman" w:cs="Times New Roman" w:eastAsia="Times New Roman" w:hAnsi="Times New Roman"/>
          <w:sz w:val="18"/>
          <w:szCs w:val="18"/>
          <w:i w:val="1"/>
          <w:iCs w:val="1"/>
          <w:color w:val="auto"/>
        </w:rPr>
        <w:t>droit de souscrire préalablement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 resolution passed at a general meeting of shareholders by at least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3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If pre-emptive subscription rights are granted, but not exercised, the board of directors may allocate the non-exercised pre-emptive subscription rights as it elects but has to follow the principle of equal treatment of the shareholders.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Authorized Share Capital</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Article 3a of our articles of association, the board of directors is authorized to increase the share capital, in one or several steps until 24 June 2024, by a maximum amount of CHF 114,000 by issuing a maximum of 5,700,000 registered shares with a par value of CHF 0.02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spacing w:after="0" w:line="14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For the currently effective Authorized Share Capital, the board of directors is authorized to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is authorized to withdraw or limit the pre-emptive rights of the shareholders and to allot them to third parties:</w:t>
      </w:r>
    </w:p>
    <w:p>
      <w:pPr>
        <w:spacing w:after="0" w:line="185" w:lineRule="exact"/>
        <w:rPr>
          <w:sz w:val="20"/>
          <w:szCs w:val="20"/>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 price of the new registered shares is determined by reference to the market price (with a customary discount); or</w:t>
      </w:r>
    </w:p>
    <w:p>
      <w:pPr>
        <w:spacing w:after="0" w:line="18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acquisition of an enterprise, part of an enterprise or participations, or for the financing or refinancing of any of such acquisition, or in the event of share placement for the financing or refinancing of such placement; or</w:t>
      </w:r>
    </w:p>
    <w:p>
      <w:pPr>
        <w:spacing w:after="0" w:line="13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21" w:lineRule="exact"/>
        <w:rPr>
          <w:rFonts w:ascii="Times New Roman" w:cs="Times New Roman" w:eastAsia="Times New Roman" w:hAnsi="Times New Roman"/>
          <w:sz w:val="18"/>
          <w:szCs w:val="18"/>
          <w:color w:val="auto"/>
        </w:rPr>
      </w:pPr>
    </w:p>
    <w:p>
      <w:pPr>
        <w:ind w:left="660" w:right="140" w:hanging="328"/>
        <w:spacing w:after="0" w:line="274" w:lineRule="auto"/>
        <w:tabs>
          <w:tab w:leader="none" w:pos="66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January 1, 2023, the new Swiss corporate law introducing the capital band mechanism has come into force. It will no longer be possible to renew the Company's current Authorized Share Capital beyond June 24, 2024. Instead, the Company can only introduce the capital band pursuant to Article 653s et seq. of the revised Swiss Code of Obligations which requires an amendment of the Articles by way of a resolution of a duly convened general meeting of shareholders of the Company. Under the capital band mechanism, the general meeting of shareholders can authorize the board of directors at any time within a maximum of five years to increase or decrease the share capital by a maximum amount of 50% of the current share capital.</w:t>
      </w:r>
    </w:p>
    <w:p>
      <w:pPr>
        <w:spacing w:after="0" w:line="1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Conditional Share Capital</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Financing and Other Purposes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Article 3b of our articles of association, our share capital may be increased by a maximum aggregate amount of CHF 100,000 through the issue of a maximum of 5,000,000 common shares, payable in full, each with a nominal value of CHF 0.02, through the optional or mandatory exercise of conversion, exchange, option, warrant or similar rights or obligations for the subscription of shares granted to shareholders or third parties on a standalone basis or in connection with bonds, notes, options, warrants or other securities or contractual obligations of the Company or any subsidiaries of the Company, including convertible debt instruments. Shareholders do not have pre-emptive subscription rights in such circumstances.</w:t>
      </w:r>
    </w:p>
    <w:p>
      <w:pPr>
        <w:spacing w:after="0" w:line="14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Shareholders’ subscription rights are excluded. Shareholders’ advance subscription rights with regard to the new bonds, warrants or similar instruments may be restricted or excluded by decision of the board of directors in order to finance or re-finance the acquisition of companies, parts of companies or holdings, or new investments planned by the Company, or in order to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9" w:right="1019" w:bottom="1440" w:gutter="0" w:footer="0" w:header="0"/>
        </w:sectPr>
      </w:pPr>
    </w:p>
    <w:bookmarkStart w:id="249" w:name="page250"/>
    <w:bookmarkEnd w:id="249"/>
    <w:p>
      <w:pPr>
        <w:spacing w:after="0" w:line="258" w:lineRule="auto"/>
        <w:rPr>
          <w:sz w:val="20"/>
          <w:szCs w:val="20"/>
          <w:color w:val="auto"/>
        </w:rPr>
      </w:pPr>
      <w:r>
        <w:rPr>
          <w:rFonts w:ascii="Times New Roman" w:cs="Times New Roman" w:eastAsia="Times New Roman" w:hAnsi="Times New Roman"/>
          <w:sz w:val="18"/>
          <w:szCs w:val="18"/>
          <w:color w:val="auto"/>
        </w:rPr>
        <w:t>convertible bonds and warrants on the international capital markets or through private placement. If advance subscription rights are excluded, then (i) the instruments are to be placed at market conditions; (ii) the exercise period is not to exceed ten years from the date of issue for warrants and twenty years for conversion rights; and (iii) the conversion or exercise price for the new shares is to be set at least in line with the market conditions prevailing at the date on which the instruments are issued. The respective holders of conversion and/or option or warrant rights are entitled to subscribe the new shares.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Employee Benefit Plans</w:t>
      </w:r>
    </w:p>
    <w:p>
      <w:pPr>
        <w:spacing w:after="0" w:line="20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Article 3c of our articles of association, our share capital may, to the exclusion of the pre-emptive subscription rights of shareholders, be increased by a maximum aggregate amount of CHF 91,844.20 through the issue of a maximum of 4,592,210 registered shares, payable in full, each with a nominal value of CHF 0.02, in connection with the exercise of option rights granted to employee of the Company or a subsidiary, members of the board of directors or any consultant, or other persons providing services to the Company or a subsidiary. The board of directors specifies the precise conditions of issue including the issue price of the shares.</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Securities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shares are uncertificated securities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within the meaning of Article 973c of the CO) and, when administered by a financial intermediary (</w:t>
      </w:r>
      <w:r>
        <w:rPr>
          <w:rFonts w:ascii="Times New Roman" w:cs="Times New Roman" w:eastAsia="Times New Roman" w:hAnsi="Times New Roman"/>
          <w:sz w:val="18"/>
          <w:szCs w:val="18"/>
          <w:i w:val="1"/>
          <w:iCs w:val="1"/>
          <w:color w:val="auto"/>
        </w:rPr>
        <w:t>dépositaire</w:t>
      </w:r>
      <w:r>
        <w:rPr>
          <w:rFonts w:ascii="Times New Roman" w:cs="Times New Roman" w:eastAsia="Times New Roman" w:hAnsi="Times New Roman"/>
          <w:sz w:val="18"/>
          <w:szCs w:val="18"/>
          <w:color w:val="auto"/>
        </w:rPr>
        <w:t>, within the meaning of the Federal Act on Intermediated Securities, “FISA”), qualify as intermediated securities (</w:t>
      </w:r>
      <w:r>
        <w:rPr>
          <w:rFonts w:ascii="Times New Roman" w:cs="Times New Roman" w:eastAsia="Times New Roman" w:hAnsi="Times New Roman"/>
          <w:sz w:val="18"/>
          <w:szCs w:val="18"/>
          <w:i w:val="1"/>
          <w:iCs w:val="1"/>
          <w:color w:val="auto"/>
        </w:rPr>
        <w:t>titres intermédiés</w:t>
      </w:r>
      <w:r>
        <w:rPr>
          <w:rFonts w:ascii="Times New Roman" w:cs="Times New Roman" w:eastAsia="Times New Roman" w:hAnsi="Times New Roman"/>
          <w:sz w:val="18"/>
          <w:szCs w:val="18"/>
          <w:color w:val="auto"/>
        </w:rPr>
        <w:t>, within the meaning of the FISA). In accordance with Article 973c of the CO, we maintain a non-public register of uncertificated securities (</w:t>
      </w:r>
      <w:r>
        <w:rPr>
          <w:rFonts w:ascii="Times New Roman" w:cs="Times New Roman" w:eastAsia="Times New Roman" w:hAnsi="Times New Roman"/>
          <w:sz w:val="18"/>
          <w:szCs w:val="18"/>
          <w:i w:val="1"/>
          <w:iCs w:val="1"/>
          <w:color w:val="auto"/>
        </w:rPr>
        <w:t>registre des droits-valeurs</w:t>
      </w:r>
      <w:r>
        <w:rPr>
          <w:rFonts w:ascii="Times New Roman" w:cs="Times New Roman" w:eastAsia="Times New Roman" w:hAnsi="Times New Roman"/>
          <w:sz w:val="18"/>
          <w:szCs w:val="18"/>
          <w:color w:val="auto"/>
        </w:rPr>
        <w:t>). We may at any time convert uncertificated securities into share certificates (including global certificates), one kind of certificate into another, or share certificates (including global certificates) into uncertificated securities. Following entry in our share register, a shareholder may at any time request from us a written confirmation in respect of the shares held by such shareholder, as reflected in the share register.</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 of Shareholders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Ordinary/Extraordinary Meetings, Powers</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Company’s financial year. In our case, this generally means on or before June 30.</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powers are vested exclusively in the general meeting of shareholders:</w:t>
      </w:r>
    </w:p>
    <w:p>
      <w:pPr>
        <w:spacing w:after="0" w:line="185" w:lineRule="exact"/>
        <w:rPr>
          <w:sz w:val="20"/>
          <w:szCs w:val="20"/>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amending the articles of association, including change of a company’s purpose or domicile;</w:t>
      </w:r>
    </w:p>
    <w:p>
      <w:pPr>
        <w:spacing w:after="0" w:line="184"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and removal of the members of the board of directors, the chairman of the board of directors, the members of the compensation committee, the auditors and the independent proxy;</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management report and the consolidated accounts;</w:t>
      </w:r>
    </w:p>
    <w:p>
      <w:pPr>
        <w:spacing w:after="0" w:line="18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accounts and resolutions on the allocation of the disposable profits, and in particular setting the dividend and the shares of profit to board members;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total compensation paid to members of the board of directors and executive management;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the interim dividend and approve the interim account required therefor;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on repaying the statutory capital reserve;</w:t>
      </w:r>
    </w:p>
    <w:p>
      <w:pPr>
        <w:spacing w:after="0" w:line="184"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discharging the members of the board of directors and executive management from liability with respect to their tenure in the previous financial year;</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a company with or without liquidation;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to delist the equity securities of the company; and</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passing resolutions concerning all matters which are reserved to the authority of the general meeting of shareholders by law or by the articles of association.</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An extraordinary general meeting of shareholders may be called by a resolution of the general meeting, the board of directors or, under certain circumstances, by a company’s auditor, liquidator or the representatives of convertible bond holders, if any. In addition, our articles of association require the board of directors to convene an extraordinary general meeting of shareholders if shareholders representing at least 10% of the share capital request such general meeting of shareholders in writing. The amended Swiss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50" w:name="page251"/>
    <w:bookmarkEnd w:id="250"/>
    <w:p>
      <w:pPr>
        <w:ind w:right="60"/>
        <w:spacing w:after="0" w:line="256" w:lineRule="auto"/>
        <w:rPr>
          <w:sz w:val="20"/>
          <w:szCs w:val="20"/>
          <w:color w:val="auto"/>
        </w:rPr>
      </w:pPr>
      <w:r>
        <w:rPr>
          <w:rFonts w:ascii="Times New Roman" w:cs="Times New Roman" w:eastAsia="Times New Roman" w:hAnsi="Times New Roman"/>
          <w:sz w:val="18"/>
          <w:szCs w:val="18"/>
          <w:color w:val="auto"/>
        </w:rPr>
        <w:t>law requires the board of directors of a listed company to convene an extraordinary general meeting of shareholders if shareholders representing at least 5% of the share capital or of the voting rights so request in writing. Our current articles of association do not yet reflect this amendment in law. Such request to convene an extraordinary general meeting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and Quorum Requirements</w:t>
      </w:r>
    </w:p>
    <w:p>
      <w:pPr>
        <w:spacing w:after="0" w:line="20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statutory law or the articles of association state otherwise.</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resolution of the general meeting of the shareholders passed by at least two-thirds of the shares represented at the meeting, and the absolute majority of the nominal value of the shares represented is required for:</w:t>
      </w:r>
    </w:p>
    <w:p>
      <w:pPr>
        <w:spacing w:after="0" w:line="121" w:lineRule="exact"/>
        <w:rPr>
          <w:sz w:val="20"/>
          <w:szCs w:val="20"/>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 company’s corporate purpose;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unless the consent of all the shareholders concerned is required;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shares with privileged voting rights;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transferability of common shares;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conditional share capital or a capital band;</w:t>
      </w:r>
    </w:p>
    <w:p>
      <w:pPr>
        <w:spacing w:after="0" w:line="184"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share capital out of equity, against contributions in-kind or for the purpose of acquiring assets and granting of special benefits;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or withdrawing shareholder’s pre-emptive subscription rights;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 company’s domicile;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 casting vote for the person chairing the general meeting;</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 provision on holding the general meeting abroad;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the delisting of the equity securities of the company;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an arbitration clause in the articles of association;</w:t>
      </w:r>
    </w:p>
    <w:p>
      <w:pPr>
        <w:spacing w:after="0" w:line="18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alleviating or withdrawing of restrictions upon the transfer of common shares and the removal of the voting cap of 33 1∕3% as contained in article 4 of the articles of association;</w:t>
      </w:r>
    </w:p>
    <w:p>
      <w:pPr>
        <w:spacing w:after="0" w:line="13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indemnification provision for the board of directors and executive management as contained in article 29 of the articles of association;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common shares into bearer shares and vice versa;</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or liquidating a company; and</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or eliminating article 17 (</w:t>
      </w:r>
      <w:r>
        <w:rPr>
          <w:rFonts w:ascii="Times New Roman" w:cs="Times New Roman" w:eastAsia="Times New Roman" w:hAnsi="Times New Roman"/>
          <w:sz w:val="18"/>
          <w:szCs w:val="18"/>
          <w:i w:val="1"/>
          <w:iCs w:val="1"/>
          <w:color w:val="auto"/>
        </w:rPr>
        <w:t>resolutions and elections</w:t>
      </w:r>
      <w:r>
        <w:rPr>
          <w:rFonts w:ascii="Times New Roman" w:cs="Times New Roman" w:eastAsia="Times New Roman" w:hAnsi="Times New Roman"/>
          <w:sz w:val="18"/>
          <w:szCs w:val="18"/>
          <w:color w:val="auto"/>
        </w:rPr>
        <w:t>) of the articles of association.</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same voting requirements apply, subject to mandatory law, to resolutions regarding transactions among corporations (including a merger, demerger or conversion of a corporation) based on Switzerland’s Federal Act on Mergers, Demergers, Transformations and Transfer of Assets, or the Merger Act, see “—Compulsory Acquisitions; Appraisal Rights.”</w:t>
      </w:r>
    </w:p>
    <w:p>
      <w:pPr>
        <w:spacing w:after="0" w:line="135"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588645</wp:posOffset>
            </wp:positionV>
            <wp:extent cx="62922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51" w:name="page252"/>
    <w:bookmarkEnd w:id="25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Notice</w:t>
      </w:r>
    </w:p>
    <w:p>
      <w:pPr>
        <w:spacing w:after="0" w:line="20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or, if necessary, by the auditors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5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Agenda Requests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our current articles of association, one or more shareholders, whose combined shareholdings represent the lower of (i) at least one tenth of the share capital or (ii) an aggregate nominal value of at least CHF 1,000,000, may request that an item be included in the agenda for an ordinary general meeting of shareholders. A request for inclusion of an item on the agenda must in principle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The request must contain, for each of the agenda items, the following information:</w:t>
      </w:r>
    </w:p>
    <w:p>
      <w:pPr>
        <w:spacing w:after="0" w:line="147" w:lineRule="exact"/>
        <w:rPr>
          <w:sz w:val="20"/>
          <w:szCs w:val="20"/>
          <w:color w:val="auto"/>
        </w:rPr>
      </w:pPr>
    </w:p>
    <w:p>
      <w:pPr>
        <w:ind w:left="660" w:right="80" w:hanging="328"/>
        <w:spacing w:after="0" w:line="282"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in our share register, of the shareholder proposing such business;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Company which are beneficially owned by such shareholder;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upon which the shareholder acquired such shares;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documentary support for any claim of beneficial ownership;</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such shareholder in such business; and</w:t>
      </w:r>
    </w:p>
    <w:p>
      <w:pPr>
        <w:spacing w:after="0" w:line="184"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 support of the matter and, for proposals sought to be included in the Company’s proxy statement, any other information required by Securities and Exchange Commission Rule 14a-8.</w:t>
      </w:r>
    </w:p>
    <w:p>
      <w:pPr>
        <w:spacing w:after="0" w:line="121"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3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Our annual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Each of our shares entitles its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6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9" w:right="1019" w:bottom="1440" w:gutter="0" w:footer="0" w:header="0"/>
        </w:sectPr>
      </w:pPr>
    </w:p>
    <w:bookmarkStart w:id="252" w:name="page253"/>
    <w:bookmarkEnd w:id="252"/>
    <w:p>
      <w:pPr>
        <w:spacing w:after="0" w:line="256" w:lineRule="auto"/>
        <w:rPr>
          <w:sz w:val="20"/>
          <w:szCs w:val="20"/>
          <w:color w:val="auto"/>
        </w:rPr>
      </w:pPr>
      <w:r>
        <w:rPr>
          <w:rFonts w:ascii="Times New Roman" w:cs="Times New Roman" w:eastAsia="Times New Roman" w:hAnsi="Times New Roman"/>
          <w:sz w:val="18"/>
          <w:szCs w:val="18"/>
          <w:color w:val="auto"/>
        </w:rPr>
        <w:t>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0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empty or invalid votes. In addition, our auditors must confirm that the dividend proposal of our board of directors conforms to Swiss statutory law and our articles of association.</w:t>
      </w:r>
    </w:p>
    <w:p>
      <w:pPr>
        <w:spacing w:after="0" w:line="13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Swiss law, we may pay dividends only from the disposable profit and from reserves formed for this purpose, each as evidenced by our audited stand-alone statutory balance sheet prepared pursuant to Swiss law, and after allocations to reserves required by Swiss law and the articles of association have been deducted.</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Distributable reserves are generally booked either as “free reserves” (</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Under the CO, if our general reserves (</w:t>
      </w:r>
      <w:r>
        <w:rPr>
          <w:rFonts w:ascii="Times New Roman" w:cs="Times New Roman" w:eastAsia="Times New Roman" w:hAnsi="Times New Roman"/>
          <w:sz w:val="18"/>
          <w:szCs w:val="18"/>
          <w:i w:val="1"/>
          <w:iCs w:val="1"/>
          <w:color w:val="auto"/>
        </w:rPr>
        <w:t>réserve générale</w:t>
      </w:r>
      <w:r>
        <w:rPr>
          <w:rFonts w:ascii="Times New Roman" w:cs="Times New Roman" w:eastAsia="Times New Roman" w:hAnsi="Times New Roman"/>
          <w:sz w:val="18"/>
          <w:szCs w:val="18"/>
          <w:color w:val="auto"/>
        </w:rPr>
        <w:t>) amount to less than 20% of our share capital recorded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Commercial Register (i.e., 20% of the aggregate nominal value of our issued capital), then at least 5% of our annual profit must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retained as general reserves. The CO permits us to accrue additional general reserves. Further, a purchase of our own shares (whether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or a subsidiary) reduces the distributable reserves in an amount corresponding to the purchase price of such own shares. Finally,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under certain circumstances requires the creation of revaluation reserves which are not distributable.</w:t>
      </w:r>
    </w:p>
    <w:p>
      <w:pPr>
        <w:spacing w:after="0" w:line="180"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An ordinary capital reduction must be completed within six months after the resolution of shareholders, otherwise such resolution becomes invalid.</w:t>
      </w:r>
    </w:p>
    <w:p>
      <w:pPr>
        <w:spacing w:after="0" w:line="13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0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Shares in uncertificated form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may only be transferred by way of assignment. Shares that constitute intermediated securities (</w:t>
      </w:r>
      <w:r>
        <w:rPr>
          <w:rFonts w:ascii="Times New Roman" w:cs="Times New Roman" w:eastAsia="Times New Roman" w:hAnsi="Times New Roman"/>
          <w:sz w:val="18"/>
          <w:szCs w:val="18"/>
          <w:i w:val="1"/>
          <w:iCs w:val="1"/>
          <w:color w:val="auto"/>
        </w:rPr>
        <w:t>titres intermédiés</w:t>
      </w:r>
      <w:r>
        <w:rPr>
          <w:rFonts w:ascii="Times New Roman" w:cs="Times New Roman" w:eastAsia="Times New Roman" w:hAnsi="Times New Roman"/>
          <w:sz w:val="18"/>
          <w:szCs w:val="18"/>
          <w:color w:val="auto"/>
        </w:rPr>
        <w:t>) may only be transferred when a credit of the relevant intermediated securities to the acquirer’s securities account is made in accordance with the relevant provisions of the FISA. Article 5 of our articles of association provides that the transfer of intermediated securities and the pledging of these intermediated securities are based on the provisions of the FISA and that transfer of propriety as collateral by means of written assignment are not permitted.</w:t>
      </w:r>
    </w:p>
    <w:p>
      <w:pPr>
        <w:spacing w:after="0" w:line="14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Voting rights may be exercised only after a shareholder (or usufructuaries) has been entered in our share register (</w:t>
      </w:r>
      <w:r>
        <w:rPr>
          <w:rFonts w:ascii="Times New Roman" w:cs="Times New Roman" w:eastAsia="Times New Roman" w:hAnsi="Times New Roman"/>
          <w:sz w:val="18"/>
          <w:szCs w:val="18"/>
          <w:i w:val="1"/>
          <w:iCs w:val="1"/>
          <w:color w:val="auto"/>
        </w:rPr>
        <w:t>registre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actions</w:t>
      </w:r>
      <w:r>
        <w:rPr>
          <w:rFonts w:ascii="Times New Roman" w:cs="Times New Roman" w:eastAsia="Times New Roman" w:hAnsi="Times New Roman"/>
          <w:sz w:val="18"/>
          <w:szCs w:val="18"/>
          <w:color w:val="auto"/>
        </w:rPr>
        <w:t>) with his or her name, first name and address (in the case of legal entities, the registered office) as a shareholder with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voting caps apply to shareholders acquiring shares for other persons (nominees).</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8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53" w:name="page254"/>
    <w:bookmarkEnd w:id="253"/>
    <w:p>
      <w:pPr>
        <w:ind w:right="380"/>
        <w:spacing w:after="0" w:line="282" w:lineRule="auto"/>
        <w:rPr>
          <w:sz w:val="20"/>
          <w:szCs w:val="20"/>
          <w:color w:val="auto"/>
        </w:rPr>
      </w:pPr>
      <w:r>
        <w:rPr>
          <w:rFonts w:ascii="Times New Roman" w:cs="Times New Roman" w:eastAsia="Times New Roman" w:hAnsi="Times New Roman"/>
          <w:sz w:val="18"/>
          <w:szCs w:val="18"/>
          <w:color w:val="auto"/>
        </w:rPr>
        <w:t>may be inspected with the express authorization of the general meeting of shareholders or by resolution of the board of directors and subject to the safeguarding of our business secrets.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Special Investigation</w:t>
      </w:r>
    </w:p>
    <w:p>
      <w:pPr>
        <w:spacing w:after="0" w:line="20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the competent court sitting in Lausanne, Switzerland, our registered office, to appoint a special commissioner. If the general meeting of shareholders rejects the request, one or more shareholders representing at least 5 percent of the share capital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Compulsory Acquisitions; Appraisal Rights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Business combinations and other similar transactions (i.e. mergers, demergers, transformations and certain asset transfers) that are governed by the Swiss Merger Act are, if approved in accordance with the applicable provisions of the Swiss Merger Act, binding on all shareholders of the involved companies. A statutory merger or demerger requires approval by at least two-thirds of the shares represented at a general meeting of shareholders and the absolute majority of the nominal value of the shares represented. If the merger agreement provides, however, only for a compensation payment, or in the event of an asymmetrical demerger, at least 90 percent of all shareholders of the transferring company who are entitled to vote must approve the merger agreement and the asymmetrical demerger, respectively.</w:t>
      </w:r>
    </w:p>
    <w:p>
      <w:pPr>
        <w:spacing w:after="0" w:line="16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Swiss corporations may be acquired by an acquirer through the direct acquisition of shares of the Swiss corporation. The Swiss Merger Act provides for the possibility of a so-called “cash-out” or “squeeze-out” merger if the acquirer controls 90% of the outstanding shares. If such a squeeze-out merger under the Swiss Merger Act occurs, a minority shareholder subject to the squeeze-out merger could seek to claim, within two months of the publication of the squeeze-out merger, that the consideration offered is “inadequate” and petition a Swiss competent court to determine what “adequate” consideration is.</w:t>
      </w:r>
    </w:p>
    <w:p>
      <w:pPr>
        <w:spacing w:after="0" w:line="14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our assets” by us may require the approval of at least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39" w:lineRule="exact"/>
        <w:rPr>
          <w:sz w:val="20"/>
          <w:szCs w:val="20"/>
          <w:color w:val="auto"/>
        </w:rPr>
      </w:pPr>
    </w:p>
    <w:p>
      <w:pPr>
        <w:ind w:left="660" w:right="360" w:hanging="328"/>
        <w:spacing w:after="0" w:line="282"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our statutory business purpose; and</w:t>
      </w:r>
    </w:p>
    <w:p>
      <w:pPr>
        <w:spacing w:after="0" w:line="184"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2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If in a merger, demerger or transformation, equity or shareholder rights are not adequately preserved or the compensation paid is unreasonable, within two months after the publication of the merger, demerger or transformation resolution, each shareholder may demand that the competent court determines what is a reasonable amount of compensation. The decision of the court is legally binding on all shareholders of the company involved, provided that they are in the same legal position as the plaintiff. The costs of proceedings shall be borne by the acquiring company. If the particular circumstances justify it, the court may decide that the plaintiff shall bear all or part of the cost. An action to obtain a review of the protection of equity or shareholder rights does not affect the legal validity of the merger, demerger or transformation resolution.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articles of association provide that the board of directors shall consist of at least three and not more than nine members.</w:t>
      </w:r>
    </w:p>
    <w:p>
      <w:pPr>
        <w:spacing w:after="0" w:line="185"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Powers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has the following non-delegable and inalienable powers and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4" w:name="page255"/>
    <w:bookmarkEnd w:id="254"/>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Company and the issuing of all necessary directives;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Company’s organization;</w:t>
      </w:r>
    </w:p>
    <w:p>
      <w:pPr>
        <w:spacing w:after="0" w:line="198"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as required for management of the Company;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Company;</w:t>
      </w:r>
    </w:p>
    <w:p>
      <w:pPr>
        <w:spacing w:after="0" w:line="18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supervision of the persons entrusted with managing the Company, in particular with regard to compliance with the law, articles of association, operational regulations and directives;</w:t>
      </w:r>
    </w:p>
    <w:p>
      <w:pPr>
        <w:spacing w:after="0" w:line="134"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compilation of the annual report, and the preparation for the general meeting of shareholders and implementing its resolutions;</w:t>
      </w:r>
    </w:p>
    <w:p>
      <w:pPr>
        <w:spacing w:after="0" w:line="12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compensation report and to request approval by the general meeting of shareholders regarding the compensation of the board of directors and the executive committee;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court in the event that the Company is over-indebted.</w:t>
      </w:r>
    </w:p>
    <w:p>
      <w:pPr>
        <w:spacing w:after="0" w:line="19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may assign responsibility for preparing and implementing its resolutions or monitoring transactions to committees or individual members. It must ensure appropriate reporting to its members. Furthermore, the board of directors may, while retaining such non-delegable and inalienable powers and duties, delegate, in part or entirely, the management and the representation of the Company, within the limits of the law, to a one or more individual directors (Delegates) or to third parties pursuant to the organizational regulations issued by the board of directors.</w:t>
      </w:r>
    </w:p>
    <w:p>
      <w:pPr>
        <w:spacing w:after="0" w:line="143"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Pursuant to Swiss law and Article 25 of our articles of association, details of the delegation and other procedural rules such as quorum requirements must be set in the organizational rules issued by the board of directors.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assigns the persons with signatory power for the Company and the kind of signatory power.</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Indemnification of Executive Management and Directors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Subject to Swiss law, Article 29 of our articles of association provides for indemnification of the current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members of the executive management.</w:t>
      </w:r>
    </w:p>
    <w:p>
      <w:pPr>
        <w:spacing w:after="0" w:line="13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Conflict of Interest, Management Transactions</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Swiss law does not have a general provision regarding conflicts of interest. However, the CO contains a provision that requires our directors and the members of the executive management to safeguard the Company’s interests and imposes a duty of loyalty and duty of care on our directors and the members of the executive management. This rule is generally understood to disqualify directors and members of the executive management from participating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4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covers a broad range of matters, including the handling of conflicts of interest.</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the Compensation of the Board of Directors and the Executive Management</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Swiss law,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(as defined in section 14 of the Swiss Ordinance against Excessive Compensation in Listed Companies) granted by the Company, directly or indirectly, to current members of the board of directors and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55" w:name="page256"/>
    <w:bookmarkEnd w:id="255"/>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as well as to former members of the board of directors and executive management but in the latter case only to the extent if such compensation is related to their former role within the Company or if such compensation is not on customary market terms.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disclosure concerning compensation must in particular include the aggregate amount for the board of directors and the aggregate amount for the executive management, as well as the particular amount of compensation for each member of the board of directors and the highest paid member of the executive management, specifying the name and function of each person.</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forms of compensation are prohibited for members of our board of directors and executive management, such as:</w:t>
      </w:r>
    </w:p>
    <w:p>
      <w:pPr>
        <w:spacing w:after="0" w:line="185" w:lineRule="exact"/>
        <w:rPr>
          <w:sz w:val="20"/>
          <w:szCs w:val="20"/>
          <w:color w:val="auto"/>
        </w:rPr>
      </w:pPr>
    </w:p>
    <w:p>
      <w:pPr>
        <w:ind w:left="660" w:right="80" w:hanging="328"/>
        <w:spacing w:after="0" w:line="282"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compensation;</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for the acquisition or transfer of corporations, or parts thereof, by the Company or by companies being, directly or indirectly, controlled by the us;</w:t>
      </w:r>
    </w:p>
    <w:p>
      <w:pPr>
        <w:spacing w:after="0" w:line="12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other forms of indebtedness, pension benefits not based on occupational pension schemes and performance-based compensation not provided for in the articles of association;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and conversion and option rights awards not provided for in the articles of association.</w:t>
      </w:r>
    </w:p>
    <w:p>
      <w:pPr>
        <w:spacing w:after="0" w:line="198" w:lineRule="exact"/>
        <w:rPr>
          <w:sz w:val="20"/>
          <w:szCs w:val="20"/>
          <w:color w:val="auto"/>
        </w:rPr>
      </w:pPr>
    </w:p>
    <w:p>
      <w:pPr>
        <w:jc w:val="center"/>
        <w:ind w:right="420"/>
        <w:spacing w:after="0" w:line="266" w:lineRule="auto"/>
        <w:rPr>
          <w:sz w:val="20"/>
          <w:szCs w:val="20"/>
          <w:color w:val="auto"/>
        </w:rPr>
      </w:pPr>
      <w:r>
        <w:rPr>
          <w:rFonts w:ascii="Times New Roman" w:cs="Times New Roman" w:eastAsia="Times New Roman" w:hAnsi="Times New Roman"/>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general meeting of shareholders annually votes on the proposals of the board of directors with respect to:</w:t>
      </w:r>
    </w:p>
    <w:p>
      <w:pPr>
        <w:spacing w:after="0" w:line="185" w:lineRule="exact"/>
        <w:rPr>
          <w:sz w:val="20"/>
          <w:szCs w:val="20"/>
          <w:color w:val="auto"/>
        </w:rPr>
      </w:pPr>
    </w:p>
    <w:p>
      <w:pPr>
        <w:ind w:left="660" w:right="58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board of directors for the period until the next Ordinary General Meeting; and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executive committee for the following financial year.</w:t>
      </w:r>
    </w:p>
    <w:p>
      <w:pPr>
        <w:spacing w:after="0" w:line="18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the general meeting of shareholders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of shareholders for approval.</w:t>
      </w:r>
    </w:p>
    <w:p>
      <w:pPr>
        <w:spacing w:after="0" w:line="14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to fixed compensation, members of the executive management may be paid in cash a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determines the relative weight of the performance criteria and the respective target values.</w:t>
      </w:r>
    </w:p>
    <w:p>
      <w:pPr>
        <w:spacing w:after="0" w:line="14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Compensation may be paid in cash or granted in form of options or shares in the Company. The board of directors or, to the extent delegated to it, the compensation committee determines grant, vesting, exercise and forfeiture conditions.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20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and Purchases of Own Shares</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If we own shares that exceed the threshold of 10 percent of our share capital, the excess must be sold or cancelled by means of a capital reduction within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6" w:name="page257"/>
    <w:bookmarkEnd w:id="256"/>
    <w:p>
      <w:pPr>
        <w:ind w:left="340"/>
        <w:spacing w:after="0"/>
        <w:rPr>
          <w:sz w:val="20"/>
          <w:szCs w:val="20"/>
          <w:color w:val="auto"/>
        </w:rPr>
      </w:pPr>
      <w:r>
        <w:rPr>
          <w:rFonts w:ascii="Times New Roman" w:cs="Times New Roman" w:eastAsia="Times New Roman" w:hAnsi="Times New Roman"/>
          <w:sz w:val="18"/>
          <w:szCs w:val="18"/>
          <w:color w:val="auto"/>
        </w:rPr>
        <w:t>We currently hold 5,243,958 fully paid up common shares of par value CHF 0.02 each, as treasury shares.</w:t>
      </w:r>
    </w:p>
    <w:p>
      <w:pPr>
        <w:spacing w:after="0" w:line="18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Shares of the Company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Notification and Disclosure of Substantial Share Interests</w:t>
      </w:r>
    </w:p>
    <w:p>
      <w:pPr>
        <w:spacing w:after="0" w:line="189"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The disclosure obligations generally applicable to shareholders of Swiss corporations under the Swiss Financial Market Infrastructure Act, FinMIA, do not apply to us since our shares are not listed on a Swiss stock exchange.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 of Shares</w:t>
      </w:r>
    </w:p>
    <w:p>
      <w:pPr>
        <w:spacing w:after="0" w:line="20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Subsidiaries of AC Immune SA</w:t>
            </w:r>
          </w:p>
        </w:tc>
      </w:tr>
      <w:tr>
        <w:trPr>
          <w:trHeight w:val="391"/>
        </w:trPr>
        <w:tc>
          <w:tcPr>
            <w:tcW w:w="1720" w:type="dxa"/>
            <w:vAlign w:val="bottom"/>
          </w:tcPr>
          <w:p>
            <w:pPr>
              <w:spacing w:after="0"/>
              <w:rPr>
                <w:sz w:val="24"/>
                <w:szCs w:val="24"/>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Name of Subsidiary</w:t>
            </w:r>
          </w:p>
        </w:tc>
        <w:tc>
          <w:tcPr>
            <w:tcW w:w="2820" w:type="dxa"/>
            <w:vAlign w:val="bottom"/>
          </w:tcPr>
          <w:p>
            <w:pPr>
              <w:spacing w:after="0"/>
              <w:rPr>
                <w:sz w:val="24"/>
                <w:szCs w:val="24"/>
                <w:color w:val="auto"/>
              </w:rPr>
            </w:pPr>
          </w:p>
        </w:tc>
        <w:tc>
          <w:tcPr>
            <w:tcW w:w="356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0"/>
        </w:trPr>
        <w:tc>
          <w:tcPr>
            <w:tcW w:w="17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53"/>
        </w:trPr>
        <w:tc>
          <w:tcPr>
            <w:tcW w:w="354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color w:val="auto"/>
                <w:w w:val="99"/>
              </w:rPr>
              <w:t>AC Immune USA, Inc.</w:t>
            </w:r>
          </w:p>
        </w:tc>
        <w:tc>
          <w:tcPr>
            <w:tcW w:w="2820" w:type="dxa"/>
            <w:vAlign w:val="bottom"/>
          </w:tcPr>
          <w:p>
            <w:pPr>
              <w:spacing w:after="0"/>
              <w:rPr>
                <w:sz w:val="24"/>
                <w:szCs w:val="24"/>
                <w:color w:val="auto"/>
              </w:rPr>
            </w:pPr>
          </w:p>
        </w:tc>
        <w:tc>
          <w:tcPr>
            <w:tcW w:w="356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777"/>
        </w:trPr>
        <w:tc>
          <w:tcPr>
            <w:tcW w:w="17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Andrea Pfeifer, certify that:</w:t>
      </w:r>
    </w:p>
    <w:p>
      <w:pPr>
        <w:spacing w:after="0" w:line="225" w:lineRule="exact"/>
        <w:rPr>
          <w:sz w:val="20"/>
          <w:szCs w:val="20"/>
          <w:color w:val="auto"/>
        </w:rPr>
      </w:pPr>
    </w:p>
    <w:p>
      <w:pPr>
        <w:ind w:left="180" w:hanging="172"/>
        <w:spacing w:after="0"/>
        <w:tabs>
          <w:tab w:leader="none" w:pos="1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AC Immune SA;</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60" w:firstLine="8"/>
        <w:spacing w:after="0" w:line="276" w:lineRule="auto"/>
        <w:tabs>
          <w:tab w:leader="none" w:pos="1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company and have:</w:t>
      </w:r>
    </w:p>
    <w:p>
      <w:pPr>
        <w:spacing w:after="0" w:line="207" w:lineRule="exact"/>
        <w:rPr>
          <w:sz w:val="20"/>
          <w:szCs w:val="20"/>
          <w:color w:val="auto"/>
        </w:rPr>
      </w:pPr>
    </w:p>
    <w:p>
      <w:pPr>
        <w:ind w:right="120" w:firstLine="8"/>
        <w:spacing w:after="0" w:line="266" w:lineRule="auto"/>
        <w:tabs>
          <w:tab w:leader="none" w:pos="24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right="220" w:firstLine="8"/>
        <w:spacing w:after="0" w:line="266" w:lineRule="auto"/>
        <w:tabs>
          <w:tab w:leader="none" w:pos="24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right="160" w:firstLine="8"/>
        <w:spacing w:after="0" w:line="266" w:lineRule="auto"/>
        <w:tabs>
          <w:tab w:leader="none" w:pos="1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ind w:right="180" w:firstLine="8"/>
        <w:spacing w:after="0" w:line="282" w:lineRule="auto"/>
        <w:tabs>
          <w:tab w:leader="none" w:pos="24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25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Andrea Pfeifer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Andrea Pfeifer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Roberts, certify that:</w:t>
      </w:r>
    </w:p>
    <w:p>
      <w:pPr>
        <w:spacing w:after="0" w:line="225" w:lineRule="exact"/>
        <w:rPr>
          <w:sz w:val="20"/>
          <w:szCs w:val="20"/>
          <w:color w:val="auto"/>
        </w:rPr>
      </w:pPr>
    </w:p>
    <w:p>
      <w:pPr>
        <w:ind w:left="180" w:hanging="172"/>
        <w:spacing w:after="0"/>
        <w:tabs>
          <w:tab w:leader="none" w:pos="1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AC Immune SA;</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60" w:firstLine="8"/>
        <w:spacing w:after="0" w:line="276" w:lineRule="auto"/>
        <w:tabs>
          <w:tab w:leader="none" w:pos="1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company and have:</w:t>
      </w:r>
    </w:p>
    <w:p>
      <w:pPr>
        <w:spacing w:after="0" w:line="207" w:lineRule="exact"/>
        <w:rPr>
          <w:sz w:val="20"/>
          <w:szCs w:val="20"/>
          <w:color w:val="auto"/>
        </w:rPr>
      </w:pPr>
    </w:p>
    <w:p>
      <w:pPr>
        <w:ind w:right="120" w:firstLine="8"/>
        <w:spacing w:after="0" w:line="266" w:lineRule="auto"/>
        <w:tabs>
          <w:tab w:leader="none" w:pos="24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right="220" w:firstLine="8"/>
        <w:spacing w:after="0" w:line="266" w:lineRule="auto"/>
        <w:tabs>
          <w:tab w:leader="none" w:pos="24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right="160" w:firstLine="8"/>
        <w:spacing w:after="0" w:line="266" w:lineRule="auto"/>
        <w:tabs>
          <w:tab w:leader="none" w:pos="1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ind w:right="180" w:firstLine="8"/>
        <w:spacing w:after="0" w:line="282" w:lineRule="auto"/>
        <w:tabs>
          <w:tab w:leader="none" w:pos="24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2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Christopher Roberts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Christopher Roberts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AC Immune SA’s annual report on Form 20-F for the year ended December 31, 2023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Andrea Pfeifer, the Chief Executive Officer of AC Immune SA, certifies that, to the best of her knowledge:</w:t>
      </w:r>
    </w:p>
    <w:p>
      <w:pPr>
        <w:spacing w:after="0" w:line="225" w:lineRule="exact"/>
        <w:rPr>
          <w:sz w:val="20"/>
          <w:szCs w:val="20"/>
          <w:color w:val="auto"/>
        </w:rPr>
      </w:pPr>
    </w:p>
    <w:p>
      <w:pPr>
        <w:ind w:left="180" w:hanging="172"/>
        <w:spacing w:after="0"/>
        <w:tabs>
          <w:tab w:leader="none" w:pos="1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right="100" w:firstLine="8"/>
        <w:spacing w:after="0" w:line="282" w:lineRule="auto"/>
        <w:tabs>
          <w:tab w:leader="none" w:pos="1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AC Immune SA.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2024</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Andrea Pfeifer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AC Immune SA’s annual report on Form 20-F for the year ended December 31, 2023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Roberts, the Chief Financial Officer of AC Immune SA, certifies that, to the best of his knowledge:</w:t>
      </w:r>
    </w:p>
    <w:p>
      <w:pPr>
        <w:spacing w:after="0" w:line="225" w:lineRule="exact"/>
        <w:rPr>
          <w:sz w:val="20"/>
          <w:szCs w:val="20"/>
          <w:color w:val="auto"/>
        </w:rPr>
      </w:pPr>
    </w:p>
    <w:p>
      <w:pPr>
        <w:ind w:left="180" w:hanging="172"/>
        <w:spacing w:after="0"/>
        <w:tabs>
          <w:tab w:leader="none" w:pos="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right="100" w:firstLine="8"/>
        <w:spacing w:after="0" w:line="282" w:lineRule="auto"/>
        <w:tabs>
          <w:tab w:leader="none" w:pos="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AC Immune SA.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Christopher Roberts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F-3 (No. 333-249655 and No. 333-255576) and on Form S-8 (No 333-216539, No 333-213865 and No. 333-233019) of AC Immune SA of our report dated March 14, 2024 relating to the financial statements and the effectiveness of internal control over financial reporting, which appears in this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Lausanne, Switzerland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691515</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3" w:name="page264"/>
    <w:bookmarkEnd w:id="26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RECOUPMENT POLICY</w:t>
      </w:r>
    </w:p>
    <w:p>
      <w:pPr>
        <w:spacing w:after="0" w:line="200" w:lineRule="exact"/>
        <w:rPr>
          <w:sz w:val="20"/>
          <w:szCs w:val="20"/>
          <w:color w:val="auto"/>
        </w:rPr>
      </w:pPr>
    </w:p>
    <w:p>
      <w:pPr>
        <w:spacing w:after="0" w:line="241" w:lineRule="exact"/>
        <w:rPr>
          <w:sz w:val="20"/>
          <w:szCs w:val="20"/>
          <w:color w:val="auto"/>
        </w:rPr>
      </w:pPr>
    </w:p>
    <w:p>
      <w:pPr>
        <w:ind w:left="200" w:right="739" w:firstLine="648"/>
        <w:spacing w:after="0" w:line="286" w:lineRule="auto"/>
        <w:rPr>
          <w:sz w:val="20"/>
          <w:szCs w:val="20"/>
          <w:color w:val="auto"/>
        </w:rPr>
      </w:pPr>
      <w:r>
        <w:rPr>
          <w:rFonts w:ascii="Times New Roman" w:cs="Times New Roman" w:eastAsia="Times New Roman" w:hAnsi="Times New Roman"/>
          <w:sz w:val="18"/>
          <w:szCs w:val="18"/>
          <w:color w:val="auto"/>
        </w:rPr>
        <w:t>This Compensation Recoupment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has been adopted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AC Immune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October 6, 2023.</w:t>
      </w:r>
    </w:p>
    <w:p>
      <w:pPr>
        <w:spacing w:after="0" w:line="145" w:lineRule="exact"/>
        <w:rPr>
          <w:sz w:val="20"/>
          <w:szCs w:val="20"/>
          <w:color w:val="auto"/>
        </w:rPr>
      </w:pPr>
    </w:p>
    <w:p>
      <w:pPr>
        <w:ind w:left="200" w:right="319" w:firstLine="324"/>
        <w:spacing w:after="0" w:line="258" w:lineRule="auto"/>
        <w:rPr>
          <w:sz w:val="20"/>
          <w:szCs w:val="20"/>
          <w:color w:val="auto"/>
        </w:rPr>
      </w:pPr>
      <w:r>
        <w:rPr>
          <w:rFonts w:ascii="Times New Roman" w:cs="Times New Roman" w:eastAsia="Times New Roman" w:hAnsi="Times New Roman"/>
          <w:sz w:val="18"/>
          <w:szCs w:val="18"/>
          <w:color w:val="auto"/>
        </w:rPr>
        <w:t>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 (the “</w:t>
      </w:r>
      <w:r>
        <w:rPr>
          <w:rFonts w:ascii="Times New Roman" w:cs="Times New Roman" w:eastAsia="Times New Roman" w:hAnsi="Times New Roman"/>
          <w:sz w:val="18"/>
          <w:szCs w:val="18"/>
          <w:b w:val="1"/>
          <w:bCs w:val="1"/>
          <w:color w:val="auto"/>
        </w:rPr>
        <w:t>Listing Rule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860" w:hanging="327"/>
        <w:spacing w:after="0"/>
        <w:tabs>
          <w:tab w:leader="none" w:pos="8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Policy, the following terms shall have the meanings set forth below.</w:t>
      </w:r>
    </w:p>
    <w:p>
      <w:pPr>
        <w:spacing w:after="0" w:line="207" w:lineRule="exact"/>
        <w:rPr>
          <w:rFonts w:ascii="Times New Roman" w:cs="Times New Roman" w:eastAsia="Times New Roman" w:hAnsi="Times New Roman"/>
          <w:sz w:val="18"/>
          <w:szCs w:val="18"/>
          <w:color w:val="auto"/>
        </w:rPr>
      </w:pPr>
    </w:p>
    <w:p>
      <w:pPr>
        <w:ind w:left="1180" w:hanging="323"/>
        <w:spacing w:after="0"/>
        <w:tabs>
          <w:tab w:leader="none" w:pos="11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Nomination and Corporate Governance Committee of the Board.</w:t>
      </w:r>
    </w:p>
    <w:p>
      <w:pPr>
        <w:spacing w:after="0" w:line="225" w:lineRule="exact"/>
        <w:rPr>
          <w:rFonts w:ascii="Times New Roman" w:cs="Times New Roman" w:eastAsia="Times New Roman" w:hAnsi="Times New Roman"/>
          <w:sz w:val="18"/>
          <w:szCs w:val="18"/>
          <w:color w:val="auto"/>
        </w:rPr>
      </w:pPr>
    </w:p>
    <w:p>
      <w:pPr>
        <w:ind w:left="200" w:right="979" w:firstLine="657"/>
        <w:spacing w:after="0" w:line="286" w:lineRule="auto"/>
        <w:tabs>
          <w:tab w:leader="none" w:pos="1172"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Compensation</w:t>
      </w:r>
      <w:r>
        <w:rPr>
          <w:rFonts w:ascii="Times New Roman" w:cs="Times New Roman" w:eastAsia="Times New Roman" w:hAnsi="Times New Roman"/>
          <w:sz w:val="18"/>
          <w:szCs w:val="18"/>
          <w:color w:val="auto"/>
        </w:rPr>
        <w:t xml:space="preserve">” means any Incentive-based Compensation “received” by a Covered Executive during the applicable Recoupment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58" w:lineRule="exact"/>
        <w:rPr>
          <w:rFonts w:ascii="Times New Roman" w:cs="Times New Roman" w:eastAsia="Times New Roman" w:hAnsi="Times New Roman"/>
          <w:sz w:val="18"/>
          <w:szCs w:val="18"/>
          <w:color w:val="auto"/>
        </w:rPr>
      </w:pPr>
    </w:p>
    <w:p>
      <w:pPr>
        <w:jc w:val="both"/>
        <w:ind w:left="1500" w:right="519" w:hanging="319"/>
        <w:spacing w:after="0" w:line="255" w:lineRule="auto"/>
        <w:tabs>
          <w:tab w:leader="none" w:pos="1500"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w:t>
      </w:r>
    </w:p>
    <w:p>
      <w:pPr>
        <w:spacing w:after="0" w:line="173" w:lineRule="exact"/>
        <w:rPr>
          <w:rFonts w:ascii="Times New Roman" w:cs="Times New Roman" w:eastAsia="Times New Roman" w:hAnsi="Times New Roman"/>
          <w:sz w:val="18"/>
          <w:szCs w:val="18"/>
          <w:color w:val="auto"/>
        </w:rPr>
      </w:pPr>
    </w:p>
    <w:p>
      <w:pPr>
        <w:ind w:left="1500" w:right="439" w:hanging="319"/>
        <w:spacing w:after="0" w:line="282" w:lineRule="auto"/>
        <w:tabs>
          <w:tab w:leader="none" w:pos="1500"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Covered Executive served as an Executive Officer at any time during the performance period applicable to such Incentive-based Compensation.</w:t>
      </w:r>
    </w:p>
    <w:p>
      <w:pPr>
        <w:spacing w:after="0" w:line="158" w:lineRule="exact"/>
        <w:rPr>
          <w:sz w:val="20"/>
          <w:szCs w:val="20"/>
          <w:color w:val="auto"/>
        </w:rPr>
      </w:pPr>
    </w:p>
    <w:p>
      <w:pPr>
        <w:ind w:left="200" w:right="219"/>
        <w:spacing w:after="0" w:line="268" w:lineRule="auto"/>
        <w:rPr>
          <w:sz w:val="20"/>
          <w:szCs w:val="20"/>
          <w:color w:val="auto"/>
        </w:rPr>
      </w:pPr>
      <w:r>
        <w:rPr>
          <w:rFonts w:ascii="Times New Roman" w:cs="Times New Roman" w:eastAsia="Times New Roman" w:hAnsi="Times New Roman"/>
          <w:sz w:val="18"/>
          <w:szCs w:val="18"/>
          <w:color w:val="auto"/>
        </w:rPr>
        <w:t>For purposes of this Policy, Incentive-based Compensation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171" w:lineRule="exact"/>
        <w:rPr>
          <w:sz w:val="20"/>
          <w:szCs w:val="20"/>
          <w:color w:val="auto"/>
        </w:rPr>
      </w:pPr>
    </w:p>
    <w:p>
      <w:pPr>
        <w:ind w:left="200" w:right="379" w:firstLine="657"/>
        <w:spacing w:after="0" w:line="260" w:lineRule="auto"/>
        <w:tabs>
          <w:tab w:leader="none" w:pos="117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means any (i) current or former Executive Officer and (ii) any other employee of the Company and its subsidiaries designated by the Committee as subject to this Policy from time to time, including any member of the Company’s Executive Management team who is not an Executive Officer.</w:t>
      </w:r>
    </w:p>
    <w:p>
      <w:pPr>
        <w:spacing w:after="0" w:line="177" w:lineRule="exact"/>
        <w:rPr>
          <w:rFonts w:ascii="Times New Roman" w:cs="Times New Roman" w:eastAsia="Times New Roman" w:hAnsi="Times New Roman"/>
          <w:sz w:val="18"/>
          <w:szCs w:val="18"/>
          <w:color w:val="auto"/>
        </w:rPr>
      </w:pPr>
    </w:p>
    <w:p>
      <w:pPr>
        <w:ind w:left="1180" w:hanging="323"/>
        <w:spacing w:after="0"/>
        <w:tabs>
          <w:tab w:leader="none" w:pos="11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the Listing Rule becomes effective.</w:t>
      </w:r>
    </w:p>
    <w:p>
      <w:pPr>
        <w:spacing w:after="0" w:line="225" w:lineRule="exact"/>
        <w:rPr>
          <w:rFonts w:ascii="Times New Roman" w:cs="Times New Roman" w:eastAsia="Times New Roman" w:hAnsi="Times New Roman"/>
          <w:sz w:val="18"/>
          <w:szCs w:val="18"/>
          <w:color w:val="auto"/>
        </w:rPr>
      </w:pPr>
    </w:p>
    <w:p>
      <w:pPr>
        <w:ind w:left="1180" w:hanging="323"/>
        <w:spacing w:after="0"/>
        <w:tabs>
          <w:tab w:leader="none" w:pos="11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left="200" w:right="239" w:firstLine="657"/>
        <w:spacing w:after="0" w:line="251" w:lineRule="auto"/>
        <w:tabs>
          <w:tab w:leader="none" w:pos="117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with respect to the Company, (i) its chief executive officer,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662940</wp:posOffset>
            </wp:positionV>
            <wp:extent cx="545211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90" w:right="1440" w:bottom="1440" w:gutter="0" w:footer="0" w:header="0"/>
        </w:sectPr>
      </w:pPr>
    </w:p>
    <w:bookmarkStart w:id="264" w:name="page265"/>
    <w:bookmarkEnd w:id="264"/>
    <w:p>
      <w:pPr>
        <w:ind w:left="200" w:right="339" w:firstLine="657"/>
        <w:spacing w:after="0" w:line="257" w:lineRule="auto"/>
        <w:tabs>
          <w:tab w:leader="none" w:pos="117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spacing w:after="0" w:line="168" w:lineRule="exact"/>
        <w:rPr>
          <w:rFonts w:ascii="Times New Roman" w:cs="Times New Roman" w:eastAsia="Times New Roman" w:hAnsi="Times New Roman"/>
          <w:sz w:val="18"/>
          <w:szCs w:val="18"/>
          <w:color w:val="auto"/>
        </w:rPr>
      </w:pPr>
    </w:p>
    <w:p>
      <w:pPr>
        <w:ind w:left="200" w:right="299" w:firstLine="657"/>
        <w:spacing w:after="0" w:line="268" w:lineRule="auto"/>
        <w:tabs>
          <w:tab w:leader="none" w:pos="117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Restatement</w:t>
      </w:r>
      <w:r>
        <w:rPr>
          <w:rFonts w:ascii="Times New Roman" w:cs="Times New Roman" w:eastAsia="Times New Roman" w:hAnsi="Times New Roman"/>
          <w:sz w:val="18"/>
          <w:szCs w:val="18"/>
          <w:color w:val="auto"/>
        </w:rPr>
        <w:t>” means a restatement of the Company’s financial statements due to the Company’s material noncompliance with any financial reporting requirement under U.S. federal securities laws that is required in order to correct:</w:t>
      </w:r>
    </w:p>
    <w:p>
      <w:pPr>
        <w:spacing w:after="0" w:line="174" w:lineRule="exact"/>
        <w:rPr>
          <w:rFonts w:ascii="Times New Roman" w:cs="Times New Roman" w:eastAsia="Times New Roman" w:hAnsi="Times New Roman"/>
          <w:sz w:val="18"/>
          <w:szCs w:val="18"/>
          <w:color w:val="auto"/>
        </w:rPr>
      </w:pPr>
    </w:p>
    <w:p>
      <w:pPr>
        <w:ind w:left="1500" w:right="439" w:hanging="319"/>
        <w:spacing w:after="0" w:line="282" w:lineRule="auto"/>
        <w:tabs>
          <w:tab w:leader="none" w:pos="15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in previously issued financial statements that is material to the previously issued financial statements; or</w:t>
      </w:r>
    </w:p>
    <w:p>
      <w:pPr>
        <w:spacing w:after="0" w:line="161" w:lineRule="exact"/>
        <w:rPr>
          <w:rFonts w:ascii="Times New Roman" w:cs="Times New Roman" w:eastAsia="Times New Roman" w:hAnsi="Times New Roman"/>
          <w:sz w:val="18"/>
          <w:szCs w:val="18"/>
          <w:color w:val="auto"/>
        </w:rPr>
      </w:pPr>
    </w:p>
    <w:p>
      <w:pPr>
        <w:ind w:left="1500" w:right="539" w:hanging="319"/>
        <w:spacing w:after="0" w:line="266" w:lineRule="auto"/>
        <w:tabs>
          <w:tab w:leader="none" w:pos="15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that would result in a material misstatement if the error were (A) corrected in the current period or (B) left uncorrected in the current period.</w:t>
      </w:r>
    </w:p>
    <w:p>
      <w:pPr>
        <w:spacing w:after="0" w:line="176" w:lineRule="exact"/>
        <w:rPr>
          <w:sz w:val="20"/>
          <w:szCs w:val="20"/>
          <w:color w:val="auto"/>
        </w:rPr>
      </w:pPr>
    </w:p>
    <w:p>
      <w:pPr>
        <w:ind w:left="200" w:right="239"/>
        <w:spacing w:after="0" w:line="252" w:lineRule="auto"/>
        <w:rPr>
          <w:sz w:val="20"/>
          <w:szCs w:val="20"/>
          <w:color w:val="auto"/>
        </w:rPr>
      </w:pPr>
      <w:r>
        <w:rPr>
          <w:rFonts w:ascii="Times New Roman" w:cs="Times New Roman" w:eastAsia="Times New Roman" w:hAnsi="Times New Roman"/>
          <w:sz w:val="18"/>
          <w:szCs w:val="18"/>
          <w:color w:val="auto"/>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(5) revision for stock splits, reverse stock splits, stock dividends, or other changes in capital structure; or (6) adjustment to provisional amounts in connection with a prior business combination.</w:t>
      </w:r>
    </w:p>
    <w:p>
      <w:pPr>
        <w:spacing w:after="0" w:line="188" w:lineRule="exact"/>
        <w:rPr>
          <w:sz w:val="20"/>
          <w:szCs w:val="20"/>
          <w:color w:val="auto"/>
        </w:rPr>
      </w:pPr>
    </w:p>
    <w:p>
      <w:pPr>
        <w:ind w:left="200" w:right="259" w:firstLine="657"/>
        <w:spacing w:after="0" w:line="253" w:lineRule="auto"/>
        <w:tabs>
          <w:tab w:leader="none" w:pos="117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87" w:lineRule="exact"/>
        <w:rPr>
          <w:rFonts w:ascii="Times New Roman" w:cs="Times New Roman" w:eastAsia="Times New Roman" w:hAnsi="Times New Roman"/>
          <w:sz w:val="18"/>
          <w:szCs w:val="18"/>
          <w:color w:val="auto"/>
        </w:rPr>
      </w:pPr>
    </w:p>
    <w:p>
      <w:pPr>
        <w:ind w:left="1180" w:hanging="323"/>
        <w:spacing w:after="0"/>
        <w:tabs>
          <w:tab w:leader="none" w:pos="11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 or any successor thereof.</w:t>
      </w:r>
    </w:p>
    <w:p>
      <w:pPr>
        <w:spacing w:after="0" w:line="225" w:lineRule="exact"/>
        <w:rPr>
          <w:rFonts w:ascii="Times New Roman" w:cs="Times New Roman" w:eastAsia="Times New Roman" w:hAnsi="Times New Roman"/>
          <w:sz w:val="18"/>
          <w:szCs w:val="18"/>
          <w:color w:val="auto"/>
        </w:rPr>
      </w:pPr>
    </w:p>
    <w:p>
      <w:pPr>
        <w:ind w:left="200" w:right="219" w:firstLine="657"/>
        <w:spacing w:after="0" w:line="254" w:lineRule="auto"/>
        <w:tabs>
          <w:tab w:leader="none" w:pos="117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Recoupment Period</w:t>
      </w:r>
      <w:r>
        <w:rPr>
          <w:rFonts w:ascii="Times New Roman" w:cs="Times New Roman" w:eastAsia="Times New Roman" w:hAnsi="Times New Roman"/>
          <w:sz w:val="18"/>
          <w:szCs w:val="18"/>
          <w:color w:val="auto"/>
        </w:rPr>
        <w:t>”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184" w:lineRule="exact"/>
        <w:rPr>
          <w:rFonts w:ascii="Times New Roman" w:cs="Times New Roman" w:eastAsia="Times New Roman" w:hAnsi="Times New Roman"/>
          <w:sz w:val="18"/>
          <w:szCs w:val="18"/>
          <w:color w:val="auto"/>
        </w:rPr>
      </w:pPr>
    </w:p>
    <w:p>
      <w:pPr>
        <w:jc w:val="both"/>
        <w:ind w:left="200" w:right="379" w:firstLine="657"/>
        <w:spacing w:after="0" w:line="257" w:lineRule="auto"/>
        <w:tabs>
          <w:tab w:leader="none" w:pos="117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Recoupment Trigger Date</w:t>
      </w:r>
      <w:r>
        <w:rPr>
          <w:rFonts w:ascii="Times New Roman" w:cs="Times New Roman" w:eastAsia="Times New Roman" w:hAnsi="Times New Roman"/>
          <w:sz w:val="18"/>
          <w:szCs w:val="18"/>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184" w:lineRule="exact"/>
        <w:rPr>
          <w:sz w:val="20"/>
          <w:szCs w:val="20"/>
          <w:color w:val="auto"/>
        </w:rPr>
      </w:pPr>
    </w:p>
    <w:p>
      <w:pPr>
        <w:ind w:left="1180" w:hanging="323"/>
        <w:spacing w:after="0"/>
        <w:tabs>
          <w:tab w:leader="none" w:pos="11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of Erroneously Awarded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419" w:firstLine="657"/>
        <w:spacing w:after="0" w:line="254" w:lineRule="auto"/>
        <w:tabs>
          <w:tab w:leader="none" w:pos="117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Financial Restatement, if the amount of any Covered Compensation received by a Covered Executive (the “</w:t>
      </w:r>
      <w:r>
        <w:rPr>
          <w:rFonts w:ascii="Times New Roman" w:cs="Times New Roman" w:eastAsia="Times New Roman" w:hAnsi="Times New Roman"/>
          <w:sz w:val="18"/>
          <w:szCs w:val="18"/>
          <w:b w:val="1"/>
          <w:bCs w:val="1"/>
          <w:color w:val="auto"/>
        </w:rPr>
        <w:t>Awarded Compensation</w:t>
      </w:r>
      <w:r>
        <w:rPr>
          <w:rFonts w:ascii="Times New Roman" w:cs="Times New Roman" w:eastAsia="Times New Roman" w:hAnsi="Times New Roman"/>
          <w:sz w:val="18"/>
          <w:szCs w:val="18"/>
          <w:color w:val="auto"/>
        </w:rPr>
        <w:t>”) exceeds the amount of such Covered Compensation that would have otherwise been received by such Covered Executive if calculated based on the Financial Restatement (the “</w:t>
      </w:r>
      <w:r>
        <w:rPr>
          <w:rFonts w:ascii="Times New Roman" w:cs="Times New Roman" w:eastAsia="Times New Roman" w:hAnsi="Times New Roman"/>
          <w:sz w:val="18"/>
          <w:szCs w:val="18"/>
          <w:b w:val="1"/>
          <w:bCs w:val="1"/>
          <w:color w:val="auto"/>
        </w:rPr>
        <w:t>Adjusted Compensation</w:t>
      </w:r>
      <w:r>
        <w:rPr>
          <w:rFonts w:ascii="Times New Roman" w:cs="Times New Roman" w:eastAsia="Times New Roman" w:hAnsi="Times New Roman"/>
          <w:sz w:val="18"/>
          <w:szCs w:val="18"/>
          <w:color w:val="auto"/>
        </w:rPr>
        <w:t>”), the Company shall reasonably promptly recover from such Covered Executive an amount equal to the excess of the Awarded Compensation over the Adjusted Compensation, each calculated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525145</wp:posOffset>
            </wp:positionV>
            <wp:extent cx="545211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265" w:name="page266"/>
    <w:bookmarkEnd w:id="265"/>
    <w:p>
      <w:pPr>
        <w:ind w:left="200"/>
        <w:spacing w:after="0"/>
        <w:rPr>
          <w:sz w:val="20"/>
          <w:szCs w:val="20"/>
          <w:color w:val="auto"/>
        </w:rPr>
      </w:pPr>
      <w:r>
        <w:rPr>
          <w:rFonts w:ascii="Times New Roman" w:cs="Times New Roman" w:eastAsia="Times New Roman" w:hAnsi="Times New Roman"/>
          <w:sz w:val="18"/>
          <w:szCs w:val="18"/>
          <w:color w:val="auto"/>
        </w:rPr>
        <w:t>pre-tax basis (such excess amount, the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0" w:right="279" w:firstLine="657"/>
        <w:spacing w:after="0" w:line="253" w:lineRule="auto"/>
        <w:tabs>
          <w:tab w:leader="none" w:pos="117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spacing w:after="0" w:line="187" w:lineRule="exact"/>
        <w:rPr>
          <w:rFonts w:ascii="Times New Roman" w:cs="Times New Roman" w:eastAsia="Times New Roman" w:hAnsi="Times New Roman"/>
          <w:sz w:val="18"/>
          <w:szCs w:val="18"/>
          <w:color w:val="auto"/>
        </w:rPr>
      </w:pPr>
    </w:p>
    <w:p>
      <w:pPr>
        <w:ind w:left="200" w:right="319" w:firstLine="657"/>
        <w:spacing w:after="0" w:line="266" w:lineRule="auto"/>
        <w:tabs>
          <w:tab w:leader="none" w:pos="117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Company’s obligation to recover Erroneously Awarded Compensation is not dependent on (i) if restated financial statements are filed or when the Financial Restatements are filed or (ii) any fault of any Covered Executive for the accounting errors or other actions leading to a Financial Restatement.</w:t>
      </w:r>
    </w:p>
    <w:p>
      <w:pPr>
        <w:spacing w:after="0" w:line="162" w:lineRule="exact"/>
        <w:rPr>
          <w:rFonts w:ascii="Times New Roman" w:cs="Times New Roman" w:eastAsia="Times New Roman" w:hAnsi="Times New Roman"/>
          <w:sz w:val="18"/>
          <w:szCs w:val="18"/>
          <w:color w:val="auto"/>
        </w:rPr>
      </w:pPr>
    </w:p>
    <w:p>
      <w:pPr>
        <w:ind w:left="200" w:right="419" w:firstLine="657"/>
        <w:spacing w:after="0" w:line="261" w:lineRule="auto"/>
        <w:tabs>
          <w:tab w:leader="none" w:pos="117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Sections 2(a)</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through (c)‎ hereof, the Company shall not be required to recover any Erroneously Awarded Compensation if both (x) the conditions set forth in either of the following clauses (i), (ii) or (iii) are satisfied and (y) the Committee has determined that recovery of the Erroneously Awarded Compensation would be impracticable:</w:t>
      </w:r>
    </w:p>
    <w:p>
      <w:pPr>
        <w:spacing w:after="0" w:line="179" w:lineRule="exact"/>
        <w:rPr>
          <w:rFonts w:ascii="Times New Roman" w:cs="Times New Roman" w:eastAsia="Times New Roman" w:hAnsi="Times New Roman"/>
          <w:sz w:val="18"/>
          <w:szCs w:val="18"/>
          <w:color w:val="auto"/>
        </w:rPr>
      </w:pPr>
    </w:p>
    <w:p>
      <w:pPr>
        <w:ind w:left="860" w:right="239" w:firstLine="969"/>
        <w:spacing w:after="0" w:line="253" w:lineRule="auto"/>
        <w:tabs>
          <w:tab w:leader="none" w:pos="215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Nasdaq;</w:t>
      </w:r>
    </w:p>
    <w:p>
      <w:pPr>
        <w:spacing w:after="0" w:line="189" w:lineRule="exact"/>
        <w:rPr>
          <w:rFonts w:ascii="Times New Roman" w:cs="Times New Roman" w:eastAsia="Times New Roman" w:hAnsi="Times New Roman"/>
          <w:sz w:val="18"/>
          <w:szCs w:val="18"/>
          <w:color w:val="auto"/>
        </w:rPr>
      </w:pPr>
    </w:p>
    <w:p>
      <w:pPr>
        <w:ind w:left="860" w:right="339" w:firstLine="969"/>
        <w:spacing w:after="0" w:line="253" w:lineRule="auto"/>
        <w:tabs>
          <w:tab w:leader="none" w:pos="215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the Erroneously Awarded Compensation would violate (i) Swiss law to the extent such law was adopted prior to November 28, 2022 or (ii) statutory Swiss law adopted after November 28, 2022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before concluding that it would be impracticable to recover any amount of Erroneously Awarded Compensation pursuant to this Section 2(d)),</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the Company shall have first obtained a legal opinion of a Swiss-qualified attorney, that is acceptable to the Nasdaq, that recovery would result in such a violation, and the Company must provide such opinion to the Nasdaq, or</w:t>
      </w:r>
    </w:p>
    <w:p>
      <w:pPr>
        <w:spacing w:after="0" w:line="189" w:lineRule="exact"/>
        <w:rPr>
          <w:rFonts w:ascii="Times New Roman" w:cs="Times New Roman" w:eastAsia="Times New Roman" w:hAnsi="Times New Roman"/>
          <w:sz w:val="18"/>
          <w:szCs w:val="18"/>
          <w:color w:val="auto"/>
        </w:rPr>
      </w:pPr>
    </w:p>
    <w:p>
      <w:pPr>
        <w:ind w:left="860" w:right="339" w:firstLine="969"/>
        <w:spacing w:after="0" w:line="255" w:lineRule="auto"/>
        <w:tabs>
          <w:tab w:leader="none" w:pos="215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200" w:right="299" w:firstLine="657"/>
        <w:spacing w:after="0" w:line="266" w:lineRule="auto"/>
        <w:tabs>
          <w:tab w:leader="none" w:pos="117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62" w:lineRule="exact"/>
        <w:rPr>
          <w:rFonts w:ascii="Times New Roman" w:cs="Times New Roman" w:eastAsia="Times New Roman" w:hAnsi="Times New Roman"/>
          <w:sz w:val="18"/>
          <w:szCs w:val="18"/>
          <w:color w:val="auto"/>
        </w:rPr>
      </w:pPr>
    </w:p>
    <w:p>
      <w:pPr>
        <w:ind w:left="200" w:right="259" w:firstLine="657"/>
        <w:spacing w:after="0" w:line="251" w:lineRule="auto"/>
        <w:tabs>
          <w:tab w:leader="none" w:pos="117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necessary to avoid any adverse tax consequences to the Covered Executive, including, to the extent applicable, pursuant to Section 409A of the Code, any offsets against amounts under any nonqualified deferred compensation plans (as defined under Section 409A of the Code) shall be made in compliance with Section 409A of the Code or such other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659765</wp:posOffset>
            </wp:positionV>
            <wp:extent cx="545211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266" w:name="page267"/>
    <w:bookmarkEnd w:id="266"/>
    <w:p>
      <w:pPr>
        <w:ind w:left="200" w:right="239" w:firstLine="414"/>
        <w:spacing w:after="0" w:line="258" w:lineRule="auto"/>
        <w:tabs>
          <w:tab w:leader="none" w:pos="92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This Policy shall be administered by the Committee. All decisions of the Committee shall be final, conclusive and binding upon the Company and the Covered Executives.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if applicable, Article 64 and 678 of the Swiss Code of Obligations and Section 10D of the Exchange Act) and applicable stock market or exchange rules and regulations. Notwithstanding anything to the contrary contained herein, to the extent permitted by Section 10D of the Exchange Act and the Listing Rule, the Board may, in its sole discretion, at any time and from time to time, administer this Policy in the same manner as the Committee.</w:t>
      </w:r>
    </w:p>
    <w:p>
      <w:pPr>
        <w:spacing w:after="0" w:line="184" w:lineRule="exact"/>
        <w:rPr>
          <w:rFonts w:ascii="Times New Roman" w:cs="Times New Roman" w:eastAsia="Times New Roman" w:hAnsi="Times New Roman"/>
          <w:sz w:val="18"/>
          <w:szCs w:val="18"/>
          <w:color w:val="auto"/>
        </w:rPr>
      </w:pPr>
    </w:p>
    <w:p>
      <w:pPr>
        <w:ind w:left="200" w:right="219" w:firstLine="414"/>
        <w:spacing w:after="0" w:line="252" w:lineRule="auto"/>
        <w:tabs>
          <w:tab w:leader="none" w:pos="92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Amendment/Termination</w:t>
      </w:r>
      <w:r>
        <w:rPr>
          <w:rFonts w:ascii="Times New Roman" w:cs="Times New Roman" w:eastAsia="Times New Roman" w:hAnsi="Times New Roman"/>
          <w:sz w:val="18"/>
          <w:szCs w:val="18"/>
          <w:color w:val="auto"/>
        </w:rPr>
        <w:t>. Subject to the Articles of Associations and the Organizational Rules of the Company and Section 10D of the Exchange Act and the Listing Rule, this Policy may be amended or terminated by the Board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191" w:lineRule="exact"/>
        <w:rPr>
          <w:rFonts w:ascii="Times New Roman" w:cs="Times New Roman" w:eastAsia="Times New Roman" w:hAnsi="Times New Roman"/>
          <w:sz w:val="18"/>
          <w:szCs w:val="18"/>
          <w:color w:val="auto"/>
        </w:rPr>
      </w:pPr>
    </w:p>
    <w:p>
      <w:pPr>
        <w:ind w:left="200" w:right="219" w:firstLine="414"/>
        <w:spacing w:after="0" w:line="252" w:lineRule="auto"/>
        <w:tabs>
          <w:tab w:leader="none" w:pos="92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Clawback/Recoupment Rights</w:t>
      </w:r>
      <w:r>
        <w:rPr>
          <w:rFonts w:ascii="Times New Roman" w:cs="Times New Roman" w:eastAsia="Times New Roman" w:hAnsi="Times New Roman"/>
          <w:sz w:val="18"/>
          <w:szCs w:val="18"/>
          <w:color w:val="auto"/>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amounts recouped or clawed back under any other policy that would be recoupable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Policy shall count toward any required clawback or recoupment under this Policy and vice versa.</w:t>
      </w:r>
    </w:p>
    <w:p>
      <w:pPr>
        <w:spacing w:after="0" w:line="178" w:lineRule="exact"/>
        <w:rPr>
          <w:rFonts w:ascii="Times New Roman" w:cs="Times New Roman" w:eastAsia="Times New Roman" w:hAnsi="Times New Roman"/>
          <w:sz w:val="18"/>
          <w:szCs w:val="18"/>
          <w:color w:val="auto"/>
        </w:rPr>
      </w:pPr>
    </w:p>
    <w:p>
      <w:pPr>
        <w:ind w:left="200" w:right="279" w:firstLine="414"/>
        <w:spacing w:after="0" w:line="255" w:lineRule="auto"/>
        <w:tabs>
          <w:tab w:leader="none" w:pos="92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 Compensation</w:t>
      </w:r>
      <w:r>
        <w:rPr>
          <w:rFonts w:ascii="Times New Roman" w:cs="Times New Roman" w:eastAsia="Times New Roman" w:hAnsi="Times New Roman"/>
          <w:sz w:val="18"/>
          <w:szCs w:val="18"/>
          <w:color w:val="auto"/>
        </w:rPr>
        <w:t xml:space="preserve">. Notwithstanding anything to the contrary herein, the Company has no obligation under this Policy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amounts are in no way contingent on, and were not in any way granted on the basis of, the achievement of any Financial Reporting Measure performance goal.</w:t>
      </w:r>
    </w:p>
    <w:p>
      <w:pPr>
        <w:spacing w:after="0" w:line="175" w:lineRule="exact"/>
        <w:rPr>
          <w:rFonts w:ascii="Times New Roman" w:cs="Times New Roman" w:eastAsia="Times New Roman" w:hAnsi="Times New Roman"/>
          <w:sz w:val="18"/>
          <w:szCs w:val="18"/>
          <w:color w:val="auto"/>
        </w:rPr>
      </w:pPr>
    </w:p>
    <w:p>
      <w:pPr>
        <w:ind w:left="940" w:hanging="326"/>
        <w:spacing w:after="0"/>
        <w:tabs>
          <w:tab w:leader="none" w:pos="9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 w:right="419" w:firstLine="738"/>
        <w:spacing w:after="0" w:line="253" w:lineRule="auto"/>
        <w:tabs>
          <w:tab w:leader="none" w:pos="125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w:t>
      </w:r>
    </w:p>
    <w:p>
      <w:pPr>
        <w:spacing w:after="0" w:line="189" w:lineRule="exact"/>
        <w:rPr>
          <w:rFonts w:ascii="Times New Roman" w:cs="Times New Roman" w:eastAsia="Times New Roman" w:hAnsi="Times New Roman"/>
          <w:sz w:val="18"/>
          <w:szCs w:val="18"/>
          <w:color w:val="auto"/>
        </w:rPr>
      </w:pPr>
    </w:p>
    <w:p>
      <w:pPr>
        <w:ind w:left="200" w:right="219" w:firstLine="738"/>
        <w:spacing w:after="0" w:line="253" w:lineRule="auto"/>
        <w:tabs>
          <w:tab w:leader="none" w:pos="125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this Policy is intended to comply with the requirements of Article 64 and 678 of the Swiss Code of Obligations, as applicable, and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187" w:lineRule="exact"/>
        <w:rPr>
          <w:rFonts w:ascii="Times New Roman" w:cs="Times New Roman" w:eastAsia="Times New Roman" w:hAnsi="Times New Roman"/>
          <w:sz w:val="18"/>
          <w:szCs w:val="18"/>
          <w:color w:val="auto"/>
        </w:rPr>
      </w:pPr>
    </w:p>
    <w:p>
      <w:pPr>
        <w:ind w:left="1260" w:hanging="322"/>
        <w:spacing w:after="0"/>
        <w:tabs>
          <w:tab w:leader="none" w:pos="12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shall be binding and enforceable against all Covered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685800</wp:posOffset>
            </wp:positionV>
            <wp:extent cx="545211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34" w:right="1440" w:bottom="1440" w:gutter="0" w:footer="0" w:header="0"/>
        </w:sectPr>
      </w:pPr>
    </w:p>
    <w:bookmarkStart w:id="267" w:name="page268"/>
    <w:bookmarkEnd w:id="267"/>
    <w:p>
      <w:pPr>
        <w:ind w:left="200" w:right="399" w:firstLine="738"/>
        <w:spacing w:after="0" w:line="258" w:lineRule="auto"/>
        <w:tabs>
          <w:tab w:leader="none" w:pos="125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Switzerland, without giving effect to any choice of law or conflict of law rules or provisions that would cause the application of the laws of any other jurisdiction.</w:t>
      </w:r>
    </w:p>
    <w:p>
      <w:pPr>
        <w:spacing w:after="0" w:line="169" w:lineRule="exact"/>
        <w:rPr>
          <w:rFonts w:ascii="Times New Roman" w:cs="Times New Roman" w:eastAsia="Times New Roman" w:hAnsi="Times New Roman"/>
          <w:sz w:val="18"/>
          <w:szCs w:val="18"/>
          <w:color w:val="auto"/>
        </w:rPr>
      </w:pPr>
    </w:p>
    <w:p>
      <w:pPr>
        <w:ind w:left="1260" w:hanging="322"/>
        <w:spacing w:after="0"/>
        <w:tabs>
          <w:tab w:leader="none" w:pos="12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Policy is determined to be unenforceable or invalid under any applicable law,</w:t>
      </w:r>
    </w:p>
    <w:p>
      <w:pPr>
        <w:spacing w:after="0" w:line="50"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517525</wp:posOffset>
            </wp:positionV>
            <wp:extent cx="545211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lvl w:ilvl="1">
      <w:lvlJc w:val="left"/>
      <w:lvlText w:val="☐"/>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
      <w:numFmt w:val="bullet"/>
      <w:start w:val="1"/>
    </w:lvl>
  </w:abstractNum>
  <w:abstractNum w:abstractNumId="4">
    <w:nsid w:val="76272110"/>
    <w:multiLevelType w:val="hybridMultilevel"/>
    <w:lvl w:ilvl="0">
      <w:lvlJc w:val="left"/>
      <w:lvlText w:val="☒"/>
      <w:numFmt w:val="bullet"/>
      <w:start w:val="1"/>
    </w:lvl>
  </w:abstractNum>
  <w:abstractNum w:abstractNumId="5">
    <w:nsid w:val="4C04A8AF"/>
    <w:multiLevelType w:val="hybridMultilevel"/>
    <w:lvl w:ilvl="0">
      <w:lvlJc w:val="left"/>
      <w:lvlText w:val="☒"/>
      <w:numFmt w:val="bullet"/>
      <w:start w:val="1"/>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1."/>
      <w:numFmt w:val="upperLetter"/>
      <w:start w:val="1"/>
    </w:lvl>
  </w:abstractNum>
  <w:abstractNum w:abstractNumId="12">
    <w:nsid w:val="46B7D447"/>
    <w:multiLevelType w:val="hybridMultilevel"/>
    <w:lvl w:ilvl="0">
      <w:lvlJc w:val="left"/>
      <w:lvlText w:val="%1."/>
      <w:numFmt w:val="upperLetter"/>
      <w:start w:val="1"/>
    </w:lvl>
  </w:abstractNum>
  <w:abstractNum w:abstractNumId="13">
    <w:nsid w:val="4A2AC315"/>
    <w:multiLevelType w:val="hybridMultilevel"/>
    <w:lvl w:ilvl="0">
      <w:lvlJc w:val="left"/>
      <w:lvlText w:val="%1."/>
      <w:numFmt w:val="upperLetter"/>
      <w:start w:val="1"/>
    </w:lvl>
  </w:abstractNum>
  <w:abstractNum w:abstractNumId="14">
    <w:nsid w:val="39EE015C"/>
    <w:multiLevelType w:val="hybridMultilevel"/>
    <w:lvl w:ilvl="0">
      <w:lvlJc w:val="left"/>
      <w:lvlText w:val="●"/>
      <w:numFmt w:val="bullet"/>
      <w:start w:val="1"/>
    </w:lvl>
  </w:abstractNum>
  <w:abstractNum w:abstractNumId="15">
    <w:nsid w:val="57FC4FBB"/>
    <w:multiLevelType w:val="hybridMultilevel"/>
    <w:lvl w:ilvl="0">
      <w:lvlJc w:val="left"/>
      <w:lvlText w:val="●"/>
      <w:numFmt w:val="bullet"/>
      <w:start w:val="1"/>
    </w:lvl>
    <w:lvl w:ilvl="1">
      <w:lvlJc w:val="left"/>
      <w:lvlText w:val="%2."/>
      <w:numFmt w:val="lowerLetter"/>
      <w:start w:val="1"/>
    </w:lvl>
  </w:abstractNum>
  <w:abstractNum w:abstractNumId="16">
    <w:nsid w:val="CC1016F"/>
    <w:multiLevelType w:val="hybridMultilevel"/>
    <w:lvl w:ilvl="0">
      <w:lvlJc w:val="left"/>
      <w:lvlText w:val="●"/>
      <w:numFmt w:val="bullet"/>
      <w:start w:val="1"/>
    </w:lvl>
  </w:abstractNum>
  <w:abstractNum w:abstractNumId="17">
    <w:nsid w:val="43F18422"/>
    <w:multiLevelType w:val="hybridMultilevel"/>
    <w:lvl w:ilvl="0">
      <w:lvlJc w:val="left"/>
      <w:lvlText w:val="●"/>
      <w:numFmt w:val="bullet"/>
      <w:start w:val="1"/>
    </w:lvl>
  </w:abstractNum>
  <w:abstractNum w:abstractNumId="18">
    <w:nsid w:val="60EF0119"/>
    <w:multiLevelType w:val="hybridMultilevel"/>
    <w:lvl w:ilvl="0">
      <w:lvlJc w:val="left"/>
      <w:lvlText w:val="●"/>
      <w:numFmt w:val="bullet"/>
      <w:start w:val="1"/>
    </w:lvl>
  </w:abstractNum>
  <w:abstractNum w:abstractNumId="19">
    <w:nsid w:val="26F324BA"/>
    <w:multiLevelType w:val="hybridMultilevel"/>
    <w:lvl w:ilvl="0">
      <w:lvlJc w:val="left"/>
      <w:lvlText w:val="●"/>
      <w:numFmt w:val="bullet"/>
      <w:start w:val="1"/>
    </w:lvl>
  </w:abstractNum>
  <w:abstractNum w:abstractNumId="20">
    <w:nsid w:val="7F01579B"/>
    <w:multiLevelType w:val="hybridMultilevel"/>
    <w:lvl w:ilvl="0">
      <w:lvlJc w:val="left"/>
      <w:lvlText w:val="●"/>
      <w:numFmt w:val="bullet"/>
      <w:start w:val="1"/>
    </w:lvl>
  </w:abstractNum>
  <w:abstractNum w:abstractNumId="21">
    <w:nsid w:val="49DA307D"/>
    <w:multiLevelType w:val="hybridMultilevel"/>
    <w:lvl w:ilvl="0">
      <w:lvlJc w:val="left"/>
      <w:lvlText w:val="●"/>
      <w:numFmt w:val="bullet"/>
      <w:start w:val="1"/>
    </w:lvl>
  </w:abstractNum>
  <w:abstractNum w:abstractNumId="22">
    <w:nsid w:val="7055A5F5"/>
    <w:multiLevelType w:val="hybridMultilevel"/>
    <w:lvl w:ilvl="0">
      <w:lvlJc w:val="left"/>
      <w:lvlText w:val="●"/>
      <w:numFmt w:val="bullet"/>
      <w:start w:val="1"/>
    </w:lvl>
  </w:abstractNum>
  <w:abstractNum w:abstractNumId="23">
    <w:nsid w:val="5FB8370B"/>
    <w:multiLevelType w:val="hybridMultilevel"/>
    <w:lvl w:ilvl="0">
      <w:lvlJc w:val="left"/>
      <w:lvlText w:val="●"/>
      <w:numFmt w:val="bullet"/>
      <w:start w:val="1"/>
    </w:lvl>
  </w:abstractNum>
  <w:abstractNum w:abstractNumId="24">
    <w:nsid w:val="50801EE1"/>
    <w:multiLevelType w:val="hybridMultilevel"/>
    <w:lvl w:ilvl="0">
      <w:lvlJc w:val="left"/>
      <w:lvlText w:val="●"/>
      <w:numFmt w:val="bullet"/>
      <w:start w:val="1"/>
    </w:lvl>
  </w:abstractNum>
  <w:abstractNum w:abstractNumId="25">
    <w:nsid w:val="488AC1A"/>
    <w:multiLevelType w:val="hybridMultilevel"/>
    <w:lvl w:ilvl="0">
      <w:lvlJc w:val="left"/>
      <w:lvlText w:val="●"/>
      <w:numFmt w:val="bullet"/>
      <w:start w:val="1"/>
    </w:lvl>
  </w:abstractNum>
  <w:abstractNum w:abstractNumId="26">
    <w:nsid w:val="5FB8011C"/>
    <w:multiLevelType w:val="hybridMultilevel"/>
    <w:lvl w:ilvl="0">
      <w:lvlJc w:val="left"/>
      <w:lvlText w:val="●"/>
      <w:numFmt w:val="bullet"/>
      <w:start w:val="1"/>
    </w:lvl>
  </w:abstractNum>
  <w:abstractNum w:abstractNumId="27">
    <w:nsid w:val="6AA78F7F"/>
    <w:multiLevelType w:val="hybridMultilevel"/>
    <w:lvl w:ilvl="0">
      <w:lvlJc w:val="left"/>
      <w:lvlText w:val="(%1)"/>
      <w:numFmt w:val="lowerRoman"/>
      <w:start w:val="2"/>
    </w:lvl>
  </w:abstractNum>
  <w:abstractNum w:abstractNumId="28">
    <w:nsid w:val="7672BD23"/>
    <w:multiLevelType w:val="hybridMultilevel"/>
    <w:lvl w:ilvl="0">
      <w:lvlJc w:val="left"/>
      <w:lvlText w:val="(%1)"/>
      <w:numFmt w:val="lowerRoman"/>
      <w:start w:val="4"/>
    </w:lvl>
  </w:abstractNum>
  <w:abstractNum w:abstractNumId="29">
    <w:nsid w:val="6FC75AF8"/>
    <w:multiLevelType w:val="hybridMultilevel"/>
    <w:lvl w:ilvl="0">
      <w:lvlJc w:val="left"/>
      <w:lvlText w:val="(%1)"/>
      <w:numFmt w:val="lowerRoman"/>
      <w:start w:val="7"/>
    </w:lvl>
  </w:abstractNum>
  <w:abstractNum w:abstractNumId="30">
    <w:nsid w:val="6A5F7029"/>
    <w:multiLevelType w:val="hybridMultilevel"/>
    <w:lvl w:ilvl="0">
      <w:lvlJc w:val="left"/>
      <w:lvlText w:val="●"/>
      <w:numFmt w:val="bullet"/>
      <w:start w:val="1"/>
    </w:lvl>
  </w:abstractNum>
  <w:abstractNum w:abstractNumId="31">
    <w:nsid w:val="7D5E18F8"/>
    <w:multiLevelType w:val="hybridMultilevel"/>
    <w:lvl w:ilvl="0">
      <w:lvlJc w:val="left"/>
      <w:lvlText w:val="●"/>
      <w:numFmt w:val="bullet"/>
      <w:start w:val="1"/>
    </w:lvl>
  </w:abstractNum>
  <w:abstractNum w:abstractNumId="32">
    <w:nsid w:val="5F3534A4"/>
    <w:multiLevelType w:val="hybridMultilevel"/>
    <w:lvl w:ilvl="0">
      <w:lvlJc w:val="left"/>
      <w:lvlText w:val="●"/>
      <w:numFmt w:val="bullet"/>
      <w:start w:val="1"/>
    </w:lvl>
  </w:abstractNum>
  <w:abstractNum w:abstractNumId="33">
    <w:nsid w:val="73A1821B"/>
    <w:multiLevelType w:val="hybridMultilevel"/>
    <w:lvl w:ilvl="0">
      <w:lvlJc w:val="left"/>
      <w:lvlText w:val="●"/>
      <w:numFmt w:val="bullet"/>
      <w:start w:val="1"/>
    </w:lvl>
  </w:abstractNum>
  <w:abstractNum w:abstractNumId="34">
    <w:nsid w:val="7DE67713"/>
    <w:multiLevelType w:val="hybridMultilevel"/>
    <w:lvl w:ilvl="0">
      <w:lvlJc w:val="left"/>
      <w:lvlText w:val="●"/>
      <w:numFmt w:val="bullet"/>
      <w:start w:val="1"/>
    </w:lvl>
  </w:abstractNum>
  <w:abstractNum w:abstractNumId="35">
    <w:nsid w:val="555C55B5"/>
    <w:multiLevelType w:val="hybridMultilevel"/>
    <w:lvl w:ilvl="0">
      <w:lvlJc w:val="left"/>
      <w:lvlText w:val="●"/>
      <w:numFmt w:val="bullet"/>
      <w:start w:val="1"/>
    </w:lvl>
  </w:abstractNum>
  <w:abstractNum w:abstractNumId="36">
    <w:nsid w:val="3FA62ACA"/>
    <w:multiLevelType w:val="hybridMultilevel"/>
    <w:lvl w:ilvl="0">
      <w:lvlJc w:val="left"/>
      <w:lvlText w:val="●"/>
      <w:numFmt w:val="bullet"/>
      <w:start w:val="1"/>
    </w:lvl>
  </w:abstractNum>
  <w:abstractNum w:abstractNumId="37">
    <w:nsid w:val="14FCE74E"/>
    <w:multiLevelType w:val="hybridMultilevel"/>
    <w:lvl w:ilvl="0">
      <w:lvlJc w:val="left"/>
      <w:lvlText w:val="●"/>
      <w:numFmt w:val="bullet"/>
      <w:start w:val="1"/>
    </w:lvl>
  </w:abstractNum>
  <w:abstractNum w:abstractNumId="38">
    <w:nsid w:val="6A3DD3E8"/>
    <w:multiLevelType w:val="hybridMultilevel"/>
    <w:lvl w:ilvl="0">
      <w:lvlJc w:val="left"/>
      <w:lvlText w:val="●"/>
      <w:numFmt w:val="bullet"/>
      <w:start w:val="1"/>
    </w:lvl>
  </w:abstractNum>
  <w:abstractNum w:abstractNumId="39">
    <w:nsid w:val="71C91298"/>
    <w:multiLevelType w:val="hybridMultilevel"/>
    <w:lvl w:ilvl="0">
      <w:lvlJc w:val="left"/>
      <w:lvlText w:val="●"/>
      <w:numFmt w:val="bullet"/>
      <w:start w:val="1"/>
    </w:lvl>
  </w:abstractNum>
  <w:abstractNum w:abstractNumId="40">
    <w:nsid w:val="9DAF632"/>
    <w:multiLevelType w:val="hybridMultilevel"/>
    <w:lvl w:ilvl="0">
      <w:lvlJc w:val="left"/>
      <w:lvlText w:val="●"/>
      <w:numFmt w:val="bullet"/>
      <w:start w:val="1"/>
    </w:lvl>
  </w:abstractNum>
  <w:abstractNum w:abstractNumId="41">
    <w:nsid w:val="53299938"/>
    <w:multiLevelType w:val="hybridMultilevel"/>
    <w:lvl w:ilvl="0">
      <w:lvlJc w:val="left"/>
      <w:lvlText w:val="●"/>
      <w:numFmt w:val="bullet"/>
      <w:start w:val="1"/>
    </w:lvl>
  </w:abstractNum>
  <w:abstractNum w:abstractNumId="42">
    <w:nsid w:val="1FBFE8E0"/>
    <w:multiLevelType w:val="hybridMultilevel"/>
    <w:lvl w:ilvl="0">
      <w:lvlJc w:val="left"/>
      <w:lvlText w:val="(%1)"/>
      <w:numFmt w:val="decimal"/>
      <w:start w:val="1"/>
    </w:lvl>
  </w:abstractNum>
  <w:abstractNum w:abstractNumId="43">
    <w:nsid w:val="5092CA79"/>
    <w:multiLevelType w:val="hybridMultilevel"/>
    <w:lvl w:ilvl="0">
      <w:lvlJc w:val="left"/>
      <w:lvlText w:val="●"/>
      <w:numFmt w:val="bullet"/>
      <w:start w:val="1"/>
    </w:lvl>
  </w:abstractNum>
  <w:abstractNum w:abstractNumId="44">
    <w:nsid w:val="1D545C4D"/>
    <w:multiLevelType w:val="hybridMultilevel"/>
    <w:lvl w:ilvl="0">
      <w:lvlJc w:val="left"/>
      <w:lvlText w:val="(%1)"/>
      <w:numFmt w:val="lowerRoman"/>
      <w:start w:val="2"/>
    </w:lvl>
  </w:abstractNum>
  <w:abstractNum w:abstractNumId="45">
    <w:nsid w:val="59ADEA3D"/>
    <w:multiLevelType w:val="hybridMultilevel"/>
    <w:lvl w:ilvl="0">
      <w:lvlJc w:val="left"/>
      <w:lvlText w:val="%1."/>
      <w:numFmt w:val="decimal"/>
      <w:start w:val="1"/>
    </w:lvl>
  </w:abstractNum>
  <w:abstractNum w:abstractNumId="46">
    <w:nsid w:val="288F1A34"/>
    <w:multiLevelType w:val="hybridMultilevel"/>
    <w:lvl w:ilvl="0">
      <w:lvlJc w:val="left"/>
      <w:lvlText w:val="(%1)"/>
      <w:numFmt w:val="decimal"/>
      <w:start w:val="1"/>
    </w:lvl>
  </w:abstractNum>
  <w:abstractNum w:abstractNumId="47">
    <w:nsid w:val="2A155DBC"/>
    <w:multiLevelType w:val="hybridMultilevel"/>
    <w:lvl w:ilvl="0">
      <w:lvlJc w:val="left"/>
      <w:lvlText w:val="(%1)"/>
      <w:numFmt w:val="decimal"/>
      <w:start w:val="4"/>
    </w:lvl>
  </w:abstractNum>
  <w:abstractNum w:abstractNumId="48">
    <w:nsid w:val="1D9F6E5F"/>
    <w:multiLevelType w:val="hybridMultilevel"/>
    <w:lvl w:ilvl="0">
      <w:lvlJc w:val="left"/>
      <w:lvlText w:val="●"/>
      <w:numFmt w:val="bullet"/>
      <w:start w:val="1"/>
    </w:lvl>
  </w:abstractNum>
  <w:abstractNum w:abstractNumId="49">
    <w:nsid w:val="97E1B4E"/>
    <w:multiLevelType w:val="hybridMultilevel"/>
    <w:lvl w:ilvl="0">
      <w:lvlJc w:val="left"/>
      <w:lvlText w:val="●"/>
      <w:numFmt w:val="bullet"/>
      <w:start w:val="1"/>
    </w:lvl>
  </w:abstractNum>
  <w:abstractNum w:abstractNumId="50">
    <w:nsid w:val="51088277"/>
    <w:multiLevelType w:val="hybridMultilevel"/>
    <w:lvl w:ilvl="0">
      <w:lvlJc w:val="left"/>
      <w:lvlText w:val="●"/>
      <w:numFmt w:val="bullet"/>
      <w:start w:val="1"/>
    </w:lvl>
  </w:abstractNum>
  <w:abstractNum w:abstractNumId="51">
    <w:nsid w:val="1CA0C5FA"/>
    <w:multiLevelType w:val="hybridMultilevel"/>
    <w:lvl w:ilvl="0">
      <w:lvlJc w:val="left"/>
      <w:lvlText w:val="%1."/>
      <w:numFmt w:val="decimal"/>
      <w:start w:val="2"/>
    </w:lvl>
  </w:abstractNum>
  <w:abstractNum w:abstractNumId="52">
    <w:nsid w:val="53584BCB"/>
    <w:multiLevelType w:val="hybridMultilevel"/>
    <w:lvl w:ilvl="0">
      <w:lvlJc w:val="left"/>
      <w:lvlText w:val="(%1)"/>
      <w:numFmt w:val="decimal"/>
      <w:start w:val="1"/>
    </w:lvl>
    <w:lvl w:ilvl="1">
      <w:lvlJc w:val="left"/>
      <w:lvlText w:val="%2."/>
      <w:numFmt w:val="decimal"/>
      <w:start w:val="3"/>
    </w:lvl>
  </w:abstractNum>
  <w:abstractNum w:abstractNumId="53">
    <w:nsid w:val="415E286C"/>
    <w:multiLevelType w:val="hybridMultilevel"/>
    <w:lvl w:ilvl="0">
      <w:lvlJc w:val="left"/>
      <w:lvlText w:val="%1."/>
      <w:numFmt w:val="decimal"/>
      <w:start w:val="4"/>
    </w:lvl>
  </w:abstractNum>
  <w:abstractNum w:abstractNumId="54">
    <w:nsid w:val="7C58FD05"/>
    <w:multiLevelType w:val="hybridMultilevel"/>
    <w:lvl w:ilvl="0">
      <w:lvlJc w:val="left"/>
      <w:lvlText w:val="(%1)"/>
      <w:numFmt w:val="decimal"/>
      <w:start w:val="1"/>
    </w:lvl>
  </w:abstractNum>
  <w:abstractNum w:abstractNumId="55">
    <w:nsid w:val="23D86AAC"/>
    <w:multiLevelType w:val="hybridMultilevel"/>
    <w:lvl w:ilvl="0">
      <w:lvlJc w:val="left"/>
      <w:lvlText w:val="(%1)"/>
      <w:numFmt w:val="decimal"/>
      <w:start w:val="4"/>
    </w:lvl>
  </w:abstractNum>
  <w:abstractNum w:abstractNumId="56">
    <w:nsid w:val="45E6D486"/>
    <w:multiLevelType w:val="hybridMultilevel"/>
    <w:lvl w:ilvl="0">
      <w:lvlJc w:val="left"/>
      <w:lvlText w:val="(%1)"/>
      <w:numFmt w:val="decimal"/>
      <w:start w:val="1"/>
    </w:lvl>
  </w:abstractNum>
  <w:abstractNum w:abstractNumId="57">
    <w:nsid w:val="5C10FE21"/>
    <w:multiLevelType w:val="hybridMultilevel"/>
    <w:lvl w:ilvl="0">
      <w:lvlJc w:val="left"/>
      <w:lvlText w:val="(%1)"/>
      <w:numFmt w:val="decimal"/>
      <w:start w:val="8"/>
    </w:lvl>
  </w:abstractNum>
  <w:abstractNum w:abstractNumId="58">
    <w:nsid w:val="E7FFA2B"/>
    <w:multiLevelType w:val="hybridMultilevel"/>
    <w:lvl w:ilvl="0">
      <w:lvlJc w:val="left"/>
      <w:lvlText w:val="●"/>
      <w:numFmt w:val="bullet"/>
      <w:start w:val="1"/>
    </w:lvl>
  </w:abstractNum>
  <w:abstractNum w:abstractNumId="59">
    <w:nsid w:val="3C5991AA"/>
    <w:multiLevelType w:val="hybridMultilevel"/>
    <w:lvl w:ilvl="0">
      <w:lvlJc w:val="left"/>
      <w:lvlText w:val="●"/>
      <w:numFmt w:val="bullet"/>
      <w:start w:val="1"/>
    </w:lvl>
  </w:abstractNum>
  <w:abstractNum w:abstractNumId="60">
    <w:nsid w:val="4BD8591A"/>
    <w:multiLevelType w:val="hybridMultilevel"/>
    <w:lvl w:ilvl="0">
      <w:lvlJc w:val="left"/>
      <w:lvlText w:val="●"/>
      <w:numFmt w:val="bullet"/>
      <w:start w:val="1"/>
    </w:lvl>
  </w:abstractNum>
  <w:abstractNum w:abstractNumId="61">
    <w:nsid w:val="78DF6A55"/>
    <w:multiLevelType w:val="hybridMultilevel"/>
    <w:lvl w:ilvl="0">
      <w:lvlJc w:val="left"/>
      <w:lvlText w:val="●"/>
      <w:numFmt w:val="bullet"/>
      <w:start w:val="1"/>
    </w:lvl>
  </w:abstractNum>
  <w:abstractNum w:abstractNumId="62">
    <w:nsid w:val="39B7AAA2"/>
    <w:multiLevelType w:val="hybridMultilevel"/>
    <w:lvl w:ilvl="0">
      <w:lvlJc w:val="left"/>
      <w:lvlText w:val="(%1)"/>
      <w:numFmt w:val="decimal"/>
      <w:start w:val="1"/>
    </w:lvl>
  </w:abstractNum>
  <w:abstractNum w:abstractNumId="63">
    <w:nsid w:val="2B0D8DBE"/>
    <w:multiLevelType w:val="hybridMultilevel"/>
    <w:lvl w:ilvl="0">
      <w:lvlJc w:val="left"/>
      <w:lvlText w:val="●"/>
      <w:numFmt w:val="bullet"/>
      <w:start w:val="1"/>
    </w:lvl>
  </w:abstractNum>
  <w:abstractNum w:abstractNumId="64">
    <w:nsid w:val="6C80EC70"/>
    <w:multiLevelType w:val="hybridMultilevel"/>
    <w:lvl w:ilvl="0">
      <w:lvlJc w:val="left"/>
      <w:lvlText w:val="●"/>
      <w:numFmt w:val="bullet"/>
      <w:start w:val="1"/>
    </w:lvl>
  </w:abstractNum>
  <w:abstractNum w:abstractNumId="65">
    <w:nsid w:val="379E21B5"/>
    <w:multiLevelType w:val="hybridMultilevel"/>
    <w:lvl w:ilvl="0">
      <w:lvlJc w:val="left"/>
      <w:lvlText w:val="●"/>
      <w:numFmt w:val="bullet"/>
      <w:start w:val="1"/>
    </w:lvl>
  </w:abstractNum>
  <w:abstractNum w:abstractNumId="66">
    <w:nsid w:val="69E373"/>
    <w:multiLevelType w:val="hybridMultilevel"/>
    <w:lvl w:ilvl="0">
      <w:lvlJc w:val="left"/>
      <w:lvlText w:val="●"/>
      <w:numFmt w:val="bullet"/>
      <w:start w:val="1"/>
    </w:lvl>
  </w:abstractNum>
  <w:abstractNum w:abstractNumId="67">
    <w:nsid w:val="2C27173B"/>
    <w:multiLevelType w:val="hybridMultilevel"/>
    <w:lvl w:ilvl="0">
      <w:lvlJc w:val="left"/>
      <w:lvlText w:val="●"/>
      <w:numFmt w:val="bullet"/>
      <w:start w:val="1"/>
    </w:lvl>
  </w:abstractNum>
  <w:abstractNum w:abstractNumId="68">
    <w:nsid w:val="4C9B0904"/>
    <w:multiLevelType w:val="hybridMultilevel"/>
    <w:lvl w:ilvl="0">
      <w:lvlJc w:val="left"/>
      <w:lvlText w:val="●"/>
      <w:numFmt w:val="bullet"/>
      <w:start w:val="1"/>
    </w:lvl>
  </w:abstractNum>
  <w:abstractNum w:abstractNumId="69">
    <w:nsid w:val="6AA7B75C"/>
    <w:multiLevelType w:val="hybridMultilevel"/>
    <w:lvl w:ilvl="0">
      <w:lvlJc w:val="left"/>
      <w:lvlText w:val="●"/>
      <w:numFmt w:val="bullet"/>
      <w:start w:val="1"/>
    </w:lvl>
  </w:abstractNum>
  <w:abstractNum w:abstractNumId="70">
    <w:nsid w:val="1DF029D3"/>
    <w:multiLevelType w:val="hybridMultilevel"/>
    <w:lvl w:ilvl="0">
      <w:lvlJc w:val="left"/>
      <w:lvlText w:val="(%1)"/>
      <w:numFmt w:val="decimal"/>
      <w:start w:val="1"/>
    </w:lvl>
  </w:abstractNum>
  <w:abstractNum w:abstractNumId="71">
    <w:nsid w:val="5675FF36"/>
    <w:multiLevelType w:val="hybridMultilevel"/>
    <w:lvl w:ilvl="0">
      <w:lvlJc w:val="left"/>
      <w:lvlText w:val="(%1)"/>
      <w:numFmt w:val="decimal"/>
      <w:start w:val="1"/>
    </w:lvl>
  </w:abstractNum>
  <w:abstractNum w:abstractNumId="72">
    <w:nsid w:val="3DD15094"/>
    <w:multiLevelType w:val="hybridMultilevel"/>
    <w:lvl w:ilvl="0">
      <w:lvlJc w:val="left"/>
      <w:lvlText w:val="●"/>
      <w:numFmt w:val="bullet"/>
      <w:start w:val="1"/>
    </w:lvl>
  </w:abstractNum>
  <w:abstractNum w:abstractNumId="73">
    <w:nsid w:val="3DB012B3"/>
    <w:multiLevelType w:val="hybridMultilevel"/>
    <w:lvl w:ilvl="0">
      <w:lvlJc w:val="left"/>
      <w:lvlText w:val="●"/>
      <w:numFmt w:val="bullet"/>
      <w:start w:val="1"/>
    </w:lvl>
  </w:abstractNum>
  <w:abstractNum w:abstractNumId="74">
    <w:nsid w:val="2708C9AF"/>
    <w:multiLevelType w:val="hybridMultilevel"/>
    <w:lvl w:ilvl="0">
      <w:lvlJc w:val="left"/>
      <w:lvlText w:val="●"/>
      <w:numFmt w:val="bullet"/>
      <w:start w:val="1"/>
    </w:lvl>
  </w:abstractNum>
  <w:abstractNum w:abstractNumId="75">
    <w:nsid w:val="5B25ACE2"/>
    <w:multiLevelType w:val="hybridMultilevel"/>
    <w:lvl w:ilvl="0">
      <w:lvlJc w:val="left"/>
      <w:lvlText w:val="●"/>
      <w:numFmt w:val="bullet"/>
      <w:start w:val="1"/>
    </w:lvl>
  </w:abstractNum>
  <w:abstractNum w:abstractNumId="76">
    <w:nsid w:val="175DFCF0"/>
    <w:multiLevelType w:val="hybridMultilevel"/>
    <w:lvl w:ilvl="0">
      <w:lvlJc w:val="left"/>
      <w:lvlText w:val="●"/>
      <w:numFmt w:val="bullet"/>
      <w:start w:val="1"/>
    </w:lvl>
  </w:abstractNum>
  <w:abstractNum w:abstractNumId="77">
    <w:nsid w:val="4F97E3E4"/>
    <w:multiLevelType w:val="hybridMultilevel"/>
    <w:lvl w:ilvl="0">
      <w:lvlJc w:val="left"/>
      <w:lvlText w:val="●"/>
      <w:numFmt w:val="bullet"/>
      <w:start w:val="1"/>
    </w:lvl>
  </w:abstractNum>
  <w:abstractNum w:abstractNumId="78">
    <w:nsid w:val="53B0A9E"/>
    <w:multiLevelType w:val="hybridMultilevel"/>
    <w:lvl w:ilvl="0">
      <w:lvlJc w:val="left"/>
      <w:lvlText w:val="(%1)"/>
      <w:numFmt w:val="decimal"/>
      <w:start w:val="2"/>
    </w:lvl>
  </w:abstractNum>
  <w:abstractNum w:abstractNumId="79">
    <w:nsid w:val="34FD6B4F"/>
    <w:multiLevelType w:val="hybridMultilevel"/>
    <w:lvl w:ilvl="0">
      <w:lvlJc w:val="left"/>
      <w:lvlText w:val="●"/>
      <w:numFmt w:val="bullet"/>
      <w:start w:val="1"/>
    </w:lvl>
  </w:abstractNum>
  <w:abstractNum w:abstractNumId="80">
    <w:nsid w:val="5915FF32"/>
    <w:multiLevelType w:val="hybridMultilevel"/>
    <w:lvl w:ilvl="0">
      <w:lvlJc w:val="left"/>
      <w:lvlText w:val="●"/>
      <w:numFmt w:val="bullet"/>
      <w:start w:val="1"/>
    </w:lvl>
  </w:abstractNum>
  <w:abstractNum w:abstractNumId="81">
    <w:nsid w:val="56438D15"/>
    <w:multiLevelType w:val="hybridMultilevel"/>
    <w:lvl w:ilvl="0">
      <w:lvlJc w:val="left"/>
      <w:lvlText w:val="●"/>
      <w:numFmt w:val="bullet"/>
      <w:start w:val="1"/>
    </w:lvl>
  </w:abstractNum>
  <w:abstractNum w:abstractNumId="82">
    <w:nsid w:val="519E3149"/>
    <w:multiLevelType w:val="hybridMultilevel"/>
    <w:lvl w:ilvl="0">
      <w:lvlJc w:val="left"/>
      <w:lvlText w:val="%1."/>
      <w:numFmt w:val="upperLetter"/>
      <w:start w:val="1"/>
    </w:lvl>
  </w:abstractNum>
  <w:abstractNum w:abstractNumId="83">
    <w:nsid w:val="2C6E4AFD"/>
    <w:multiLevelType w:val="hybridMultilevel"/>
    <w:lvl w:ilvl="0">
      <w:lvlJc w:val="left"/>
      <w:lvlText w:val="●"/>
      <w:numFmt w:val="bullet"/>
      <w:start w:val="1"/>
    </w:lvl>
  </w:abstractNum>
  <w:abstractNum w:abstractNumId="84">
    <w:nsid w:val="17A1B582"/>
    <w:multiLevelType w:val="hybridMultilevel"/>
    <w:lvl w:ilvl="0">
      <w:lvlJc w:val="left"/>
      <w:lvlText w:val="●"/>
      <w:numFmt w:val="bullet"/>
      <w:start w:val="1"/>
    </w:lvl>
  </w:abstractNum>
  <w:abstractNum w:abstractNumId="85">
    <w:nsid w:val="4DF72E4E"/>
    <w:multiLevelType w:val="hybridMultilevel"/>
    <w:lvl w:ilvl="0">
      <w:lvlJc w:val="left"/>
      <w:lvlText w:val="●"/>
      <w:numFmt w:val="bullet"/>
      <w:start w:val="1"/>
    </w:lvl>
  </w:abstractNum>
  <w:abstractNum w:abstractNumId="86">
    <w:nsid w:val="5046B5A9"/>
    <w:multiLevelType w:val="hybridMultilevel"/>
    <w:lvl w:ilvl="0">
      <w:lvlJc w:val="left"/>
      <w:lvlText w:val="●"/>
      <w:numFmt w:val="bullet"/>
      <w:start w:val="1"/>
    </w:lvl>
  </w:abstractNum>
  <w:abstractNum w:abstractNumId="87">
    <w:nsid w:val="5D888A08"/>
    <w:multiLevelType w:val="hybridMultilevel"/>
    <w:lvl w:ilvl="0">
      <w:lvlJc w:val="left"/>
      <w:lvlText w:val="●"/>
      <w:numFmt w:val="bullet"/>
      <w:start w:val="1"/>
    </w:lvl>
  </w:abstractNum>
  <w:abstractNum w:abstractNumId="88">
    <w:nsid w:val="2A082C70"/>
    <w:multiLevelType w:val="hybridMultilevel"/>
    <w:lvl w:ilvl="0">
      <w:lvlJc w:val="left"/>
      <w:lvlText w:val="(%1)"/>
      <w:numFmt w:val="lowerRoman"/>
      <w:start w:val="4"/>
    </w:lvl>
  </w:abstractNum>
  <w:abstractNum w:abstractNumId="89">
    <w:nsid w:val="5EC6AFD4"/>
    <w:multiLevelType w:val="hybridMultilevel"/>
    <w:lvl w:ilvl="0">
      <w:lvlJc w:val="left"/>
      <w:lvlText w:val="●"/>
      <w:numFmt w:val="bullet"/>
      <w:start w:val="1"/>
    </w:lvl>
  </w:abstractNum>
  <w:abstractNum w:abstractNumId="90">
    <w:nsid w:val="19E21BB2"/>
    <w:multiLevelType w:val="hybridMultilevel"/>
    <w:lvl w:ilvl="0">
      <w:lvlJc w:val="left"/>
      <w:lvlText w:val="●"/>
      <w:numFmt w:val="bullet"/>
      <w:start w:val="1"/>
    </w:lvl>
  </w:abstractNum>
  <w:abstractNum w:abstractNumId="91">
    <w:nsid w:val="75E0858A"/>
    <w:multiLevelType w:val="hybridMultilevel"/>
    <w:lvl w:ilvl="0">
      <w:lvlJc w:val="left"/>
      <w:lvlText w:val="(%1)"/>
      <w:numFmt w:val="lowerRoman"/>
      <w:start w:val="1"/>
    </w:lvl>
  </w:abstractNum>
  <w:abstractNum w:abstractNumId="92">
    <w:nsid w:val="57A61A29"/>
    <w:multiLevelType w:val="hybridMultilevel"/>
    <w:lvl w:ilvl="0">
      <w:lvlJc w:val="left"/>
      <w:lvlText w:val="(%1)"/>
      <w:numFmt w:val="lowerRoman"/>
      <w:start w:val="2"/>
    </w:lvl>
  </w:abstractNum>
  <w:abstractNum w:abstractNumId="93">
    <w:nsid w:val="5399C654"/>
    <w:multiLevelType w:val="hybridMultilevel"/>
    <w:lvl w:ilvl="0">
      <w:lvlJc w:val="left"/>
      <w:lvlText w:val="●"/>
      <w:numFmt w:val="bullet"/>
      <w:start w:val="1"/>
    </w:lvl>
  </w:abstractNum>
  <w:abstractNum w:abstractNumId="94">
    <w:nsid w:val="20EE1348"/>
    <w:multiLevelType w:val="hybridMultilevel"/>
    <w:lvl w:ilvl="0">
      <w:lvlJc w:val="left"/>
      <w:lvlText w:val="●"/>
      <w:numFmt w:val="bullet"/>
      <w:start w:val="1"/>
    </w:lvl>
  </w:abstractNum>
  <w:abstractNum w:abstractNumId="95">
    <w:nsid w:val="4427069A"/>
    <w:multiLevelType w:val="hybridMultilevel"/>
    <w:lvl w:ilvl="0">
      <w:lvlJc w:val="left"/>
      <w:lvlText w:val="●"/>
      <w:numFmt w:val="bullet"/>
      <w:start w:val="1"/>
    </w:lvl>
  </w:abstractNum>
  <w:abstractNum w:abstractNumId="96">
    <w:nsid w:val="B37E80A"/>
    <w:multiLevelType w:val="hybridMultilevel"/>
    <w:lvl w:ilvl="0">
      <w:lvlJc w:val="left"/>
      <w:lvlText w:val="●"/>
      <w:numFmt w:val="bullet"/>
      <w:start w:val="1"/>
    </w:lvl>
  </w:abstractNum>
  <w:abstractNum w:abstractNumId="97">
    <w:nsid w:val="2157F6BC"/>
    <w:multiLevelType w:val="hybridMultilevel"/>
    <w:lvl w:ilvl="0">
      <w:lvlJc w:val="left"/>
      <w:lvlText w:val="●"/>
      <w:numFmt w:val="bullet"/>
      <w:start w:val="1"/>
    </w:lvl>
  </w:abstractNum>
  <w:abstractNum w:abstractNumId="98">
    <w:nsid w:val="704E1DD5"/>
    <w:multiLevelType w:val="hybridMultilevel"/>
    <w:lvl w:ilvl="0">
      <w:lvlJc w:val="left"/>
      <w:lvlText w:val="●"/>
      <w:numFmt w:val="bullet"/>
      <w:start w:val="1"/>
    </w:lvl>
  </w:abstractNum>
  <w:abstractNum w:abstractNumId="99">
    <w:nsid w:val="57D2F10E"/>
    <w:multiLevelType w:val="hybridMultilevel"/>
    <w:lvl w:ilvl="0">
      <w:lvlJc w:val="left"/>
      <w:lvlText w:val="●"/>
      <w:numFmt w:val="bullet"/>
      <w:start w:val="1"/>
    </w:lvl>
  </w:abstractNum>
  <w:abstractNum w:abstractNumId="100">
    <w:nsid w:val="BFFAE18"/>
    <w:multiLevelType w:val="hybridMultilevel"/>
    <w:lvl w:ilvl="0">
      <w:lvlJc w:val="left"/>
      <w:lvlText w:val="·"/>
      <w:numFmt w:val="bullet"/>
      <w:start w:val="1"/>
    </w:lvl>
  </w:abstractNum>
  <w:abstractNum w:abstractNumId="101">
    <w:nsid w:val="E3E47A8"/>
    <w:multiLevelType w:val="hybridMultilevel"/>
    <w:lvl w:ilvl="0">
      <w:lvlJc w:val="left"/>
      <w:lvlText w:val="%1."/>
      <w:numFmt w:val="upperLetter"/>
      <w:start w:val="4"/>
    </w:lvl>
  </w:abstractNum>
  <w:abstractNum w:abstractNumId="102">
    <w:nsid w:val="2E48F044"/>
    <w:multiLevelType w:val="hybridMultilevel"/>
    <w:lvl w:ilvl="0">
      <w:lvlJc w:val="left"/>
      <w:lvlText w:val="%1."/>
      <w:numFmt w:val="upperLetter"/>
      <w:start w:val="3"/>
    </w:lvl>
  </w:abstractNum>
  <w:abstractNum w:abstractNumId="103">
    <w:nsid w:val="49D0FEAC"/>
    <w:multiLevelType w:val="hybridMultilevel"/>
    <w:lvl w:ilvl="0">
      <w:lvlJc w:val="left"/>
      <w:lvlText w:val="●"/>
      <w:numFmt w:val="bullet"/>
      <w:start w:val="1"/>
    </w:lvl>
  </w:abstractNum>
  <w:abstractNum w:abstractNumId="104">
    <w:nsid w:val="4BEE5A5B"/>
    <w:multiLevelType w:val="hybridMultilevel"/>
    <w:lvl w:ilvl="0">
      <w:lvlJc w:val="left"/>
      <w:lvlText w:val="●"/>
      <w:numFmt w:val="bullet"/>
      <w:start w:val="1"/>
    </w:lvl>
  </w:abstractNum>
  <w:abstractNum w:abstractNumId="105">
    <w:nsid w:val="5551B9F3"/>
    <w:multiLevelType w:val="hybridMultilevel"/>
    <w:lvl w:ilvl="0">
      <w:lvlJc w:val="left"/>
      <w:lvlText w:val="●"/>
      <w:numFmt w:val="bullet"/>
      <w:start w:val="1"/>
    </w:lvl>
  </w:abstractNum>
  <w:abstractNum w:abstractNumId="106">
    <w:nsid w:val="24F6AB8E"/>
    <w:multiLevelType w:val="hybridMultilevel"/>
    <w:lvl w:ilvl="0">
      <w:lvlJc w:val="left"/>
      <w:lvlText w:val="●"/>
      <w:numFmt w:val="bullet"/>
      <w:start w:val="1"/>
    </w:lvl>
  </w:abstractNum>
  <w:abstractNum w:abstractNumId="107">
    <w:nsid w:val="634C574C"/>
    <w:multiLevelType w:val="hybridMultilevel"/>
    <w:lvl w:ilvl="0">
      <w:lvlJc w:val="left"/>
      <w:lvlText w:val="%1."/>
      <w:numFmt w:val="upperLetter"/>
      <w:start w:val="5"/>
    </w:lvl>
  </w:abstractNum>
  <w:abstractNum w:abstractNumId="108">
    <w:nsid w:val="24E99DD7"/>
    <w:multiLevelType w:val="hybridMultilevel"/>
    <w:lvl w:ilvl="0">
      <w:lvlJc w:val="left"/>
      <w:lvlText w:val="●"/>
      <w:numFmt w:val="bullet"/>
      <w:start w:val="1"/>
    </w:lvl>
  </w:abstractNum>
  <w:abstractNum w:abstractNumId="109">
    <w:nsid w:val="2A31B62D"/>
    <w:multiLevelType w:val="hybridMultilevel"/>
    <w:lvl w:ilvl="0">
      <w:lvlJc w:val="left"/>
      <w:lvlText w:val="*"/>
      <w:numFmt w:val="bullet"/>
      <w:start w:val="1"/>
    </w:lvl>
  </w:abstractNum>
  <w:abstractNum w:abstractNumId="110">
    <w:nsid w:val="1849C29B"/>
    <w:multiLevelType w:val="hybridMultilevel"/>
    <w:lvl w:ilvl="0">
      <w:lvlJc w:val="left"/>
      <w:lvlText w:val="%1."/>
      <w:numFmt w:val="upperLetter"/>
      <w:start w:val="3"/>
    </w:lvl>
  </w:abstractNum>
  <w:abstractNum w:abstractNumId="111">
    <w:nsid w:val="7DFF9D09"/>
    <w:multiLevelType w:val="hybridMultilevel"/>
    <w:lvl w:ilvl="0">
      <w:lvlJc w:val="left"/>
      <w:lvlText w:val="%1."/>
      <w:numFmt w:val="upperLetter"/>
      <w:start w:val="1"/>
    </w:lvl>
  </w:abstractNum>
  <w:abstractNum w:abstractNumId="112">
    <w:nsid w:val="754342"/>
    <w:multiLevelType w:val="hybridMultilevel"/>
    <w:lvl w:ilvl="0">
      <w:lvlJc w:val="left"/>
      <w:lvlText w:val="%1."/>
      <w:numFmt w:val="upperLetter"/>
      <w:start w:val="1"/>
    </w:lvl>
  </w:abstractNum>
  <w:abstractNum w:abstractNumId="113">
    <w:nsid w:val="69E7F3E5"/>
    <w:multiLevelType w:val="hybridMultilevel"/>
    <w:lvl w:ilvl="0">
      <w:lvlJc w:val="left"/>
      <w:lvlText w:val="%1."/>
      <w:numFmt w:val="upperLetter"/>
      <w:start w:val="1"/>
    </w:lvl>
  </w:abstractNum>
  <w:abstractNum w:abstractNumId="114">
    <w:nsid w:val="2A6DE806"/>
    <w:multiLevelType w:val="hybridMultilevel"/>
    <w:lvl w:ilvl="0">
      <w:lvlJc w:val="left"/>
      <w:lvlText w:val="%1."/>
      <w:numFmt w:val="upperLetter"/>
      <w:start w:val="2"/>
    </w:lvl>
  </w:abstractNum>
  <w:abstractNum w:abstractNumId="115">
    <w:nsid w:val="1816F8C4"/>
    <w:multiLevelType w:val="hybridMultilevel"/>
    <w:lvl w:ilvl="0">
      <w:lvlJc w:val="left"/>
      <w:lvlText w:val="●"/>
      <w:numFmt w:val="bullet"/>
      <w:start w:val="1"/>
    </w:lvl>
  </w:abstractNum>
  <w:abstractNum w:abstractNumId="116">
    <w:nsid w:val="37DF2233"/>
    <w:multiLevelType w:val="hybridMultilevel"/>
    <w:lvl w:ilvl="0">
      <w:lvlJc w:val="left"/>
      <w:lvlText w:val="●"/>
      <w:numFmt w:val="bullet"/>
      <w:start w:val="1"/>
    </w:lvl>
  </w:abstractNum>
  <w:abstractNum w:abstractNumId="117">
    <w:nsid w:val="7AB49DAF"/>
    <w:multiLevelType w:val="hybridMultilevel"/>
    <w:lvl w:ilvl="0">
      <w:lvlJc w:val="left"/>
      <w:lvlText w:val="(%1)"/>
      <w:numFmt w:val="lowerRoman"/>
      <w:start w:val="1"/>
    </w:lvl>
  </w:abstractNum>
  <w:abstractNum w:abstractNumId="118">
    <w:nsid w:val="759F82CD"/>
    <w:multiLevelType w:val="hybridMultilevel"/>
    <w:lvl w:ilvl="0">
      <w:lvlJc w:val="left"/>
      <w:lvlText w:val="%1."/>
      <w:numFmt w:val="upperLetter"/>
      <w:start w:val="6"/>
    </w:lvl>
  </w:abstractNum>
  <w:abstractNum w:abstractNumId="119">
    <w:nsid w:val="61E74EA3"/>
    <w:multiLevelType w:val="hybridMultilevel"/>
    <w:lvl w:ilvl="0">
      <w:lvlJc w:val="left"/>
      <w:lvlText w:val="%1."/>
      <w:numFmt w:val="upperLetter"/>
      <w:start w:val="9"/>
    </w:lvl>
  </w:abstractNum>
  <w:abstractNum w:abstractNumId="120">
    <w:nsid w:val="597B4D84"/>
    <w:multiLevelType w:val="hybridMultilevel"/>
    <w:lvl w:ilvl="0">
      <w:lvlJc w:val="left"/>
      <w:lvlText w:val="%1."/>
      <w:numFmt w:val="upperLetter"/>
      <w:start w:val="1"/>
    </w:lvl>
  </w:abstractNum>
  <w:abstractNum w:abstractNumId="121">
    <w:nsid w:val="F819E7F"/>
    <w:multiLevelType w:val="hybridMultilevel"/>
    <w:lvl w:ilvl="0">
      <w:lvlJc w:val="left"/>
      <w:lvlText w:val="%1."/>
      <w:numFmt w:val="upperLetter"/>
      <w:start w:val="1"/>
    </w:lvl>
  </w:abstractNum>
  <w:abstractNum w:abstractNumId="122">
    <w:nsid w:val="57C7D42D"/>
    <w:multiLevelType w:val="hybridMultilevel"/>
    <w:lvl w:ilvl="0">
      <w:lvlJc w:val="left"/>
      <w:lvlText w:val="*"/>
      <w:numFmt w:val="bullet"/>
      <w:start w:val="1"/>
    </w:lvl>
    <w:lvl w:ilvl="1">
      <w:lvlJc w:val="left"/>
      <w:lvlText w:val="(%2)"/>
      <w:numFmt w:val="lowerLetter"/>
      <w:start w:val="2"/>
    </w:lvl>
  </w:abstractNum>
  <w:abstractNum w:abstractNumId="123">
    <w:nsid w:val="312167AD"/>
    <w:multiLevelType w:val="hybridMultilevel"/>
    <w:lvl w:ilvl="0">
      <w:lvlJc w:val="left"/>
      <w:lvlText w:val="%1."/>
      <w:numFmt w:val="decimal"/>
      <w:start w:val="1"/>
    </w:lvl>
  </w:abstractNum>
  <w:abstractNum w:abstractNumId="124">
    <w:nsid w:val="631B64D4"/>
    <w:multiLevelType w:val="hybridMultilevel"/>
    <w:lvl w:ilvl="0">
      <w:lvlJc w:val="left"/>
      <w:lvlText w:val="%1."/>
      <w:numFmt w:val="decimal"/>
      <w:start w:val="2"/>
    </w:lvl>
  </w:abstractNum>
  <w:abstractNum w:abstractNumId="125">
    <w:nsid w:val="78B5E776"/>
    <w:multiLevelType w:val="hybridMultilevel"/>
    <w:lvl w:ilvl="0">
      <w:lvlJc w:val="left"/>
      <w:lvlText w:val="(%1)"/>
      <w:numFmt w:val="lowerRoman"/>
      <w:start w:val="3"/>
    </w:lvl>
  </w:abstractNum>
  <w:abstractNum w:abstractNumId="126">
    <w:nsid w:val="75486E47"/>
    <w:multiLevelType w:val="hybridMultilevel"/>
    <w:lvl w:ilvl="0">
      <w:lvlJc w:val="left"/>
      <w:lvlText w:val="(%1)"/>
      <w:numFmt w:val="lowerRoman"/>
      <w:start w:val="5"/>
    </w:lvl>
  </w:abstractNum>
  <w:abstractNum w:abstractNumId="127">
    <w:nsid w:val="6E534CDE"/>
    <w:multiLevelType w:val="hybridMultilevel"/>
    <w:lvl w:ilvl="0">
      <w:lvlJc w:val="left"/>
      <w:lvlText w:val="%1."/>
      <w:numFmt w:val="decimal"/>
      <w:start w:val="3"/>
    </w:lvl>
  </w:abstractNum>
  <w:abstractNum w:abstractNumId="128">
    <w:nsid w:val="1A0DDE32"/>
    <w:multiLevelType w:val="hybridMultilevel"/>
    <w:lvl w:ilvl="0">
      <w:lvlJc w:val="left"/>
      <w:lvlText w:val="%1."/>
      <w:numFmt w:val="lowerRoman"/>
      <w:start w:val="1"/>
    </w:lvl>
  </w:abstractNum>
  <w:abstractNum w:abstractNumId="129">
    <w:nsid w:val="65968C1C"/>
    <w:multiLevelType w:val="hybridMultilevel"/>
    <w:lvl w:ilvl="0">
      <w:lvlJc w:val="left"/>
      <w:lvlText w:val="●"/>
      <w:numFmt w:val="bullet"/>
      <w:start w:val="1"/>
    </w:lvl>
  </w:abstractNum>
  <w:abstractNum w:abstractNumId="130">
    <w:nsid w:val="46263DEC"/>
    <w:multiLevelType w:val="hybridMultilevel"/>
    <w:lvl w:ilvl="0">
      <w:lvlJc w:val="left"/>
      <w:lvlText w:val="(%1)"/>
      <w:numFmt w:val="lowerRoman"/>
      <w:start w:val="5"/>
    </w:lvl>
  </w:abstractNum>
  <w:abstractNum w:abstractNumId="131">
    <w:nsid w:val="260D8C4A"/>
    <w:multiLevelType w:val="hybridMultilevel"/>
    <w:lvl w:ilvl="0">
      <w:lvlJc w:val="left"/>
      <w:lvlText w:val="%1."/>
      <w:numFmt w:val="decimal"/>
      <w:start w:val="4"/>
    </w:lvl>
  </w:abstractNum>
  <w:abstractNum w:abstractNumId="132">
    <w:nsid w:val="73D4D3C4"/>
    <w:multiLevelType w:val="hybridMultilevel"/>
    <w:lvl w:ilvl="0">
      <w:lvlJc w:val="left"/>
      <w:lvlText w:val="%1."/>
      <w:numFmt w:val="decimal"/>
      <w:start w:val="5"/>
    </w:lvl>
  </w:abstractNum>
  <w:abstractNum w:abstractNumId="133">
    <w:nsid w:val="746F2E30"/>
    <w:multiLevelType w:val="hybridMultilevel"/>
    <w:lvl w:ilvl="0">
      <w:lvlJc w:val="left"/>
      <w:lvlText w:val="%1."/>
      <w:numFmt w:val="decimal"/>
      <w:start w:val="6"/>
    </w:lvl>
  </w:abstractNum>
  <w:abstractNum w:abstractNumId="134">
    <w:nsid w:val="6FDE8AF6"/>
    <w:multiLevelType w:val="hybridMultilevel"/>
    <w:lvl w:ilvl="0">
      <w:lvlJc w:val="left"/>
      <w:lvlText w:val="%1."/>
      <w:numFmt w:val="decimal"/>
      <w:start w:val="7"/>
    </w:lvl>
  </w:abstractNum>
  <w:abstractNum w:abstractNumId="135">
    <w:nsid w:val="3FC32E20"/>
    <w:multiLevelType w:val="hybridMultilevel"/>
    <w:lvl w:ilvl="0">
      <w:lvlJc w:val="left"/>
      <w:lvlText w:val="●"/>
      <w:numFmt w:val="bullet"/>
      <w:start w:val="1"/>
    </w:lvl>
  </w:abstractNum>
  <w:abstractNum w:abstractNumId="136">
    <w:nsid w:val="49C0E823"/>
    <w:multiLevelType w:val="hybridMultilevel"/>
    <w:lvl w:ilvl="0">
      <w:lvlJc w:val="left"/>
      <w:lvlText w:val="%1."/>
      <w:numFmt w:val="decimal"/>
      <w:start w:val="8"/>
    </w:lvl>
  </w:abstractNum>
  <w:abstractNum w:abstractNumId="137">
    <w:nsid w:val="14D53685"/>
    <w:multiLevelType w:val="hybridMultilevel"/>
    <w:lvl w:ilvl="0">
      <w:lvlJc w:val="left"/>
      <w:lvlText w:val="(%1)"/>
      <w:numFmt w:val="lowerRoman"/>
      <w:start w:val="2"/>
    </w:lvl>
  </w:abstractNum>
  <w:abstractNum w:abstractNumId="138">
    <w:nsid w:val="230F856C"/>
    <w:multiLevelType w:val="hybridMultilevel"/>
    <w:lvl w:ilvl="0">
      <w:lvlJc w:val="left"/>
      <w:lvlText w:val="(%1)"/>
      <w:numFmt w:val="lowerRoman"/>
      <w:start w:val="3"/>
    </w:lvl>
  </w:abstractNum>
  <w:abstractNum w:abstractNumId="139">
    <w:nsid w:val="6EAA85FB"/>
    <w:multiLevelType w:val="hybridMultilevel"/>
    <w:lvl w:ilvl="0">
      <w:lvlJc w:val="left"/>
      <w:lvlText w:val="%1."/>
      <w:numFmt w:val="decimal"/>
      <w:start w:val="19"/>
    </w:lvl>
  </w:abstractNum>
  <w:abstractNum w:abstractNumId="140">
    <w:nsid w:val="3F06ECB2"/>
    <w:multiLevelType w:val="hybridMultilevel"/>
    <w:lvl w:ilvl="0">
      <w:lvlJc w:val="left"/>
      <w:lvlText w:val="●"/>
      <w:numFmt w:val="bullet"/>
      <w:start w:val="1"/>
    </w:lvl>
  </w:abstractNum>
  <w:abstractNum w:abstractNumId="141">
    <w:nsid w:val="3B594807"/>
    <w:multiLevelType w:val="hybridMultilevel"/>
    <w:lvl w:ilvl="0">
      <w:lvlJc w:val="left"/>
      <w:lvlText w:val="●"/>
      <w:numFmt w:val="bullet"/>
      <w:start w:val="1"/>
    </w:lvl>
  </w:abstractNum>
  <w:abstractNum w:abstractNumId="142">
    <w:nsid w:val="6CAA2304"/>
    <w:multiLevelType w:val="hybridMultilevel"/>
    <w:lvl w:ilvl="0">
      <w:lvlJc w:val="left"/>
      <w:lvlText w:val="●"/>
      <w:numFmt w:val="bullet"/>
      <w:start w:val="1"/>
    </w:lvl>
  </w:abstractNum>
  <w:abstractNum w:abstractNumId="143">
    <w:nsid w:val="3F7C2FF4"/>
    <w:multiLevelType w:val="hybridMultilevel"/>
    <w:lvl w:ilvl="0">
      <w:lvlJc w:val="left"/>
      <w:lvlText w:val="●"/>
      <w:numFmt w:val="bullet"/>
      <w:start w:val="1"/>
    </w:lvl>
  </w:abstractNum>
  <w:abstractNum w:abstractNumId="144">
    <w:nsid w:val="25413BEC"/>
    <w:multiLevelType w:val="hybridMultilevel"/>
    <w:lvl w:ilvl="0">
      <w:lvlJc w:val="left"/>
      <w:lvlText w:val="●"/>
      <w:numFmt w:val="bullet"/>
      <w:start w:val="1"/>
    </w:lvl>
  </w:abstractNum>
  <w:abstractNum w:abstractNumId="145">
    <w:nsid w:val="17180B0B"/>
    <w:multiLevelType w:val="hybridMultilevel"/>
    <w:lvl w:ilvl="0">
      <w:lvlJc w:val="left"/>
      <w:lvlText w:val="●"/>
      <w:numFmt w:val="bullet"/>
      <w:start w:val="1"/>
    </w:lvl>
  </w:abstractNum>
  <w:abstractNum w:abstractNumId="146">
    <w:nsid w:val="579328B9"/>
    <w:multiLevelType w:val="hybridMultilevel"/>
    <w:lvl w:ilvl="0">
      <w:lvlJc w:val="left"/>
      <w:lvlText w:val="●"/>
      <w:numFmt w:val="bullet"/>
      <w:start w:val="1"/>
    </w:lvl>
  </w:abstractNum>
  <w:abstractNum w:abstractNumId="147">
    <w:nsid w:val="5D205E20"/>
    <w:multiLevelType w:val="hybridMultilevel"/>
    <w:lvl w:ilvl="0">
      <w:lvlJc w:val="left"/>
      <w:lvlText w:val="●"/>
      <w:numFmt w:val="bullet"/>
      <w:start w:val="1"/>
    </w:lvl>
  </w:abstractNum>
  <w:abstractNum w:abstractNumId="148">
    <w:nsid w:val="11CCA8BA"/>
    <w:multiLevelType w:val="hybridMultilevel"/>
    <w:lvl w:ilvl="0">
      <w:lvlJc w:val="left"/>
      <w:lvlText w:val="●"/>
      <w:numFmt w:val="bullet"/>
      <w:start w:val="1"/>
    </w:lvl>
  </w:abstractNum>
  <w:abstractNum w:abstractNumId="149">
    <w:nsid w:val="4D32AB86"/>
    <w:multiLevelType w:val="hybridMultilevel"/>
    <w:lvl w:ilvl="0">
      <w:lvlJc w:val="left"/>
      <w:lvlText w:val="●"/>
      <w:numFmt w:val="bullet"/>
      <w:start w:val="1"/>
    </w:lvl>
  </w:abstractNum>
  <w:abstractNum w:abstractNumId="150">
    <w:nsid w:val="3F07ACC3"/>
    <w:multiLevelType w:val="hybridMultilevel"/>
    <w:lvl w:ilvl="0">
      <w:lvlJc w:val="left"/>
      <w:lvlText w:val="%1."/>
      <w:numFmt w:val="decimal"/>
      <w:start w:val="1"/>
    </w:lvl>
  </w:abstractNum>
  <w:abstractNum w:abstractNumId="151">
    <w:nsid w:val="6B47F63E"/>
    <w:multiLevelType w:val="hybridMultilevel"/>
    <w:lvl w:ilvl="0">
      <w:lvlJc w:val="left"/>
      <w:lvlText w:val="(%1)"/>
      <w:numFmt w:val="lowerLetter"/>
      <w:start w:val="1"/>
    </w:lvl>
  </w:abstractNum>
  <w:abstractNum w:abstractNumId="152">
    <w:nsid w:val="5CB44A05"/>
    <w:multiLevelType w:val="hybridMultilevel"/>
    <w:lvl w:ilvl="0">
      <w:lvlJc w:val="left"/>
      <w:lvlText w:val="%1."/>
      <w:numFmt w:val="decimal"/>
      <w:start w:val="5"/>
    </w:lvl>
  </w:abstractNum>
  <w:abstractNum w:abstractNumId="153">
    <w:nsid w:val="16CF80F1"/>
    <w:multiLevelType w:val="hybridMultilevel"/>
    <w:lvl w:ilvl="0">
      <w:lvlJc w:val="left"/>
      <w:lvlText w:val="(%1)"/>
      <w:numFmt w:val="lowerLetter"/>
      <w:start w:val="1"/>
    </w:lvl>
  </w:abstractNum>
  <w:abstractNum w:abstractNumId="154">
    <w:nsid w:val="1C695DEC"/>
    <w:multiLevelType w:val="hybridMultilevel"/>
    <w:lvl w:ilvl="0">
      <w:lvlJc w:val="left"/>
      <w:lvlText w:val="%1."/>
      <w:numFmt w:val="decimal"/>
      <w:start w:val="1"/>
    </w:lvl>
  </w:abstractNum>
  <w:abstractNum w:abstractNumId="155">
    <w:nsid w:val="3FCFAED9"/>
    <w:multiLevelType w:val="hybridMultilevel"/>
    <w:lvl w:ilvl="0">
      <w:lvlJc w:val="left"/>
      <w:lvlText w:val="(%1)"/>
      <w:numFmt w:val="lowerLetter"/>
      <w:start w:val="1"/>
    </w:lvl>
  </w:abstractNum>
  <w:abstractNum w:abstractNumId="156">
    <w:nsid w:val="F856867"/>
    <w:multiLevelType w:val="hybridMultilevel"/>
    <w:lvl w:ilvl="0">
      <w:lvlJc w:val="left"/>
      <w:lvlText w:val="%1."/>
      <w:numFmt w:val="decimal"/>
      <w:start w:val="5"/>
    </w:lvl>
  </w:abstractNum>
  <w:abstractNum w:abstractNumId="157">
    <w:nsid w:val="11B1CC33"/>
    <w:multiLevelType w:val="hybridMultilevel"/>
    <w:lvl w:ilvl="0">
      <w:lvlJc w:val="left"/>
      <w:lvlText w:val="(%1)"/>
      <w:numFmt w:val="lowerLetter"/>
      <w:start w:val="1"/>
    </w:lvl>
  </w:abstractNum>
  <w:abstractNum w:abstractNumId="158">
    <w:nsid w:val="2E22FBB7"/>
    <w:multiLevelType w:val="hybridMultilevel"/>
    <w:lvl w:ilvl="0">
      <w:lvlJc w:val="left"/>
      <w:lvlText w:val="%1."/>
      <w:numFmt w:val="decimal"/>
      <w:start w:val="1"/>
    </w:lvl>
  </w:abstractNum>
  <w:abstractNum w:abstractNumId="159">
    <w:nsid w:val="29934699"/>
    <w:multiLevelType w:val="hybridMultilevel"/>
    <w:lvl w:ilvl="0">
      <w:lvlJc w:val="left"/>
      <w:lvlText w:val="%1."/>
      <w:numFmt w:val="decimal"/>
      <w:start w:val="1"/>
    </w:lvl>
  </w:abstractNum>
  <w:abstractNum w:abstractNumId="160">
    <w:nsid w:val="774858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1">
    <w:nsid w:val="744939A3"/>
    <w:multiLevelType w:val="hybridMultilevel"/>
    <w:lvl w:ilvl="0">
      <w:lvlJc w:val="left"/>
      <w:lvlText w:val="(%1)"/>
      <w:numFmt w:val="lowerLetter"/>
      <w:start w:val="3"/>
    </w:lvl>
  </w:abstractNum>
  <w:abstractNum w:abstractNumId="162">
    <w:nsid w:val="4FA0D2E3"/>
    <w:multiLevelType w:val="hybridMultilevel"/>
    <w:lvl w:ilvl="0">
      <w:lvlJc w:val="left"/>
      <w:lvlText w:val="(%1)"/>
      <w:numFmt w:val="lowerLetter"/>
      <w:start w:val="7"/>
    </w:lvl>
    <w:lvl w:ilvl="1">
      <w:lvlJc w:val="left"/>
      <w:lvlText w:val="(%2)"/>
      <w:numFmt w:val="lowerRoman"/>
      <w:start w:val="1"/>
    </w:lvl>
  </w:abstractNum>
  <w:abstractNum w:abstractNumId="163">
    <w:nsid w:val="6B1D2C14"/>
    <w:multiLevelType w:val="hybridMultilevel"/>
    <w:lvl w:ilvl="0">
      <w:lvlJc w:val="left"/>
      <w:lvlText w:val="(%1)"/>
      <w:numFmt w:val="lowerLetter"/>
      <w:start w:val="9"/>
    </w:lvl>
  </w:abstractNum>
  <w:abstractNum w:abstractNumId="164">
    <w:nsid w:val="68B867D3"/>
    <w:multiLevelType w:val="hybridMultilevel"/>
    <w:lvl w:ilvl="0">
      <w:lvlJc w:val="left"/>
      <w:lvlText w:val="%1."/>
      <w:numFmt w:val="decimal"/>
      <w:start w:val="2"/>
    </w:lvl>
  </w:abstractNum>
  <w:abstractNum w:abstractNumId="165">
    <w:nsid w:val="3F7F5DD9"/>
    <w:multiLevelType w:val="hybridMultilevel"/>
    <w:lvl w:ilvl="0">
      <w:lvlJc w:val="left"/>
      <w:lvlText w:val="(%1)"/>
      <w:numFmt w:val="lowerLetter"/>
      <w:start w:val="1"/>
    </w:lvl>
  </w:abstractNum>
  <w:abstractNum w:abstractNumId="166">
    <w:nsid w:val="2AE05A34"/>
    <w:multiLevelType w:val="hybridMultilevel"/>
    <w:lvl w:ilvl="0">
      <w:lvlJc w:val="left"/>
      <w:lvlText w:val="(%1)"/>
      <w:numFmt w:val="lowerLetter"/>
      <w:start w:val="2"/>
    </w:lvl>
    <w:lvl w:ilvl="1">
      <w:lvlJc w:val="left"/>
      <w:lvlText w:val="(%2)"/>
      <w:numFmt w:val="lowerRoman"/>
      <w:start w:val="1"/>
    </w:lvl>
  </w:abstractNum>
  <w:abstractNum w:abstractNumId="167">
    <w:nsid w:val="32794FF7"/>
    <w:multiLevelType w:val="hybridMultilevel"/>
    <w:lvl w:ilvl="0">
      <w:lvlJc w:val="left"/>
      <w:lvlText w:val="%1."/>
      <w:numFmt w:val="decimal"/>
      <w:start w:val="3"/>
    </w:lvl>
    <w:lvl w:ilvl="1">
      <w:lvlJc w:val="left"/>
      <w:lvlText w:val="(%2)"/>
      <w:numFmt w:val="lowerLetter"/>
      <w:start w:val="1"/>
    </w:lvl>
  </w:abstractNum>
  <w:abstractNum w:abstractNumId="168">
    <w:nsid w:val="5454945E"/>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14" Type="http://schemas.openxmlformats.org/officeDocument/2006/relationships/hyperlink" Target="https://www.sec.gov/Archives/edgar/data/1651625/000119312516607922/d16439dex101.htm" TargetMode="External"/><Relationship Id="rId215" Type="http://schemas.openxmlformats.org/officeDocument/2006/relationships/hyperlink" Target="https://www.sec.gov/Archives/edgar/data/1651625/000119312516607922/d16439dex102.htm" TargetMode="External"/><Relationship Id="rId216" Type="http://schemas.openxmlformats.org/officeDocument/2006/relationships/hyperlink" Target="https://www.sec.gov/Archives/edgar/data/1651625/000119312516607922/d16439dex103.htm" TargetMode="External"/><Relationship Id="rId217" Type="http://schemas.openxmlformats.org/officeDocument/2006/relationships/hyperlink" Target="https://www.sec.gov/Archives/edgar/data/1651625/000119312516607922/d16439dex104.htm" TargetMode="External"/><Relationship Id="rId218" Type="http://schemas.openxmlformats.org/officeDocument/2006/relationships/hyperlink" Target="https://www.sec.gov/Archives/edgar/data/1651625/000119312516607922/d16439dex105.htm" TargetMode="External"/><Relationship Id="rId219" Type="http://schemas.openxmlformats.org/officeDocument/2006/relationships/hyperlink" Target="https://www.sec.gov/Archives/edgar/data/1651625/000155837023003963/aciu-20221231xex4d6.htm" TargetMode="External"/><Relationship Id="rId220" Type="http://schemas.openxmlformats.org/officeDocument/2006/relationships/hyperlink" Target="https://www.sec.gov/Archives/edgar/data/1651625/000119312516607922/d16439dex107.htm" TargetMode="External"/><Relationship Id="rId221" Type="http://schemas.openxmlformats.org/officeDocument/2006/relationships/hyperlink" Target="https://www.sec.gov/Archives/edgar/data/1651625/000095010316017052/dp69421_ex9908.htm" TargetMode="External"/><Relationship Id="rId222" Type="http://schemas.openxmlformats.org/officeDocument/2006/relationships/hyperlink" Target="https://www.sec.gov/Archives/edgar/data/1651625/000095010319004949/dp105140_ex0414.htm" TargetMode="External"/><Relationship Id="rId223" Type="http://schemas.openxmlformats.org/officeDocument/2006/relationships/hyperlink" Target="https://www.sec.gov/Archives/edgar/data/1651625/000095010319003578/dp103711_ex0415.htm" TargetMode="External"/><Relationship Id="rId224" Type="http://schemas.openxmlformats.org/officeDocument/2006/relationships/hyperlink" Target="https://www.sec.gov/Archives/edgar/data/1651625/000095010319012523/dp112992_ex1001.htm" TargetMode="External"/><Relationship Id="rId225" Type="http://schemas.openxmlformats.org/officeDocument/2006/relationships/hyperlink" Target="https://www.sec.gov/Archives/edgar/data/1651625/000095010320005734/dp124366_ex1001.htm" TargetMode="External"/><Relationship Id="rId226" Type="http://schemas.openxmlformats.org/officeDocument/2006/relationships/hyperlink" Target="https://www.sec.gov/Archives/edgar/data/1651625/000095010321006778/dp1150581_ex0101.htm" TargetMode="External"/><Relationship Id="rId227" Type="http://schemas.openxmlformats.org/officeDocument/2006/relationships/hyperlink" Target="https://www.sec.gov/Archives/edgar/data/1651625/000095010321011884/dp155670_ex1001.htm" TargetMode="External"/><Relationship Id="rId228" Type="http://schemas.openxmlformats.org/officeDocument/2006/relationships/hyperlink" Target="https://www.sec.gov/Archives/edgar/data/1651625/000095010321011884/dp155670_ex1002.htm" TargetMode="External"/><Relationship Id="rId229" Type="http://schemas.openxmlformats.org/officeDocument/2006/relationships/hyperlink" Target="https://www.sec.gov/Archives/edgar/data/1651625/000095010321011884/dp155670_ex10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2024-03-14T06:48:31Z</dcterms:created>
  <dcterms:modified xsi:type="dcterms:W3CDTF">2024-03-14T06:48:31Z</dcterms:modified>
</cp:coreProperties>
</file>