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25"/>
          <w:szCs w:val="25"/>
          <w:color w:val="auto"/>
        </w:rPr>
        <w:t>SECURITIES AND EXCHANGE COMMISSION</w:t>
      </w:r>
    </w:p>
    <w:p>
      <w:pPr>
        <w:jc w:val="center"/>
        <w:ind w:right="-1100"/>
        <w:spacing w:after="0" w:line="229"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780"/>
        <w:spacing w:after="0"/>
        <w:rPr>
          <w:sz w:val="20"/>
          <w:szCs w:val="20"/>
          <w:color w:val="auto"/>
        </w:rPr>
      </w:pPr>
      <w:r>
        <w:rPr>
          <w:rFonts w:ascii="Arial" w:cs="Arial" w:eastAsia="Arial" w:hAnsi="Arial"/>
          <w:sz w:val="32"/>
          <w:szCs w:val="32"/>
          <w:b w:val="1"/>
          <w:bCs w:val="1"/>
          <w:color w:val="auto"/>
        </w:rPr>
        <w:t>FORM 20-F</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5480" w:right="19" w:hanging="5472"/>
        <w:spacing w:after="0" w:line="484"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9" w:lineRule="exact"/>
        <w:rPr>
          <w:sz w:val="24"/>
          <w:szCs w:val="24"/>
          <w:color w:val="auto"/>
        </w:rPr>
      </w:pPr>
    </w:p>
    <w:p>
      <w:pPr>
        <w:ind w:left="660" w:right="1019" w:hanging="652"/>
        <w:spacing w:after="0" w:line="282" w:lineRule="auto"/>
        <w:tabs>
          <w:tab w:leader="none" w:pos="3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62"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80" w:right="639" w:hanging="5472"/>
        <w:spacing w:after="0" w:line="484" w:lineRule="auto"/>
        <w:tabs>
          <w:tab w:leader="none" w:pos="323"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ind w:left="660" w:right="219" w:hanging="652"/>
        <w:spacing w:after="0" w:line="282" w:lineRule="auto"/>
        <w:tabs>
          <w:tab w:leader="none" w:pos="336"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001-37891</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11" w:lineRule="exact"/>
        <w:rPr>
          <w:sz w:val="24"/>
          <w:szCs w:val="24"/>
          <w:color w:val="auto"/>
        </w:rPr>
      </w:pPr>
    </w:p>
    <w:p>
      <w:pPr>
        <w:jc w:val="center"/>
        <w:ind w:right="-1060"/>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(212) 450-4000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43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0"/>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2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02"/>
        </w:trPr>
        <w:tc>
          <w:tcPr>
            <w:tcW w:w="4320" w:type="dxa"/>
            <w:vAlign w:val="bottom"/>
          </w:tcPr>
          <w:p>
            <w:pPr>
              <w:jc w:val="center"/>
              <w:ind w:right="450"/>
              <w:spacing w:after="0" w:line="201" w:lineRule="exact"/>
              <w:rPr>
                <w:sz w:val="20"/>
                <w:szCs w:val="20"/>
                <w:color w:val="auto"/>
              </w:rPr>
            </w:pPr>
            <w:r>
              <w:rPr>
                <w:rFonts w:ascii="Arial" w:cs="Arial" w:eastAsia="Arial" w:hAnsi="Arial"/>
                <w:sz w:val="18"/>
                <w:szCs w:val="18"/>
                <w:color w:val="auto"/>
                <w:w w:val="90"/>
              </w:rPr>
              <w:t>Common Shares, nominal value CHF 0.02 per</w:t>
            </w: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rPr>
              <w:t>ACIU</w:t>
            </w:r>
          </w:p>
        </w:tc>
        <w:tc>
          <w:tcPr>
            <w:tcW w:w="4220" w:type="dxa"/>
            <w:vAlign w:val="bottom"/>
          </w:tcPr>
          <w:p>
            <w:pPr>
              <w:jc w:val="center"/>
              <w:ind w:left="450"/>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30"/>
        </w:trPr>
        <w:tc>
          <w:tcPr>
            <w:tcW w:w="4320" w:type="dxa"/>
            <w:vAlign w:val="bottom"/>
          </w:tcPr>
          <w:p>
            <w:pPr>
              <w:jc w:val="center"/>
              <w:ind w:right="450"/>
              <w:spacing w:after="0"/>
              <w:rPr>
                <w:sz w:val="20"/>
                <w:szCs w:val="20"/>
                <w:color w:val="auto"/>
              </w:rPr>
            </w:pPr>
            <w:r>
              <w:rPr>
                <w:rFonts w:ascii="Arial" w:cs="Arial" w:eastAsia="Arial" w:hAnsi="Arial"/>
                <w:sz w:val="18"/>
                <w:szCs w:val="18"/>
                <w:color w:val="auto"/>
                <w:w w:val="84"/>
              </w:rPr>
              <w:t>share</w:t>
            </w:r>
          </w:p>
        </w:tc>
        <w:tc>
          <w:tcPr>
            <w:tcW w:w="270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83,479,013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0"/>
          <w:szCs w:val="20"/>
          <w:color w:val="auto"/>
        </w:rPr>
      </w:pPr>
    </w:p>
    <w:p>
      <w:pPr>
        <w:ind w:left="5360" w:hanging="206"/>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60" w:hanging="206"/>
        <w:spacing w:after="0" w:line="207" w:lineRule="exact"/>
        <w:tabs>
          <w:tab w:leader="none" w:pos="5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ind w:left="5360" w:hanging="206"/>
        <w:spacing w:after="0" w:line="207" w:lineRule="exact"/>
        <w:tabs>
          <w:tab w:leader="none" w:pos="53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60" w:hanging="206"/>
        <w:spacing w:after="0" w:line="207" w:lineRule="exact"/>
        <w:tabs>
          <w:tab w:leader="none" w:pos="53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14" w:lineRule="exact"/>
        <w:rPr>
          <w:sz w:val="20"/>
          <w:szCs w:val="20"/>
          <w:color w:val="auto"/>
        </w:rPr>
      </w:pPr>
    </w:p>
    <w:p>
      <w:pPr>
        <w:ind w:left="10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7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7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260" w:space="720"/>
            <w:col w:w="2600" w:space="720"/>
            <w:col w:w="2940"/>
          </w:cols>
          <w:pgMar w:left="320" w:top="125" w:right="339" w:bottom="1440" w:gutter="0" w:footer="0" w:header="0"/>
          <w:type w:val="continuous"/>
        </w:sectPr>
      </w:pPr>
    </w:p>
    <w:p>
      <w:pPr>
        <w:spacing w:after="0" w:line="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51" w:lineRule="exact"/>
        <w:rPr>
          <w:sz w:val="20"/>
          <w:szCs w:val="20"/>
          <w:color w:val="auto"/>
        </w:rPr>
      </w:pPr>
    </w:p>
    <w:p>
      <w:pPr>
        <w:ind w:left="5380" w:hanging="204"/>
        <w:spacing w:after="0" w:line="207" w:lineRule="exact"/>
        <w:tabs>
          <w:tab w:leader="none" w:pos="538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left="64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900"/>
        <w:spacing w:after="0" w:line="22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540"/>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13" w:lineRule="exact"/>
        <w:rPr>
          <w:sz w:val="20"/>
          <w:szCs w:val="20"/>
          <w:color w:val="auto"/>
        </w:rPr>
      </w:pPr>
    </w:p>
    <w:p>
      <w:pPr>
        <w:sectPr>
          <w:pgSz w:w="11900" w:h="16838" w:orient="portrait"/>
          <w:cols w:equalWidth="0" w:num="3">
            <w:col w:w="3200" w:space="720"/>
            <w:col w:w="4440" w:space="720"/>
            <w:col w:w="216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ind w:left="5040" w:hanging="200"/>
        <w:spacing w:after="0" w:line="207" w:lineRule="exact"/>
        <w:tabs>
          <w:tab w:leader="none" w:pos="50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ind w:left="5360" w:hanging="206"/>
        <w:spacing w:after="0" w:line="207" w:lineRule="exact"/>
        <w:tabs>
          <w:tab w:leader="none" w:pos="53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rPr>
              <w:t>AC IMMUNE SA</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gridSpan w:val="7"/>
          </w:tcPr>
          <w:p>
            <w:pPr>
              <w:jc w:val="center"/>
              <w:ind w:right="214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80" w:type="dxa"/>
            <w:vAlign w:val="bottom"/>
            <w:gridSpan w:val="4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500" w:type="dxa"/>
            <w:vAlign w:val="bottom"/>
            <w:tcBorders>
              <w:top w:val="single" w:sz="8" w:color="CCEEFF"/>
            </w:tcBorders>
          </w:tcPr>
          <w:p>
            <w:pPr>
              <w:spacing w:after="0"/>
              <w:rPr>
                <w:sz w:val="15"/>
                <w:szCs w:val="15"/>
                <w:color w:val="auto"/>
              </w:rPr>
            </w:pPr>
          </w:p>
        </w:tc>
        <w:tc>
          <w:tcPr>
            <w:tcW w:w="2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47"/>
            <w:shd w:val="clear" w:color="auto" w:fill="CCEEFF"/>
          </w:tcPr>
          <w:p>
            <w:pPr>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 1. IDENTITY OF DIRECTORS, SENIOR MANAGEMENT AND ADVISERS</w:t>
              </w:r>
            </w:hyperlink>
          </w:p>
        </w:tc>
        <w:tc>
          <w:tcPr>
            <w:tcW w:w="250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Directors and senior management</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7"/>
                <w:szCs w:val="17"/>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Advisers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tcBorders>
              <w:top w:val="single" w:sz="8" w:color="CCEEFF"/>
            </w:tcBorders>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Auditors</w:t>
              </w:r>
            </w:hyperlink>
          </w:p>
        </w:tc>
        <w:tc>
          <w:tcPr>
            <w:tcW w:w="7340" w:type="dxa"/>
            <w:vAlign w:val="bottom"/>
            <w:tcBorders>
              <w:top w:val="single" w:sz="8" w:color="CCEEFF"/>
            </w:tcBorders>
            <w:gridSpan w:val="43"/>
          </w:tcPr>
          <w:p>
            <w:pPr>
              <w:spacing w:after="0"/>
              <w:rPr>
                <w:sz w:val="15"/>
                <w:szCs w:val="15"/>
                <w:color w:val="auto"/>
              </w:rPr>
            </w:pPr>
          </w:p>
        </w:tc>
        <w:tc>
          <w:tcPr>
            <w:tcW w:w="2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0000EE"/>
            </w:tcBorders>
            <w:gridSpan w:val="42"/>
            <w:shd w:val="clear" w:color="auto" w:fill="CCEEFF"/>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ITEM 2. OFFER STATISTICS AND EXPECTED TIMETABLE</w:t>
              </w:r>
            </w:hyperlink>
          </w:p>
        </w:tc>
        <w:tc>
          <w:tcPr>
            <w:tcW w:w="4080" w:type="dxa"/>
            <w:vAlign w:val="bottom"/>
            <w:tcBorders>
              <w:bottom w:val="single" w:sz="8" w:color="CCEEFF"/>
            </w:tcBorders>
            <w:gridSpan w:val="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Method and expected timetable</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80" w:type="dxa"/>
            <w:vAlign w:val="bottom"/>
            <w:gridSpan w:val="4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3. KEY INFORMATION</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A.</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[Reserved]</w:t>
              </w:r>
            </w:hyperlink>
          </w:p>
        </w:tc>
        <w:tc>
          <w:tcPr>
            <w:tcW w:w="7180" w:type="dxa"/>
            <w:vAlign w:val="bottom"/>
            <w:tcBorders>
              <w:bottom w:val="single" w:sz="8" w:color="CCEEFF"/>
            </w:tcBorders>
            <w:gridSpan w:val="4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B.</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Capitalization and indebtedness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7"/>
                <w:szCs w:val="17"/>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Reasons for the offer and use of proceeds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tcBorders>
              <w:top w:val="single" w:sz="8" w:color="CCEEFF"/>
            </w:tcBorders>
            <w:gridSpan w:val="2"/>
          </w:tcPr>
          <w:p>
            <w:pPr>
              <w:ind w:left="340"/>
              <w:spacing w:after="0" w:line="176" w:lineRule="exact"/>
              <w:rPr>
                <w:sz w:val="20"/>
                <w:szCs w:val="20"/>
                <w:color w:val="auto"/>
              </w:rPr>
            </w:pPr>
            <w:r>
              <w:rPr>
                <w:rFonts w:ascii="Arial" w:cs="Arial" w:eastAsia="Arial" w:hAnsi="Arial"/>
                <w:sz w:val="18"/>
                <w:szCs w:val="18"/>
                <w:color w:val="auto"/>
              </w:rPr>
              <w:t>D.</w:t>
            </w:r>
          </w:p>
        </w:tc>
        <w:tc>
          <w:tcPr>
            <w:tcW w:w="120" w:type="dxa"/>
            <w:vAlign w:val="bottom"/>
            <w:tcBorders>
              <w:top w:val="single" w:sz="8" w:color="CCEEFF"/>
            </w:tcBorders>
          </w:tcPr>
          <w:p>
            <w:pPr>
              <w:spacing w:after="0"/>
              <w:rPr>
                <w:sz w:val="15"/>
                <w:szCs w:val="15"/>
                <w:color w:val="auto"/>
              </w:rPr>
            </w:pPr>
          </w:p>
        </w:tc>
        <w:tc>
          <w:tcPr>
            <w:tcW w:w="2980" w:type="dxa"/>
            <w:vAlign w:val="bottom"/>
            <w:tcBorders>
              <w:top w:val="single" w:sz="8" w:color="0000EE"/>
            </w:tcBorders>
            <w:gridSpan w:val="3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000" w:type="dxa"/>
            <w:vAlign w:val="bottom"/>
            <w:tcBorders>
              <w:top w:val="single" w:sz="8" w:color="CCEEFF"/>
            </w:tcBorders>
            <w:gridSpan w:val="8"/>
          </w:tcPr>
          <w:p>
            <w:pPr>
              <w:spacing w:after="0"/>
              <w:rPr>
                <w:sz w:val="15"/>
                <w:szCs w:val="15"/>
                <w:color w:val="auto"/>
              </w:rPr>
            </w:pPr>
          </w:p>
        </w:tc>
        <w:tc>
          <w:tcPr>
            <w:tcW w:w="2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ITEM 4. INFORMATION ON THE COMPANY</w:t>
              </w:r>
            </w:hyperlink>
          </w:p>
        </w:tc>
        <w:tc>
          <w:tcPr>
            <w:tcW w:w="5240" w:type="dxa"/>
            <w:vAlign w:val="bottom"/>
            <w:tcBorders>
              <w:bottom w:val="single" w:sz="8" w:color="CCEEFF"/>
            </w:tcBorders>
            <w:gridSpan w:val="11"/>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History and development of the company</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Business overview</w:t>
              </w:r>
            </w:hyperlink>
          </w:p>
        </w:tc>
        <w:tc>
          <w:tcPr>
            <w:tcW w:w="6620" w:type="dxa"/>
            <w:vAlign w:val="bottom"/>
            <w:tcBorders>
              <w:bottom w:val="single" w:sz="8" w:color="CCEEFF"/>
            </w:tcBorders>
            <w:gridSpan w:val="31"/>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Organizational structure</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D.</w:t>
            </w:r>
          </w:p>
        </w:tc>
        <w:tc>
          <w:tcPr>
            <w:tcW w:w="12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Property, plant and equipment</w:t>
              </w:r>
            </w:hyperlink>
          </w:p>
        </w:tc>
        <w:tc>
          <w:tcPr>
            <w:tcW w:w="5800" w:type="dxa"/>
            <w:vAlign w:val="bottom"/>
            <w:tcBorders>
              <w:bottom w:val="single" w:sz="8" w:color="CCEEFF"/>
            </w:tcBorders>
            <w:gridSpan w:val="18"/>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80" w:type="dxa"/>
            <w:vAlign w:val="bottom"/>
            <w:gridSpan w:val="48"/>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ITEM 4A. UNRESOLVED STAFF COMMENTS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ITEM 5. OPERATING AND FINANCIAL REVIEW AND PROSPECTS</w:t>
              </w:r>
            </w:hyperlink>
          </w:p>
        </w:tc>
        <w:tc>
          <w:tcPr>
            <w:tcW w:w="3440" w:type="dxa"/>
            <w:vAlign w:val="bottom"/>
            <w:tcBorders>
              <w:bottom w:val="single" w:sz="8" w:color="CCEEFF"/>
            </w:tcBorders>
            <w:gridSpan w:val="3"/>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Operating results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Liquidity and capital resources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Research and development, patents and licenses, etc.</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Trend information</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E.</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Critical Accounting Estimates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44"/>
            <w:shd w:val="clear" w:color="auto" w:fill="CCEEFF"/>
          </w:tcPr>
          <w:p>
            <w:pPr>
              <w:spacing w:after="0" w:line="17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ITEM 6. DIRECTORS, SENIOR MANAGEMENT AND EMPLOYEES</w:t>
              </w:r>
            </w:hyperlink>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Directors and senior management</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Compensation</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Board practices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Employees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E.</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Share ownership</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48"/>
            <w:shd w:val="clear" w:color="auto" w:fill="CCEEFF"/>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ITEM 7. MAJOR SHAREHOLDERS AND RELATED-PARTY TRANSACTIONS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tcBorders>
              <w:top w:val="single" w:sz="8" w:color="0000EE"/>
            </w:tcBorders>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5380" w:type="dxa"/>
            <w:vAlign w:val="bottom"/>
            <w:tcBorders>
              <w:top w:val="single" w:sz="8" w:color="0000EE"/>
            </w:tcBorders>
            <w:gridSpan w:val="44"/>
          </w:tcPr>
          <w:p>
            <w:pPr>
              <w:ind w:left="12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Major shareholders</w:t>
              </w:r>
            </w:hyperlink>
          </w:p>
        </w:tc>
        <w:tc>
          <w:tcPr>
            <w:tcW w:w="2720" w:type="dxa"/>
            <w:vAlign w:val="bottom"/>
            <w:tcBorders>
              <w:top w:val="single" w:sz="8" w:color="CCEEFF"/>
            </w:tcBorders>
            <w:gridSpan w:val="2"/>
          </w:tcPr>
          <w:p>
            <w:pPr>
              <w:spacing w:after="0"/>
              <w:rPr>
                <w:sz w:val="15"/>
                <w:szCs w:val="15"/>
                <w:color w:val="auto"/>
              </w:rPr>
            </w:pPr>
          </w:p>
        </w:tc>
        <w:tc>
          <w:tcPr>
            <w:tcW w:w="2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Related-party transactions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Interests of experts and counsel</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80" w:type="dxa"/>
            <w:vAlign w:val="bottom"/>
            <w:gridSpan w:val="48"/>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ITEM 8. FINANCIAL INFORMATION</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Consolidated statements and other financial information</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Significant changes</w:t>
              </w:r>
            </w:hyperlink>
          </w:p>
        </w:tc>
        <w:tc>
          <w:tcPr>
            <w:tcW w:w="6560" w:type="dxa"/>
            <w:vAlign w:val="bottom"/>
            <w:tcBorders>
              <w:bottom w:val="single" w:sz="8" w:color="CCEEFF"/>
            </w:tcBorders>
            <w:gridSpan w:val="29"/>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80" w:type="dxa"/>
            <w:vAlign w:val="bottom"/>
            <w:gridSpan w:val="48"/>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ITEM 9. THE OFFER AND LISTING</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A.</w:t>
            </w: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Offering and listing details</w:t>
              </w:r>
            </w:hyperlink>
          </w:p>
        </w:tc>
        <w:tc>
          <w:tcPr>
            <w:tcW w:w="6040" w:type="dxa"/>
            <w:vAlign w:val="bottom"/>
            <w:tcBorders>
              <w:bottom w:val="single" w:sz="8" w:color="CCEEFF"/>
            </w:tcBorders>
            <w:gridSpan w:val="23"/>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B.</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Plan of distribution</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C.</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Markets</w:t>
              </w:r>
            </w:hyperlink>
          </w:p>
        </w:tc>
        <w:tc>
          <w:tcPr>
            <w:tcW w:w="7380" w:type="dxa"/>
            <w:vAlign w:val="bottom"/>
            <w:tcBorders>
              <w:bottom w:val="single" w:sz="8" w:color="CCEEFF"/>
            </w:tcBorders>
            <w:gridSpan w:val="44"/>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D.</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Selling shareholders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15"/>
                <w:szCs w:val="15"/>
                <w:color w:val="auto"/>
              </w:rPr>
            </w:pPr>
          </w:p>
        </w:tc>
        <w:tc>
          <w:tcPr>
            <w:tcW w:w="7980" w:type="dxa"/>
            <w:vAlign w:val="bottom"/>
            <w:gridSpan w:val="45"/>
            <w:shd w:val="clear" w:color="auto" w:fill="CCEEFF"/>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Dilution</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5"/>
                <w:szCs w:val="15"/>
                <w:color w:val="auto"/>
              </w:rPr>
            </w:pPr>
          </w:p>
        </w:tc>
        <w:tc>
          <w:tcPr>
            <w:tcW w:w="7980" w:type="dxa"/>
            <w:vAlign w:val="bottom"/>
            <w:gridSpan w:val="45"/>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Expenses of the issue</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48"/>
            <w:shd w:val="clear" w:color="auto" w:fill="CCEEFF"/>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ITEM 10. ADDITIONAL INFORMATION</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tcBorders>
              <w:top w:val="single" w:sz="8" w:color="0000EE"/>
            </w:tcBorders>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2480" w:type="dxa"/>
            <w:vAlign w:val="bottom"/>
            <w:tcBorders>
              <w:top w:val="single" w:sz="8" w:color="0000EE"/>
            </w:tcBorders>
            <w:gridSpan w:val="33"/>
          </w:tcPr>
          <w:p>
            <w:pPr>
              <w:ind w:left="120"/>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Share capital</w:t>
              </w:r>
            </w:hyperlink>
          </w:p>
        </w:tc>
        <w:tc>
          <w:tcPr>
            <w:tcW w:w="5620" w:type="dxa"/>
            <w:vAlign w:val="bottom"/>
            <w:tcBorders>
              <w:top w:val="single" w:sz="8" w:color="CCEEFF"/>
            </w:tcBorders>
            <w:gridSpan w:val="13"/>
          </w:tcPr>
          <w:p>
            <w:pPr>
              <w:spacing w:after="0"/>
              <w:rPr>
                <w:sz w:val="15"/>
                <w:szCs w:val="15"/>
                <w:color w:val="auto"/>
              </w:rPr>
            </w:pPr>
          </w:p>
        </w:tc>
        <w:tc>
          <w:tcPr>
            <w:tcW w:w="24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12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36"/>
            <w:shd w:val="clear" w:color="auto" w:fill="CCEEFF"/>
          </w:tcPr>
          <w:p>
            <w:pPr>
              <w:spacing w:after="0" w:line="17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Memorandum and articles of association</w:t>
              </w:r>
            </w:hyperlink>
          </w:p>
        </w:tc>
        <w:tc>
          <w:tcPr>
            <w:tcW w:w="5040" w:type="dxa"/>
            <w:vAlign w:val="bottom"/>
            <w:tcBorders>
              <w:bottom w:val="single" w:sz="8" w:color="CCEEFF"/>
            </w:tcBorders>
            <w:gridSpan w:val="9"/>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Material contracts</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D.</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150">
              <w:r>
                <w:rPr>
                  <w:rFonts w:ascii="Arial" w:cs="Arial" w:eastAsia="Arial" w:hAnsi="Arial"/>
                  <w:sz w:val="18"/>
                  <w:szCs w:val="18"/>
                  <w:color w:val="0000EE"/>
                  <w:w w:val="89"/>
                </w:rPr>
                <w:t>Exchange controls</w:t>
              </w:r>
            </w:hyperlink>
          </w:p>
        </w:tc>
        <w:tc>
          <w:tcPr>
            <w:tcW w:w="6640" w:type="dxa"/>
            <w:vAlign w:val="bottom"/>
            <w:tcBorders>
              <w:bottom w:val="single" w:sz="8" w:color="CCEEFF"/>
            </w:tcBorders>
            <w:gridSpan w:val="32"/>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E.</w:t>
            </w:r>
          </w:p>
        </w:tc>
        <w:tc>
          <w:tcPr>
            <w:tcW w:w="8100" w:type="dxa"/>
            <w:vAlign w:val="bottom"/>
            <w:gridSpan w:val="46"/>
          </w:tcPr>
          <w:p>
            <w:pPr>
              <w:ind w:left="120"/>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Taxation</w:t>
              </w:r>
            </w:hyperlink>
          </w:p>
        </w:tc>
        <w:tc>
          <w:tcPr>
            <w:tcW w:w="2460" w:type="dxa"/>
            <w:vAlign w:val="bottom"/>
          </w:tcPr>
          <w:p>
            <w:pPr>
              <w:jc w:val="right"/>
              <w:spacing w:after="0" w:line="176"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F.</w:t>
            </w:r>
          </w:p>
        </w:tc>
        <w:tc>
          <w:tcPr>
            <w:tcW w:w="8100" w:type="dxa"/>
            <w:vAlign w:val="bottom"/>
            <w:gridSpan w:val="46"/>
            <w:shd w:val="clear" w:color="auto" w:fill="CCEEFF"/>
          </w:tcPr>
          <w:p>
            <w:pPr>
              <w:ind w:left="120"/>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Dividends and paying agents</w:t>
              </w:r>
            </w:hyperlink>
          </w:p>
        </w:tc>
        <w:tc>
          <w:tcPr>
            <w:tcW w:w="2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7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G.</w:t>
            </w:r>
          </w:p>
        </w:tc>
        <w:tc>
          <w:tcPr>
            <w:tcW w:w="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88"/>
              </w:rPr>
            </w:pPr>
            <w:hyperlink w:anchor="page157">
              <w:r>
                <w:rPr>
                  <w:rFonts w:ascii="Arial" w:cs="Arial" w:eastAsia="Arial" w:hAnsi="Arial"/>
                  <w:sz w:val="18"/>
                  <w:szCs w:val="18"/>
                  <w:color w:val="0000EE"/>
                  <w:w w:val="88"/>
                </w:rPr>
                <w:t>Statement by experts</w:t>
              </w:r>
            </w:hyperlink>
          </w:p>
        </w:tc>
        <w:tc>
          <w:tcPr>
            <w:tcW w:w="6300" w:type="dxa"/>
            <w:vAlign w:val="bottom"/>
            <w:tcBorders>
              <w:bottom w:val="single" w:sz="8" w:color="CCEEFF"/>
            </w:tcBorders>
            <w:gridSpan w:val="19"/>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0" w:type="dxa"/>
            <w:vAlign w:val="bottom"/>
            <w:gridSpan w:val="4"/>
          </w:tcPr>
          <w:p>
            <w:pPr>
              <w:ind w:left="340"/>
              <w:spacing w:after="0" w:line="176" w:lineRule="exact"/>
              <w:rPr>
                <w:sz w:val="20"/>
                <w:szCs w:val="20"/>
                <w:color w:val="auto"/>
              </w:rPr>
            </w:pPr>
            <w:r>
              <w:rPr>
                <w:rFonts w:ascii="Arial" w:cs="Arial" w:eastAsia="Arial" w:hAnsi="Arial"/>
                <w:sz w:val="18"/>
                <w:szCs w:val="18"/>
                <w:color w:val="auto"/>
              </w:rPr>
              <w:t>H.</w:t>
            </w:r>
          </w:p>
        </w:tc>
        <w:tc>
          <w:tcPr>
            <w:tcW w:w="7880" w:type="dxa"/>
            <w:vAlign w:val="bottom"/>
            <w:gridSpan w:val="29"/>
          </w:tcPr>
          <w:p>
            <w:pPr>
              <w:ind w:left="6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Documents on display</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20" w:type="dxa"/>
            <w:vAlign w:val="bottom"/>
            <w:gridSpan w:val="28"/>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Subsidiary information</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11. QUANTITATIVE AND QUALITATIVE DISCLOSURES ABOUT MARKET RISK</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12. DESCRIPTION OF SECURITIES OTHER THAN EQUITY SECURITIES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40" w:type="dxa"/>
            <w:vAlign w:val="bottom"/>
            <w:tcBorders>
              <w:top w:val="single" w:sz="8" w:color="0000EE"/>
            </w:tcBorders>
            <w:gridSpan w:val="4"/>
          </w:tcPr>
          <w:p>
            <w:pPr>
              <w:ind w:left="340"/>
              <w:spacing w:after="0" w:line="176" w:lineRule="exact"/>
              <w:rPr>
                <w:sz w:val="20"/>
                <w:szCs w:val="20"/>
                <w:color w:val="auto"/>
              </w:rPr>
            </w:pPr>
            <w:r>
              <w:rPr>
                <w:rFonts w:ascii="Arial" w:cs="Arial" w:eastAsia="Arial" w:hAnsi="Arial"/>
                <w:sz w:val="18"/>
                <w:szCs w:val="18"/>
                <w:color w:val="auto"/>
              </w:rPr>
              <w:t>A.</w:t>
            </w:r>
          </w:p>
        </w:tc>
        <w:tc>
          <w:tcPr>
            <w:tcW w:w="5500" w:type="dxa"/>
            <w:vAlign w:val="bottom"/>
            <w:tcBorders>
              <w:top w:val="single" w:sz="8" w:color="0000EE"/>
            </w:tcBorders>
            <w:gridSpan w:val="27"/>
          </w:tcPr>
          <w:p>
            <w:pPr>
              <w:ind w:left="6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Debt securities</w:t>
              </w:r>
            </w:hyperlink>
          </w:p>
        </w:tc>
        <w:tc>
          <w:tcPr>
            <w:tcW w:w="2380" w:type="dxa"/>
            <w:vAlign w:val="bottom"/>
            <w:tcBorders>
              <w:top w:val="single" w:sz="8" w:color="CCEEFF"/>
            </w:tcBorders>
            <w:gridSpan w:val="2"/>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7"/>
                <w:szCs w:val="17"/>
                <w:color w:val="auto"/>
              </w:rPr>
            </w:pPr>
          </w:p>
        </w:tc>
        <w:tc>
          <w:tcPr>
            <w:tcW w:w="7820" w:type="dxa"/>
            <w:vAlign w:val="bottom"/>
            <w:gridSpan w:val="28"/>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Warrants and rights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0" w:type="dxa"/>
            <w:vAlign w:val="bottom"/>
            <w:tcBorders>
              <w:top w:val="single" w:sz="8" w:color="CCEEFF"/>
            </w:tcBorders>
            <w:gridSpan w:val="4"/>
          </w:tcPr>
          <w:p>
            <w:pPr>
              <w:ind w:left="340"/>
              <w:spacing w:after="0" w:line="176" w:lineRule="exact"/>
              <w:rPr>
                <w:sz w:val="20"/>
                <w:szCs w:val="20"/>
                <w:color w:val="auto"/>
              </w:rPr>
            </w:pPr>
            <w:r>
              <w:rPr>
                <w:rFonts w:ascii="Arial" w:cs="Arial" w:eastAsia="Arial" w:hAnsi="Arial"/>
                <w:sz w:val="18"/>
                <w:szCs w:val="18"/>
                <w:color w:val="auto"/>
              </w:rPr>
              <w:t>C.</w:t>
            </w:r>
          </w:p>
        </w:tc>
        <w:tc>
          <w:tcPr>
            <w:tcW w:w="60" w:type="dxa"/>
            <w:vAlign w:val="bottom"/>
            <w:tcBorders>
              <w:top w:val="single" w:sz="8" w:color="CCEEFF"/>
            </w:tcBorders>
          </w:tcPr>
          <w:p>
            <w:pPr>
              <w:spacing w:after="0"/>
              <w:rPr>
                <w:sz w:val="15"/>
                <w:szCs w:val="15"/>
                <w:color w:val="auto"/>
              </w:rPr>
            </w:pPr>
          </w:p>
        </w:tc>
        <w:tc>
          <w:tcPr>
            <w:tcW w:w="14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Other securities</w:t>
              </w:r>
            </w:hyperlink>
          </w:p>
        </w:tc>
        <w:tc>
          <w:tcPr>
            <w:tcW w:w="6420" w:type="dxa"/>
            <w:vAlign w:val="bottom"/>
            <w:tcBorders>
              <w:top w:val="single" w:sz="8" w:color="CCEEFF"/>
            </w:tcBorders>
            <w:gridSpan w:val="21"/>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D.</w:t>
            </w:r>
          </w:p>
        </w:tc>
        <w:tc>
          <w:tcPr>
            <w:tcW w:w="7880" w:type="dxa"/>
            <w:vAlign w:val="bottom"/>
            <w:gridSpan w:val="29"/>
            <w:shd w:val="clear" w:color="auto" w:fill="CCEEFF"/>
          </w:tcPr>
          <w:p>
            <w:pPr>
              <w:ind w:left="6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American depositary shares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PART II</w:t>
              </w:r>
            </w:hyperlink>
          </w:p>
        </w:tc>
        <w:tc>
          <w:tcPr>
            <w:tcW w:w="6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ITEM</w:t>
              </w:r>
            </w:hyperlink>
          </w:p>
        </w:tc>
        <w:tc>
          <w:tcPr>
            <w:tcW w:w="5300" w:type="dxa"/>
            <w:vAlign w:val="bottom"/>
            <w:tcBorders>
              <w:bottom w:val="single" w:sz="8" w:color="0000EE"/>
            </w:tcBorders>
            <w:gridSpan w:val="28"/>
            <w:shd w:val="clear" w:color="auto" w:fill="CCEEFF"/>
          </w:tcPr>
          <w:p>
            <w:pPr>
              <w:ind w:left="20"/>
              <w:spacing w:after="0" w:line="176" w:lineRule="exact"/>
              <w:rPr>
                <w:rFonts w:ascii="Arial" w:cs="Arial" w:eastAsia="Arial" w:hAnsi="Arial"/>
                <w:sz w:val="18"/>
                <w:szCs w:val="18"/>
                <w:color w:val="0000EE"/>
                <w:w w:val="96"/>
              </w:rPr>
            </w:pPr>
            <w:hyperlink w:anchor="page159">
              <w:r>
                <w:rPr>
                  <w:rFonts w:ascii="Arial" w:cs="Arial" w:eastAsia="Arial" w:hAnsi="Arial"/>
                  <w:sz w:val="18"/>
                  <w:szCs w:val="18"/>
                  <w:color w:val="0000EE"/>
                  <w:w w:val="96"/>
                </w:rPr>
                <w:t>13. DEFAULTS, DIVIDEND ARREARAGES AND DELINQUENCIES</w:t>
              </w:r>
            </w:hyperlink>
          </w:p>
        </w:tc>
        <w:tc>
          <w:tcPr>
            <w:tcW w:w="2840" w:type="dxa"/>
            <w:vAlign w:val="bottom"/>
            <w:tcBorders>
              <w:bottom w:val="single" w:sz="8" w:color="CCEEFF"/>
            </w:tcBorders>
            <w:gridSpan w:val="4"/>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40" w:type="dxa"/>
            <w:vAlign w:val="bottom"/>
            <w:gridSpan w:val="4"/>
          </w:tcPr>
          <w:p>
            <w:pPr>
              <w:ind w:left="340"/>
              <w:spacing w:after="0" w:line="176" w:lineRule="exact"/>
              <w:rPr>
                <w:sz w:val="20"/>
                <w:szCs w:val="20"/>
                <w:color w:val="auto"/>
              </w:rPr>
            </w:pPr>
            <w:r>
              <w:rPr>
                <w:rFonts w:ascii="Arial" w:cs="Arial" w:eastAsia="Arial" w:hAnsi="Arial"/>
                <w:sz w:val="18"/>
                <w:szCs w:val="18"/>
                <w:color w:val="auto"/>
              </w:rPr>
              <w:t>A.</w:t>
            </w:r>
          </w:p>
        </w:tc>
        <w:tc>
          <w:tcPr>
            <w:tcW w:w="7880" w:type="dxa"/>
            <w:vAlign w:val="bottom"/>
            <w:gridSpan w:val="29"/>
          </w:tcPr>
          <w:p>
            <w:pPr>
              <w:ind w:left="60"/>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Defaults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15"/>
                <w:szCs w:val="15"/>
                <w:color w:val="auto"/>
              </w:rPr>
            </w:pPr>
          </w:p>
        </w:tc>
        <w:tc>
          <w:tcPr>
            <w:tcW w:w="7820" w:type="dxa"/>
            <w:vAlign w:val="bottom"/>
            <w:gridSpan w:val="28"/>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Arrears and delinquencies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Borders>
              <w:bottom w:val="single" w:sz="8" w:color="0000EE"/>
            </w:tcBorders>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ITEM</w:t>
              </w:r>
            </w:hyperlink>
          </w:p>
        </w:tc>
        <w:tc>
          <w:tcPr>
            <w:tcW w:w="8140" w:type="dxa"/>
            <w:vAlign w:val="bottom"/>
            <w:tcBorders>
              <w:bottom w:val="single" w:sz="8" w:color="0000EE"/>
            </w:tcBorders>
            <w:gridSpan w:val="32"/>
          </w:tcPr>
          <w:p>
            <w:pPr>
              <w:ind w:left="2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14. MATERIAL MODIFICATIONS TO THE RIGHTS OF SECURITY HOLDERS AND USE OF PROCEEDS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15. 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60" w:type="dxa"/>
            <w:vAlign w:val="bottom"/>
            <w:tcBorders>
              <w:top w:val="single" w:sz="8" w:color="0000EE"/>
            </w:tcBorders>
            <w:gridSpan w:val="22"/>
          </w:tcPr>
          <w:p>
            <w:pPr>
              <w:ind w:left="340"/>
              <w:spacing w:after="0" w:line="176" w:lineRule="exact"/>
              <w:rPr>
                <w:rFonts w:ascii="Arial" w:cs="Arial" w:eastAsia="Arial" w:hAnsi="Arial"/>
                <w:sz w:val="18"/>
                <w:szCs w:val="18"/>
                <w:color w:val="auto"/>
                <w:w w:val="95"/>
              </w:rPr>
            </w:pPr>
            <w:r>
              <w:rPr>
                <w:rFonts w:ascii="Arial" w:cs="Arial" w:eastAsia="Arial" w:hAnsi="Arial"/>
                <w:sz w:val="18"/>
                <w:szCs w:val="18"/>
                <w:color w:val="auto"/>
                <w:w w:val="95"/>
              </w:rPr>
              <w:t xml:space="preserve">A.   </w:t>
            </w:r>
            <w:hyperlink w:anchor="page160">
              <w:r>
                <w:rPr>
                  <w:rFonts w:ascii="Arial" w:cs="Arial" w:eastAsia="Arial" w:hAnsi="Arial"/>
                  <w:sz w:val="18"/>
                  <w:szCs w:val="18"/>
                  <w:color w:val="0000EE"/>
                  <w:w w:val="95"/>
                </w:rPr>
                <w:t>Disclosure controls and procedures</w:t>
              </w:r>
            </w:hyperlink>
          </w:p>
        </w:tc>
        <w:tc>
          <w:tcPr>
            <w:tcW w:w="5260" w:type="dxa"/>
            <w:vAlign w:val="bottom"/>
            <w:tcBorders>
              <w:top w:val="single" w:sz="8" w:color="CCEEFF"/>
            </w:tcBorders>
            <w:gridSpan w:val="11"/>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33"/>
            <w:shd w:val="clear" w:color="auto" w:fill="CCEEFF"/>
          </w:tcPr>
          <w:p>
            <w:pPr>
              <w:ind w:left="3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B.   </w:t>
            </w:r>
            <w:hyperlink w:anchor="page160">
              <w:r>
                <w:rPr>
                  <w:rFonts w:ascii="Arial" w:cs="Arial" w:eastAsia="Arial" w:hAnsi="Arial"/>
                  <w:sz w:val="18"/>
                  <w:szCs w:val="18"/>
                  <w:color w:val="0000EE"/>
                </w:rPr>
                <w:t>Management’s Annual Report on internal control over financial reporting</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gridSpan w:val="33"/>
          </w:tcPr>
          <w:p>
            <w:pPr>
              <w:ind w:left="3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C.   </w:t>
            </w:r>
            <w:hyperlink w:anchor="page160">
              <w:r>
                <w:rPr>
                  <w:rFonts w:ascii="Arial" w:cs="Arial" w:eastAsia="Arial" w:hAnsi="Arial"/>
                  <w:sz w:val="18"/>
                  <w:szCs w:val="18"/>
                  <w:color w:val="0000EE"/>
                </w:rPr>
                <w:t>Attestation report of the registered public accounting firm</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20" w:type="dxa"/>
            <w:vAlign w:val="bottom"/>
            <w:gridSpan w:val="33"/>
            <w:shd w:val="clear" w:color="auto" w:fill="CCEEFF"/>
          </w:tcPr>
          <w:p>
            <w:pPr>
              <w:ind w:left="3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D.   </w:t>
            </w:r>
            <w:hyperlink w:anchor="page160">
              <w:r>
                <w:rPr>
                  <w:rFonts w:ascii="Arial" w:cs="Arial" w:eastAsia="Arial" w:hAnsi="Arial"/>
                  <w:sz w:val="18"/>
                  <w:szCs w:val="18"/>
                  <w:color w:val="0000EE"/>
                </w:rPr>
                <w:t>Changes in internal control over financial reporting</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16. [RESERVED]</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16A. Audit committee financial experts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Borders>
              <w:top w:val="single" w:sz="8" w:color="0000EE"/>
            </w:tcBorders>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2860" w:type="dxa"/>
            <w:vAlign w:val="bottom"/>
            <w:tcBorders>
              <w:top w:val="single" w:sz="8" w:color="0000EE"/>
            </w:tcBorders>
            <w:gridSpan w:val="20"/>
          </w:tcPr>
          <w:p>
            <w:pPr>
              <w:ind w:left="2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16B. Code of Ethics</w:t>
              </w:r>
            </w:hyperlink>
          </w:p>
        </w:tc>
        <w:tc>
          <w:tcPr>
            <w:tcW w:w="5280" w:type="dxa"/>
            <w:vAlign w:val="bottom"/>
            <w:tcBorders>
              <w:top w:val="single" w:sz="8" w:color="CCEEFF"/>
            </w:tcBorders>
            <w:gridSpan w:val="12"/>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16C. Principal accountant fees and services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16D. Exemptions from the listing standards for audit committees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5300" w:type="dxa"/>
            <w:vAlign w:val="bottom"/>
            <w:tcBorders>
              <w:bottom w:val="single" w:sz="8" w:color="0000EE"/>
            </w:tcBorders>
            <w:gridSpan w:val="28"/>
            <w:shd w:val="clear" w:color="auto" w:fill="CCEEFF"/>
          </w:tcPr>
          <w:p>
            <w:pPr>
              <w:ind w:left="20"/>
              <w:spacing w:after="0" w:line="17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16E. Purchases of equity securities by the issuer and affiliated purchasers</w:t>
              </w:r>
            </w:hyperlink>
          </w:p>
        </w:tc>
        <w:tc>
          <w:tcPr>
            <w:tcW w:w="2840" w:type="dxa"/>
            <w:vAlign w:val="bottom"/>
            <w:tcBorders>
              <w:bottom w:val="single" w:sz="8" w:color="CCEEFF"/>
            </w:tcBorders>
            <w:gridSpan w:val="4"/>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16F. Change in registrant’s certifying accountant</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16G. Corporate governance</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16H. Mine safety disclosure</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16I. Disclosure regarding foreign jurisdictions that prevent inspections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PART III</w:t>
              </w:r>
            </w:hyperlink>
          </w:p>
        </w:tc>
        <w:tc>
          <w:tcPr>
            <w:tcW w:w="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ITEM</w:t>
              </w:r>
            </w:hyperlink>
          </w:p>
        </w:tc>
        <w:tc>
          <w:tcPr>
            <w:tcW w:w="176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17. Financial statements</w:t>
              </w:r>
            </w:hyperlink>
          </w:p>
        </w:tc>
        <w:tc>
          <w:tcPr>
            <w:tcW w:w="6380" w:type="dxa"/>
            <w:vAlign w:val="bottom"/>
            <w:tcBorders>
              <w:bottom w:val="single" w:sz="8" w:color="CCEEFF"/>
            </w:tcBorders>
            <w:gridSpan w:val="2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ITEM</w:t>
              </w:r>
            </w:hyperlink>
          </w:p>
        </w:tc>
        <w:tc>
          <w:tcPr>
            <w:tcW w:w="8140" w:type="dxa"/>
            <w:vAlign w:val="bottom"/>
            <w:gridSpan w:val="32"/>
          </w:tcPr>
          <w:p>
            <w:pPr>
              <w:ind w:left="2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18. Financial statements</w:t>
              </w:r>
            </w:hyperlink>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shd w:val="clear" w:color="auto" w:fill="CCEEFF"/>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ITEM</w:t>
              </w:r>
            </w:hyperlink>
          </w:p>
        </w:tc>
        <w:tc>
          <w:tcPr>
            <w:tcW w:w="8140" w:type="dxa"/>
            <w:vAlign w:val="bottom"/>
            <w:gridSpan w:val="32"/>
            <w:shd w:val="clear" w:color="auto" w:fill="CCEEFF"/>
          </w:tcPr>
          <w:p>
            <w:pPr>
              <w:ind w:left="20"/>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19. Exhibits</w:t>
              </w:r>
            </w:hyperlink>
          </w:p>
        </w:tc>
        <w:tc>
          <w:tcPr>
            <w:tcW w:w="2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Unless otherwise indicated or the context otherwise requires, all references in this annual report on Form 20-F (the “Annual Report”) to “AC Immune,” “ACIU,” “Company,” “we,” “our,” “ours,” “us” or similar terms refer to AC Immune SA together with its subsidiary. The Company owns various registered and unregistered trademarks, for some of which protection has been obtained or is being sought, including Morphomer™, SupraAntigen™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and/or trade names to imply a relationship with, or endorsement or sponsorship of the Company by, any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consolidated financial statements are presented in Swiss Francs and in accordance with International Financial Reporting Standards (IFRS), as issued by the International Accounting Standards Board (IASB). None of the consolidated financial statements was prepared in accordance with generally accepted accounting principles in the United States (US).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(R&amp;D)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information—D. Risk factors” in this Annual Report. These risks and uncertainties include multiple factors:</w:t>
      </w:r>
    </w:p>
    <w:p>
      <w:pPr>
        <w:spacing w:after="0" w:line="188" w:lineRule="exact"/>
        <w:rPr>
          <w:sz w:val="20"/>
          <w:szCs w:val="20"/>
          <w:color w:val="auto"/>
        </w:rPr>
      </w:pPr>
    </w:p>
    <w:p>
      <w:pPr>
        <w:ind w:left="660" w:right="10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and maintain regulatory approval and to commercialize ACI-35, semorinemab, ACI-7104, Morphomer Tau, ACI-24 for Alzheimer’s disease (AD) and for Down syndrome-related AD (ACI-24 for DS), crenezumab, PI-2620, our Tau-positron emission tomography (PET) imaging tracer, our alpha-synuclein (a-syn) PET tracer and to a lesser extent our preclinical candidates;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preclinical and clinical safety, efficacy and utility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risk factors discussed under “Item 3. Key information—D. Risk factors.”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These forward-looking statements are applicable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IDENTITY OF DIRECTORS, SENIOR MANAGEMENT AND ADVISERS</w:t>
      </w:r>
    </w:p>
    <w:p>
      <w:pPr>
        <w:spacing w:after="0" w:line="225" w:lineRule="exact"/>
        <w:rPr>
          <w:sz w:val="20"/>
          <w:szCs w:val="20"/>
          <w:color w:val="auto"/>
        </w:rPr>
      </w:pPr>
    </w:p>
    <w:p>
      <w:pPr>
        <w:ind w:left="340" w:right="8260" w:hanging="332"/>
        <w:spacing w:after="0" w:line="500"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OFFER STATISTICS AND EXPECTED TIMETABLE</w:t>
      </w:r>
    </w:p>
    <w:p>
      <w:pPr>
        <w:spacing w:after="0" w:line="225" w:lineRule="exact"/>
        <w:rPr>
          <w:sz w:val="20"/>
          <w:szCs w:val="20"/>
          <w:color w:val="auto"/>
        </w:rPr>
      </w:pPr>
    </w:p>
    <w:p>
      <w:pPr>
        <w:jc w:val="both"/>
        <w:ind w:left="340" w:right="9740" w:hanging="332"/>
        <w:spacing w:after="0" w:line="601" w:lineRule="auto"/>
        <w:tabs>
          <w:tab w:leader="none" w:pos="340"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 statistics </w:t>
      </w:r>
      <w:r>
        <w:rPr>
          <w:rFonts w:ascii="Arial" w:cs="Arial" w:eastAsia="Arial" w:hAnsi="Arial"/>
          <w:sz w:val="15"/>
          <w:szCs w:val="15"/>
          <w:color w:val="auto"/>
        </w:rPr>
        <w:t>Not applicable.</w:t>
      </w: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Method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340" w:right="8440" w:hanging="332"/>
        <w:spacing w:after="0" w:line="500"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right="7760" w:hanging="332"/>
        <w:spacing w:after="0" w:line="500"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The below provides a summary of our principal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business:</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222222"/>
        </w:rPr>
        <w:t>We depend heavily on the success of our clinical and, to a lesser extent, preclinical products:</w:t>
      </w:r>
    </w:p>
    <w:p>
      <w:pPr>
        <w:spacing w:after="0" w:line="225" w:lineRule="exact"/>
        <w:rPr>
          <w:rFonts w:ascii="Arial" w:cs="Arial" w:eastAsia="Arial" w:hAnsi="Arial"/>
          <w:sz w:val="18"/>
          <w:szCs w:val="18"/>
          <w:color w:val="222222"/>
        </w:rPr>
      </w:pPr>
    </w:p>
    <w:p>
      <w:pPr>
        <w:ind w:left="1300" w:right="540" w:hanging="320"/>
        <w:spacing w:after="0" w:line="308" w:lineRule="auto"/>
        <w:tabs>
          <w:tab w:leader="none" w:pos="1300" w:val="left"/>
        </w:tabs>
        <w:numPr>
          <w:ilvl w:val="1"/>
          <w:numId w:val="16"/>
        </w:numPr>
        <w:rPr>
          <w:rFonts w:ascii="Arial" w:cs="Arial" w:eastAsia="Arial" w:hAnsi="Arial"/>
          <w:sz w:val="17"/>
          <w:szCs w:val="17"/>
          <w:color w:val="222222"/>
        </w:rPr>
      </w:pPr>
      <w:r>
        <w:rPr>
          <w:rFonts w:ascii="Arial" w:cs="Arial" w:eastAsia="Arial" w:hAnsi="Arial"/>
          <w:sz w:val="17"/>
          <w:szCs w:val="17"/>
          <w:color w:val="222222"/>
        </w:rPr>
        <w:t>Our ability to generate product revenues, which we do not expect to occur for several years, will depend on clinical and regulatory success which have low probabilities of success in the central nervous system (CNS) space in which we operate.</w:t>
      </w:r>
    </w:p>
    <w:p>
      <w:pPr>
        <w:spacing w:after="0" w:line="146" w:lineRule="exact"/>
        <w:rPr>
          <w:rFonts w:ascii="Arial" w:cs="Arial" w:eastAsia="Arial" w:hAnsi="Arial"/>
          <w:sz w:val="17"/>
          <w:szCs w:val="17"/>
          <w:color w:val="222222"/>
        </w:rPr>
      </w:pPr>
    </w:p>
    <w:p>
      <w:pPr>
        <w:ind w:left="660" w:hanging="328"/>
        <w:spacing w:after="0"/>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222222"/>
        </w:rPr>
        <w:t>Results of early preclinical and clinical studies may not be predictive of future results:</w:t>
      </w:r>
    </w:p>
    <w:p>
      <w:pPr>
        <w:spacing w:after="0" w:line="225" w:lineRule="exact"/>
        <w:rPr>
          <w:rFonts w:ascii="Arial" w:cs="Arial" w:eastAsia="Arial" w:hAnsi="Arial"/>
          <w:sz w:val="18"/>
          <w:szCs w:val="18"/>
          <w:color w:val="222222"/>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222222"/>
        </w:rPr>
      </w:pPr>
      <w:r>
        <w:rPr>
          <w:rFonts w:ascii="Arial" w:cs="Arial" w:eastAsia="Arial" w:hAnsi="Arial"/>
          <w:sz w:val="18"/>
          <w:szCs w:val="18"/>
          <w:color w:val="auto"/>
        </w:rPr>
        <w:t>Products that show positive or timely preclinical or early clinical results may not show sufficient safety or efficacy in later-stage clinical studies and therefore may fail to obtain regulatory approvals.</w:t>
      </w:r>
    </w:p>
    <w:p>
      <w:pPr>
        <w:spacing w:after="0" w:line="170" w:lineRule="exact"/>
        <w:rPr>
          <w:rFonts w:ascii="Arial" w:cs="Arial" w:eastAsia="Arial" w:hAnsi="Arial"/>
          <w:sz w:val="18"/>
          <w:szCs w:val="18"/>
          <w:color w:val="222222"/>
        </w:rPr>
      </w:pPr>
    </w:p>
    <w:p>
      <w:pPr>
        <w:ind w:left="660" w:hanging="328"/>
        <w:spacing w:after="0"/>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auto"/>
        </w:rPr>
        <w:t>Our products may not gain market acceptance or may be preempted by competitors:</w:t>
      </w:r>
    </w:p>
    <w:p>
      <w:pPr>
        <w:spacing w:after="0" w:line="225" w:lineRule="exact"/>
        <w:rPr>
          <w:rFonts w:ascii="Arial" w:cs="Arial" w:eastAsia="Arial" w:hAnsi="Arial"/>
          <w:sz w:val="18"/>
          <w:szCs w:val="18"/>
          <w:color w:val="222222"/>
        </w:rPr>
      </w:pPr>
    </w:p>
    <w:p>
      <w:pPr>
        <w:ind w:left="1300" w:hanging="320"/>
        <w:spacing w:after="0"/>
        <w:tabs>
          <w:tab w:leader="none" w:pos="1300" w:val="left"/>
        </w:tabs>
        <w:numPr>
          <w:ilvl w:val="1"/>
          <w:numId w:val="16"/>
        </w:numPr>
        <w:rPr>
          <w:rFonts w:ascii="Arial" w:cs="Arial" w:eastAsia="Arial" w:hAnsi="Arial"/>
          <w:sz w:val="16"/>
          <w:szCs w:val="16"/>
          <w:color w:val="222222"/>
        </w:rPr>
      </w:pPr>
      <w:r>
        <w:rPr>
          <w:rFonts w:ascii="Arial" w:cs="Arial" w:eastAsia="Arial" w:hAnsi="Arial"/>
          <w:sz w:val="16"/>
          <w:szCs w:val="16"/>
          <w:color w:val="auto"/>
        </w:rPr>
        <w:t>Even if our products obtain regulatory approval, they may not be accepted by healthcare providers, patients or the medical community.</w:t>
      </w:r>
    </w:p>
    <w:p>
      <w:pPr>
        <w:spacing w:after="0" w:line="248" w:lineRule="exact"/>
        <w:rPr>
          <w:rFonts w:ascii="Arial" w:cs="Arial" w:eastAsia="Arial" w:hAnsi="Arial"/>
          <w:sz w:val="16"/>
          <w:szCs w:val="16"/>
          <w:color w:val="222222"/>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222222"/>
        </w:rPr>
      </w:pPr>
      <w:r>
        <w:rPr>
          <w:rFonts w:ascii="Arial" w:cs="Arial" w:eastAsia="Arial" w:hAnsi="Arial"/>
          <w:sz w:val="18"/>
          <w:szCs w:val="18"/>
          <w:color w:val="222222"/>
        </w:rPr>
        <w:t>Our success is dependent on the ability to discover, develop and obtain marketing approval for our products. We face and will continue to face intense competition from a variety of businesses, including large fully integrated biopharmaceutical and pharmaceutical companies and others that may have greater financial, technical and human resources.</w:t>
      </w:r>
    </w:p>
    <w:p>
      <w:pPr>
        <w:spacing w:after="0" w:line="183" w:lineRule="exact"/>
        <w:rPr>
          <w:rFonts w:ascii="Arial" w:cs="Arial" w:eastAsia="Arial" w:hAnsi="Arial"/>
          <w:sz w:val="18"/>
          <w:szCs w:val="18"/>
          <w:color w:val="222222"/>
        </w:rPr>
      </w:pPr>
    </w:p>
    <w:p>
      <w:pPr>
        <w:ind w:left="1300" w:hanging="320"/>
        <w:spacing w:after="0"/>
        <w:tabs>
          <w:tab w:leader="none" w:pos="1300" w:val="left"/>
        </w:tabs>
        <w:numPr>
          <w:ilvl w:val="1"/>
          <w:numId w:val="16"/>
        </w:numPr>
        <w:rPr>
          <w:rFonts w:ascii="Arial" w:cs="Arial" w:eastAsia="Arial" w:hAnsi="Arial"/>
          <w:sz w:val="18"/>
          <w:szCs w:val="18"/>
          <w:color w:val="222222"/>
        </w:rPr>
      </w:pPr>
      <w:r>
        <w:rPr>
          <w:rFonts w:ascii="Arial" w:cs="Arial" w:eastAsia="Arial" w:hAnsi="Arial"/>
          <w:sz w:val="18"/>
          <w:szCs w:val="18"/>
          <w:color w:val="auto"/>
        </w:rPr>
        <w:t>A competitor may enter with a generic of an approved innovator product.</w:t>
      </w:r>
    </w:p>
    <w:p>
      <w:pPr>
        <w:spacing w:after="0" w:line="225" w:lineRule="exact"/>
        <w:rPr>
          <w:rFonts w:ascii="Arial" w:cs="Arial" w:eastAsia="Arial" w:hAnsi="Arial"/>
          <w:sz w:val="18"/>
          <w:szCs w:val="18"/>
          <w:color w:val="222222"/>
        </w:rPr>
      </w:pPr>
    </w:p>
    <w:p>
      <w:pPr>
        <w:ind w:left="660" w:hanging="328"/>
        <w:spacing w:after="0"/>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222222"/>
        </w:rPr>
        <w:t>We may not be successful in using and expanding our Morphomer and SupraAntigen proprietary technology platforms.</w:t>
      </w:r>
    </w:p>
    <w:p>
      <w:pPr>
        <w:spacing w:after="0" w:line="225" w:lineRule="exact"/>
        <w:rPr>
          <w:rFonts w:ascii="Arial" w:cs="Arial" w:eastAsia="Arial" w:hAnsi="Arial"/>
          <w:sz w:val="18"/>
          <w:szCs w:val="18"/>
          <w:color w:val="222222"/>
        </w:rPr>
      </w:pPr>
    </w:p>
    <w:p>
      <w:pPr>
        <w:ind w:left="660" w:right="660" w:hanging="328"/>
        <w:spacing w:after="0" w:line="277" w:lineRule="auto"/>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222222"/>
        </w:rPr>
        <w:t>We operate in highly competitive and rapidly changing industries, which may result in others discovering, developing or commercializing competing products before or more successfully than we do.</w:t>
      </w:r>
    </w:p>
    <w:p>
      <w:pPr>
        <w:spacing w:after="0" w:line="170" w:lineRule="exact"/>
        <w:rPr>
          <w:rFonts w:ascii="Arial" w:cs="Arial" w:eastAsia="Arial" w:hAnsi="Arial"/>
          <w:sz w:val="18"/>
          <w:szCs w:val="18"/>
          <w:color w:val="222222"/>
        </w:rPr>
      </w:pPr>
    </w:p>
    <w:p>
      <w:pPr>
        <w:ind w:left="660" w:right="80" w:hanging="328"/>
        <w:spacing w:after="0" w:line="277" w:lineRule="auto"/>
        <w:tabs>
          <w:tab w:leader="none" w:pos="660" w:val="left"/>
        </w:tabs>
        <w:numPr>
          <w:ilvl w:val="0"/>
          <w:numId w:val="16"/>
        </w:numPr>
        <w:rPr>
          <w:rFonts w:ascii="Arial" w:cs="Arial" w:eastAsia="Arial" w:hAnsi="Arial"/>
          <w:sz w:val="18"/>
          <w:szCs w:val="18"/>
          <w:color w:val="222222"/>
        </w:rPr>
      </w:pPr>
      <w:r>
        <w:rPr>
          <w:rFonts w:ascii="Arial" w:cs="Arial" w:eastAsia="Arial" w:hAnsi="Arial"/>
          <w:sz w:val="18"/>
          <w:szCs w:val="18"/>
          <w:color w:val="222222"/>
        </w:rPr>
        <w:t>Our future growth and ability to compete depends on retaining our key personnel and recruiting additional qualified personnel including members of our Executive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relationships with third parties:</w:t>
      </w:r>
    </w:p>
    <w:p>
      <w:pPr>
        <w:spacing w:after="0" w:line="229" w:lineRule="exact"/>
        <w:rPr>
          <w:sz w:val="20"/>
          <w:szCs w:val="20"/>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222222"/>
        </w:rPr>
      </w:pPr>
      <w:r>
        <w:rPr>
          <w:rFonts w:ascii="Arial" w:cs="Arial" w:eastAsia="Arial" w:hAnsi="Arial"/>
          <w:sz w:val="18"/>
          <w:szCs w:val="18"/>
          <w:color w:val="222222"/>
        </w:rPr>
        <w:t>If we fail to maintain, or realize the benefits from, our current strategic relationships with our current and potential future license and collaboration partners our financial condition may be materially adversely affected.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222222"/>
        </w:rPr>
      </w:pPr>
      <w:r>
        <w:rPr>
          <w:rFonts w:ascii="Arial" w:cs="Arial" w:eastAsia="Arial" w:hAnsi="Arial"/>
          <w:sz w:val="16"/>
          <w:szCs w:val="16"/>
          <w:color w:val="222222"/>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3" w:lineRule="exact"/>
        <w:rPr>
          <w:rFonts w:ascii="Arial" w:cs="Arial" w:eastAsia="Arial" w:hAnsi="Arial"/>
          <w:sz w:val="16"/>
          <w:szCs w:val="16"/>
          <w:color w:val="222222"/>
        </w:rPr>
      </w:pPr>
    </w:p>
    <w:p>
      <w:pPr>
        <w:ind w:left="660" w:hanging="328"/>
        <w:spacing w:after="0"/>
        <w:tabs>
          <w:tab w:leader="none" w:pos="660" w:val="left"/>
        </w:tabs>
        <w:numPr>
          <w:ilvl w:val="0"/>
          <w:numId w:val="18"/>
        </w:numPr>
        <w:rPr>
          <w:rFonts w:ascii="Arial" w:cs="Arial" w:eastAsia="Arial" w:hAnsi="Arial"/>
          <w:sz w:val="18"/>
          <w:szCs w:val="18"/>
          <w:color w:val="222222"/>
        </w:rPr>
      </w:pPr>
      <w:r>
        <w:rPr>
          <w:rFonts w:ascii="Arial" w:cs="Arial" w:eastAsia="Arial" w:hAnsi="Arial"/>
          <w:sz w:val="18"/>
          <w:szCs w:val="18"/>
          <w:color w:val="222222"/>
        </w:rPr>
        <w:t>Our collaboration agreements may make us an attractive acquisition target under certain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intellectual property:</w:t>
      </w:r>
    </w:p>
    <w:p>
      <w:pPr>
        <w:spacing w:after="0" w:line="229" w:lineRule="exact"/>
        <w:rPr>
          <w:sz w:val="20"/>
          <w:szCs w:val="20"/>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We or our licensing or collaboration partners may not have sufficient patent terms to protect our products and business effectively which may adversely affect our product sales and technology development.</w:t>
      </w:r>
    </w:p>
    <w:p>
      <w:pPr>
        <w:spacing w:after="0" w:line="170" w:lineRule="exact"/>
        <w:rPr>
          <w:rFonts w:ascii="Arial" w:cs="Arial" w:eastAsia="Arial" w:hAnsi="Arial"/>
          <w:sz w:val="18"/>
          <w:szCs w:val="18"/>
          <w:color w:val="222222"/>
        </w:rPr>
      </w:pPr>
    </w:p>
    <w:p>
      <w:pPr>
        <w:ind w:left="660" w:right="180" w:hanging="328"/>
        <w:spacing w:after="0" w:line="311" w:lineRule="auto"/>
        <w:tabs>
          <w:tab w:leader="none" w:pos="660" w:val="left"/>
        </w:tabs>
        <w:numPr>
          <w:ilvl w:val="0"/>
          <w:numId w:val="19"/>
        </w:numPr>
        <w:rPr>
          <w:rFonts w:ascii="Arial" w:cs="Arial" w:eastAsia="Arial" w:hAnsi="Arial"/>
          <w:sz w:val="16"/>
          <w:szCs w:val="16"/>
          <w:color w:val="222222"/>
        </w:rPr>
      </w:pPr>
      <w:r>
        <w:rPr>
          <w:rFonts w:ascii="Arial" w:cs="Arial" w:eastAsia="Arial" w:hAnsi="Arial"/>
          <w:sz w:val="16"/>
          <w:szCs w:val="16"/>
          <w:color w:val="222222"/>
        </w:rPr>
        <w:t>If we fail to comply with the obligations to obtain and maintain patent protection such as compliance with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48" w:lineRule="exact"/>
        <w:rPr>
          <w:rFonts w:ascii="Arial" w:cs="Arial" w:eastAsia="Arial" w:hAnsi="Arial"/>
          <w:sz w:val="16"/>
          <w:szCs w:val="16"/>
          <w:color w:val="222222"/>
        </w:rPr>
      </w:pPr>
    </w:p>
    <w:p>
      <w:pPr>
        <w:ind w:left="660" w:hanging="328"/>
        <w:spacing w:after="0"/>
        <w:tabs>
          <w:tab w:leader="none" w:pos="660"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We may be subject to claims challenging the inventorship of our patents and other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financial condition and capital requirements:</w:t>
      </w:r>
    </w:p>
    <w:p>
      <w:pPr>
        <w:spacing w:after="0" w:line="229" w:lineRule="exact"/>
        <w:rPr>
          <w:sz w:val="20"/>
          <w:szCs w:val="20"/>
          <w:color w:val="auto"/>
        </w:rPr>
      </w:pPr>
    </w:p>
    <w:p>
      <w:pPr>
        <w:jc w:val="both"/>
        <w:ind w:left="660" w:right="200" w:hanging="328"/>
        <w:spacing w:after="0" w:line="263" w:lineRule="auto"/>
        <w:tabs>
          <w:tab w:leader="none" w:pos="660" w:val="left"/>
        </w:tabs>
        <w:numPr>
          <w:ilvl w:val="0"/>
          <w:numId w:val="20"/>
        </w:numPr>
        <w:rPr>
          <w:rFonts w:ascii="Arial" w:cs="Arial" w:eastAsia="Arial" w:hAnsi="Arial"/>
          <w:sz w:val="18"/>
          <w:szCs w:val="18"/>
          <w:color w:val="222222"/>
        </w:rPr>
      </w:pPr>
      <w:r>
        <w:rPr>
          <w:rFonts w:ascii="Arial" w:cs="Arial" w:eastAsia="Arial" w:hAnsi="Arial"/>
          <w:sz w:val="18"/>
          <w:szCs w:val="18"/>
          <w:color w:val="222222"/>
        </w:rPr>
        <w:t>We are a clinical stage biopharmaceutical company with a history of losses. We anticipate incurring losses for the foreseeable future. As such, if we fail to obtain additional funding via product revenues, license and collaboration agreements, equity offerings or other forms of financing, we may need to delay, reduce or eliminate certain of our product development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the regulatory environment:</w:t>
      </w:r>
    </w:p>
    <w:p>
      <w:pPr>
        <w:spacing w:after="0" w:line="229" w:lineRule="exact"/>
        <w:rPr>
          <w:sz w:val="20"/>
          <w:szCs w:val="20"/>
          <w:color w:val="auto"/>
        </w:rPr>
      </w:pPr>
    </w:p>
    <w:p>
      <w:pPr>
        <w:ind w:left="660" w:right="740" w:hanging="328"/>
        <w:spacing w:after="0" w:line="277" w:lineRule="auto"/>
        <w:tabs>
          <w:tab w:leader="none" w:pos="660" w:val="left"/>
        </w:tabs>
        <w:numPr>
          <w:ilvl w:val="0"/>
          <w:numId w:val="21"/>
        </w:numPr>
        <w:rPr>
          <w:rFonts w:ascii="Arial" w:cs="Arial" w:eastAsia="Arial" w:hAnsi="Arial"/>
          <w:sz w:val="18"/>
          <w:szCs w:val="18"/>
          <w:color w:val="222222"/>
        </w:rPr>
      </w:pPr>
      <w:r>
        <w:rPr>
          <w:rFonts w:ascii="Arial" w:cs="Arial" w:eastAsia="Arial" w:hAnsi="Arial"/>
          <w:sz w:val="18"/>
          <w:szCs w:val="18"/>
          <w:color w:val="222222"/>
        </w:rPr>
        <w:t>We cannot give any assurance that any of our product candidates will receive regulatory approval, which is necessary before they can be commercialized.</w:t>
      </w:r>
    </w:p>
    <w:p>
      <w:pPr>
        <w:spacing w:after="0" w:line="170" w:lineRule="exact"/>
        <w:rPr>
          <w:rFonts w:ascii="Arial" w:cs="Arial" w:eastAsia="Arial" w:hAnsi="Arial"/>
          <w:sz w:val="18"/>
          <w:szCs w:val="18"/>
          <w:color w:val="222222"/>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222222"/>
        </w:rPr>
      </w:pPr>
      <w:r>
        <w:rPr>
          <w:rFonts w:ascii="Arial" w:cs="Arial" w:eastAsia="Arial" w:hAnsi="Arial"/>
          <w:sz w:val="18"/>
          <w:szCs w:val="18"/>
          <w:color w:val="222222"/>
        </w:rPr>
        <w:t>Even if we obtain regulatory approvals in one jurisdiction, we may not be able to obtain approval in other jurisdictions. Additionally, we will be subject to ongoing obligations and review which may result in significant additional expense.</w:t>
      </w:r>
    </w:p>
    <w:p>
      <w:pPr>
        <w:spacing w:after="0" w:line="170" w:lineRule="exact"/>
        <w:rPr>
          <w:rFonts w:ascii="Arial" w:cs="Arial" w:eastAsia="Arial" w:hAnsi="Arial"/>
          <w:sz w:val="18"/>
          <w:szCs w:val="18"/>
          <w:color w:val="222222"/>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222222"/>
        </w:rPr>
      </w:pPr>
      <w:r>
        <w:rPr>
          <w:rFonts w:ascii="Arial" w:cs="Arial" w:eastAsia="Arial" w:hAnsi="Arial"/>
          <w:sz w:val="18"/>
          <w:szCs w:val="18"/>
          <w:color w:val="222222"/>
        </w:rPr>
        <w:t>We have conducted and may in the future conduct clinical studies for our product candidates outside the US, and the FDA and applicable foreign regulatory authorities may not accept data from such studies.</w:t>
      </w:r>
    </w:p>
    <w:p>
      <w:pPr>
        <w:spacing w:after="0" w:line="170" w:lineRule="exact"/>
        <w:rPr>
          <w:rFonts w:ascii="Arial" w:cs="Arial" w:eastAsia="Arial" w:hAnsi="Arial"/>
          <w:sz w:val="18"/>
          <w:szCs w:val="18"/>
          <w:color w:val="222222"/>
        </w:rPr>
      </w:pPr>
    </w:p>
    <w:p>
      <w:pPr>
        <w:ind w:left="660" w:right="740" w:hanging="328"/>
        <w:spacing w:after="0" w:line="277" w:lineRule="auto"/>
        <w:tabs>
          <w:tab w:leader="none" w:pos="660" w:val="left"/>
        </w:tabs>
        <w:numPr>
          <w:ilvl w:val="0"/>
          <w:numId w:val="21"/>
        </w:numPr>
        <w:rPr>
          <w:rFonts w:ascii="Arial" w:cs="Arial" w:eastAsia="Arial" w:hAnsi="Arial"/>
          <w:sz w:val="18"/>
          <w:szCs w:val="18"/>
          <w:color w:val="222222"/>
        </w:rPr>
      </w:pPr>
      <w:r>
        <w:rPr>
          <w:rFonts w:ascii="Arial" w:cs="Arial" w:eastAsia="Arial" w:hAnsi="Arial"/>
          <w:sz w:val="18"/>
          <w:szCs w:val="18"/>
          <w:color w:val="222222"/>
        </w:rPr>
        <w:t>Enacted and future legislation may increase the difficulty and cost for us to obtain marketing approval of and commercialize our product candidates and may affect the prices we may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Risks related to our common shares:</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222222"/>
        </w:rPr>
      </w:pPr>
      <w:r>
        <w:rPr>
          <w:rFonts w:ascii="Arial" w:cs="Arial" w:eastAsia="Arial" w:hAnsi="Arial"/>
          <w:sz w:val="17"/>
          <w:szCs w:val="17"/>
          <w:color w:val="222222"/>
        </w:rPr>
        <w:t>We have limited free float in our common shares which may have a negative impact on the liquidity and market price of our common shares.</w:t>
      </w:r>
    </w:p>
    <w:p>
      <w:pPr>
        <w:spacing w:after="0" w:line="236" w:lineRule="exact"/>
        <w:rPr>
          <w:rFonts w:ascii="Arial" w:cs="Arial" w:eastAsia="Arial" w:hAnsi="Arial"/>
          <w:sz w:val="17"/>
          <w:szCs w:val="17"/>
          <w:color w:val="222222"/>
        </w:rPr>
      </w:pPr>
    </w:p>
    <w:p>
      <w:pPr>
        <w:ind w:left="660" w:right="20" w:hanging="328"/>
        <w:spacing w:after="0" w:line="277" w:lineRule="auto"/>
        <w:tabs>
          <w:tab w:leader="none" w:pos="660" w:val="left"/>
        </w:tabs>
        <w:numPr>
          <w:ilvl w:val="0"/>
          <w:numId w:val="22"/>
        </w:numPr>
        <w:rPr>
          <w:rFonts w:ascii="Arial" w:cs="Arial" w:eastAsia="Arial" w:hAnsi="Arial"/>
          <w:sz w:val="18"/>
          <w:szCs w:val="18"/>
          <w:color w:val="222222"/>
        </w:rPr>
      </w:pPr>
      <w:r>
        <w:rPr>
          <w:rFonts w:ascii="Arial" w:cs="Arial" w:eastAsia="Arial" w:hAnsi="Arial"/>
          <w:sz w:val="18"/>
          <w:szCs w:val="18"/>
          <w:color w:val="222222"/>
        </w:rPr>
        <w:t>Certain of our existing shareholders exercise significant control over us, and your or other shareholders’ interests may conflict with the interests of such shareholders.</w:t>
      </w:r>
    </w:p>
    <w:p>
      <w:pPr>
        <w:spacing w:after="0" w:line="170" w:lineRule="exact"/>
        <w:rPr>
          <w:rFonts w:ascii="Arial" w:cs="Arial" w:eastAsia="Arial" w:hAnsi="Arial"/>
          <w:sz w:val="18"/>
          <w:szCs w:val="18"/>
          <w:color w:val="222222"/>
        </w:rPr>
      </w:pPr>
    </w:p>
    <w:p>
      <w:pPr>
        <w:ind w:left="660" w:right="80" w:hanging="328"/>
        <w:spacing w:after="0" w:line="277" w:lineRule="auto"/>
        <w:tabs>
          <w:tab w:leader="none" w:pos="660" w:val="left"/>
        </w:tabs>
        <w:numPr>
          <w:ilvl w:val="0"/>
          <w:numId w:val="22"/>
        </w:numPr>
        <w:rPr>
          <w:rFonts w:ascii="Arial" w:cs="Arial" w:eastAsia="Arial" w:hAnsi="Arial"/>
          <w:sz w:val="18"/>
          <w:szCs w:val="18"/>
          <w:color w:val="222222"/>
        </w:rPr>
      </w:pPr>
      <w:r>
        <w:rPr>
          <w:rFonts w:ascii="Arial" w:cs="Arial" w:eastAsia="Arial" w:hAnsi="Arial"/>
          <w:sz w:val="18"/>
          <w:szCs w:val="18"/>
          <w:color w:val="222222"/>
        </w:rPr>
        <w:t>We are a Swiss corporation. The rights of our shareholders may be different from the rights of shareholders in companies governed by the laws of US jurisdictions.</w:t>
      </w:r>
    </w:p>
    <w:p>
      <w:pPr>
        <w:spacing w:after="0" w:line="170" w:lineRule="exact"/>
        <w:rPr>
          <w:rFonts w:ascii="Arial" w:cs="Arial" w:eastAsia="Arial" w:hAnsi="Arial"/>
          <w:sz w:val="18"/>
          <w:szCs w:val="18"/>
          <w:color w:val="222222"/>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222222"/>
        </w:rPr>
      </w:pPr>
      <w:r>
        <w:rPr>
          <w:rFonts w:ascii="Arial" w:cs="Arial" w:eastAsia="Arial" w:hAnsi="Arial"/>
          <w:sz w:val="18"/>
          <w:szCs w:val="18"/>
          <w:color w:val="222222"/>
        </w:rPr>
        <w:t>We are a foreign private issuer (FPI) and, as a result, we are not subject to US proxy rules and are subject to Exchange Act reporting obligations that, to some extent, are more lenient and less frequent than those of a US domestic public company.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0" w:hanging="328"/>
        <w:spacing w:after="0" w:line="263" w:lineRule="auto"/>
        <w:tabs>
          <w:tab w:leader="none" w:pos="660" w:val="left"/>
        </w:tabs>
        <w:numPr>
          <w:ilvl w:val="0"/>
          <w:numId w:val="23"/>
        </w:numPr>
        <w:rPr>
          <w:rFonts w:ascii="Arial" w:cs="Arial" w:eastAsia="Arial" w:hAnsi="Arial"/>
          <w:sz w:val="18"/>
          <w:szCs w:val="18"/>
          <w:color w:val="222222"/>
        </w:rPr>
      </w:pPr>
      <w:r>
        <w:rPr>
          <w:rFonts w:ascii="Arial" w:cs="Arial" w:eastAsia="Arial" w:hAnsi="Arial"/>
          <w:sz w:val="18"/>
          <w:szCs w:val="18"/>
          <w:color w:val="222222"/>
        </w:rPr>
        <w:t>As an FPI, and as permitted by the listing requirements of Nasdaq, we rely on certain home country governance practices rather than the corporate governance requirements of Nasdaq. Should we lose our FPI status, we would be required to comply with the Exchange Act’s domestic reporting regime, which would cause us to incur significant legal, accounting and other expenses.</w:t>
      </w:r>
    </w:p>
    <w:p>
      <w:pPr>
        <w:spacing w:after="0" w:line="183" w:lineRule="exact"/>
        <w:rPr>
          <w:rFonts w:ascii="Arial" w:cs="Arial" w:eastAsia="Arial" w:hAnsi="Arial"/>
          <w:sz w:val="18"/>
          <w:szCs w:val="18"/>
          <w:color w:val="222222"/>
        </w:rPr>
      </w:pPr>
    </w:p>
    <w:p>
      <w:pPr>
        <w:ind w:left="660" w:right="2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222222"/>
        </w:rPr>
        <w:t>It is likely that we were a PFIC for 2019 and 2020, and there can be no assurance that we were not, or will not be, a PFIC for any other taxable year. If a US investor held our common shares during any taxable year in which we are or were a PFIC, the investor generally will be subject to adverse US federal income tax consequences.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right="20"/>
        <w:spacing w:after="0" w:line="296" w:lineRule="auto"/>
        <w:rPr>
          <w:sz w:val="20"/>
          <w:szCs w:val="20"/>
          <w:color w:val="auto"/>
        </w:rPr>
      </w:pPr>
      <w:r>
        <w:rPr>
          <w:rFonts w:ascii="Arial" w:cs="Arial" w:eastAsia="Arial" w:hAnsi="Arial"/>
          <w:sz w:val="16"/>
          <w:szCs w:val="16"/>
          <w:b w:val="1"/>
          <w:bCs w:val="1"/>
          <w:i w:val="1"/>
          <w:iCs w:val="1"/>
          <w:color w:val="auto"/>
        </w:rPr>
        <w:t>We depend heavily on the success of our clinical and, to a lesser extent, preclinical products. Our clinical product candidates include ACI-35, ACI-24 for AD and DS, ACI-7104, semorinemab, crenezumab, Morphomer Tau, PI-2620 and our a-syn PET tracer. If our clinical studies are unsuccessful, if we or our collaboration partners do not obtain regulatory approval or if we or our collaboration partners are unable to commercialize ACI-35, ACI-24 for AD and DS, ACI-7104, semorinemab, crenezumab, Morphomer Tau, PI-2620 and our a-syn PET tracer, or if we experience significant delays in doing so, our business, financial condition and results of operations will be materially adversely affected.</w:t>
      </w:r>
    </w:p>
    <w:p>
      <w:pPr>
        <w:spacing w:after="0" w:line="161"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ACI-35, ACI-24 for AD and DS, ACI-7104, semorinemab, crenezumab, Morphomer Tau, PI-2620 and our a-syn PET tracer, all of which are in clinical development as well as other preclinical candidates such as Morphomer a-syn and inflammasome.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In addition, we currently generate no revenues from sales of any drugs or diagnostics, and we may never be able to develop or commercialize a marketable drug or diagnostic. The success of our current and future product candidates will depend on several factors, including the following:</w:t>
      </w:r>
    </w:p>
    <w:p>
      <w:pPr>
        <w:spacing w:after="0" w:line="165" w:lineRule="exact"/>
        <w:rPr>
          <w:sz w:val="20"/>
          <w:szCs w:val="20"/>
          <w:color w:val="auto"/>
        </w:rPr>
      </w:pPr>
    </w:p>
    <w:p>
      <w:pPr>
        <w:ind w:left="660" w:right="8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completing preclinical and clinical studies that demonstrate the efficacy, safety and clinical utility of our preclinical and clinical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competing effectively with other therapies or diagnostic approaches;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Positive or timely results from preclinical or early-stage clinical studies do not ensure positive or timely results in mid-to late-stage clinical studies or product approval by the US FDA, the European Medicines Agency (EMA), or comparable foreign regulatory authorities. Products that show positive preclinical or early clinical results may not show sufficient safety or efficacy in later-stage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that the data collected from clinical studies of our product candidates are promising, such data may not be sufficient to support approval by the FDA, the EMA or any other regulatory authority.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later-stage clinical product candidates, results may differ in general on the basis of the larger number of clinical study sites and the additional countries and languages involved in these clinical studies.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Clinical studies may include subject-reported outcomes, some of which may be captured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5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conditional approval or otherwise to additional post-marketing studies or other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receiving marketing approvals and we may be required to obtain additional funds to complete clinical studies. We cannot assure you that our clinical studies will begin as planned or be completed on schedule, if at all, or that we will not need to amend our studies after they have begun. Significant clinical study delays could also shorten any periods during which we or our collaboration partners may have the exclusive right to commercialize our product candidates, or allow our competitors to bring products to market before we do, which may harm our business and results of operations. In addition, some of the factors that cause, or lead to, clinical study delays may ultimately lead to the denial of regulatory approval of our product candidates.</w:t>
      </w:r>
    </w:p>
    <w:p>
      <w:pPr>
        <w:spacing w:after="0" w:line="178"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We may undertake one or more significant corporate transactions that may not achieve their intended results, may adversely affect our financial condition and our results of operations or result in unforeseeable risks to our business.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continuously evaluate the acquisition or disposition of operating businesses and assets and may in the future undertake one or more significant transactions, such as our purchase of Affiris AG’s (Affiris) program portfolio of therapeutics targeting a-syn, notably PD01, a clinically-validated active vaccine candidate for the treatment of Parkinson’s disease (PD). Any such transaction could be material to our business and could take any number of forms, including mergers, joint ventures and the purchase of equity interests. The consideration for such acquisitive transactions may include, among other things, cash, common shares or equity interests in us or our subsidiaries, or a contribution of equipment to obtain equity interests, and in conjunction with a transaction we might incur additional indebtedness. We also routinely evaluate the benefits of disposing of certain of our assets.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These transactions may present significant risks such as insufficient revenue to offset liabilities assumed, potential loss of significant revenue and income streams, increased or unexpected expenses, inadequate return of capital, regulatory or compliance issues, the triggering of certain covenants in our debt agreements (including accelerated repayment) and unidentified issues not discovered in due diligence. In addition, such transactions could distract management from current operations. As a result of the risks inherent in such transactions, we cannot guarantee that any such transaction will ultimately result in the realization of its anticipated benefits or that it will not have a material adverse effect on our business, financial condition and results of operations. If we were to complete such an acquisition, disposition, investment or other strategic transaction, we may require additional debt or equity financing that could result in a significant increase in our amount of debt and our debt service obligations or the number of outstanding common shares, thereby diluting holders of our common shares outstanding prior to such acquisition.</w:t>
      </w:r>
    </w:p>
    <w:p>
      <w:pPr>
        <w:spacing w:after="0" w:line="178"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the Drug Price Competition and Patent Term Restoration Act of 1984, or the Hatch-Waxman Act, a pharmaceutical manufacturer may file an abbreviated new drug application (ANDA), seeking approval of a generic copy of an approved innovator product. Under the Hatch-Waxman Act, a manufacturer may also submit a new drug application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also be given to the innovator, and if within 45 days of receiving notice the innovator, in order to protect its patents, sues the company that manufactures the generic, approval of the ANDA is stayed for 30 months, or as lengthened or shortened by the court.</w:t>
      </w:r>
    </w:p>
    <w:p>
      <w:pPr>
        <w:spacing w:after="0" w:line="18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Accordingly, if ACI-35, ACI-24 for AD and DS, ACI-7104, semorinemab, crenezumab, Morphomer Tau, PI-2620 and our a-syn PET tracer are approved, competitors could file ANDAs for generic versions of ACI-35, ACI-24 for AD and DS, ACI-7104, semorinemab, crenezumab, Morphomer Tau, PI-2620 and our a-syn PET tracer or 505(b)(2) NDAs that reference ACI-35, ACI-24 for AD and DS, ACI-7104, semorinemab, crenezumab, Morphomer Tau, PI-2620 and our a-syn PET tracer, respectively. If there are patents listed in the Orange Book for ACI-35, ACI-24 for AD and DS, ACI-7104, semorinemab, crenezumab, Morphomer Tau, PI-2620 and our a-syn PET tracer, respectively, those ANDAs and 505(b)(2) NDAs would be required to include a certification for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the requirement for increasing levels of evidence of the benefits and clinical outcomes of new technologies, we cannot be sure that coverage will be available for any of our current or future product candidates that we or our collaboration partners will commercialize or,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Third-party payors may deny coverage and reimbursement status altogether for a given drug product, or may cover the product but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in the future depending on policy changes enacted by the US Congress.</w:t>
      </w:r>
    </w:p>
    <w:p>
      <w:pPr>
        <w:spacing w:after="0" w:line="176"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7"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0"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 profits from operations. The degree of market acceptance of our product candidates that are approved for commercial sale will depend on a variety of factors, including:</w:t>
      </w:r>
    </w:p>
    <w:p>
      <w:pPr>
        <w:spacing w:after="0" w:line="16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 or clinical utility;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to not be large enough to allow us to generate significant revenues.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the potential market opportunity of our product candidates is difficult to estimate precisely. Our estimates of the potential market opportunity are predicated on several key assumptions such as industry knowledge and publications, third-party research reports and other surveys. These assumptions involve the exercise of significant judgment on the part of our management and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healthcare payors and patients, our product or royalty revenue may be limited and it may be more difficult for us to achieve or maintain profitability.</w:t>
      </w:r>
    </w:p>
    <w:p>
      <w:pPr>
        <w:spacing w:after="0" w:line="166"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70"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Successful and timely completion of clinical studies will require that we enroll a sufficient number of patient candidates. Studies may be subject to delays as a result of patient enrollment taking longer than anticipated or by patient withdrawal. Patient enrollment depends on many factors, including the size and nature of the patient population, the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w:t>
      </w:r>
    </w:p>
    <w:p>
      <w:pPr>
        <w:spacing w:after="0" w:line="161" w:lineRule="exact"/>
        <w:rPr>
          <w:sz w:val="20"/>
          <w:szCs w:val="20"/>
          <w:color w:val="auto"/>
        </w:rPr>
      </w:pPr>
    </w:p>
    <w:p>
      <w:pPr>
        <w:jc w:val="both"/>
        <w:ind w:right="140" w:firstLine="324"/>
        <w:spacing w:after="0" w:line="296" w:lineRule="auto"/>
        <w:rPr>
          <w:sz w:val="20"/>
          <w:szCs w:val="20"/>
          <w:color w:val="auto"/>
        </w:rPr>
      </w:pPr>
      <w:r>
        <w:rPr>
          <w:rFonts w:ascii="Arial" w:cs="Arial" w:eastAsia="Arial" w:hAnsi="Arial"/>
          <w:sz w:val="16"/>
          <w:szCs w:val="16"/>
          <w:color w:val="auto"/>
        </w:rPr>
        <w:t>Generally, the specific target population of patients and therapeutic time windows may make it difficult for us to enroll enough patients to complete clinical studies for our product candidates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61" w:lineRule="exact"/>
        <w:rPr>
          <w:sz w:val="20"/>
          <w:szCs w:val="20"/>
          <w:color w:val="auto"/>
        </w:rPr>
      </w:pPr>
    </w:p>
    <w:p>
      <w:pPr>
        <w:jc w:val="both"/>
        <w:ind w:left="180" w:right="4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early-stage testing were later found to cause side effects that restricted their use and prevented further development of the compound for larger indications.</w:t>
      </w:r>
    </w:p>
    <w:p>
      <w:pPr>
        <w:spacing w:after="0" w:line="18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Occurrence of serious procedure- or treatment-related side effects could impede clinical study enrollment and receipt of marketing approval from the FDA, the EMA and comparable foreign regulatory authorities. Adverse events (AEs) could also adversely affect physician or patient acceptance of our product candidates.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the following:</w:t>
      </w:r>
    </w:p>
    <w:p>
      <w:pPr>
        <w:spacing w:after="0" w:line="170" w:lineRule="exact"/>
        <w:rPr>
          <w:sz w:val="20"/>
          <w:szCs w:val="20"/>
          <w:color w:val="auto"/>
        </w:rPr>
      </w:pPr>
    </w:p>
    <w:p>
      <w:pPr>
        <w:ind w:left="660" w:right="1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or our collaboration partners to take any approved products off the market;</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to conduct additional studies or to change the labeling of the product;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limitations in how we promote the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pharmaceutical and biopharmaceutical industries may result in even more resources being concentrated among a smaller number of our competitors.</w:t>
      </w:r>
    </w:p>
    <w:p>
      <w:pPr>
        <w:spacing w:after="0" w:line="16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highly competitive nature of and rapid technological changes in the pharmaceutical and biopharmaceutical industries could render our product candidates or our technology obsolete or noncompetitive. The commercial opportunity for our products could be reduced or eliminated if our competitors:</w:t>
      </w:r>
    </w:p>
    <w:p>
      <w:pPr>
        <w:spacing w:after="0" w:line="12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quicker FDA or other regulatory approval for their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 more effective approaches to sales, marketing and distribution;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believe that our key competitor product candidates are (i) AADvac1 (Axon Neuroscience) for ACI-35.030; (ii) UB-311 (Vaxxinity) and ABvac40 (Araclon Biotech) for ACI-24; (iii) UB-312 (Vaxxinity) for ACI-7104; (iv) bepranemab (UCB/Roche) and JNJ-63733657 (Janssen) for semorinemab; (v) ADUHELM (Biogen), gantenerumab (Roche), lecanemab (BioArctic/Eisai), donanemab (Eli Lilly and Company) and solanezumab (Eli Lilly and Company) for crenezumab; (vi) TRx0237 (TauRx Pharmaceuticals) for Morphomer Tau; and (vii) Tauvid (Eli Lilly and Company), APN-1607 (Aprinoia Therapeutics), MK-6240 (Cerveau/Merck) and GTP1 (Genentech) for PI-2620, as described under “Item 4. Information on the Company—B. Business overview—Competition.”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therapies and diagnostics for conformational diseases, such as AD, and progress these product candidates through clinical development. Although our research and development efforts to date have resulted in a pipeline of product candidates, we may not be able in the future to develop product candidates that are safe and effective.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US. Accordingly, our future results could be harmed by a variety of factors, including:</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such as sanctions by US or non-US governments;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Moreover, at the end of 2021 and into 2022, tensions between the United States and Russia escalated when Russia amassed large numbers of military ground forces and support personnel on the Ukraine-Russia border and, in February 2022, Russia invaded Ukraine. In response,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impact, our business, including preclinical and clinical trials and regulatory approvals.</w:t>
      </w:r>
    </w:p>
    <w:p>
      <w:pPr>
        <w:spacing w:after="0" w:line="170" w:lineRule="exact"/>
        <w:rPr>
          <w:sz w:val="20"/>
          <w:szCs w:val="20"/>
          <w:color w:val="auto"/>
        </w:rPr>
      </w:pPr>
    </w:p>
    <w:p>
      <w:pPr>
        <w:ind w:right="40" w:firstLine="321"/>
        <w:spacing w:after="0" w:line="254" w:lineRule="auto"/>
        <w:rPr>
          <w:sz w:val="20"/>
          <w:szCs w:val="20"/>
          <w:color w:val="auto"/>
        </w:rPr>
      </w:pPr>
      <w:r>
        <w:rPr>
          <w:rFonts w:ascii="Arial" w:cs="Arial" w:eastAsia="Arial" w:hAnsi="Arial"/>
          <w:sz w:val="18"/>
          <w:szCs w:val="18"/>
          <w:color w:val="auto"/>
        </w:rPr>
        <w:t>In December 2019, a novel strain of coronavirus, Covid-19, surfaced in Wuhan, Hubei Province, China. By March 2020, Covid-19 had spread to other countries, including Switzerland and the United States, and was declared a pandemic by the World Health Organization on March 11, 2020. Since the beginning of the pandemic, governments, public institutions, and other organizations in countries and localities where Covid-19 cases have been identified are taking certain preventative or protective measures to combat the transmission of the virus, including implementation of travel restrictions or bans, closures of non-essential businesses, limitations of public gatherings, other social distancing and shelter-in-place measures, and delays or cancellations of elective surgeries. The Covid-19 pandemic poses the risk that the Company, our employees, contractors, suppliers, and other partners may be prevented from conducting business activities for an indefinite period of time due to shutdowns that may be requested or mandated by state and federal governmental authorities.</w:t>
      </w:r>
    </w:p>
    <w:p>
      <w:pPr>
        <w:spacing w:after="0" w:line="192" w:lineRule="exact"/>
        <w:rPr>
          <w:sz w:val="20"/>
          <w:szCs w:val="20"/>
          <w:color w:val="auto"/>
        </w:rPr>
      </w:pPr>
    </w:p>
    <w:p>
      <w:pPr>
        <w:ind w:right="80" w:firstLine="321"/>
        <w:spacing w:after="0" w:line="277" w:lineRule="auto"/>
        <w:rPr>
          <w:sz w:val="20"/>
          <w:szCs w:val="20"/>
          <w:color w:val="auto"/>
        </w:rPr>
      </w:pPr>
      <w:r>
        <w:rPr>
          <w:rFonts w:ascii="Arial" w:cs="Arial" w:eastAsia="Arial" w:hAnsi="Arial"/>
          <w:sz w:val="18"/>
          <w:szCs w:val="18"/>
          <w:color w:val="auto"/>
        </w:rPr>
        <w:t>As Covid-19 continues to spread around the globe, we have experienced disruptions impacting our business and clinical trials and we may continue to experience disruptions that could materially impact our business and planned clinical trials, including:</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difficulties in conducting preclinical research and clinical trials;</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in global manufacturing and shipping that may affect the manufacturing and/or transport of clinical trial materials and other materials, including testing equipment and personal protective equipment, used at our or our contract research organizations’ (CROs’) and contract manufacturing organizations’ (CMOs’) facilities;</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to change the way in which clinical trials are conducted and may result in unexpected costs;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impact our ability to secure additional financing.</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addition, the outbreak of Covid-19 could disrupt our operations due to absenteeism by infected or ill members of Executive Management or other employees, or absenteeism by members of Executive Management and other employees who elect not to come to work due to the illness affecting others in our office or laboratory facilities, or due to quarantines. Covid-19 illness could also impact members of our Board and its ability to hold meetings. Further information concerning details of the impact of Covid-19 on our programs can be found under “Item 5: Operating and financial review and prospects.”</w:t>
      </w:r>
    </w:p>
    <w:p>
      <w:pPr>
        <w:spacing w:after="0" w:line="157" w:lineRule="exact"/>
        <w:rPr>
          <w:sz w:val="20"/>
          <w:szCs w:val="20"/>
          <w:color w:val="auto"/>
        </w:rPr>
      </w:pPr>
    </w:p>
    <w:p>
      <w:pPr>
        <w:ind w:left="180" w:right="80"/>
        <w:spacing w:after="0" w:line="311" w:lineRule="auto"/>
        <w:rPr>
          <w:sz w:val="20"/>
          <w:szCs w:val="20"/>
          <w:color w:val="auto"/>
        </w:rPr>
      </w:pPr>
      <w:r>
        <w:rPr>
          <w:rFonts w:ascii="Arial" w:cs="Arial" w:eastAsia="Arial" w:hAnsi="Arial"/>
          <w:sz w:val="16"/>
          <w:szCs w:val="16"/>
          <w:b w:val="1"/>
          <w:bCs w:val="1"/>
          <w:i w:val="1"/>
          <w:iCs w:val="1"/>
          <w:color w:val="auto"/>
        </w:rPr>
        <w:t>Our ability to effectively monitor and respond to the rapid and ongoing developments and expectations relating to environmental, social and governance (ESG) matters, including related social expectations and concerns, may impose unexpected costs on us or result in reputational or other harm to us that could have a material adverse effect on our business, financial condition and results of operations.</w:t>
      </w:r>
    </w:p>
    <w:p>
      <w:pPr>
        <w:spacing w:after="0" w:line="14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adequately recognize and respond to the rapid and ongoing developments and governmental and social expectations relating to ESG matters such as climate change and access to health care and affordable drugs, this failure could result in missed corporate opportunities, additional regulatory, social or other scrutiny of us and our business, the imposition of unexpected costs or in damage to our reputation or our various relationships with governments, customers, employees, third parties and the communities in which we operate, in each case that could have a material adverse effect on our business, financial condition and results of operations.</w:t>
      </w:r>
    </w:p>
    <w:p>
      <w:pPr>
        <w:spacing w:after="0" w:line="188"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We have no history of commercializing biologics or pharmaceutical products, which may make it difficult to evaluate the prospects for our future viability.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began our operations in 2003. Our operations to date have been limited to financing and staffing our company, developing our technology and developing our product candidates as well as early-stage clinical trials. We have not yet demonstrated an ability to successfully complete a large-scale,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biologics or pharmaceutical products.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Marie Kosco-Vilbois, our Chief Scientific Officer; Dr. Johannes Rolf Streffer, our Chief Medical Officer; Piergiorgio Donati, our Chief Technical Operations Officer; Joerg Hornstein, our Chief Financial Officer; Jean-Fabien Monin, our Chief Administrative Officer; Dr. Julien Rongère, our Vice President (VP) for Regulatory Affairs and Quality Assurance; Dr. Olivier Sol, our VP Head of Clinical Development; Dr. Bojana Portmann, our Associate Vice President for Intellectual Property and Business Development (AVP IP); Alexandre Caratsch, our General Counsel; and Mark Danton, our VP Information Systems, Security and Digital Technologies.</w:t>
      </w:r>
    </w:p>
    <w:p>
      <w:pPr>
        <w:spacing w:after="0" w:line="19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imposes an annual binding shareholders’ “say on pay” vote with respect to the total compensation of executive management, including executive officers and the board of directors, and prohibits severance or similar payment, bonuses for company purchases and sales, and additional contracts as consultants to or employees of other companies in the group. In addition, the competition for qualified personnel in the pharmaceutical and biopharmaceutical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66" w:lineRule="exact"/>
        <w:rPr>
          <w:sz w:val="20"/>
          <w:szCs w:val="20"/>
          <w:color w:val="auto"/>
        </w:rPr>
      </w:pPr>
    </w:p>
    <w:p>
      <w:pPr>
        <w:ind w:left="180" w:right="160"/>
        <w:spacing w:after="0" w:line="342"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at the commercial stage or as a result of claims against our directors and officers; and our liability insurance may not cover all damages from such claims.</w:t>
      </w:r>
    </w:p>
    <w:p>
      <w:pPr>
        <w:spacing w:after="0" w:line="1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or biopharmaceutical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by healthcare providers, or by pharmaceutical or biopharmaceutical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purchase liability insurance in connection with the clinical studies that we undertake and for purposes of indemnifying our directors and officers for claims against them in amounts that we consider to be consistent with industry norms. It is possible that our liabilities could exceed our insurance coverage. For example,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liability claim or series of claims is brought against us for uninsured liabilities or in excess of insured liabilities, our assets may not be sufficient to cover such claims and our business operations could be impaired.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8"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We may seek to obtain orphan-drug designation for certain of our product candidates. Orphan-drug designation may not ensure that we will enjoy market exclusivity in a particular market, and if we fail to obtain or maintain orphan-drug exclusivity for such product candidates, we may be subject to earlier competition and our potential revenue will be reduced.</w:t>
      </w:r>
    </w:p>
    <w:p>
      <w:pPr>
        <w:spacing w:after="0" w:line="18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(EU), the EMA’s Committee for Orphan Medicinal Products grants orphan-drug designation to promote the development of products that meet the following criteria: a) they are intended for the diagnosis, prevention, or treatment of a life-threatening or chronically debilitating condition affecting not more than 5 in 10,000 persons in the EU or for products that are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US, orphan-drug designation entitles a party to financial incentives such as opportunities for grant funding toward clinical study costs, tax advantages and user-fee waivers. In addition, if a product receives the first FDA approval for the indication for which it has orphan designation, the product is entitled to orphan-drug exclusivity, which means that the FDA cannot approve any other application to market the same drug for the same indication for a period of 7 years, except in limited circumstances, such as a showing of clinical superiority over the product with orphan exclusivity or if the manufacturer is unable to assure sufficient product quantity. In the EU, orphan-drug designation entitles a party to financial incentives such as reduction of fees or fee waivers and 10 years of market exclusivity for the orphan indication following drug or biological product approval, provided that the criteria for orphan designation are still applicable at the time of the granting of the marketing authorization. This period may be reduced to 6 years if at the end of the fifth year, the orphan-drug designation criteria are no longer met, including where it is shown that the product is sufficiently profitable not to justify maintenance of market exclusivity.</w:t>
      </w:r>
    </w:p>
    <w:p>
      <w:pPr>
        <w:spacing w:after="0" w:line="19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may not be able to obtain orphan-drug designation for any of our product candidates, and even if we do, we may not be the first to obtain marketing approval for any particular orphan indication due to the uncertainties associated with developing pharmaceutical or biopharmaceutical products. Further, even if we obtain orphan-drug designation for a product, that exclusivity may not effectively protect the product from competition because different drugs with different active moieties can be approved for the same condition. Orphan-drug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pharmaceutical or biopharmaceutical industry, in particular for neurological disorders, our business, financial condition and results of operations could be materially adversely affected.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that the activities of these groups are successful, our research and development activities may be interrupted, delayed or become more expensive.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60" w:firstLine="162"/>
        <w:spacing w:after="0" w:line="308" w:lineRule="auto"/>
        <w:rPr>
          <w:sz w:val="20"/>
          <w:szCs w:val="20"/>
          <w:color w:val="auto"/>
        </w:rPr>
      </w:pPr>
      <w:r>
        <w:rPr>
          <w:rFonts w:ascii="Arial" w:cs="Arial" w:eastAsia="Arial" w:hAnsi="Arial"/>
          <w:sz w:val="17"/>
          <w:szCs w:val="17"/>
          <w:b w:val="1"/>
          <w:bCs w:val="1"/>
          <w:i w:val="1"/>
          <w:iCs w:val="1"/>
          <w:color w:val="auto"/>
        </w:rPr>
        <w:t>A breakdown or breach of our information technology systems and cybersecurity efforts, or those of our key business partners, CROs or service providers, could subject us to liability or reputational damage or interrupt the operation of our business.</w:t>
      </w:r>
    </w:p>
    <w:p>
      <w:pPr>
        <w:spacing w:after="0" w:line="146"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Despite the implementation of security measures, our internal computer systems and those of our key business partners, CROs and service providers may be vulnerable to damage from computer viruses, unauthorized access or other similar cyber-attacks or incidents. If such an event were to occur and cause interruptions in our operations, it could result in a material disruption of our development programs and our business operations.</w:t>
      </w:r>
    </w:p>
    <w:p>
      <w:pPr>
        <w:spacing w:after="0" w:line="176" w:lineRule="exact"/>
        <w:rPr>
          <w:sz w:val="20"/>
          <w:szCs w:val="20"/>
          <w:color w:val="auto"/>
        </w:rPr>
      </w:pPr>
    </w:p>
    <w:p>
      <w:pPr>
        <w:ind w:right="40" w:firstLine="321"/>
        <w:spacing w:after="0" w:line="285" w:lineRule="auto"/>
        <w:rPr>
          <w:sz w:val="20"/>
          <w:szCs w:val="20"/>
          <w:color w:val="auto"/>
        </w:rPr>
      </w:pPr>
      <w:r>
        <w:rPr>
          <w:rFonts w:ascii="Arial" w:cs="Arial" w:eastAsia="Arial" w:hAnsi="Arial"/>
          <w:sz w:val="16"/>
          <w:szCs w:val="16"/>
          <w:color w:val="auto"/>
        </w:rPr>
        <w:t>Data privacy or security breaches, cyber-attacks and other cybersecurity incidents, including those by individuals authorized to access our technology systems or others, may pose a risk that sensitive data, including intellectual property, trade secrets or personal information belonging to us, our patients, study subjects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phishing attacks, computer viruses, social engineering and other means to affect the confidentiality, integrity and availability of our technology systems and data. Our key business partners, CROs and service providers face similar risks and any security breach of their systems could adversely affect our security posture.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on other third parties for the manufacture of our product candidates and to conduct clinical trials, and similar events relating to their computer systems could also have a material adverse effect on our business. Our ability to monitor our CROs’, contractors’ and consultants’ data security practices are limited, and due to applicable laws and regulations or contractual obligations, we may be held responsible for any security breaches or cybersecurity attack attributed to them as they relate to the information we share with them. To the extent that any disruption or security breach were to result in a loss of, or damage to, our data or systems, or inappropriate disclosure of confidential or proprietary information or personal data of our employees, partners or study subjects, we could incur liability including notification obligations (including to the impacted individuals and applicable regulators or supervisory authorities), and the further development and commercialization of our product candidates could be delayed.</w:t>
      </w:r>
    </w:p>
    <w:p>
      <w:pPr>
        <w:spacing w:after="0" w:line="17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Although we continue to build and improve our systems and infrastructure, and to implement technical, organizational and legal security measures,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including personal information, which could result in financial, legal, business or reputational harm to us. We continue to invest in industry standard IS/IT solutions and managed services that often include the relevant, layered protection and monitoring practices surrounding our data and IT systems and related infrastructure. These investments reduce further these risks in that they enable organizations such as ours to leverage the resources necessary to monitor IT systems and infrastructure for any current or potential threats. We also regularly perform risk and impact assessments, the results of which generally lead to the implementation of certain measures designed to increase our level of data protection. These investments are costly, and as cyber threats continue to evolve, we may be required to expend significant, additional resources to continue to modify and/or enhance our protective, detective and responsive measures required to remediate any identified information security vulnerabilities. In addition, our liability insurance may not be sufficient in type or amount to cover us against claims related to security breaches, cyber-attacks and other related breaches. We may be required to expend significant capital and other resources to protect against and respond to any attempted or existing cybersecurity incidents. In addition, our remediation efforts may not be successful.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and may increasingly become, subject to various laws, rules, regulations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 existing laws, rules, regulations,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the US, there are numerous federal and state laws and regulations related to the privacy and security of personal information. Regulations promulgated pursuant to the US Health Insurance Portability and Accountability Act of 1996 (HIPAA) establish privacy and security standards that limit the use and disclosure of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Numerous states have enacted or are in the process of enacting state level data privacy laws and regulations governing the collection, use, and other processing of state residents’ personal information, such as the California Consumer Privacy Act (CCPA), which took effect on January 1, 2020 and provides new and enhanced data privacy rights to California residents, such as affording California residents the right to access and delete their information and to opt out of certain sharing and sales of personal information, and the California Privacy Rights Act of 2020 (CPRA), which is effective in most material respects starting on January 1, 2023 and imposes additional obligations on covered companies and will significantly modify the CCPA. In addition, laws in all 50 states require businesses to provide notice to individuals whose personal information has been disclosed as a result of a data breach.</w:t>
      </w:r>
    </w:p>
    <w:p>
      <w:pPr>
        <w:spacing w:after="0" w:line="17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following Brexit,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For instance, the European Union Court of Justice and the Swiss Data Protection Authority have declared the US Privacy Shield to be inadequate for transfers of personal data out of the EU and Switzerland, which could increase our compliance burden.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customers, partners, collaborators and/or study subjects, including class action privacy litigation in certain jurisdictions, which would subject us to significant fines, sanctions, awards, penalties or judgments, all of which could have a material adverse effect on our business, results of operations, financial condition and prospects.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Moreover, at the end of 2021 and into 2022, tensions between the United States and Russia escalated when Russia amassed large numbers of military ground forces and support personnel on the Ukraine-Russia border and, in February 2022, Russia invaded Ukraine. In response, North Atlantic Treaty Organization, or NATO has deployed additional military forces to Eastern Europe, including to Lithuania, and the Biden administration announced certain sanctions against Russia. The invasion of Ukraine and the retaliatory measures that have been taken, or could be taken in the future, by the United States, NATO, and other countries have created global security concerns that could result in a regional conflict and otherwise have a lasting impact on regional and global economies, any or all of which could disrupt our supply chain, adversely affect our ability to conduct ongoing and future clinical trials of our product candidates, and adversely affect our ability to commercialize our products (subject to regulatory approval) in this region. Currently, none of our clinical development or business activities are conducted directly or otherwise in Russia or Ukraine.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by other business interruption.</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vast majority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ind w:left="180" w:right="9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70"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third parties.</w:t>
      </w:r>
    </w:p>
    <w:p>
      <w:pPr>
        <w:spacing w:after="0" w:line="18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addition, successful commercialization also requires an enhanced regulatory organization which we currently do not have. If we are unable to build our own distribution and marketing capabilities, are unable to find suitable partners for the commercialization of our product candidates or do not successfully obtain the necessary regulatory capabilities, we may not generate revenues from them or be able to reach or sustain profitability.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180" w:right="380"/>
        <w:spacing w:after="0" w:line="311" w:lineRule="auto"/>
        <w:rPr>
          <w:sz w:val="20"/>
          <w:szCs w:val="20"/>
          <w:color w:val="auto"/>
        </w:rPr>
      </w:pPr>
      <w:r>
        <w:rPr>
          <w:rFonts w:ascii="Arial" w:cs="Arial" w:eastAsia="Arial" w:hAnsi="Arial"/>
          <w:sz w:val="16"/>
          <w:szCs w:val="16"/>
          <w:b w:val="1"/>
          <w:bCs w:val="1"/>
          <w:i w:val="1"/>
          <w:iCs w:val="1"/>
          <w:color w:val="auto"/>
        </w:rPr>
        <w:t>If we fail to maintain our current strategic relationships with Genentech, a member of the Roche Group, Eli Lilly and Company (Lilly), Janssen Pharmaceuticals Inc. (Janssen), Life Molecular Imaging SA (LMI) (formerly Piramal Imaging SA) and other of our current or future strategic partners, our business, commercialization prospects and financial condition may be materially adversely affected.</w:t>
      </w:r>
    </w:p>
    <w:p>
      <w:pPr>
        <w:spacing w:after="0" w:line="14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two partnerships with Genentech. In 2006, we granted Genentech an exclusive, worldwide license for crenezumab. In 2012, we entered into a second partnership to commercialize anti-Tau antibodies for use as immunotherapies. In December 2018, we signed a license agreement with Lilly to research and develop Morphomer Tau small molecules for the treatment of AD and other neurodegenerative diseases. This collaboration commenced in Q1 2019. We are in a partnership with Janssen to develop and commercialize therapeutic anti-Tau vaccines for the treatment of AD and potentially other Tauopathies. We also have a diagnostic partnership with LMI for one of our compounds from our Morphomer chemical library, which bind pathological Tau for use as a PET tracer. Our collaboration partners each have the right to terminate their agreements with us for any reason upon providing us with a certain notice period. If Genentech, Lilly, Janssen, LMI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Good relationships with Genentech, Lilly, Janssen, LMI and other of our current or future strategic partners are important for our business prospects. If our relationships with Genentech, Lilly, Janssen, LMI or other of our current or future strategic partners were to deteriorate substantially or if Genentech, Lilly, Janssen, LMI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Lastly, our collaboration agreements with Genentech, Lilly, Janssen and LMI provide each partner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81" w:lineRule="exact"/>
        <w:rPr>
          <w:sz w:val="20"/>
          <w:szCs w:val="20"/>
          <w:color w:val="auto"/>
        </w:rPr>
      </w:pPr>
    </w:p>
    <w:p>
      <w:pPr>
        <w:ind w:left="180" w:right="20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Genentech, Lilly, Janssen and LMI, we may decide to enter into strategic alliances or to create joint ventures or collaborations with pharmaceutical or biopharmaceutical companies for the further development and potential commercialization of those and other of our product candidates.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continue any arrangement.</w:t>
      </w:r>
    </w:p>
    <w:p>
      <w:pPr>
        <w:spacing w:after="0" w:line="170" w:lineRule="exact"/>
        <w:rPr>
          <w:sz w:val="20"/>
          <w:szCs w:val="20"/>
          <w:color w:val="auto"/>
        </w:rPr>
      </w:pPr>
    </w:p>
    <w:p>
      <w:pPr>
        <w:jc w:val="both"/>
        <w:ind w:left="180" w:right="2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6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clinical CROs does not relieve us of our regulatory responsibilities. We and our clinical CROs and other vendors are required to comply with current Good Manufacturing Practice (cGMP), current Good Clinical Practice (cGCP), and current Good Laboratory Practice (cGLP), which are regulations and guidelines enforced by the FDA, the Competent Authorities of the Member States of the EU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clinical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If any of our relationships with these third-party clinical CROs terminates, we may not be able to enter into arrangements with alternative clinical CROs or do so on commercially reasonable terms. In addition, our clinical CROs are not our employees, and except for remedies available to us under our agreements with such clinical CROs, we cannot control whether or not they devote sufficient time and resources to our ongoing nonclinical and clinical programs. If clinical CROs do not successfully carry out their contractual duties or obligations or meet expected deadlines, if they need to be replaced or if the quality or accuracy of the data they obtain is compromised due to their failure to adhere to our protocols, regulatory requirements, or for other reasons, our clinical studies may be extended, delayed, or terminated and we may not be able to obtain regulatory approval for or successfully commercialize our product candidates. Clinical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Switching or adding additional clinical CROs involves additional cost and requires management time and focus. In addition, there is a natural transition period when a new clinical CRO commences work. As a result, delays occur, which could materially impact our ability to meet our desired clinical development timelines. Though we carefully manage our relationships with our clinical CROs, there can be no assurance that we will not encounter similar challenges or delays in the future or that these delays or challenges will not have a material adverse impact on our business, financial condition and prospects.</w:t>
      </w:r>
    </w:p>
    <w:p>
      <w:pPr>
        <w:spacing w:after="0" w:line="188" w:lineRule="exact"/>
        <w:rPr>
          <w:sz w:val="20"/>
          <w:szCs w:val="20"/>
          <w:color w:val="auto"/>
        </w:rPr>
      </w:pPr>
    </w:p>
    <w:p>
      <w:pPr>
        <w:ind w:left="180" w:right="4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4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currently rely on, and expect to continue to rely on, third parties for the manufacturing and supply of chemical and biological compounds and formulations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(QC), quality assurance (QA)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QC and QA,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 partners’, ability to commercialize any products that receive marketing approval on a timely and competitive basis.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 under certain circumstances.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Under certain circumstances, due to the structure of our collaboration arrangements with our strategic partners, our strategic partners may prefer to acquire us rather than pay the milestone payments or royalties under the collaboration arrangements, which may bring additional uncertainties to our business development and prospects. For example, under our collaboration arrangements with Genentech, Lilly and Janssen, we may become entitled to substantial milestone payments and royalties. As a result, rather than paying the milestone payments or royalties, Genentech, Lilly or Janssen, or one of their affiliates including Roche or Johnson &amp; Johnson, may choose to acquire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have sufficient patent terms to protect our products and business effectively.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w:t>
      </w:r>
    </w:p>
    <w:p>
      <w:pPr>
        <w:spacing w:after="0" w:line="182"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licensees and collaborators, any of which could be expensive, time-consuming, and unsuccessful, and may ultimately result in our loss of ownership of intellectual property.</w:t>
      </w:r>
    </w:p>
    <w:p>
      <w:pPr>
        <w:spacing w:after="0" w:line="18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or our licensing collaborators’ patents or that we or our licensing collaborators infringe the defendant’s patents. In patent litigation in the US,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US or abroad, even outside the context of litigation. Such mechanisms include re-examination, post-grant review</w:t>
      </w:r>
      <w:r>
        <w:rPr>
          <w:rFonts w:ascii="Arial" w:cs="Arial" w:eastAsia="Arial" w:hAnsi="Arial"/>
          <w:sz w:val="16"/>
          <w:szCs w:val="16"/>
          <w:i w:val="1"/>
          <w:iCs w:val="1"/>
          <w:color w:val="auto"/>
        </w:rPr>
        <w:t>, inter partes</w:t>
      </w:r>
      <w:r>
        <w:rPr>
          <w:rFonts w:ascii="Arial" w:cs="Arial" w:eastAsia="Arial" w:hAnsi="Arial"/>
          <w:sz w:val="16"/>
          <w:szCs w:val="16"/>
          <w:color w:val="auto"/>
        </w:rPr>
        <w:t xml:space="preserve"> review, interference and derivation proceedings as well as equivalent proceedings in foreign jurisdictions, such 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Interference proceedings provoked by third parties, brought by us or declared by the USPTO may be necessary to determine the priority of inventions with respect to our patents or patent applications or those of our licensors, licensees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and research programs or force us to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left="180" w:right="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US, the EU and other countries with respect to our proprietary technologies and product candidates. In particular, Genentech, Lilly, Janssen or our other licensing or collaboration partners may be dependent on a license with a third party for the development and future commercialization of our product candidates. If such license is not granted or is terminated, Genentech, Lilly, Janssen or other licensing or collaboration partners may be required to cease development and commercialization of our product candidates, any of which could have a material adverse effect on our business, financial condition, results of operations or prospects.</w:t>
      </w:r>
    </w:p>
    <w:p>
      <w:pPr>
        <w:spacing w:after="0" w:line="177"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6"/>
          <w:szCs w:val="16"/>
          <w:color w:val="auto"/>
        </w:rPr>
        <w:t>We have sought to protect our proprietary position by filing patent applications in the US and abroad related to any of our novel technologies and products that are important to our business. This process is expensive, time-consuming,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patent position of pharmaceutical and biopharmaceutical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US or in other foreign countries, or fail to effectively prevent others from commercializing competitive technologies and product candidates. Changes in either the patent laws or interpretation of the patent laws in the US and other countries may diminish the value of our patents or narrow the scope of our patent protection.</w:t>
      </w:r>
    </w:p>
    <w:p>
      <w:pPr>
        <w:spacing w:after="0" w:line="17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6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or title in our patents or other intellectual property as an inventor or co-inventor. For example, we may have inventorship disputes arise from conflicting obligations of consultants, CROs, CMOs, academic institutions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ind w:left="180" w:right="920"/>
        <w:spacing w:after="0" w:line="342" w:lineRule="auto"/>
        <w:rPr>
          <w:sz w:val="20"/>
          <w:szCs w:val="20"/>
          <w:color w:val="auto"/>
        </w:rPr>
      </w:pPr>
      <w:r>
        <w:rPr>
          <w:rFonts w:ascii="Arial" w:cs="Arial" w:eastAsia="Arial" w:hAnsi="Arial"/>
          <w:sz w:val="16"/>
          <w:szCs w:val="16"/>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spacing w:after="0" w:line="192"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master service agreements,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spacing w:after="0" w:line="17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Despite confidentiality clauses within our employment agreements, we cannot ensure that departing employees will not breach any post-termination commitments in such agreements by allowing others to access our trade secrets.</w:t>
      </w:r>
    </w:p>
    <w:p>
      <w:pPr>
        <w:spacing w:after="0" w:line="170" w:lineRule="exact"/>
        <w:rPr>
          <w:sz w:val="20"/>
          <w:szCs w:val="20"/>
          <w:color w:val="auto"/>
        </w:rPr>
      </w:pPr>
    </w:p>
    <w:p>
      <w:pPr>
        <w:jc w:val="both"/>
        <w:ind w:left="180" w:right="3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5" w:lineRule="exact"/>
        <w:rPr>
          <w:sz w:val="20"/>
          <w:szCs w:val="20"/>
          <w:color w:val="auto"/>
        </w:rPr>
      </w:pPr>
    </w:p>
    <w:p>
      <w:pPr>
        <w:ind w:firstLine="359"/>
        <w:spacing w:after="0" w:line="270" w:lineRule="auto"/>
        <w:rPr>
          <w:sz w:val="20"/>
          <w:szCs w:val="20"/>
          <w:color w:val="auto"/>
        </w:rPr>
      </w:pPr>
      <w:r>
        <w:rPr>
          <w:rFonts w:ascii="Arial" w:cs="Arial" w:eastAsia="Arial" w:hAnsi="Arial"/>
          <w:sz w:val="17"/>
          <w:szCs w:val="17"/>
          <w:color w:val="auto"/>
        </w:rPr>
        <w:t>Although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70" w:lineRule="exact"/>
        <w:rPr>
          <w:sz w:val="20"/>
          <w:szCs w:val="20"/>
          <w:color w:val="auto"/>
        </w:rPr>
      </w:pPr>
    </w:p>
    <w:p>
      <w:pPr>
        <w:ind w:left="180" w:right="320"/>
        <w:spacing w:after="0" w:line="286" w:lineRule="auto"/>
        <w:rPr>
          <w:sz w:val="20"/>
          <w:szCs w:val="20"/>
          <w:color w:val="auto"/>
        </w:rPr>
      </w:pPr>
      <w:r>
        <w:rPr>
          <w:rFonts w:ascii="Arial" w:cs="Arial" w:eastAsia="Arial" w:hAnsi="Arial"/>
          <w:sz w:val="17"/>
          <w:szCs w:val="17"/>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collaboration partners, we could lose intellectual property rights that are important to our business.</w:t>
      </w:r>
    </w:p>
    <w:p>
      <w:pPr>
        <w:spacing w:after="0" w:line="16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any restrictions in licensed fields and other interpretation-related issues;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the intellectual property of the licensor, the licensee or partner that is not subject to the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or mutual creation or use of intellectual property by our licensors or collaboration partners and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in patented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non-compete commitments;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consequences for changes in control.</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88"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We or our licensors or licensees and collaborators may not be successful in obtaining or maintaining necessary rights to our product candidates through acquisitions and in-licenses.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or our licensors or licensees and collaborators programs may require the use of proprietary rights held by third parties in the future, and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or our licensors or licensees may be unable to acquire or in-license from third parties any compositions, methods of use, processes, or other third-party intellectual property rights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or our licensors or licensees also may be unable to license or acquire third-party intellectual property rights on terms that would allow us to make an appropriate return on our investment.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24"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may prevent or delay our or our collaboration partners’ development and commercialization efforts.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Numerous US- and foreign-issued patents and pending patent applications, which are owned by third parties, exist in the fields in which we are developing product candidates. For example, we are aware of third-party patents or patent 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or be compelled to enter into onerous licenses with such third parties. There may also be other third-party patents or patent applications with claims to materials, formulations, methods of manufacture or methods of treatment related to the use or manufacture of our product candidates and technology. Although we generally conduct a freedom-to-operate search and review with respect to our product candidates, we cannot guarantee that our search and review is complete and thorough, nor can we be sure that we have identified each and every patent and pending application in the US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8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Third parties may assert infringement claims against us based on existing patents or on patents that may be granted in the future, regardless of merit. Even if we believe such claims are without merit, a court of competent jurisdiction could hold that these third-party patents are valid, enforceable and infringed, which could materially and adversely affect our or our collaboration partners’ ability to commercialize our product candidates or technologies covered by the asserted third-party patents.</w:t>
      </w:r>
    </w:p>
    <w:p>
      <w:pPr>
        <w:spacing w:after="0" w:line="18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patent-holding companies that focus solely on extracting royalties and settlements by enforcing patent rights may target us. As the pharmaceutical and biopharmaceutical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6"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We employ and utilize the services of individuals who were previously employed or provided services to universities or other pharmaceutical or biopharmaceutical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of other third parties. Litigation may be necessary to defend against these claims. If we fail in defending any such claims, in addition to paying monetary damages, we may lose valuable intellectual property rights or personnel, which could have a material adverse effect on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right="400" w:firstLine="324"/>
        <w:spacing w:after="0" w:line="296" w:lineRule="auto"/>
        <w:rPr>
          <w:sz w:val="20"/>
          <w:szCs w:val="20"/>
          <w:color w:val="auto"/>
        </w:rPr>
      </w:pPr>
      <w:r>
        <w:rPr>
          <w:rFonts w:ascii="Arial" w:cs="Arial" w:eastAsia="Arial" w:hAnsi="Arial"/>
          <w:sz w:val="16"/>
          <w:szCs w:val="16"/>
          <w:color w:val="auto"/>
        </w:rPr>
        <w:t>In addition, although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US may be less extensive than those in the US. In addition, the laws of some foreign countries do not protect intellectual property rights to the same extent as the laws in the US. Consequently, we may not be able to prevent third parties from practicing our inventions in all countries outside the US, or from selling or importing products made using our inventions in and into the US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our names and brands may be misappropriated by third parties, and our business may be adversely affected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filed trademark applications seeking protection for our corporate name, logo, Nasdaq Global Market symbol and selected names of our technology platforms in selected geographies. While we have been granted registrations in certain geographies for certain trademarks, there is no guarantee that our trademark applications will be approved by the respective authorities at all or that we will not be required to narrow the scope of protection in certain or all geographies. Our applications may face opposition from third parties, potentially resulting in the lack of protection or narrower protection. Our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260"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We are a clinical-stage biopharmaceutical company. Since 2003, although we have received upfront and milestone payments from our collaboration partners and certain other contract revenue, we have also incurred significant operating losses. We incurred net losses (defined as net loss attributable to owners of the Company) of CHF 73.0 million for the year ended December 31, 2021. In addition, we had accumulated losses of CHF 200.9 million as of December 31, 2021.</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date, the Company has financed its liquidity requirements primarily from its public offerings, share issuances, contract revenues from license and collaboration agreements and grants. We have no products approved for commercialization and have never generated any revenues from product sales. Biopharmaceutical and 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88"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Although we have generated revenues from upfront and milestone payments related to our license and collaboration agreements, we have never generated any revenue from product sales and may never be profitable.</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Although we have generated contract revenue from upfront and milestone payments related to our license and collaboration agreements, we have no products approved for commercialization and have never generated any revenue from product sales. Our ability to generate revenue and achieve profitability depends on our and our licensors’ and collaboration partners’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6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successfully completing research and clinical development of our product candidates, by us or our collaboration partners, as the case may be;</w:t>
      </w:r>
    </w:p>
    <w:p>
      <w:pPr>
        <w:spacing w:after="0" w:line="248" w:lineRule="exact"/>
        <w:rPr>
          <w:rFonts w:ascii="Arial" w:cs="Arial" w:eastAsia="Arial" w:hAnsi="Arial"/>
          <w:sz w:val="16"/>
          <w:szCs w:val="16"/>
          <w:color w:val="auto"/>
        </w:rPr>
      </w:pPr>
    </w:p>
    <w:p>
      <w:pPr>
        <w:ind w:left="660" w:right="78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obtaining marketing approvals for our clinical product candidates, including ACI-35, ACI-24 for AD and DS, ACI-7104, semorinemab, crenezumab, Morphomer Tau, PI-2620 and our a-syn PET tracer, for which we or our collaboration partners complete clinical studies;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34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quality and time) products to support clinical development and the market demand for our product candidates, if approved;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or diagnostic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protecting, acquiring and expanding our portfolio of intellectual property rights, including patents, trade secrets and know-how;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Because of the numerous risks and uncertainties with biopharmaceutical and pharmaceutical product development, we are unable to accurately predict the timing or amount of increased expenses and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the treatment population is narrowed by competition, physician choice or treatment guidelines or other commercial related factors we may not generate significant revenue from sales of such products, even if approved. Accordingly, we may not be profitable in the future from the sale of any approved products.</w:t>
      </w:r>
    </w:p>
    <w:p>
      <w:pPr>
        <w:spacing w:after="0" w:line="185"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obtain additional funding, we may delay, reduce or eliminate our product development programs or commercialization efforts.</w:t>
      </w:r>
    </w:p>
    <w:p>
      <w:pPr>
        <w:spacing w:after="0" w:line="24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are currently advancing our clinical product candidates through clinical development, either together with a collaboration partner (ACI-35, semorinemab, Morphomer Tau, crenezumab and PI-2620) or independently (ACI-7104, ACI-24 for AD and for DS and our a-syn PET tracer). We expect our research and development expenses to continue to increase in connection with our ongoing activities, particularly as we and/or our collaboration partners continue our ongoing studies and initiate new studies of ACI-35, ACI-24 for AD and DS, ACI-7104, Morphomer Tau, PI-2620 and our a-syn PET tracer and initiate preclinical and clinical development of our other product candidates.</w:t>
      </w:r>
    </w:p>
    <w:p>
      <w:pPr>
        <w:spacing w:after="0" w:line="17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of December 31, 2021, we had cash and cash equivalents of CHF 82.2 million and short-term financial assets of CHF 116.0 million resulting in a total liquidity position of CHF 198.2 million. We currently believe that our existing capital resources, not including potential milestone payments, will be sufficient to meet our projected operating requirements through at least Q1 2024. We have based this estimate on assumptions that may prove to be wrong, and we could exhaust our capital resources sooner than we currently expect. In addition, changing circumstances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expect that we will require additional capital to develop and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Additionally, we may be dependent on the status of the capital markets at the time such capital is sought. If we are not able to raise capital when needed, we could be forced to delay, reduce or eliminate our product development programs or commercialization efforts.</w:t>
      </w:r>
    </w:p>
    <w:p>
      <w:pPr>
        <w:spacing w:after="0" w:line="166" w:lineRule="exact"/>
        <w:rPr>
          <w:sz w:val="20"/>
          <w:szCs w:val="20"/>
          <w:color w:val="auto"/>
        </w:rPr>
      </w:pPr>
    </w:p>
    <w:p>
      <w:pPr>
        <w:ind w:left="180"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In September 2020, the Company established an “at the market offering” (ATM) for the sale of up to USD 80 (CHF 73.9) million worth of our common shares from time to time by entering into an Open Market Sale Agreement (Sales Agreement) with Jefferies LLC (Jefferies). In Q2 2021, we filed a new registration statement on Form F-3 and entered into a new Sales Agreement to replace and extend the ATM program. We do not have any material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of December 31, 2021, we reported tax loss carry-forwards from financial years 2015 until 2021 for purposes of Swiss corporate income tax in the aggregate amount of CHF 197.2 million, which could be available to offset future taxable income. If not used, these tax losses will expire 7 years after the year in which they were incurred. Due to our limited income, there is a high risk that the tax loss carry-forwards will expire partly or entirely and we will not be able to use them to offset future taxable income thereafter for Swiss corporate income tax purposes.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existing agreements, we receive and make a significant amount of payments in Swiss Franc, USD and EUR. As a result, changes and fluctuations in currency exchange rates between the Swiss Franc and other currencies, especially the USD and EUR, could have a materially adverse effect on our operating results. As our reporting currency is the Swiss Franc, financial line items are converted into Swiss Francs at the applicable exchange rates. We also expect that in the future, a significant portion of our revenues and expenses will be denominated in Swiss Franc, USD and EUR. Therefore, unfavorable developments in the value of the Swiss Franc as compared to the USD and EUR or any other currency could have a material adverse effect on our business, financial condition and results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significant in-process research and development (IPR&amp;D) asset may become impaired.</w:t>
      </w:r>
    </w:p>
    <w:p>
      <w:pPr>
        <w:spacing w:after="0" w:line="22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consolidated balance sheet contains a material IPR&amp;D asset. For an IPR&amp;D asset, the risk of failure is significant, and there can be no certainty that the asset will become a successful candidate. Our ability to realize value on this significant investment is often contingent upon, among other things, regulatory approvals and market acceptance. As such, this IPR&amp;D may become impaired and/or be written off at some time in the future if the associated R&amp;D effort is abandoned or is curtailed.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ind w:left="180" w:right="9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170"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Our future success is dependent on our and our collaboration partners’ ability to successfully develop, obtain regulatory approval for, and then successfully commercialize one or more product candidates. We currently have two product candidates that have completed Phase 2 clinical studies and three that are in a Phase 2 clinical study.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57"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4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US or elsewhere;</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benefit-risk ratio for its proposed indication is acceptable;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change significantly in a manner rendering our clinical data insufficient for approval.</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US, the EU and in additional foreign countries where we have commercial and typically intellectual property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78" w:lineRule="exact"/>
        <w:rPr>
          <w:sz w:val="20"/>
          <w:szCs w:val="20"/>
          <w:color w:val="auto"/>
        </w:rPr>
      </w:pPr>
    </w:p>
    <w:p>
      <w:pPr>
        <w:ind w:left="180" w:right="22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To obtain the necessary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pharmaceutical or biopharmaceutical industry, including us, have suffered significant setbacks in advanced clinical studies due to lack of efficacy or adverse safety profiles, notwithstanding promising results in earlier studies. Our future clinical study results may not be successful.</w:t>
      </w:r>
    </w:p>
    <w:p>
      <w:pPr>
        <w:spacing w:after="0" w:line="1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Clinical studies must be conducted in accordance with the legal requirements, regulations and guidelines of the FDA, EMA and comparable foreign regulatory authorities, and are subject to oversight by these governmental agencies and Institutional Review Boards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date, neither we nor our collaboration partners have completed all clinical studies required for the approval of any of our product candidates.</w:t>
      </w:r>
    </w:p>
    <w:p>
      <w:pPr>
        <w:spacing w:after="0" w:line="2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completion of clinical studies for our product candidates may be delayed, suspended or terminated as a result of many factors, including but not limited to:</w:t>
      </w:r>
    </w:p>
    <w:p>
      <w:pPr>
        <w:spacing w:after="0" w:line="170" w:lineRule="exact"/>
        <w:rPr>
          <w:sz w:val="20"/>
          <w:szCs w:val="20"/>
          <w:color w:val="auto"/>
        </w:rPr>
      </w:pPr>
    </w:p>
    <w:p>
      <w:pPr>
        <w:ind w:left="660" w:right="7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or amend a clinical study at a prospective study site or changes in regulatory requirements, policies and guidelines;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170"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significantly harm our business, financial condition and prospects. In addition, many of the factors that cause, or lead to, a delay in the commencement or completion of clinical studies may also ultimately lead to the denial of regulatory approval of our product candidates.</w:t>
      </w:r>
    </w:p>
    <w:p>
      <w:pPr>
        <w:spacing w:after="0" w:line="187"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7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Sales by us of our approved drugs will be subject to US and non-US regulatory requirements governing clinical studies and regulatory approval, and we plan to seek regulatory approval to commercialize our product candidates in the US, the European Economic Area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the regulatory authorities in other countries or jurisdictions, and similarly, approval by a non-US regulatory authority, such as the EMA, does not ensure approval by regulatory authorities in other countries, including by the FDA.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US, a product candidate must be approved for reimbursement before it can be approved for sale in that country. In some cases, the price that would be charged for a drug is also subject to approval. Regulatory authorities in other countries also have their own requirements for approval of product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76"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If a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 and cGCP requirements for any clinical studies that we conduct post-approval. Later discovery of previously unknown problems with a product, including AEs of unanticipated severity or frequency, or with our third-party manufacturers or manufacturing processes, or failure to comply with regulatory requirements, may result in, among other things: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or an applicable foreign regulatory authority to approve pending applications or supplements to approved applications filed by us or our collaborations partners, or suspension or revocation of product license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constraints in promotion and distribution of drug products in various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or those of an applicable foreign regulatory authority’s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8"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product candidates outside the US, and the FDA and applicable foreign regulatory authorities may not accept data from such studies.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US, including in Germany, Austria, Denmark, Sweden, Finland, the UK, Poland, Spain and the Netherlands. The acceptance of study data from clinical studies conducted outside the US or another jurisdiction by the FDA or applicable foreign regulatory authority may be subject to certain conditions. In cases where data from foreign clinical studies are intended to serve as the basis for marketing approval in the US, the FDA will not approve the application on the basis of foreign data alone unless the following are true: the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in which the studies are conducted. There can be no assurance that the FDA or any applicable foreign regulatory authority will accept data from studies conducted outside of the US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product candidates not receiving approval or clearance for commercialization in the applicable jurisdiction.</w:t>
      </w:r>
    </w:p>
    <w:p>
      <w:pPr>
        <w:spacing w:after="0" w:line="186"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the US and the EU, there have been a number of legislative and regulatory changes and proposed changes regarding the healthcare system. These changes could prevent or delay marketing approval of our product candidates and restrict or regulate post-approval activities and affect our ability to profitably sell any products for which we obtain marketing approval.</w:t>
      </w:r>
    </w:p>
    <w:p>
      <w:pPr>
        <w:spacing w:after="0" w:line="18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the US, the Medicare Prescription Drug, Improvement, and Modernization Act of 2003 (Medicare Modernization Act), changed the way Medicare covers and pays for pharmaceutical and biopharmaceutical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Although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March 2010, former President Obama signed into law the Patient Protection and Affordable Care Act, as amended by the Health Care and Education Reconciliation Act (HCERA)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the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healthcare practitioners.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the Centers for Medicare and Medicaid Services (CMS) issued an interim final rule implementing former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8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2020, we continued to face uncertainties because of continued US federal legislative and administrative efforts to repeal, substantially modify or invalidate some of the provisions of the Health Care Reform Law. In January 2017, Congress voted to adopt a budget resolution for the fiscal year 2017 that authorized the implementation of legislation that would repeal portions of the Health Care Reform Law. On December 14, 2018, a federal judge in Texas ruled that the Health Care Reform Law is unconstitutional in its entirety because the “individual mandate” was repealed by Congress as part of the 2017 Tax Act. On December 18, 2019, the Fifth Circuit Court of Appeals upheld the lower court’s decision that the Health Care Reform Law was unconstitutional. On March 2, 2020, the US Supreme Court granted certiorari to review the case and oral arguments were held on November 10, 2020. On January 28, 2021, President Biden issued an executive order to initiate a special enrollment period from February 15, 2021 through May 15, 2021 for purposes of obtaining health insurance coverage through the Health Care Reform Law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June 17, 2021, the U.S. Supreme Court rejected the challenge to the Health Care Reform Law after finding that plaintiffs do not have standing to challenge the constitutionality of the statute. It is unclear what effect similar litigation, other efforts to repeal and replace the Health Care Reform Law and the healthcare reform measures of the Biden administration will have on the status of the ACA. Litigation and legislation over the Health Care Reform Law are likely to continue, with unpredictable and uncertain results.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Moreover, other legislative changes have also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USD 1.2 trillion for the years 2013 through 2021, was unable to reach the required goals, thereby triggering the legislation’s automatic reduction to several government programs. This includes aggregate reductions in Medicare payments to providers of 2% per fiscal year, which went into effect on April 1, 2013 and, due to subsequent legislative amendments, including the Infrastructure Investment and Jobs Act, will remain in effect through 2031 unless additional Congressional action is taken. The Coronavirus Aid, Relief, and Economic Security Act and subsequent legislation suspended the 2% Medicare sequester from May 1, 2020 through March 31, 2022. On January 2, 2013, former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3 to 5 years. Further,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 current U.S. administration continues to focus heavily on drug pricing issues and Congress has introduced a multitude of legislative proposals aimed at drug pricing. In addition, Congress is considering additional health reform measures as part of the budget reconciliation process. These new laws may result in additional reductions in Medicare and other healthcare funding, which could have a material adverse effect on our customers and accordingly, our financial operations.</w:t>
      </w:r>
    </w:p>
    <w:p>
      <w:pPr>
        <w:spacing w:after="0" w:line="16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Additionally, in the EU, the new clinical trial regulation is scheduled to come into force on January 31, 2022. This new legislation will enforce the centralization of clinical trial applications and approvals, which will eliminate redundancy, but in some cases, this may extend timelines for clinical study approvals, due to potentially longer wait times. Austerity measures in certain European nations may also affect the prices we are able to seek if our products are approved. Both in the US and in the EU, legislative and regulatory proposals have been made to expand post-approval requirements and restrict sales and promotional activities for pharmaceutical and biopharmaceutical products. We do not know whether additional legislative changes will be enacted, whether the regulations, guidance or interpretations will be changed, or what the impact of such changes on the marketing approvals of our product candidates, if any, may be.</w:t>
      </w:r>
    </w:p>
    <w:p>
      <w:pPr>
        <w:spacing w:after="0" w:line="195" w:lineRule="exact"/>
        <w:rPr>
          <w:sz w:val="20"/>
          <w:szCs w:val="20"/>
          <w:color w:val="auto"/>
        </w:rPr>
      </w:pPr>
    </w:p>
    <w:p>
      <w:pPr>
        <w:ind w:left="180" w:right="540"/>
        <w:spacing w:after="0" w:line="381" w:lineRule="auto"/>
        <w:rPr>
          <w:sz w:val="20"/>
          <w:szCs w:val="20"/>
          <w:color w:val="auto"/>
        </w:rPr>
      </w:pPr>
      <w:r>
        <w:rPr>
          <w:rFonts w:ascii="Arial" w:cs="Arial" w:eastAsia="Arial" w:hAnsi="Arial"/>
          <w:sz w:val="15"/>
          <w:szCs w:val="15"/>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0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340"/>
        <w:spacing w:after="0" w:line="311" w:lineRule="auto"/>
        <w:rPr>
          <w:sz w:val="20"/>
          <w:szCs w:val="20"/>
          <w:color w:val="auto"/>
        </w:rPr>
      </w:pPr>
      <w:r>
        <w:rPr>
          <w:rFonts w:ascii="Arial" w:cs="Arial" w:eastAsia="Arial" w:hAnsi="Arial"/>
          <w:sz w:val="16"/>
          <w:szCs w:val="16"/>
          <w:b w:val="1"/>
          <w:bCs w:val="1"/>
          <w:i w:val="1"/>
          <w:iCs w:val="1"/>
          <w:color w:val="auto"/>
        </w:rPr>
        <w:t>Our relationships with clinical centers are, and potentials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4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which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71" w:lineRule="exact"/>
        <w:rPr>
          <w:sz w:val="20"/>
          <w:szCs w:val="20"/>
          <w:color w:val="auto"/>
        </w:rPr>
      </w:pPr>
    </w:p>
    <w:p>
      <w:pPr>
        <w:ind w:left="660" w:right="10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186"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US False Claims Act imposes criminal and civil penalties, including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23" w:lineRule="exact"/>
        <w:rPr>
          <w:rFonts w:ascii="Arial" w:cs="Arial" w:eastAsia="Arial" w:hAnsi="Arial"/>
          <w:sz w:val="16"/>
          <w:szCs w:val="16"/>
          <w:color w:val="auto"/>
        </w:rPr>
      </w:pPr>
    </w:p>
    <w:p>
      <w:pPr>
        <w:ind w:left="660" w:right="44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86" w:lineRule="exact"/>
        <w:rPr>
          <w:rFonts w:ascii="Arial" w:cs="Arial" w:eastAsia="Arial" w:hAnsi="Arial"/>
          <w:sz w:val="18"/>
          <w:szCs w:val="18"/>
          <w:color w:val="auto"/>
        </w:rPr>
      </w:pPr>
    </w:p>
    <w:p>
      <w:pPr>
        <w:ind w:left="660" w:right="20" w:hanging="328"/>
        <w:spacing w:after="0" w:line="29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and biopharmaceutical companies to comply with the pharmaceutical and biopharmaceutical industries’ voluntary compliance guidelines and the relevant compliance guidance promulgated by the federal government, in addition to requiring manufacturers to report information related to payments to physicians and other healthcare providers or marketing expenditures.</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healthcare-reform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Jurisdictions outside of the US have enacted laws and regulations defining the framework of business practices of pharmaceutical organizations in their interactions with government offices, medical institutions and healthcare professionals (HCP) in order to safeguard the independence of medical judgement and of prescription and purchasing decisions. These regulations typically prohibit illegitimate payments and other transfers of values to institutional players and HCPs and regulate the bases for their remuneration, such as for consultancy and other service arrangements, as well as the reimbursement of costs; in certain jurisdictions, regulations prescribe the disclosure of the existing relationships and/or the remunerations paid. In addition to government regulations, pharmaceutical industry associations, such as the European Federation of Pharmaceutical Industries and Associations (EFPIA), of which we have been a member since 2021, have enacted industry codes of conduct providing their own rules of compliance for their members’ interactions with government offices, medical institutions and HCPs.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government-funded healthcare programs.</w:t>
      </w:r>
    </w:p>
    <w:p>
      <w:pPr>
        <w:spacing w:after="0" w:line="192" w:lineRule="exact"/>
        <w:rPr>
          <w:sz w:val="20"/>
          <w:szCs w:val="20"/>
          <w:color w:val="auto"/>
        </w:rPr>
      </w:pPr>
    </w:p>
    <w:p>
      <w:pPr>
        <w:ind w:left="180" w:right="7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which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our ability to conduct business and our reputation.</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April 2021 we amended our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(FCPA), and similar anti-bribery and anti-corruption laws.</w:t>
      </w:r>
    </w:p>
    <w:p>
      <w:pPr>
        <w:spacing w:after="0" w:line="23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or biopharmaceuticals and the investigators who perform our studies are employed by their government, and the purchasers of pharmaceuticals are government entities; therefore, our dealings with these prescribers and purchasers are subject to regulation under the FCPA. The Securities and Exchange Commission (SEC) and the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share prices of publicly traded emerging pharmaceutical,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8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70"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sentiment of retail investors, including the perception of our clinical trial results by such retail investors, which investors may be subject to the influence of information provided by social media, third party investor websites and independent authors distributing information on the internet;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our collaboration partners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or key opinion leaders;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market conditions in the pharmaceutical or biopharmaceutical industry or in the economy as a whole;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long-term, decline in the market price of our common shares.</w:t>
      </w:r>
    </w:p>
    <w:p>
      <w:pPr>
        <w:spacing w:after="0" w:line="178"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As of the date hereof, certain principal shareholders controlling 5% or more of our common shares as well as our executive officers and directors together beneficially own approximately 61.2% of our common shares. The limited free float may have a negative impact on the liquidity of our common shares and result in a low trading volume of our common shares, which could adversely affect the price of our common shares.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Certain of our existing shareholders exercise significant control over us, and your interests may conflict with the interests of such shareholders.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61.2%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October 2020 and August 2018, we filed registration statements on Form F-3 to register the resale of two of our shareholder’s common shares pursuant to the requirements of their registration rights agreements. In addition, in 2019, we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are sold in the public market after they become eligible for sale, the sales could reduce the trading price of our common shares and impede our ability to raise future capital.</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broad discretion in the use of our cash and cash equivalents and short-term financial assets (liquidity) and may not use them effectively.</w:t>
      </w:r>
    </w:p>
    <w:p>
      <w:pPr>
        <w:spacing w:after="0" w:line="260"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Our management has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pharmaceutical or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Based on Swiss law and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considering various factors including our business prospects, liquidity requirements, financial performance and new product development. In addition, payment of future dividends is subject to certain limitations pursuant to Swiss law or by our articles of association compliance with which must be confirmed by our auditors. Accordingly, investors cannot rely on dividend income from our common shares and any returns on an investment in our common shares will likely depend entirely upon any future appreciation in the price of our common shares.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first, then of our shareholders, our employees and other stakeholders, in all cases, with due observation of their fiduciary duties of care and loyalty.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their fiduciary duties by the directors. As a matter of Swiss law, shareholder claims against a member of our board of directors for breach of fiduciary duty would have to be brought in Lausanne, Switzerland, or the country in which the relevant member of our board of directors is domiciled. In addition, under Swiss law, any claims by our shareholders against us must be in principle brought exclusively in Lausanne, Switzerland (except for certain US securities and other claims that may be brought in US federal court).</w:t>
      </w:r>
    </w:p>
    <w:p>
      <w:pPr>
        <w:spacing w:after="0" w:line="17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protect investors in a similar fashion afforded by incorporation in a US state.</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organized under the laws of Switzerland. There can be no assurance that Swiss law will not change in the future in a way detrimental to shareholders or that it will serve to protect investors in a similar fashion afforded under corporate law principles in the US, which could adversely affect the rights of investors.</w:t>
      </w:r>
    </w:p>
    <w:p>
      <w:pPr>
        <w:spacing w:after="0" w:line="184"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2 years. Additionally, as a principle, Swiss law grants pre-emptive subscription rights to existing shareholders to subscribe to any new issuance of shares. Any common share capital increase resolution preserving pre-emptive subscription rights expires after 3 months and requires a simple majority of the votes cast at the shareholder’s meeting regardless of abstentions and empty or invalid votes. Swiss law also does not provide as much flexibility in the various terms that can attach to different classes of shares as do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in which greater flexibility would have provided substantial benefits to our shareholders.</w:t>
      </w:r>
    </w:p>
    <w:p>
      <w:pPr>
        <w:spacing w:after="0" w:line="1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2021, the Company has CHF 432.6 million of reserves from capital contributions and CHF 1,792,702 of issued share capital (consisting of 89,635,115 common shares each with a nominal value of CHF 0.02 and no preferred shares) on its audited statutory balance sheet. Of the total issued shares and issued share capital, the Company holds 6,221,617 fully paid-in treasury shares representing CHF 124,432 of issued share capital.</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expect the aggregate of these amounts (i.e. reserves from capital contributions and share capital, less the total losses brought forward, less the treasury shares, less the lowest legally possible issued share capital and legal reserve of together CHF 150,000) to represent the potential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who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In addition, over the long term, the amount of nominal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6"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near Lausanne, Canton of Vaud, Switzerland. Moreover, a number of our directors and executive officers are not residents of the US, and all or a substantial portion of the assets of such persons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 We have been advised by our Swiss counsel that there is doubt as to the enforceability in Switzerland of original actions, or of actions for enforcement of judgments of US courts, for civil liabilities to the extent solely predicated upon the federal and state securities laws of the US.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Additionally, certain mandatory provisions of Swiss law may be applicable regardless of any other law that would otherwise apply.</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Switzerland and the US do not have a treaty providing for reciprocal recognition and enforcement of judgments in civil and commercial matters. The recognition and enforcement of a judgment of the courts of the US in Switzerland is governed by the principles set forth in the Swiss Federal Act on Private International Law. This statute provides in principle that a judgment rendered by a non-Swiss court may be enforced in Switzerland only if:</w:t>
      </w:r>
    </w:p>
    <w:p>
      <w:pPr>
        <w:spacing w:after="0" w:line="16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for which the decision is recognizable in Switzerland.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or authorize our board of directors, to increase our share capital. Although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2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See “Item 10. Additional information—E. Taxation—Swiss tax considerations” for a summary of certain Swiss tax consequences regarding dividends distributed to holders of our common shares.</w:t>
      </w:r>
    </w:p>
    <w:p>
      <w:pPr>
        <w:spacing w:after="0" w:line="170"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184"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firstLine="8"/>
        <w:spacing w:after="0" w:line="288"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their liability for insiders who profit from trades made in a short period of time; and (iii) the rules under the Exchange Act requiring the filing with the SEC of quarterly reports on Form 10-Q containing unaudited financial and other specified information, or of current reports on Form 8-K, upon the occurrence of specified significant events. In addition, foreign private issuers are not required to file their annual report on Form 20-F until 4 months after the end of each financial year, whereas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a foreign private issuer. As a result, in accordance with Nasdaq Listing Rule 5615(a)(3), we comply with home country (in this case, Swiss)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While Swiss law also requires that our board of directors elects an audit and finance committee from among its members, as a foreign private issuer, the independence of the members of such committee is determined by home country regulations and the conditions of Section 10B of the Securities Exchange Act, excluding any Nasdaq Listing Rules. Swiss law also requires that we elect a compensation committee, we follow home country requirements with respect to such committee and our compensation, nomination and corporate governance committee is tasked with certain director nomination and governance responsibilities as described under “Item 6. 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66"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6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70"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2022 (or the end of our second fiscal quarter in any subsequent fiscal year), which would require us to comply with all of the periodic disclosure and current reporting requirements of the Exchange Act applicable to US domestic issuers as of January 1, 2023 (or the first day of the fiscal year immediately succeeding the end of such second quarter). In order to maintain our current status as a foreign private issuer, either (a) a majority of our common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67"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management is required to assess the effectiveness of our internal controls and procedures annually. We ceased to be an emerging growth company on December 31, 2021, and, as such, we will no longer be able to avail ourselves of exemptions from various reporting requirements applicable to other public companies but not to “emerging growth companies.” For example,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We previously availed ourselves of the exemption from the requirement that our independent registered public accounting firm attest to the effectiveness of our internal control over financial reporting under Section 404. However, we are no longer able to avail ourselves of this exemption. Our management is required to issue an annual report on internal control over financial reporting, and our independent registered public accounting firm is now required to undertake an assessment of our internal control over financial reporting, which could detect problems that our management’s assessment might not. Undetected material weaknesses in our internal controls could lead to financial statement restatements and require us to incur the expense of remediation. 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in connection with issuing our consolidated financial statements as of and for the year ended December 31, 2021.</w:t>
      </w:r>
    </w:p>
    <w:p>
      <w:pPr>
        <w:spacing w:after="0" w:line="17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78" w:lineRule="exact"/>
        <w:rPr>
          <w:sz w:val="20"/>
          <w:szCs w:val="20"/>
          <w:color w:val="auto"/>
        </w:rPr>
      </w:pPr>
    </w:p>
    <w:p>
      <w:pPr>
        <w:ind w:left="180" w:right="6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61" w:lineRule="exact"/>
        <w:rPr>
          <w:sz w:val="20"/>
          <w:szCs w:val="20"/>
          <w:color w:val="auto"/>
        </w:rPr>
      </w:pPr>
    </w:p>
    <w:p>
      <w:pPr>
        <w:ind w:left="180" w:right="120"/>
        <w:spacing w:after="0" w:line="259" w:lineRule="auto"/>
        <w:rPr>
          <w:sz w:val="20"/>
          <w:szCs w:val="20"/>
          <w:color w:val="auto"/>
        </w:rPr>
      </w:pPr>
      <w:r>
        <w:rPr>
          <w:rFonts w:ascii="Arial" w:cs="Arial" w:eastAsia="Arial" w:hAnsi="Arial"/>
          <w:sz w:val="18"/>
          <w:szCs w:val="18"/>
          <w:b w:val="1"/>
          <w:bCs w:val="1"/>
          <w:i w:val="1"/>
          <w:iCs w:val="1"/>
          <w:color w:val="auto"/>
        </w:rPr>
        <w:t>It is likely that we were a PFIC for 2019 and 2020. Although we believe we were not a PFIC for 2021, there can be no assurance that the Internal Revenue Service will agree. We cannot express any expectation regarding our PFIC status for 2022 or any future taxable year. If we are a PFIC for any taxable year during which a US investor owns our common shares, the investor generally will be subject to adverse US federal income tax consequences.</w:t>
      </w:r>
    </w:p>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Under the Internal Revenue Code of 1986, as amended (the “Code”), we will be a PFIC for any taxable year in which, after the application of certain look-through rules with respect to subsidiaries, either (i) 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(which we believe are active income), grants (which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Internal Revenue Service (IRS) will not challenge the classification of any of our income items for PFIC purposes for any taxable year. Accordingly, there is no assurance that we will not be a PFIC for any taxable year under the income test.</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we currently hold, and expect to continue to hold, a substantial amount of passive assets, including cash. The average value of our assets (including goodwill) for purposes of determining our PFIC status for any taxable year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discussed in our Annual Reports on Form 20-F for 2019 and 2020, we were likely a PFIC for our taxable years of 2019 and 2020. If we were a PFIC for 2019 or 2020, we will generally continue to be treated as a PFIC with respect to a US investor who owned our common shares during any portion of such years, even if we are not a PFIC for 2021 or any other taxable year, unless the US investor makes a “deemed sale” election with respect to our common shares.</w:t>
      </w:r>
    </w:p>
    <w:p>
      <w:pPr>
        <w:spacing w:after="0" w:line="18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Although we have not obtained independent valuations of our assets for our taxable year of 2021 and thus are not in a position to make a definitive determination as to whether we were a PFIC in 2021, based on the composition of our income and assets during 2021 and the estimated value of our assets (which is based on our average market capitalization during 2021), we believe that we were not a PFIC for 2021. However, for the reasons discussed above there can be no assurance that the IRS will agree. Because our PFIC status for 2022 or any future taxable year will depend on the composition of our income and assets and the value of our assets, we cannot express any expectation regarding our PFIC status for the current or any future taxable year.</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US investors that hold our common shares during any taxable year in which we are a PFIC generally will be subject to adverse US federal income tax consequences, including (i) the treatment of all or a portion of any gain on disposition as ordinary income, (ii) the application of a deferred interest charge on such gain and the receipt of certain dividends and (iii) the requirement to file certain reports to the IRS. We do not intend to provide the information that would enable investors to take a qualified electing fund election that could mitigate the adverse US federal income tax consequences if we are a PFIC for any taxable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including a description of purging elections, see “Item 10. Additional information—Section E. Taxation.”</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tab/>
        <w:t>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9"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We are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under the laws of Switzerland. We were formed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with our registered office and domicile in Basel, Switzerland. We converted 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registered and principal executive offices are located in Ecublens, at EPFL Innovation Park, Building B, 1015 Lausanne, Switzerland, our general telephone number is (41) 21 345 91 21 and our internet address is www.acimmune.com. Our agent for service of process in the United States is Cogency Global Inc. located at 122 East 42nd Street, 18th Floor, New York, New York 10168. Our website, and the information contained on or accessible through our website, are not part of this document. The SEC maintains an internet site that contains reports, proxy and information statements and other information regarding issuers that file electronically with the SEC, which can be found at http://www.sec.gov.</w:t>
      </w:r>
    </w:p>
    <w:p>
      <w:pPr>
        <w:spacing w:after="0" w:line="1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principal expenditures since January 1, 2019 have been our research and development expenses, as more fully described elsewhere in this Annual Report.</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2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and the urgent need for more tailored therapeutic regimens.</w:t>
      </w:r>
    </w:p>
    <w:p>
      <w:pPr>
        <w:spacing w:after="0" w:line="14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eleven therapeutic and three diagnostic programs, with seven currently in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 AC Immune investment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154305</wp:posOffset>
            </wp:positionV>
            <wp:extent cx="6069330" cy="2966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933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 As of December 31, 2021</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and Dr. Fred van Leuven, are regarded as pioneers in their respective scientific domains, including in the study of AD. Our co-founder and Chief Executive Officer, Dr. Andrea Pfeifer, a Pharmacologist with a Ph.D. in cancer research and a former National Institute of Health researcher, has a 30-year track record in product innovation and implementation, and was formerly Head of Nestlé Global Research and the co-founder of Nestlé Venture Fund. Dr. Marie Kosco-Vilbois, our Chief Scientific Officer, brings more than 20 years of experience in various aspects of discovery research and drug development, including work on multiple drug development programs. Prof. Johannes Rolf Streffer joined AC Immune in 2021 as our Chief Medical Officer. Prof. Streffer is a Neurologist and Psychiatrist with extensive expertise in AD including biomolecular modalities such as PET, volumetric and functional MRI, genetics, cognition and cerebrospinal fluid (CSF) marker.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need in neurodegenerative diseases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 Neurodegenerative diseases represent a large and growing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154305</wp:posOffset>
            </wp:positionV>
            <wp:extent cx="6052185" cy="2640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218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16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Alzheimer’s Disease International;</w:t>
      </w:r>
      <w:r>
        <w:rPr>
          <w:rFonts w:ascii="Arial" w:cs="Arial" w:eastAsia="Arial" w:hAnsi="Arial"/>
          <w:sz w:val="18"/>
          <w:szCs w:val="18"/>
          <w:color w:val="auto"/>
        </w:rPr>
        <w:t xml:space="preserve"> (2) Parkinson’s disease; (3) </w:t>
      </w:r>
      <w:r>
        <w:rPr>
          <w:rFonts w:ascii="Arial" w:cs="Arial" w:eastAsia="Arial" w:hAnsi="Arial"/>
          <w:sz w:val="18"/>
          <w:szCs w:val="18"/>
          <w:u w:val="single" w:color="auto"/>
          <w:color w:val="auto"/>
        </w:rPr>
        <w:t>Michael J. Fox Foundation;</w:t>
      </w:r>
      <w:r>
        <w:rPr>
          <w:rFonts w:ascii="Arial" w:cs="Arial" w:eastAsia="Arial" w:hAnsi="Arial"/>
          <w:sz w:val="18"/>
          <w:szCs w:val="18"/>
          <w:color w:val="auto"/>
        </w:rPr>
        <w:t xml:space="preserve"> (4) Limbic-predominant age-related TDP-43 encephalopathy; (5) Nelson PT </w:t>
      </w:r>
      <w:r>
        <w:rPr>
          <w:rFonts w:ascii="Arial" w:cs="Arial" w:eastAsia="Arial" w:hAnsi="Arial"/>
          <w:sz w:val="18"/>
          <w:szCs w:val="18"/>
          <w:i w:val="1"/>
          <w:iCs w:val="1"/>
          <w:color w:val="auto"/>
        </w:rPr>
        <w:t>et al.,</w:t>
      </w:r>
      <w:r>
        <w:rPr>
          <w:rFonts w:ascii="Arial" w:cs="Arial" w:eastAsia="Arial" w:hAnsi="Arial"/>
          <w:sz w:val="18"/>
          <w:szCs w:val="18"/>
          <w:color w:val="auto"/>
        </w:rPr>
        <w:t xml:space="preserve"> Brain 2019; (6) </w:t>
      </w:r>
      <w:r>
        <w:rPr>
          <w:rFonts w:ascii="Arial" w:cs="Arial" w:eastAsia="Arial" w:hAnsi="Arial"/>
          <w:sz w:val="18"/>
          <w:szCs w:val="18"/>
          <w:u w:val="single" w:color="auto"/>
          <w:color w:val="auto"/>
        </w:rPr>
        <w:t>National Institute of Neurological Disorders and Stroke</w:t>
      </w:r>
    </w:p>
    <w:p>
      <w:pPr>
        <w:spacing w:after="0" w:line="170" w:lineRule="exact"/>
        <w:rPr>
          <w:sz w:val="20"/>
          <w:szCs w:val="20"/>
          <w:color w:val="auto"/>
        </w:rPr>
      </w:pPr>
    </w:p>
    <w:p>
      <w:pPr>
        <w:jc w:val="both"/>
        <w:ind w:right="20" w:firstLine="321"/>
        <w:spacing w:after="0" w:line="311" w:lineRule="auto"/>
        <w:rPr>
          <w:sz w:val="20"/>
          <w:szCs w:val="20"/>
          <w:color w:val="auto"/>
        </w:rPr>
      </w:pPr>
      <w:r>
        <w:rPr>
          <w:rFonts w:ascii="Arial" w:cs="Arial" w:eastAsia="Arial" w:hAnsi="Arial"/>
          <w:sz w:val="16"/>
          <w:szCs w:val="16"/>
          <w:color w:val="auto"/>
        </w:rPr>
        <w:t>Neurodegenerative diseases, including dementias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45" w:lineRule="exact"/>
        <w:rPr>
          <w:sz w:val="20"/>
          <w:szCs w:val="20"/>
          <w:color w:val="auto"/>
        </w:rPr>
      </w:pPr>
    </w:p>
    <w:p>
      <w:pPr>
        <w:ind w:left="660" w:right="520" w:hanging="328"/>
        <w:spacing w:after="0" w:line="26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World Health Organization recognizes dementia as a global public health priority</w:t>
      </w:r>
      <w:r>
        <w:rPr>
          <w:rFonts w:ascii="Arial" w:cs="Arial" w:eastAsia="Arial" w:hAnsi="Arial"/>
          <w:sz w:val="18"/>
          <w:szCs w:val="18"/>
          <w:b w:val="1"/>
          <w:bCs w:val="1"/>
          <w:color w:val="auto"/>
        </w:rPr>
        <w:t>.</w:t>
      </w:r>
      <w:r>
        <w:rPr>
          <w:rFonts w:ascii="Arial" w:cs="Arial" w:eastAsia="Arial" w:hAnsi="Arial"/>
          <w:sz w:val="18"/>
          <w:szCs w:val="18"/>
          <w:color w:val="auto"/>
        </w:rPr>
        <w:t xml:space="preserve"> Worldwide, there is a new case of dementia every 3 seconds, with an estimated global patient population of greater than 50 million in 2020. This is predicted to increase to 139 million by 2050 (Alzheimer’s Disease International).</w:t>
      </w:r>
    </w:p>
    <w:p>
      <w:pPr>
        <w:spacing w:after="0" w:line="179" w:lineRule="exact"/>
        <w:rPr>
          <w:rFonts w:ascii="Arial" w:cs="Arial" w:eastAsia="Arial" w:hAnsi="Arial"/>
          <w:sz w:val="18"/>
          <w:szCs w:val="18"/>
          <w:color w:val="auto"/>
        </w:rPr>
      </w:pPr>
    </w:p>
    <w:p>
      <w:pPr>
        <w:ind w:left="660" w:right="60" w:hanging="328"/>
        <w:spacing w:after="0" w:line="310"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estimated total healthcare costs for the treatment of Alzheimer disease in the United States in 2021 is estimated to be USD 355 billion per the Alzheimer’s Association, with the worldwide cost for dementia expected to increase to approximately USD 2.8 trillion annually by 2050 as the population ages. In fact, if the estimated global costs of dementia were a country, it would be the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economy in the world.</w:t>
      </w:r>
    </w:p>
    <w:p>
      <w:pPr>
        <w:spacing w:after="0" w:line="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Until 2021, there were five approved therapies for AD, all of which provided only modest efficacy in treating the symptoms of the disease while having significant side effect risks and failing to address the progression of the disease. Despite these shortcomings, marketed therapies, such as Eisai and Pfizer’s Aricept, have achieved peak annual global sales of approximately USD 4 billion prior to loss of exclusivity. Similarly, in the treatment of PD, the current standard of care is intended only to alleviate physical symptoms.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June 7, 2021, the U.S. Food and Drug Administration (FDA) granted accelerated approval of Biogen’s anti-Abeta monoclonal antibody, aducanumab, for the treatment of Alzheimer’s disease (AD), making it the first FDA-approved, potentially disease-modifying therapy addressing this high unmet medical need. The FDA based its decision to approve aducanumab on the reduction of Abeta plaques in the brain as a surrogate endpoint. Biogen will need to complete a large clinical trial to confirm that removing Abeta plaque has clinical benefits on cognition and function.</w:t>
      </w:r>
    </w:p>
    <w:p>
      <w:pPr>
        <w:spacing w:after="0" w:line="171" w:lineRule="exact"/>
        <w:rPr>
          <w:sz w:val="20"/>
          <w:szCs w:val="20"/>
          <w:color w:val="auto"/>
        </w:rPr>
      </w:pPr>
    </w:p>
    <w:p>
      <w:pPr>
        <w:ind w:right="40" w:firstLine="321"/>
        <w:spacing w:after="0" w:line="263" w:lineRule="auto"/>
        <w:rPr>
          <w:sz w:val="20"/>
          <w:szCs w:val="20"/>
          <w:color w:val="auto"/>
        </w:rPr>
      </w:pPr>
      <w:r>
        <w:rPr>
          <w:rFonts w:ascii="Arial" w:cs="Arial" w:eastAsia="Arial" w:hAnsi="Arial"/>
          <w:sz w:val="18"/>
          <w:szCs w:val="18"/>
          <w:color w:val="auto"/>
        </w:rPr>
        <w:t>On January 11, 2022, CMS released a proposed National Coverage Determination decision memorandum: stating it would cover FDA-approved monoclonal antibodies (including ADUHELM) that target amyloid for the treatment of Alzheimer’s disease solely for people enrolled in qualifying clinical trials. A final decision is expected in April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Neurodegenerative disease overview</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Folding and unfolding of proteins are important ways of regulating the biological activity and cellular location of those proteins. Misfolding of proteins occurs due to a breakdown of cellular quality control systems and is a common feature of many neurodegenerative diseases. Misfolded proteins are unable to carry out their normal functions and aggregate to form insoluble deposits in the brain, which eventually lead to neuronal damage and cell death. The progression of neurodegenerative diseases, such as AD and PD, is linked to the spread of misfolded, pathological protein aggregates throughout the brain. Figure 3 shows how misfolded proteins play a key role in the pathology of neurodegenerative diseases.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154305</wp:posOffset>
            </wp:positionV>
            <wp:extent cx="5520690" cy="2254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069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Typically, protein misfolding occurs in response to cellular stress, which can be triggered by many different, largely unknown, causes. A cascade of molecular events begins with the misfolding of single proteins within a cell, which then aggregate and ultimately form larger aggregates including plaques and tangles. These misfolded proteins are then exported or shed from dying neurons where they can spread to healthy cells nearby. Once inside, misfolded proteins can interact with normal proteins and cause them to misfold in a process known as “seeding,” leading to spreading of the disease pathology throughout the brain, increased neuronal death and a progressive decline in cognitive function.</w:t>
      </w:r>
    </w:p>
    <w:p>
      <w:pPr>
        <w:spacing w:after="0" w:line="17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Figure 3 also shows how our therapies are designed to intervene and prevent key pathological steps in the progression of neurodegenerative diseases. They are designed to (i) prevent initial misfolding; (ii) promote disaggregation of misfolded proteins; (iii) inhibit spreading of pathological protein to healthy cells; (iv) prevent seeding of new misfolded protein aggregates inside healthy cells; and (v) inhibit downstream neurodegeneration. This robust approach to targeting neurodegenerative diseases is enabled by our two validated technology platforms, SupraAntigen and Morphomer, which generate highly specific biologics and small molecule inhibitors that can distinguish normal from misfolded proteins and inhibit key disease pathways both inside and outside of cells.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vision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 (ii) 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154305</wp:posOffset>
            </wp:positionV>
            <wp:extent cx="6094730" cy="2512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9473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 Parkinson’s disease; (2) Down syndrome; (3) Neurodegenerative diseases; (4) Multiple system atrophy; (5) TAR DNA-binding protein 43</w:t>
      </w:r>
    </w:p>
    <w:p>
      <w:pPr>
        <w:spacing w:after="0" w:line="225" w:lineRule="exact"/>
        <w:rPr>
          <w:sz w:val="20"/>
          <w:szCs w:val="20"/>
          <w:color w:val="auto"/>
        </w:rPr>
      </w:pPr>
    </w:p>
    <w:p>
      <w:pPr>
        <w:ind w:right="20" w:firstLine="321"/>
        <w:spacing w:after="0" w:line="275" w:lineRule="auto"/>
        <w:rPr>
          <w:sz w:val="20"/>
          <w:szCs w:val="20"/>
          <w:color w:val="auto"/>
        </w:rPr>
      </w:pPr>
      <w:r>
        <w:rPr>
          <w:rFonts w:ascii="Arial" w:cs="Arial" w:eastAsia="Arial" w:hAnsi="Arial"/>
          <w:sz w:val="17"/>
          <w:szCs w:val="17"/>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76"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AC Immune has established itself as a leader in developing precision medicines for neurodegenerative diseases by utilizing our diagnostic capabilities to enable improved diagnosis of co-pathologies, patient selection and assessment of clinical trial outcomes. Our dual technology platforms allow for a multi-modal approach encompassing a portfolio of vaccines, antibodies and small molecules tailored to the underlying pathology driving patients’ disease. In addition to generating targeted monotherapies, this approach creates the potential for combination regimens, which may treat a broader spectrum of disease and offer greater efficacy.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 Immune’s </w:t>
      </w:r>
      <w:r>
        <w:rPr>
          <w:rFonts w:ascii="Arial" w:cs="Arial" w:eastAsia="Arial" w:hAnsi="Arial"/>
          <w:sz w:val="18"/>
          <w:szCs w:val="18"/>
          <w:b w:val="1"/>
          <w:bCs w:val="1"/>
          <w:i w:val="1"/>
          <w:iCs w:val="1"/>
          <w:color w:val="auto"/>
        </w:rPr>
        <w:t>Roadmap to Successful Therapies for Neurodegenerative Diseases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Precision medicine is a key element of our six-point framework for developing successful therapies in neurodegenerative diseases, building on one of the broadest pipelines in the field.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5: AC Immune’s roadmap to successful therapies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154305</wp:posOffset>
            </wp:positionV>
            <wp:extent cx="6146165" cy="2520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61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8"/>
        <w:spacing w:after="0" w:line="287"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Reardon S, Nature 2018;</w:t>
      </w:r>
      <w:r>
        <w:rPr>
          <w:rFonts w:ascii="Arial" w:cs="Arial" w:eastAsia="Arial" w:hAnsi="Arial"/>
          <w:sz w:val="16"/>
          <w:szCs w:val="16"/>
          <w:color w:val="auto"/>
        </w:rPr>
        <w:t xml:space="preserve"> (2) </w:t>
      </w:r>
      <w:r>
        <w:rPr>
          <w:rFonts w:ascii="Arial" w:cs="Arial" w:eastAsia="Arial" w:hAnsi="Arial"/>
          <w:sz w:val="16"/>
          <w:szCs w:val="16"/>
          <w:u w:val="single" w:color="auto"/>
          <w:color w:val="auto"/>
        </w:rPr>
        <w:t>Pontecorvo MJ, et al., Brain 2019;</w:t>
      </w:r>
      <w:r>
        <w:rPr>
          <w:rFonts w:ascii="Arial" w:cs="Arial" w:eastAsia="Arial" w:hAnsi="Arial"/>
          <w:sz w:val="16"/>
          <w:szCs w:val="16"/>
          <w:color w:val="auto"/>
        </w:rPr>
        <w:t xml:space="preserve"> (3) </w:t>
      </w:r>
      <w:r>
        <w:rPr>
          <w:rFonts w:ascii="Arial" w:cs="Arial" w:eastAsia="Arial" w:hAnsi="Arial"/>
          <w:sz w:val="16"/>
          <w:szCs w:val="16"/>
          <w:u w:val="single" w:color="auto"/>
          <w:color w:val="auto"/>
        </w:rPr>
        <w:t>Gordon BA, et al., Brain 2019;</w:t>
      </w:r>
      <w:r>
        <w:rPr>
          <w:rFonts w:ascii="Arial" w:cs="Arial" w:eastAsia="Arial" w:hAnsi="Arial"/>
          <w:sz w:val="16"/>
          <w:szCs w:val="16"/>
          <w:color w:val="auto"/>
        </w:rPr>
        <w:t xml:space="preserve"> (4) Positron emission tomography; (5) </w:t>
      </w:r>
      <w:r>
        <w:rPr>
          <w:rFonts w:ascii="Arial" w:cs="Arial" w:eastAsia="Arial" w:hAnsi="Arial"/>
          <w:sz w:val="16"/>
          <w:szCs w:val="16"/>
          <w:u w:val="single" w:color="auto"/>
          <w:color w:val="auto"/>
        </w:rPr>
        <w:t>Strydom A, et</w:t>
      </w:r>
      <w:r>
        <w:rPr>
          <w:rFonts w:ascii="Arial" w:cs="Arial" w:eastAsia="Arial" w:hAnsi="Arial"/>
          <w:sz w:val="16"/>
          <w:szCs w:val="16"/>
          <w:color w:val="auto"/>
        </w:rPr>
        <w:t xml:space="preserve"> </w:t>
      </w:r>
      <w:r>
        <w:rPr>
          <w:rFonts w:ascii="Arial" w:cs="Arial" w:eastAsia="Arial" w:hAnsi="Arial"/>
          <w:sz w:val="16"/>
          <w:szCs w:val="16"/>
          <w:u w:val="single" w:color="auto"/>
          <w:color w:val="auto"/>
        </w:rPr>
        <w:t>al., Alzheimer’s Dement (NY) 2018;</w:t>
      </w:r>
      <w:r>
        <w:rPr>
          <w:rFonts w:ascii="Arial" w:cs="Arial" w:eastAsia="Arial" w:hAnsi="Arial"/>
          <w:sz w:val="16"/>
          <w:szCs w:val="16"/>
          <w:color w:val="auto"/>
        </w:rPr>
        <w:t xml:space="preserve"> (6) </w:t>
      </w:r>
      <w:r>
        <w:rPr>
          <w:rFonts w:ascii="Arial" w:cs="Arial" w:eastAsia="Arial" w:hAnsi="Arial"/>
          <w:sz w:val="16"/>
          <w:szCs w:val="16"/>
          <w:u w:val="single" w:color="auto"/>
          <w:color w:val="auto"/>
        </w:rPr>
        <w:t>Lott IT and Head E.,Nat Rev Neurol. 2019;</w:t>
      </w:r>
      <w:r>
        <w:rPr>
          <w:rFonts w:ascii="Arial" w:cs="Arial" w:eastAsia="Arial" w:hAnsi="Arial"/>
          <w:sz w:val="16"/>
          <w:szCs w:val="16"/>
          <w:color w:val="auto"/>
        </w:rPr>
        <w:t xml:space="preserve"> (7) Down syndrome-related Alzheimer’s disease; (8) TAR DNA-binding protein 43; (9) </w:t>
      </w:r>
      <w:r>
        <w:rPr>
          <w:rFonts w:ascii="Arial" w:cs="Arial" w:eastAsia="Arial" w:hAnsi="Arial"/>
          <w:sz w:val="16"/>
          <w:szCs w:val="16"/>
          <w:u w:val="single" w:color="auto"/>
          <w:color w:val="auto"/>
        </w:rPr>
        <w:t>Robinson JL, et al., Brain 2018;</w:t>
      </w:r>
      <w:r>
        <w:rPr>
          <w:rFonts w:ascii="Arial" w:cs="Arial" w:eastAsia="Arial" w:hAnsi="Arial"/>
          <w:sz w:val="16"/>
          <w:szCs w:val="16"/>
          <w:color w:val="auto"/>
        </w:rPr>
        <w:t xml:space="preserve"> (10) </w:t>
      </w:r>
      <w:r>
        <w:rPr>
          <w:rFonts w:ascii="Arial" w:cs="Arial" w:eastAsia="Arial" w:hAnsi="Arial"/>
          <w:sz w:val="16"/>
          <w:szCs w:val="16"/>
          <w:u w:val="single" w:color="auto"/>
          <w:color w:val="auto"/>
        </w:rPr>
        <w:t>Heneka MT et al., Nat Rev Neurosci. 2018;</w:t>
      </w:r>
      <w:r>
        <w:rPr>
          <w:rFonts w:ascii="Arial" w:cs="Arial" w:eastAsia="Arial" w:hAnsi="Arial"/>
          <w:sz w:val="16"/>
          <w:szCs w:val="16"/>
          <w:color w:val="auto"/>
        </w:rPr>
        <w:t xml:space="preserve"> (11) </w:t>
      </w:r>
      <w:r>
        <w:rPr>
          <w:rFonts w:ascii="Arial" w:cs="Arial" w:eastAsia="Arial" w:hAnsi="Arial"/>
          <w:sz w:val="16"/>
          <w:szCs w:val="16"/>
          <w:u w:val="single" w:color="auto"/>
          <w:color w:val="auto"/>
        </w:rPr>
        <w:t>Wang S et al., Int Immunopharmacol. 2019;</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Monoclonal antibody; (13) Small molecule; (14) NOD-like receptor protein 3; (15) Apoptosis-associated speck-like protein containing a CARD, also</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PYCARD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 earlier</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Identifying patients at risk or in early stages of disease when pathological burden is low and neuronal health is preserved offers the best chance of intercepting pathological spread in neurodegenerative diseases. For example, it is now believed that treatments targeting beta-amyloid (Abeta) may be most effective before symptoms become apparent. The Alzheimer’s Prevention Initiative (API) trial of crenezumab aims to answer this fundamental question.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Tau</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Tau plays a very important role in neurodegeneration. Understanding whether the aggregation and spreading of pathological Tau throughout the brain can be stopped by therapies targeting Tau is a critical question that we are examining. This is being addressed through AC Immune’s multiple Tau research programs in early and late-stage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homogeneous populations</w:t>
      </w:r>
    </w:p>
    <w:p>
      <w:pPr>
        <w:spacing w:after="0" w:line="225"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Multiple pathologies are thought to contribute to the development of AD, including genetic, lifestyle and environmental factors. To understand if a candidate drug has therapeutic potential, it is important to first engage more genetically homogeneous patient populations to minimize variability with respect to pathophysiology. We are developing these efforts with our prevention studies in genetically defined populations such as familial AD and DS-related AD.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medicine</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Building on the understanding that multiple pathologies contribute to AD, there is a need to accurately diagnose and target the underlying pathology. We are developing an integrated diagnostic and therapeutic strategy to deliver, for the first time, precision medicine for patients with neurodegenerative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neuroinflammation</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It is well established that microglia maintain a healthy brain environment by clearing debris, including misfolded and aggregated Abeta, Tau and alpha-synuclein (a-syn). Chronic hyper-stimulation of microglial cells by these protein aggregates is now emerging as a hallmark of AD – and potentially all neurodegenerative diseases – that leads to unwanted inflammation and further damage to brain cells. We focus on the NOD-like receptor pyrin domain-containing protein 3 (NLRP3) inflammasome pathway, based on emerging evidence showing its particular relevance for neurodegenerative diseases.</w:t>
      </w:r>
    </w:p>
    <w:p>
      <w:pPr>
        <w:sectPr>
          <w:pgSz w:w="11900" w:h="16838" w:orient="portrait"/>
          <w:cols w:equalWidth="0" w:num="1">
            <w:col w:w="11240"/>
          </w:cols>
          <w:pgMar w:left="320" w:top="122"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Non-AD indications</w:t>
      </w:r>
    </w:p>
    <w:p>
      <w:pPr>
        <w:spacing w:after="0" w:line="225"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We are also broadening our strategic activity in other neurodegenerative diseases such as Parkinson’s disease and frontotemporal dementia with the genetic microtubule-associated protein tau (MAPT) mutation – a NeuroOrphan disease we aim to address with our Morphomer Tau small molecule aggregation inhibitors. Finally, we will also continue to advance our suite of potentially best-in-class diagnostics, particularly those for Parkinson’s disease and TDP-43-based pathologies.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our approach include:</w:t>
      </w:r>
    </w:p>
    <w:p>
      <w:pPr>
        <w:spacing w:after="0" w:line="229" w:lineRule="exact"/>
        <w:rPr>
          <w:sz w:val="20"/>
          <w:szCs w:val="20"/>
          <w:color w:val="auto"/>
        </w:rPr>
      </w:pPr>
    </w:p>
    <w:p>
      <w:pPr>
        <w:ind w:right="220" w:firstLine="332"/>
        <w:spacing w:after="0" w:line="277" w:lineRule="auto"/>
        <w:tabs>
          <w:tab w:leader="none" w:pos="909"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Execution on advancing our product candidates, in partnership or alone, from clinical development to regulatory approval and potential commercialization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Our broad and robust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154305</wp:posOffset>
            </wp:positionV>
            <wp:extent cx="6017895" cy="255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1789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60" w:firstLine="8"/>
        <w:spacing w:after="0" w:line="342"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Alzheimer’s disease; (2) Open label extension study is ongoing; (3) Positron emission tomography; (4) Progressive supranuclear palsy; (5) Prevention trial API-ADAD in Colombia; (6) Down syndrome-related Alzheimer’s disease; (7) alphasynuclein; (8) Parkinson’s disease; (9) Multiple system atrophy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 stage product candidates include:</w:t>
      </w:r>
    </w:p>
    <w:p>
      <w:pPr>
        <w:spacing w:after="0" w:line="221" w:lineRule="exact"/>
        <w:rPr>
          <w:sz w:val="20"/>
          <w:szCs w:val="20"/>
          <w:color w:val="auto"/>
        </w:rPr>
      </w:pPr>
    </w:p>
    <w:p>
      <w:pPr>
        <w:ind w:left="660" w:right="40" w:hanging="328"/>
        <w:spacing w:after="0" w:line="29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ACI-35.030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Janssen and AC Immune are evaluating the anti-phosphorylated-Tau (anti-pTau) vaccine candidate ACI-35.030 in a Phase 1b/2a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study in subjects with early AD. Interim results show that ACI-35.030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No clinically relevant safety concerns related to the vaccine candidate were observed. Based on these results, the second highest dose cohort was expanded in Q2 2021 to facilitate plans for further late-stage development. ACI-35.030 specifically targets pathological pTau species and is eventually intended as a disease-modifying treatment for AD and other Tauopathies.</w:t>
      </w:r>
    </w:p>
    <w:p>
      <w:pPr>
        <w:spacing w:after="0" w:line="165" w:lineRule="exact"/>
        <w:rPr>
          <w:rFonts w:ascii="Arial" w:cs="Arial" w:eastAsia="Arial" w:hAnsi="Arial"/>
          <w:sz w:val="16"/>
          <w:szCs w:val="16"/>
          <w:color w:val="auto"/>
        </w:rPr>
      </w:pPr>
    </w:p>
    <w:p>
      <w:pPr>
        <w:ind w:left="660" w:hanging="328"/>
        <w:spacing w:after="0" w:line="272"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AD. </w:t>
      </w:r>
      <w:r>
        <w:rPr>
          <w:rFonts w:ascii="Arial" w:cs="Arial" w:eastAsia="Arial" w:hAnsi="Arial"/>
          <w:sz w:val="17"/>
          <w:szCs w:val="17"/>
          <w:color w:val="auto"/>
        </w:rPr>
        <w:t>A first Phase 1/2 study was completed and finalized in 2019. The subsequent Phase 2 study in AD assessed the safety, tolerability,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immunogenicity and target engagement of ACI-24 using intramuscular immunizations and analyzed the effects of ACI-24 on brain amyloid as assessed by PET imaging. This trial was completed and finalized in November 2021. ACI-24 was safe and well tolerated and triggered a clear IgM response with lower Abeta-specific IgG titers. While no apparent effect in amyloid-PET was observed in this limited study population, there was evidence of a pharmacodynamic effect observed by an increase of CSF Aβ1-40 and Aβ1-42 levels compared to the placebo, thus suggesting target engagement. These results support the clinical development of the optimized formulation of ACI-24 (i.e. ACI-24.060) with Abeta unrelated T-helper cell epitopes to increase the magnitude and the boost-ability of the antibody response.</w:t>
      </w:r>
    </w:p>
    <w:p>
      <w:pPr>
        <w:spacing w:after="0" w:line="177" w:lineRule="exact"/>
        <w:rPr>
          <w:rFonts w:ascii="Arial" w:cs="Arial" w:eastAsia="Arial" w:hAnsi="Arial"/>
          <w:sz w:val="17"/>
          <w:szCs w:val="17"/>
          <w:color w:val="auto"/>
        </w:rPr>
      </w:pPr>
    </w:p>
    <w:p>
      <w:pPr>
        <w:ind w:left="660" w:right="100" w:hanging="328"/>
        <w:spacing w:after="0" w:line="27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for DS. </w:t>
      </w:r>
      <w:r>
        <w:rPr>
          <w:rFonts w:ascii="Arial" w:cs="Arial" w:eastAsia="Arial" w:hAnsi="Arial"/>
          <w:sz w:val="17"/>
          <w:szCs w:val="17"/>
          <w:color w:val="auto"/>
        </w:rPr>
        <w:t>Our Phase 1b clinical study of ACI-24 for individuals with DS, intended to assess safety, tolerability and immunogenicity at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doses, was completed and results reported in Q1 2021. The results support a favorable safety and tolerability profile of ACI-24 and show a pharmacodynamic response in this vulnerable patient population and the advancement of this program with the optimized formulation of ACI-24. The Clinical Trial Application (CTA) for the next study evaluating the optimized formulation of ACI-24 in AD and Down syndrome populations was submitted in Q4 2021. The trial initiation is planned in H1 2022.</w:t>
      </w:r>
    </w:p>
    <w:p>
      <w:pPr>
        <w:sectPr>
          <w:pgSz w:w="11900" w:h="16838" w:orient="portrait"/>
          <w:cols w:equalWidth="0" w:num="1">
            <w:col w:w="11240"/>
          </w:cols>
          <w:pgMar w:left="320" w:top="122" w:right="339" w:bottom="144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ACI-7104. </w:t>
      </w:r>
      <w:r>
        <w:rPr>
          <w:rFonts w:ascii="Arial" w:cs="Arial" w:eastAsia="Arial" w:hAnsi="Arial"/>
          <w:sz w:val="18"/>
          <w:szCs w:val="18"/>
          <w:color w:val="auto"/>
        </w:rPr>
        <w:t>ACI-7104, the optimized formulation of the clinically-validated PD vaccine candidate PD01, will advance into an adaptive, biomarker-based Phase 2 study. This trial will evaluate an initial dose-response of the optimized formulation focusing on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planned in H2 2022.</w:t>
      </w:r>
    </w:p>
    <w:p>
      <w:pPr>
        <w:spacing w:after="0" w:line="183" w:lineRule="exact"/>
        <w:rPr>
          <w:rFonts w:ascii="Arial" w:cs="Arial" w:eastAsia="Arial" w:hAnsi="Arial"/>
          <w:sz w:val="18"/>
          <w:szCs w:val="18"/>
          <w:color w:val="auto"/>
        </w:rPr>
      </w:pPr>
    </w:p>
    <w:p>
      <w:pPr>
        <w:ind w:left="660" w:hanging="328"/>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Semorinemab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collaboration partner, Genentech, a member of the Roche Group, completed a first Phase 2 study (Tauriel) conducted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with prodromal-to-mild AD in Q3 2020. This trial did not meet its primary efficacy endpoint of reducing decline on Clinical Dementia Rating-Sum of Boxes (CDR-SB) compared to placebo; the primary safety endpoint was met. A second Phase 2 study (Lauriet) conducted in patients with mild-to-moderate AD was completed in Q3 2021 and top-line data from showed a statistically significant reduction on one of two co-primary endpoints, ADAS-Cog11. The second co-primary endpoint, ADCS-ADL, and secondary endpoints were not met. Safety data showed that semorinemab is well tolerated with no unanticipated safety signals. Genentech reported that the open label portion of the study will continue as planned and that further analyses are ongoing. Semorinemab is designed to slow the prion-like propagation of Tau pathology, which coincides with both clinical symptoms and disease progression in AD.</w:t>
      </w:r>
    </w:p>
    <w:p>
      <w:pPr>
        <w:spacing w:after="0" w:line="175"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Roche announced in 2019 the discontinuation of the Phase 3 clinical trials in AD but is continuing in a landmark prevention trial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Colombia, in a population of genetically predisposed people at risk of developing familial AD. The overall beneficial safety profile was confirmed in the CREAD studies, supporting use of crenezumab in healthy individuals with risk of developing AD. Top-line results from this Phase 2 Prevention trial are expected in H1 2022.</w:t>
      </w:r>
    </w:p>
    <w:p>
      <w:pPr>
        <w:spacing w:after="0" w:line="186"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aggregation inhibitors. </w:t>
      </w:r>
      <w:r>
        <w:rPr>
          <w:rFonts w:ascii="Arial" w:cs="Arial" w:eastAsia="Arial" w:hAnsi="Arial"/>
          <w:sz w:val="18"/>
          <w:szCs w:val="18"/>
          <w:color w:val="auto"/>
        </w:rPr>
        <w:t>In collaboration with our partner, Lilly, we are researching and developing small molecule 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aggregation inhibitors with plans to evaluate candidates in AD and NeuroOrphan indications. We completed a Phase 1 clinical study in healthy volunteers with ACI-3024, in Q2 2020, which showed a dose-dependent exposure and brain penetration, achieving the desired levels of ACI-3024 in the CSF. In addition to AD, the program was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94"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Tau-PET tracer. </w:t>
      </w:r>
      <w:r>
        <w:rPr>
          <w:rFonts w:ascii="Arial" w:cs="Arial" w:eastAsia="Arial" w:hAnsi="Arial"/>
          <w:sz w:val="18"/>
          <w:szCs w:val="18"/>
          <w:color w:val="auto"/>
        </w:rPr>
        <w:t>PI-2620 is our Tau-PET imaging agent. We are working with our partner, LMI, to advance PI-2620 as a highly differentiated,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best-in-class Tau diagnostic for AD as well as non-AD Tauopathies such as progressive supranuclear palsy (PSP) and corticobasal degeneration (CBD). Results have demonstrated PI-2620’s differentiated characteristics as a diagnostic tool for studying Tau-related diseases. PI-2620 completed a Phase 2 clinical trial in AD in Q4 2021.</w:t>
      </w:r>
    </w:p>
    <w:p>
      <w:pPr>
        <w:spacing w:after="0" w:line="186"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A study published in Movement Disorders indicated a value of PI-2620 for evaluating corticobasal syndrome, providing quantitatively and regionally distinct signals in beta-amyloid-positive as well as beta-amyloid-negative corticobasal syndrome. Further, results demonstrated PI-2620’s excellent characteristics as a diagnostic tool for studying Tau-related diseases following a recent publication (J Cereb Blood Flow Metab) that PI-2620 binding characteristics in cortical regions differentiated between 3/4R- and 4R-tauopathies and might serve as a supportive readout in the diagnostic workup of neurodegenerative disorders. Two test-retest studies in PSP (Phase 1) are open and recruiting with results anticipated in H2 2022.</w:t>
      </w:r>
    </w:p>
    <w:p>
      <w:pPr>
        <w:spacing w:after="0" w:line="19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A-syn-PET tracer. </w:t>
      </w:r>
      <w:r>
        <w:rPr>
          <w:rFonts w:ascii="Arial" w:cs="Arial" w:eastAsia="Arial" w:hAnsi="Arial"/>
          <w:sz w:val="18"/>
          <w:szCs w:val="18"/>
          <w:color w:val="auto"/>
        </w:rPr>
        <w:t>Our next-generation PET imaging tracer, derived from our Morphomer platform, has shown significant potential to reliably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 and map deposits of pathological alpha-synuclein protein in the brain. Supported by the Michael J. Fox Foundation for Parkinson’s Research (MJFF), a first-in-human study and an investigator-initiated study of our latest diagnostic agent targeting a-syn were initiated in Q1 and Q3 2021, respectively. The readouts of these trials in patients with PD, multiple system atrophy (MSA) and other synucleinopathies are anticipated by Q2 2022.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20" w:hanging="588"/>
        <w:spacing w:after="0"/>
        <w:tabs>
          <w:tab w:leader="none" w:pos="9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product development into NeuroOrphan and additional neurodegenerative diseases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Beyond AD, we aim to pursue additional neurodegenerative diseases such as Parkinson’s disease (PD) and NeuroOrphan indications, specifically Tau-, a-syn- and TDP-43-driven diseases, such as FTLD-Tau (e.g., PSP, CBD, FTLD-MAPT), MSA, and ALS and FTLD-TDP, respectively. As part of this planned strategic move, AC Immune acquired certain a-syn assets from Affiris in 2021, gaining an advanced, clinical stage and validated a-syn vaccine candidate for development against PD in the process.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Pursuing NeuroOrphan indications may enable us to obtain a streamlined regulatory approval pathway and favorable reimbursement for any approved products. In addition, we are accelerating our novel therapeutic and diagnostic candidates targeting a-syn as a primary pathology in Parkinson’s disease and other a-synucleinopathies. See below for a summary of our early-stage diversified novel targets pipeline including non-AD neurodegenerative diseases, with an in-house focus on NeuroOrphan indications.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7: Robust novel targets pipeline: diversification into non-AD and non-CNS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154305</wp:posOffset>
            </wp:positionV>
            <wp:extent cx="5795010" cy="2032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80" w:firstLine="53"/>
        <w:spacing w:after="0" w:line="224" w:lineRule="exact"/>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Parkinson’s disease; (2) TAR DNA-binding protein 43; (3) Limbic-predominant age-related TDP-43 encephalopathy; (4) Positron emission tomography; (5) NOD</w:t>
      </w:r>
      <w:r>
        <w:rPr>
          <w:rFonts w:ascii="MS PGothic" w:cs="MS PGothic" w:eastAsia="MS PGothic" w:hAnsi="MS PGothic"/>
          <w:sz w:val="17"/>
          <w:szCs w:val="17"/>
          <w:color w:val="auto"/>
        </w:rPr>
        <w:t>‑</w:t>
      </w:r>
      <w:r>
        <w:rPr>
          <w:rFonts w:ascii="Arial" w:cs="Arial" w:eastAsia="Arial" w:hAnsi="Arial"/>
          <w:sz w:val="17"/>
          <w:szCs w:val="17"/>
          <w:color w:val="auto"/>
        </w:rPr>
        <w:t>like receptor protein 3; (6) Apoptosis-associated speck-like protein containing a CARD, also PYCARD</w:t>
      </w:r>
    </w:p>
    <w:p>
      <w:pPr>
        <w:spacing w:after="0" w:line="20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Accelerating the advancement of our diagnostic portfolio</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Early detection of neurodegenerative diseases may be critical to enhancing the effectiveness of both symptomatic and disease-modifying therapies. As a result, therapeutic development for AD increasingly focuses on treating early-stage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who are receiving treatment, and ultimately diagnosing disease at its earliest stage for immediate treatment.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Figure 8: The need for precision medicine in AD: improved clinical trials, diagnosis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161925</wp:posOffset>
            </wp:positionV>
            <wp:extent cx="5837555" cy="2606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2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Alzheimer’s disease; (2) Neurodegenerative diseases; (3) TAR DNA-binding protein 43; (4) Alpha-synuclein; (5) Intermediate level of Alzheimer’s disease neuropathological change; (6) High level of Alzheimer’s disease neuropathological change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Adapted from Robinson </w:t>
      </w:r>
      <w:r>
        <w:rPr>
          <w:rFonts w:ascii="Arial" w:cs="Arial" w:eastAsia="Arial" w:hAnsi="Arial"/>
          <w:sz w:val="18"/>
          <w:szCs w:val="18"/>
          <w:i w:val="1"/>
          <w:iCs w:val="1"/>
          <w:color w:val="auto"/>
        </w:rPr>
        <w:t>et al</w:t>
      </w:r>
      <w:r>
        <w:rPr>
          <w:rFonts w:ascii="Arial" w:cs="Arial" w:eastAsia="Arial" w:hAnsi="Arial"/>
          <w:sz w:val="18"/>
          <w:szCs w:val="18"/>
          <w:color w:val="auto"/>
        </w:rPr>
        <w:t>., Brain, 2018</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developing a suite of companion diagnostics designed to be first-in-class or best-in-class, which will enable improved diagnosis of co-pathologies, patient selection and assessment of clinical trial outcomes. We currently have four diagnostic programs in our pipeline, developed using our proprietary technology platforms and targeting the therapeutic targets: Tau, a-syn and TDP-43.</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Leveraging our Morphomer platform, we are also developing proprietary PET imaging diagnostics for diseases resulting from the misfolding of a-syn and TDP-43 proteins. No such diagnostics are currently available for these important pathologies and AC Immune has identified promising compounds with high affinity and target specificity, as well as favorable central nervous system (CNS) pharmacokinetic properties. In 2020, the a-syn-PET tracer won the Ken Griffin Alpha-synuclein Imaging Competition from The Michael J. Fox Foundation for Parkinson’s Research. Our novel TDP-43-PET tracer and our antibody-based immuno-assay for biofluid detection of TDP-43 also were awarded highly competitive grants from the EU Joint Programme – Neurodegenerative Disease Research’ (JPND) and The Target ALS Foundation, respectively, in 2020. Our diagnostics for a-syn and TDP-43, if validated clinically, could become the first in the world to effectively diagnose these proteinopathies, which are highly relevant for multiple neurodegenerative diseases.</w:t>
      </w:r>
    </w:p>
    <w:p>
      <w:pPr>
        <w:spacing w:after="0" w:line="19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Continuing to optimize our long-term growth by selectively partnering product candidates for global development and commercialization</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 strong track record of establishing value-driving collaboration agreements with leading pharmaceutical companies, including two collaborations with Genentech, one with Janssen and one with Lilly. This strategy allows us to leverage our partners’ scientific, development, manufacturing and commercialization expertise and other resources while partially monetizing our investments, de-risking and accelerating the development of our product candidates. This strategy also enables us to use non-dilutive partnership revenue to bolster our investment into our early-stage proprietary programs and fuel our continued growth. We have five current collaboration agreements with leading global pharmaceutical companies, summarized in the table below:</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9: External validation and cash generation through external collaborations</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97790</wp:posOffset>
            </wp:positionV>
            <wp:extent cx="6077585" cy="2169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758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60" w:firstLine="8"/>
        <w:spacing w:after="0" w:line="342"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Disclosure limited due to confidentiality agreements with collaboration partners; (2) in millions; (3) Positron emission tomography; (4) Phase 1 completed; (5) Equity investment; (6) Converted to CHF on date of receipt; (7) Excludes convertible note agreement of USD 50 million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any additional product candidates targeting large markets, we may, if appropriate, selectively partner with leading companies that we believe can contribute development, manufacturing and marketing expertise, geographic reach and/or other resources that can enhance the value of our wholly-owned products. We will continue to seek to retain certain indications (e.g., NeuroOrphan) and/or geographies, such that we can begin to grow our own marketing capabilities as we develop AC Immune into a fully integrated pharmaceutical company.</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in this respect, we established a strategic partnership with WuXi Biologics for its expertise in manufacturing biologicals in China and potential collaborations regarding AC Immune’s SupraAntigen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benefits of our clinically-validated, proprietary technology platforms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engines that drive our growth are our two unique proprietary and versatile technology platforms: our SupraAntigen platform, which is our biological and immunological platform, and our Morphomer platform, which is our chemical platform. These platforms generate biologics (vaccines and antibodies) and small molecules, respectively, which are designed to selectively interact with the misfolded proteins that are common in a broad range of neurodegenerative diseases. These clinically-validated platforms form the basis of our ongoing pipeline development and the value-driving strategic partnerships we have established to date.</w:t>
      </w:r>
    </w:p>
    <w:p>
      <w:pPr>
        <w:spacing w:after="0" w:line="188" w:lineRule="exact"/>
        <w:rPr>
          <w:sz w:val="20"/>
          <w:szCs w:val="20"/>
          <w:color w:val="auto"/>
        </w:rPr>
      </w:pPr>
    </w:p>
    <w:p>
      <w:pPr>
        <w:ind w:right="40" w:firstLine="321"/>
        <w:spacing w:after="0" w:line="291"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prevents the formation of new misfolded proteins in healthy neighboring cells through a seeding mechanism. Small molecules derived from our Morphomer platform, which we refer to as Morphomers, not only inhibit aggregation of pathological proteins, but also promote disaggregation of already formed aggregates, thereby potentially enhancing their therapeutic potential even in established disease states.</w:t>
      </w: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10: Morphomer and SupraAntigen platforms: an integrated approach to CNS</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-specific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97790</wp:posOffset>
            </wp:positionV>
            <wp:extent cx="5554980" cy="2443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5498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(1) Central nervous system; (2) Blood-brain barrier; (3) Positron emission tomography</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SupraAntigen platform was first developed by AC Immune’s scientific co-founders to overcome a challenge common to neurodegenerative diseases: the lack of immunogenicity of disease-causing self-proteins. The SupraAntigen platform uses liposomes (small spherical vesicles formed by a lipid bilayer) to present specific antigens designed to evoke an immune response. SupraAntigen is used to generate conformation-specific antibodies for immunotherapy in neurodegenerative diseases. The overarching idea behind the platform is that antibodies, which are large in size, are well-suited to target extracellular proteins, interrupt spreading of pathological proteins, and break up and clear aggregates of misfolded proteins through phagocytosis.</w:t>
      </w:r>
    </w:p>
    <w:p>
      <w:pPr>
        <w:spacing w:after="0" w:line="16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AC Immune has acquired advanced mastery of the design and manipulation of liposomes to develop either passive or active immunization techniques to generate antibodies targeting neurodegenerative diseases. When pursuing active immunization approaches, we use liposomes carrying a specific antigen as a vaccine. After vaccination with a liposome, antigen and confirmation-specific antibodies are produced naturally by the host with very high affinity without further optimization. This immune response can be long-lasting and may be ideal to prevent the onset of a disease, as the immune system is now primed to rapidly identify disease-causing misfolded proteins.</w:t>
      </w:r>
    </w:p>
    <w:p>
      <w:pPr>
        <w:spacing w:after="0" w:line="18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Product candidates generated utilizing the SupraAntigen platform include vaccines ACI-35 in Phase 1b/2a for AD and ACI-24 in Phase 2 for AD and Phase 1b for DS, as well as the antibody crenezumab in Phase 2 for AD and the preclinical candidates targeting a-syn and TDP-43 for PD and NeuroOrphan indications.</w:t>
      </w:r>
    </w:p>
    <w:p>
      <w:pPr>
        <w:spacing w:after="0" w:line="184"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Morphomer platform is designed to enable the development of small molecules (Morphomers) able to bind/interact with beta-sheets containing fibrillary aggregates from candidate selection through preclinical proof-of-concept. Morphomers can target pathological protein aggregates in any brain compartment and are equally well suited for therapeutic and diagnostic applications.</w:t>
      </w:r>
    </w:p>
    <w:p>
      <w:pPr>
        <w:spacing w:after="0" w:line="18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first key component of the Morphomer platform is its library of rationally designed, CNS-optimized non-dye compounds. AC Immune’s extensive know-how has enabled the identification of CNS compounds that penetrate the brain and demonstrate high selectivity for the target. This knowledge has been used to focus the Morphomer library to approximately 15,000 compounds that display these favorable characteristics, making this library an ideal starting point when developing molecules to target human proteinopathies of the CNS. Thus, rather than using the non-directed trial and error strategy of the typical drug development process, the Morphomer platform utilizes its bias for successful CNS candidates to improve efficiency and accelerate the early stages of the drug development process. Extensive expertise in medicinal chemistry and a suite of proprietary assays developed to screen and validate candidate compounds enables AC Immune to rapidly optimize multiple, highly diversified lead compounds for further preclinical and clinical development.</w:t>
      </w:r>
    </w:p>
    <w:p>
      <w:pPr>
        <w:spacing w:after="0" w:line="16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Therapeutic product candidates generated by the Morphomer platform include our lead Morphomer Tau candidates, Morphomer a-syn in PD (preclinical stage) and the diagnostic programs PI-2620 in Phase 2 and Phase 1 in AD and PSP, respectively, and a-syn-PET in Phase 1 clinical trial in PD, MSA and other synucleinopathies and TDP-43-PET imaging agents in the preclinical stage.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Shifting the current treatment paradigm for neurodegenerative diseases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Modifying the progression of the disease requires targeting the specific underlying biological processes that drive disease progression. Unfortunately, these processes evolve over the course of many years prior to manifestation of symptoms and a high percentage of neurons may be lost prior to clinical manifestation. Earlier intervention or prevention of the disease could have a major impact, but it requires accurate disease detection prior to developing symptoms. Due to recent advancement in biomarker research, people at risk of developing AD can be diagnosed 10-20 years before symptoms occur, opening a completely new market segment for the prevention of NDD when active vaccination will play an important role. This early, and potentially preventative, precision medicine approach may ultimately lead to better disease management for patients with neurodegenerative diseases.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11: Treatment and diagnosis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25031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644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Due to the high level of co-pathologies involved in neurodegenerative diseases, future treatment paradigms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and employ molecules that address the pathologies of other neurodegenerative diseases (Figure 12).</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12: Market opportunities targeting key primary and co-pathologies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154305</wp:posOffset>
            </wp:positionV>
            <wp:extent cx="5743575" cy="20059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357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firstLine="8"/>
        <w:spacing w:after="0" w:line="287"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Alzheimer’s Association; (2) (NOD)-like receptor protein; (3) Apoptosis-associated speck-like protein containing a CARD, also PYCARD; (4) GBD 2016 Parkinson’s Disease Collaborators Lancet Neurology 2018; (5) Limbic-predominant age-related TDP-43 encephalopathy; (6) Nelson et. al. Brain 2019; (7) TAR DNA-binding protein 43; (8) National Institute of Neurological Disorders and Stroke (NINDS) Progressive Supranuclear Palsy Fact Sheet;</w:t>
      </w:r>
    </w:p>
    <w:p>
      <w:pPr>
        <w:spacing w:after="0" w:line="2" w:lineRule="exact"/>
        <w:rPr>
          <w:rFonts w:ascii="Arial" w:cs="Arial" w:eastAsia="Arial" w:hAnsi="Arial"/>
          <w:sz w:val="16"/>
          <w:szCs w:val="16"/>
          <w:color w:val="auto"/>
        </w:rPr>
      </w:pPr>
    </w:p>
    <w:p>
      <w:pPr>
        <w:ind w:right="120" w:firstLine="8"/>
        <w:spacing w:after="0" w:line="260"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NINDS Multiple System Atrophy Fact Sheer; (10) ALS Association Rare Disease 2013; (11) NINDS Amyotrophic Lateral Sclerosis Fact Sheer; (12) Knopman and Roberts J. Mol. Neurosci. 2011</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support of shifting the current treatment paradigm from treatment to prevention, we are the leader in discovering new PET imaging agents to improve the timing and accuracy of diagnoses in neurodegenerative diseases. In our pipeline, we have three families of diagnostic candidates that were developed through our Morphomer platform, which target Tau, a-syn and TDP-43. We believe our Tau-PET imaging program has received external validation through our partnership with LMI, a leader in imaging agents. We are also developing a-syn and TDP-43 PET imaging agents for PD and other neurodegenerative diseases.</w:t>
      </w:r>
    </w:p>
    <w:p>
      <w:pPr>
        <w:sectPr>
          <w:pgSz w:w="11900" w:h="16838" w:orient="portrait"/>
          <w:cols w:equalWidth="0" w:num="1">
            <w:col w:w="11140"/>
          </w:cols>
          <w:pgMar w:left="320" w:top="122" w:right="439" w:bottom="1440" w:gutter="0" w:footer="0" w:header="0"/>
        </w:sect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With our unique integrated approach focused on precision medicine, we believe that our diagnostic product candidate pipeline will complement our disease-modifying treatment product candidate pipeline and potentially reshape the clinical course and treatment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87630</wp:posOffset>
            </wp:positionV>
            <wp:extent cx="5974715" cy="2682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7471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Anti-pTau vaccine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collaboration with Janssen, we are advancing an anti-pTau vaccine program directed against a key component of the pathology of AD: phosphorylated Tau proteins, found in Tau tangles. Developed using our SupraAntigen technology, our vaccine is designed to stimulate a patient’s immune system to produce antibodies against misfolded and phosphorylated, pathological Tau protein, which aggregate to create the neurofibrillary tangles that characterize 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Tau vaccination over other therapeutic approaches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 xml:space="preserve">Tau vaccines which are able to induce a long-lasting and boost-able antibody response have the potential to be even more advantageous than other anti-Tau therapeutic modalities such as small molecules or monoclonal antibodies, which typically show much shorter half-lives </w:t>
      </w:r>
      <w:r>
        <w:rPr>
          <w:rFonts w:ascii="Arial" w:cs="Arial" w:eastAsia="Arial" w:hAnsi="Arial"/>
          <w:sz w:val="16"/>
          <w:szCs w:val="16"/>
          <w:i w:val="1"/>
          <w:iCs w:val="1"/>
          <w:color w:val="auto"/>
        </w:rPr>
        <w:t>in vivo</w:t>
      </w:r>
      <w:r>
        <w:rPr>
          <w:rFonts w:ascii="Arial" w:cs="Arial" w:eastAsia="Arial" w:hAnsi="Arial"/>
          <w:sz w:val="16"/>
          <w:szCs w:val="16"/>
          <w:color w:val="auto"/>
        </w:rPr>
        <w:t>, requiring more frequent administration. Tau vaccines such as ACI-35.030 may thus offer a more cost effective, and less invasive approach for the treatment or prevention of Tau pathology, which may be particularly relevant for addressing slow-progressing chronic neurodegenerative Tauopathies such as AD.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w:t>
      </w:r>
    </w:p>
    <w:p>
      <w:pPr>
        <w:spacing w:after="0" w:line="229" w:lineRule="exact"/>
        <w:rPr>
          <w:sz w:val="20"/>
          <w:szCs w:val="20"/>
          <w:color w:val="auto"/>
        </w:rPr>
      </w:pPr>
    </w:p>
    <w:p>
      <w:pPr>
        <w:ind w:right="20" w:firstLine="321"/>
        <w:spacing w:after="0" w:line="257" w:lineRule="auto"/>
        <w:rPr>
          <w:sz w:val="20"/>
          <w:szCs w:val="20"/>
          <w:color w:val="auto"/>
        </w:rPr>
      </w:pPr>
      <w:r>
        <w:rPr>
          <w:rFonts w:ascii="Arial" w:cs="Arial" w:eastAsia="Arial" w:hAnsi="Arial"/>
          <w:sz w:val="18"/>
          <w:szCs w:val="18"/>
          <w:color w:val="auto"/>
        </w:rPr>
        <w:t>ACI-35 is an initial formulation liposomal anti-pTau active investigational vaccine designed to elicit antibodies against extracellular pTau protein in order to prevent and reduce the spread and development of Tau pathology within the brain. In preclinical testing, the vaccine candidate induced an antibody response that was highly specific to phosphorylated Tau. This antibody response resulted in a significant reduction of pTau and in animal disease model. ACI-35 was the first vaccine candidate against pathological pTau to be tested in a clinical study involving patients with mild-to-moderate AD. The Phase 1b study was completed in June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180" w:hanging="324"/>
        <w:spacing w:after="0" w:line="263"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ACI-35 is composed of a human pTau synthetic peptide T3 as the antigen, derived from Tau sequence 393-408 and phosphorylated at serine residues S396 and S404. Lipidation of the peptide enables it to embed itself into the lipid bi-layer of the liposome and confers a specific conformation to the peptide (Theunis </w:t>
      </w:r>
      <w:r>
        <w:rPr>
          <w:rFonts w:ascii="Arial" w:cs="Arial" w:eastAsia="Arial" w:hAnsi="Arial"/>
          <w:sz w:val="18"/>
          <w:szCs w:val="18"/>
          <w:i w:val="1"/>
          <w:iCs w:val="1"/>
          <w:color w:val="auto"/>
        </w:rPr>
        <w:t>et al.</w:t>
      </w:r>
      <w:r>
        <w:rPr>
          <w:rFonts w:ascii="Arial" w:cs="Arial" w:eastAsia="Arial" w:hAnsi="Arial"/>
          <w:sz w:val="18"/>
          <w:szCs w:val="18"/>
          <w:color w:val="auto"/>
        </w:rPr>
        <w:t>, PLoS ONE 2013).</w:t>
      </w:r>
    </w:p>
    <w:p>
      <w:pPr>
        <w:spacing w:after="0" w:line="183" w:lineRule="exact"/>
        <w:rPr>
          <w:rFonts w:ascii="Arial" w:cs="Arial" w:eastAsia="Arial" w:hAnsi="Arial"/>
          <w:sz w:val="18"/>
          <w:szCs w:val="18"/>
          <w:color w:val="auto"/>
        </w:rPr>
      </w:pPr>
    </w:p>
    <w:p>
      <w:pPr>
        <w:ind w:left="980" w:right="106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In wild-type and transgenic mice, immunization with ACI-35 generated a specific antibody response to phosphorylated vs. non-phosphorylated Tau protein (Vukicevic </w:t>
      </w:r>
      <w:r>
        <w:rPr>
          <w:rFonts w:ascii="Arial" w:cs="Arial" w:eastAsia="Arial" w:hAnsi="Arial"/>
          <w:sz w:val="18"/>
          <w:szCs w:val="18"/>
          <w:i w:val="1"/>
          <w:iCs w:val="1"/>
          <w:color w:val="auto"/>
        </w:rPr>
        <w:t>et. al.</w:t>
      </w:r>
      <w:r>
        <w:rPr>
          <w:rFonts w:ascii="Arial" w:cs="Arial" w:eastAsia="Arial" w:hAnsi="Arial"/>
          <w:sz w:val="18"/>
          <w:szCs w:val="18"/>
          <w:color w:val="auto"/>
        </w:rPr>
        <w:t xml:space="preserve"> AAT-AD/PD 2020).</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3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transgenic mice, immunization with ACI-35 led to a significant decrease of soluble and insoluble total Tau protein and insoluble pTau species in brain (Figure 13).</w:t>
      </w:r>
    </w:p>
    <w:p>
      <w:pPr>
        <w:spacing w:after="0" w:line="166" w:lineRule="exact"/>
        <w:rPr>
          <w:sz w:val="20"/>
          <w:szCs w:val="20"/>
          <w:color w:val="auto"/>
        </w:rPr>
      </w:pPr>
    </w:p>
    <w:p>
      <w:pPr>
        <w:jc w:val="center"/>
        <w:ind w:left="360" w:right="180"/>
        <w:spacing w:after="0" w:line="282" w:lineRule="auto"/>
        <w:rPr>
          <w:sz w:val="20"/>
          <w:szCs w:val="20"/>
          <w:color w:val="auto"/>
        </w:rPr>
      </w:pPr>
      <w:r>
        <w:rPr>
          <w:rFonts w:ascii="Arial" w:cs="Arial" w:eastAsia="Arial" w:hAnsi="Arial"/>
          <w:sz w:val="18"/>
          <w:szCs w:val="18"/>
          <w:b w:val="1"/>
          <w:bCs w:val="1"/>
          <w:color w:val="auto"/>
        </w:rPr>
        <w:t>Figure 13: Immunization of hTauP301L mice leads to a reduction of the levels of pS396 and HT7 in the Sarkosyl insoluble Tau fraction of the forebrain of Tau.P301L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114300</wp:posOffset>
            </wp:positionV>
            <wp:extent cx="4397375" cy="258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9737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Theunis </w:t>
      </w:r>
      <w:r>
        <w:rPr>
          <w:rFonts w:ascii="Arial" w:cs="Arial" w:eastAsia="Arial" w:hAnsi="Arial"/>
          <w:sz w:val="18"/>
          <w:szCs w:val="18"/>
          <w:i w:val="1"/>
          <w:iCs w:val="1"/>
          <w:color w:val="auto"/>
        </w:rPr>
        <w:t>et al.</w:t>
      </w:r>
      <w:r>
        <w:rPr>
          <w:rFonts w:ascii="Arial" w:cs="Arial" w:eastAsia="Arial" w:hAnsi="Arial"/>
          <w:sz w:val="18"/>
          <w:szCs w:val="18"/>
          <w:color w:val="auto"/>
        </w:rPr>
        <w:t>, PLoS ONE 2013</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safety, tolerability and immunogenicity of ACI-35 were tested in a Phase 1b study in participants with mild-to-moderate AD. It was a randomized, placebo-controlled, double-blind study. Different dosages and dosing schedules were investigated in an ascending dose design. Multiple injections of ACI-35 were administered per cohort for active or placebo treatment in a three-to-one ratio.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ACI-35 vaccine was considered to be safe and well tolerated with no events related to CNS inflammation. Five SAEs were observed in three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ACI-35 elicited a rapid induction of anti-pTau antibodies after the first immunization in all study cohorts, indicating a T-cell-independent antibody response. However, this response lacked the boosting effect desired for optimal long-term and potentially preventive application. Therefore, in a collaborative effort, AC Immune and Janssen are developing two optimized anti-pTau vaccine candidates, ACI-35.030 and JACI.35.054, which are currently being tested in early AD subjects in a Phase 1b/2a study.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ACI-35.030</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ACI-35.030 is an optimized liposomal anti-pTau vaccine formulation designed to elicit an enhanced antibody response. In preclinical studies, ACI-35.030 showed that it retains the excellent non-clinical safety profile and the highly specific antibody response against pTau observed with ACI-35, while demonstrating an enhanced and more uniform antibody response compared to first generation ACI-35. We are developing ACI-35.030 with Janssen in accordance with our collaboration agreement.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6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ACI-35.030 comprises a pTau peptide and a T-cell epitope capable of binding to human leukocyte antigen-major histocompatibility complex, class II (HLA-DR) molecules.</w:t>
      </w:r>
    </w:p>
    <w:p>
      <w:pPr>
        <w:sectPr>
          <w:pgSz w:w="11900" w:h="16838" w:orient="portrait"/>
          <w:cols w:equalWidth="0" w:num="1">
            <w:col w:w="11200"/>
          </w:cols>
          <w:pgMar w:left="320" w:top="122" w:right="379" w:bottom="1440" w:gutter="0" w:footer="0" w:header="0"/>
        </w:sect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280" w:hanging="324"/>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In rhesus monkeys, ACI-35.030 induced a specific response to pTau over non-phosphorylated Tau, similar to that observed with ACI-35 (Vukicevic </w:t>
      </w:r>
      <w:r>
        <w:rPr>
          <w:rFonts w:ascii="Arial" w:cs="Arial" w:eastAsia="Arial" w:hAnsi="Arial"/>
          <w:sz w:val="18"/>
          <w:szCs w:val="18"/>
          <w:i w:val="1"/>
          <w:iCs w:val="1"/>
          <w:color w:val="auto"/>
        </w:rPr>
        <w:t>et. al.</w:t>
      </w:r>
      <w:r>
        <w:rPr>
          <w:rFonts w:ascii="Arial" w:cs="Arial" w:eastAsia="Arial" w:hAnsi="Arial"/>
          <w:sz w:val="18"/>
          <w:szCs w:val="18"/>
          <w:color w:val="auto"/>
        </w:rPr>
        <w:t xml:space="preserve"> AAT-AD/PD 2020). This is meaningful as Tau hyper-phosphorylation is considered an early event in the development of Tau pathology, occurring even several decades before the onset of Tau deposits.</w:t>
      </w:r>
    </w:p>
    <w:p>
      <w:pPr>
        <w:spacing w:after="0" w:line="183" w:lineRule="exact"/>
        <w:rPr>
          <w:rFonts w:ascii="Arial" w:cs="Arial" w:eastAsia="Arial" w:hAnsi="Arial"/>
          <w:sz w:val="18"/>
          <w:szCs w:val="18"/>
          <w:color w:val="auto"/>
        </w:rPr>
      </w:pPr>
    </w:p>
    <w:p>
      <w:pPr>
        <w:ind w:left="980" w:right="280" w:hanging="324"/>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Sera from rhesus monkeys immunized with ACI-35.030 binds specifically to pathological Tau in brain sections with AD as compared to healthy human brain tissue (Kosco-Vilbois, KOL event ‘Untangling’ Tau Pathology to Treat Alzheimer’s and Neurodegenerative Diseases NYC, Nov 2019)</w:t>
      </w:r>
    </w:p>
    <w:p>
      <w:pPr>
        <w:spacing w:after="0" w:line="183"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preclinical studies, immunization of non-human primates (NHPs) with ACI-35.030 lead to enhanced and more uniform anti-pTau IgG - specific antibody titers with boosting effect compared to ACI-35 (Figure 14).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14: pTau-specific IgG titers in NHP induced by ACI-35.030 and ACI-35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w:t>
      </w:r>
      <w:r>
        <w:rPr>
          <w:rFonts w:ascii="Arial" w:cs="Arial" w:eastAsia="Arial" w:hAnsi="Arial"/>
          <w:sz w:val="18"/>
          <w:szCs w:val="18"/>
          <w:i w:val="1"/>
          <w:iCs w:val="1"/>
          <w:color w:val="auto"/>
        </w:rPr>
        <w:t>,</w:t>
      </w:r>
      <w:r>
        <w:rPr>
          <w:rFonts w:ascii="Arial" w:cs="Arial" w:eastAsia="Arial" w:hAnsi="Arial"/>
          <w:sz w:val="18"/>
          <w:szCs w:val="18"/>
          <w:color w:val="auto"/>
        </w:rPr>
        <w:t xml:space="preserve"> CTAD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JACI-35.054</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JACI-35.054 is an alternative pTau vaccine, which is developed with Janssen in accordance with our collaboration agreement. In preclinical studies, JACI-35.054 showed good safety, and induced a strong antibody response against pTau.</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1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JACI-35.054 is an alternative anti-pTau vaccine comprising a pTau peptide antigen conjugated to an immunogenic carrier protein CRM197, combined with adjuvants</w:t>
      </w:r>
    </w:p>
    <w:p>
      <w:pPr>
        <w:spacing w:after="0" w:line="17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CRM197 is a well-defined recombinant protein that is a commercially available version of a non-toxic mutant of diphtheria toxin (DT) A chain and has been shown to be a safe carrier protein in commercial prophylactic vaccines and clinical trials for a plethora of different vaccine candidates.</w:t>
      </w:r>
    </w:p>
    <w:p>
      <w:pPr>
        <w:spacing w:after="0" w:line="183"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Immunization of rhesus macaques with JACI-35.054 generates an antibody response that binds to pathological Tau structures in human AD brain.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1b/2a study</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Phase 1b/2a study is a randomized, multicenter, double-blind, placebo-controlled clinical study with a primary objective to assess the safety, tolerability and immunogenicity of different dosages of ACI-35.030 and JACI-35.054 in participants with early AD. Secondary objectives assess additional immunogenicity parameters, while exploratory endpoints include notable biomarkers of progression of AD as well as clinical assessments. This Phase 1b/2a study evaluating ACI-35.030 and JACI-35.054 was initiated in Q3 2019 and is currently ongoing.</w:t>
      </w:r>
    </w:p>
    <w:p>
      <w:pPr>
        <w:sectPr>
          <w:pgSz w:w="11900" w:h="16838" w:orient="portrait"/>
          <w:cols w:equalWidth="0" w:num="1">
            <w:col w:w="11220"/>
          </w:cols>
          <w:pgMar w:left="320" w:top="122" w:right="35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February 11, 2022, 55 subjects have been randomized in the Phase 1b/2a study, of which 39 subjects are randomized into the Cohort 1 (low-, mid-, or high- dose levels of ACI-35.030 or placebo), and 16 subjects are randomized into the Cohort 2 (low- or mid-dose levels of JACI-35.054 or placebo). The active/placebo ratio is 3:1 in each Cohort. In this study, six SAEs have been reported to date. Each of these events are considered unlikely related to the study treatment. These events are: one episode of acute diverticulitis and one case of sick sinus syndrome in the low-dose level with ACI-35.030 or placebo; one case of flare of diverticular disease in one subject, and one left thrombosed popliteal aneurysm and one right popliteal aneurysm in another subject in the high-dose level with ACI-35.030 or placebo; and one case of lumbar disc prolapse leading to hospitalization for surgery in the low-dose level with JACI-35.054 or placebo.</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Antibody response (interim)</w:t>
      </w:r>
    </w:p>
    <w:p>
      <w:pPr>
        <w:spacing w:after="0" w:line="225" w:lineRule="exact"/>
        <w:rPr>
          <w:sz w:val="20"/>
          <w:szCs w:val="20"/>
          <w:color w:val="auto"/>
        </w:rPr>
      </w:pPr>
    </w:p>
    <w:p>
      <w:pPr>
        <w:ind w:right="240" w:firstLine="321"/>
        <w:spacing w:after="0" w:line="286" w:lineRule="auto"/>
        <w:rPr>
          <w:sz w:val="20"/>
          <w:szCs w:val="20"/>
          <w:color w:val="auto"/>
        </w:rPr>
      </w:pPr>
      <w:r>
        <w:rPr>
          <w:rFonts w:ascii="Arial" w:cs="Arial" w:eastAsia="Arial" w:hAnsi="Arial"/>
          <w:sz w:val="16"/>
          <w:szCs w:val="16"/>
          <w:color w:val="auto"/>
        </w:rPr>
        <w:t>Based on interim results from the first two dose-level sub-cohorts, in all patients after the first injection, ACI-35.030 treatment led to the strong induction of antibodies specific for pathological forms of Tau such as pTau and its aggregated form, enriched paired helical filaments (ePHF). Anti-pTau IgG titers increased by two orders of magnitude from baseline two weeks after the first injection of the mid-dose of ACI-35.030. Anti-ePHF IgG titers increased by approximately one order of magnitude from baseline as early as two weeks after the second injection at week 8 of the mid-dose of ACI-</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35.030. The geometric mean of the anti-ePHF IgG response was boosted following additional doses at weeks 8 and 24. The ACI-35.030-induced immune response was lasting over an initial period of 26-weeks and showed class-switching from IgM to IgG. Interim safety data further support ACI-35.030’s favorable safety and tolerability profile, with no clinically relevant safety concerns related to the study vaccine observed to date. These results were presented at the CTAD conference in 2021.</w:t>
      </w:r>
    </w:p>
    <w:p>
      <w:pPr>
        <w:spacing w:after="0" w:line="7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Figure 15: ACI-35.030 generates a potent Ab</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response</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against pathological Tau</w:t>
      </w:r>
    </w:p>
    <w:p>
      <w:pPr>
        <w:ind w:left="2580"/>
        <w:spacing w:after="0"/>
        <w:rPr>
          <w:sz w:val="20"/>
          <w:szCs w:val="20"/>
          <w:color w:val="auto"/>
        </w:rPr>
      </w:pPr>
      <w:r>
        <w:rPr>
          <w:rFonts w:ascii="Arial" w:cs="Arial" w:eastAsia="Arial" w:hAnsi="Arial"/>
          <w:sz w:val="18"/>
          <w:szCs w:val="18"/>
          <w:b w:val="1"/>
          <w:bCs w:val="1"/>
          <w:color w:val="auto"/>
        </w:rPr>
        <w:t>ACI-35.030 generates strong Ab responses against pTau</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in an older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70485</wp:posOffset>
            </wp:positionV>
            <wp:extent cx="6000750" cy="2451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00" w:firstLine="8"/>
        <w:spacing w:after="0" w:line="26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Antibody; (2) phosphorylated Tau; (3) Enriched paired helical filaments; (4) at Weeks 2 and 10; (5) at Week 10; (6) Responders were defined as subjects with an antibody response higher than a positivity threshold, i.e., a pretreatment value (baseline antibody titer), multiplied by a threshold factor (&gt;-2x)</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w:t>
      </w:r>
      <w:r>
        <w:rPr>
          <w:rFonts w:ascii="Arial" w:cs="Arial" w:eastAsia="Arial" w:hAnsi="Arial"/>
          <w:sz w:val="18"/>
          <w:szCs w:val="18"/>
          <w:i w:val="1"/>
          <w:iCs w:val="1"/>
          <w:color w:val="auto"/>
        </w:rPr>
        <w:t>,</w:t>
      </w:r>
      <w:r>
        <w:rPr>
          <w:rFonts w:ascii="Arial" w:cs="Arial" w:eastAsia="Arial" w:hAnsi="Arial"/>
          <w:sz w:val="18"/>
          <w:szCs w:val="18"/>
          <w:color w:val="auto"/>
        </w:rPr>
        <w:t xml:space="preserve"> CTAD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original formulation of ACI-24 is an anti-amyloid-beta vaccine candidate that was assessed in AD and in Down syndrome and was shown to be safe and well tolerated along with preliminary evidence of immunogenicity and pharmacodynamic effects in these 2 study populations.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660" w:right="40" w:hanging="328"/>
        <w:spacing w:after="0" w:line="273"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ACI-24 consists of an antigenic peptide (Pal1-15) containing the amino acid sequence 1-15 of the human Abeta1-42 protein, and an adjuvant, formulated as liposomal suspension. Pal1-15 is presented on the surface of the liposomes in a conformational format mimicking the pathological form of the protein which is recognized by the immune system in order to induce antigen-specific antibody responses against the pathological forms of Abeta. Preclinical data demonstrated significant activity in plaque reduction and memory restoration. ACI-24 formulations have a favorable safety profile, characterized by a lack of observed local and CNS inflammation and a mechanism of action independent of inflammatory T cells. ACI-24 formulations are fully owned by AC Immune and have been developed in-house.</w:t>
      </w:r>
    </w:p>
    <w:p>
      <w:pPr>
        <w:sectPr>
          <w:pgSz w:w="11900" w:h="16838" w:orient="portrait"/>
          <w:cols w:equalWidth="0" w:num="1">
            <w:col w:w="11240"/>
          </w:cols>
          <w:pgMar w:left="320" w:top="122"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Clinical development in AD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1/2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1/2 study</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Phase 1 part of the combined Phase 1/2 study is completed, and the clinical study report was finalized in 2019. The efficacy, tolerability and immunogenicity of ACI-24 were tested in patients with mild-to-moderate AD with four different doses in a randomized, placebo-controlled, double-blind study. The different doses were tested via an ascending dose design in four consecutive cohorts with 12 patients each (nine on active, three on placebo treatment). ACI-24 was administered with multiple injections per cohort. The initial safety follow-up period for two years was shortened to one year mainly for the patients of the last cohort.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Due to the observed favorable safety profile, the treatment-free safety follow-up period of the Phase 1 part of the study was shortened to one year using a protocol amendment. Fifteen non-drug related SAEs were observed in the Phase 1/2 study. This ACI-24 vaccine was considered safe and well tolerated.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Antibody responses were observed only in the two higher-dose groups of cohorts 3 and 4, indicating a dose-dependent effect of the vaccine. No IgG antibody response was observed in placebo-treated patients of those cohorts.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PET Imaging and cognitive measures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Although the study was not powered to examine efficacy, a tendency for reduction in accumulation in brain amyloid measured by PET imaging was observed in cohorts 3 and 4. This was paralleled by trends in functional improvements as measured by CDR-SB and MMSE at week 52 (MMSE 20-28).</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Due to the safety profile and potential dose-dependent reduction of amyloid plaques as measured by PET imaging, this program was advanced into a Phase 2 clinical trial. In order to optimize the immune response, the route of administration was switched to intramuscular, as this route was associated with a better antibody response in a non-clinical study.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Phase 2 study design</w:t>
      </w:r>
    </w:p>
    <w:p>
      <w:pPr>
        <w:spacing w:after="0" w:line="225" w:lineRule="exact"/>
        <w:rPr>
          <w:sz w:val="20"/>
          <w:szCs w:val="20"/>
          <w:color w:val="auto"/>
        </w:rPr>
      </w:pPr>
    </w:p>
    <w:p>
      <w:pPr>
        <w:ind w:right="380" w:firstLine="321"/>
        <w:spacing w:after="0" w:line="263" w:lineRule="auto"/>
        <w:rPr>
          <w:sz w:val="20"/>
          <w:szCs w:val="20"/>
          <w:color w:val="auto"/>
        </w:rPr>
      </w:pPr>
      <w:r>
        <w:rPr>
          <w:rFonts w:ascii="Arial" w:cs="Arial" w:eastAsia="Arial" w:hAnsi="Arial"/>
          <w:sz w:val="18"/>
          <w:szCs w:val="18"/>
          <w:color w:val="auto"/>
        </w:rPr>
        <w:t>The Phase 2 double-blind, randomized, placebo-controlled adaptive design study assessed the safety, tolerability, immunogenicity and target engagement of ACI-24 formulations in patients with mild AD. It was conducted in several European countries and the first dosing occurred in October 2018 via the intramuscular route of administration. The full study results were presented at CTAD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ind w:right="160" w:firstLine="321"/>
        <w:spacing w:after="0" w:line="259" w:lineRule="auto"/>
        <w:rPr>
          <w:sz w:val="20"/>
          <w:szCs w:val="20"/>
          <w:color w:val="auto"/>
        </w:rPr>
      </w:pPr>
      <w:r>
        <w:rPr>
          <w:rFonts w:ascii="Arial" w:cs="Arial" w:eastAsia="Arial" w:hAnsi="Arial"/>
          <w:sz w:val="18"/>
          <w:szCs w:val="18"/>
          <w:color w:val="auto"/>
        </w:rPr>
        <w:t>Seven SAEs considered unlikely related or unrelated to study drug were reported in this study in 5 randomized subjects; 3 of the subjects were in the 1000 μg ACI-24 group (Covid-19 infection; pneumonia; and foot deformity) and 2 subjects were in the placebo group (transient ischemic attack; and 2 episodes of urinary retention and one concussion occurring in one subject). No episodes of ARIA-E or CNS inflammation were reported by MRI. ACI-24 was considered safe and well tolerated.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vaccine triggered an IgM response with lower Abeta-specific IgG titers.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Pharmacodynamic and clinical measures</w:t>
      </w:r>
    </w:p>
    <w:p>
      <w:pPr>
        <w:spacing w:after="0" w:line="225" w:lineRule="exact"/>
        <w:rPr>
          <w:sz w:val="20"/>
          <w:szCs w:val="20"/>
          <w:color w:val="auto"/>
        </w:rPr>
      </w:pPr>
    </w:p>
    <w:p>
      <w:pPr>
        <w:ind w:right="80" w:firstLine="321"/>
        <w:spacing w:after="0" w:line="263" w:lineRule="auto"/>
        <w:rPr>
          <w:sz w:val="20"/>
          <w:szCs w:val="20"/>
          <w:color w:val="auto"/>
        </w:rPr>
      </w:pPr>
      <w:r>
        <w:rPr>
          <w:rFonts w:ascii="Arial" w:cs="Arial" w:eastAsia="Arial" w:hAnsi="Arial"/>
          <w:sz w:val="18"/>
          <w:szCs w:val="18"/>
          <w:color w:val="auto"/>
        </w:rPr>
        <w:t>While no apparent effect in amyloid-PET was observed in this limited study population, evidence of a pharmacodynamic effect was shown by an increase of CSF Aβ1-40 and Aβ1-42 levels vs placebo, thereby suggesting target engagement. No consistent changes in cognitive and other clinical scales were observed over time, though it should be noted that the study was not powered for these endpoints.</w:t>
      </w:r>
    </w:p>
    <w:p>
      <w:pPr>
        <w:spacing w:after="0" w:line="184" w:lineRule="exact"/>
        <w:rPr>
          <w:sz w:val="20"/>
          <w:szCs w:val="20"/>
          <w:color w:val="auto"/>
        </w:rPr>
      </w:pPr>
    </w:p>
    <w:p>
      <w:pPr>
        <w:ind w:right="440" w:firstLine="321"/>
        <w:spacing w:after="0" w:line="263" w:lineRule="auto"/>
        <w:rPr>
          <w:sz w:val="20"/>
          <w:szCs w:val="20"/>
          <w:color w:val="auto"/>
        </w:rPr>
      </w:pPr>
      <w:r>
        <w:rPr>
          <w:rFonts w:ascii="Arial" w:cs="Arial" w:eastAsia="Arial" w:hAnsi="Arial"/>
          <w:sz w:val="18"/>
          <w:szCs w:val="18"/>
          <w:color w:val="auto"/>
        </w:rPr>
        <w:t>Overall, these results support the clinical development of an optimized formulation of ACI-24 with T-cell help to improve the magnitude and the boostability of the antibody response. A CTA submission for the next study with the optimized formulation of ACI-24 in AD and Down syndrome populations was completed in Q4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ACI-24 development in Down syndrome-related AD</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AD dementia that commonly develops in people with DS bears remarkable clinical and pathological similarity to familial and sporadic forms of AD and is characterized by progressive changes in Abeta and a number of other relevant biomarkers. AC immune is pioneering the development of anti Abeta vaccine for these individuals and this may also apply to other populations with genetic predisposition to AD and ultimately to broader sporadic AD patients.</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Individuals with DS have an extra copy of chromosome 21, which is where the gene for amyloid precursor protein (APP) resides. These individuals develop AD at a rate that is three to five times that of the general population and develop the disease at a much younger age. At autopsy, AD pathology has been reported in 80% of people with DS over the age of 40 and 100% over the age of 60 years. The prevalence of AD in people with DS is more than 50% over the age of 50 and 75–100% over the age of 60 years (Strydom, 2018). It is estimated that there are six million people with DS worldwide, with 250,000 in the US. Preclinical results published by AC Immune in collaboration with Dr. Mobley of the University of California, San Diego in March 2016, showed, in a DS mouse model (Ts65Dn), a significant 20% memory improvement and a 27% reduction of Abeta in the brain following vaccination with ACI-DS-01, the mouse equivalent of ACI-24.</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Phase 1b</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Phase 1b clinical trial was completed in 2020 and evaluated the safety and tolerability of ACI-24, its effect on induction of antibodies against Abeta and changes in biomarkers such as Abeta levels in blood and CSF, in adult participants with DS. The study was primarily funded by the Company with additional partial funding provided by a grant from the US National Institute on Aging, a part of the US National Institutes of Health (NIH) and an additional grant from the LuMind Research Down Syndrome Foundation. This dose-escalation study included 16 participants across all cohorts, aged 25−45 years and treated for 12 months, with a 12-month safety follow-up.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results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Study treatment compliance was 100% and ACI-24 was safe and well tolerated in adults with DS, with no serious adverse events (SAEs) or evidence for CNS inflammation, meningoencephalitis, or ARIA. There have been no early subject withdrawals at any dose during the treatment period. ACI-24 vaccination in adults with DS resulted in encouraging immunogenicity (generation of anti-Abeta antibodies) and a positive pharmacodynamic response as measured by an increase in plasma Abeta. These results support further clinical development of in DS-related AD with the optimized formulation of ACI-24.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ACI-24.060</w:t>
      </w:r>
    </w:p>
    <w:p>
      <w:pPr>
        <w:spacing w:after="0" w:line="22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AC Immune has developed an optimized anti-Abeta vaccine formulation, ACI-24.060, which demonstrated encouraging safety and superior immunogenicity results in mouse and non-human primate (NHP) studies. Like ACI-24, ACI-24.060, which contains T-cell help epitopes, has been developed using our SupraAntigen platform and is designed to stimulate a patient’s immune system to produce antibodies that specifically target the misfolded Abeta conformer to prevent plaque accumulation and to enhance plaque clearance. The Company is pursuing clinical development with ACI-24.060, an optimized formulation of ACI-24 in early AD and in population with DS with presence of brain amyloid pathology.</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660" w:right="80" w:hanging="328"/>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ACI-24.060’s mechanism of action is similar to the one described with the original formulation of ACI-24. The incorporation of T-cell help epitopes in this optimized formulation is intended to prime, boost and maintain a strong antibody response against key pathological Abeta species (including oligomeric and pyroglutamate Abeta). The antibodies elicited by the vaccine in NHPs showed clear target engagement by binding to human Abeta plaques on AD patient-derived brain tissue.</w:t>
      </w:r>
    </w:p>
    <w:p>
      <w:pPr>
        <w:spacing w:after="0" w:line="18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AC Immune submitted a Clinical Trial Application (CTA) to the UK Medicines and Healthcare Products Regulatory Agency (MHRA) in Q4 2021 to initiate development of the optimized formulation of ACI-24 in patients with prodromal AD and in adult subjects with DS with presence of brain amyloid pathology. It then plans for a subsequent Investigational New Drug (IND) application in the USA in early 2023 for the global development of the vaccine candidate.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ACI-7104 – anti-a-syn vaccine</w:t>
      </w:r>
    </w:p>
    <w:p>
      <w:pPr>
        <w:spacing w:after="0" w:line="229" w:lineRule="exact"/>
        <w:rPr>
          <w:sz w:val="20"/>
          <w:szCs w:val="20"/>
          <w:color w:val="auto"/>
        </w:rPr>
      </w:pPr>
    </w:p>
    <w:p>
      <w:pPr>
        <w:ind w:right="240" w:firstLine="321"/>
        <w:spacing w:after="0" w:line="277" w:lineRule="auto"/>
        <w:rPr>
          <w:sz w:val="20"/>
          <w:szCs w:val="20"/>
          <w:color w:val="auto"/>
        </w:rPr>
      </w:pPr>
      <w:r>
        <w:rPr>
          <w:rFonts w:ascii="Arial" w:cs="Arial" w:eastAsia="Arial" w:hAnsi="Arial"/>
          <w:sz w:val="18"/>
          <w:szCs w:val="18"/>
          <w:color w:val="auto"/>
        </w:rPr>
        <w:t>Neurodegenerative conditions with a-syn accumulation, such as Parkinson’s disease, are increasingly linked to dementia and movement disorders in the aging population.</w:t>
      </w:r>
    </w:p>
    <w:p>
      <w:pPr>
        <w:spacing w:after="0" w:line="170" w:lineRule="exact"/>
        <w:rPr>
          <w:sz w:val="20"/>
          <w:szCs w:val="20"/>
          <w:color w:val="auto"/>
        </w:rPr>
      </w:pPr>
    </w:p>
    <w:p>
      <w:pPr>
        <w:jc w:val="both"/>
        <w:ind w:right="200" w:firstLine="321"/>
        <w:spacing w:after="0" w:line="286" w:lineRule="auto"/>
        <w:rPr>
          <w:sz w:val="20"/>
          <w:szCs w:val="20"/>
          <w:color w:val="auto"/>
        </w:rPr>
      </w:pPr>
      <w:r>
        <w:rPr>
          <w:rFonts w:ascii="Arial" w:cs="Arial" w:eastAsia="Arial" w:hAnsi="Arial"/>
          <w:sz w:val="17"/>
          <w:szCs w:val="17"/>
          <w:color w:val="auto"/>
        </w:rPr>
        <w:t>ACI-7104 is an optimized peptide-conjugate vaccine formulation designed to induce a-syn-specific antibodies recognizing aggregated a-syn species that have been demonstrated to be toxic to neurons. In contrast, ACI-7104-induced antibodies do not bind to the monomeric, physiological form of a-syn and do not cross-react with other members of the synuclein family such as beta- and gamma-synuclein.</w:t>
      </w:r>
    </w:p>
    <w:p>
      <w:pPr>
        <w:spacing w:after="0" w:line="165" w:lineRule="exact"/>
        <w:rPr>
          <w:sz w:val="20"/>
          <w:szCs w:val="20"/>
          <w:color w:val="auto"/>
        </w:rPr>
      </w:pPr>
    </w:p>
    <w:p>
      <w:pPr>
        <w:ind w:right="160" w:firstLine="321"/>
        <w:spacing w:after="0" w:line="301" w:lineRule="auto"/>
        <w:rPr>
          <w:sz w:val="20"/>
          <w:szCs w:val="20"/>
          <w:color w:val="auto"/>
        </w:rPr>
      </w:pPr>
      <w:r>
        <w:rPr>
          <w:rFonts w:ascii="Arial" w:cs="Arial" w:eastAsia="Arial" w:hAnsi="Arial"/>
          <w:sz w:val="16"/>
          <w:szCs w:val="16"/>
          <w:color w:val="auto"/>
        </w:rPr>
        <w:t xml:space="preserve">A substantial package of preclinical and clinical data has been generated with PD01 (predecessor of ACI-7104). This candidate was tested in two different transgenic mouse models of PD and Dementia with Lewy bodies (DLB), the mThy1- and the PDGF-human a-syn transgenic mice. Active vaccination with PD01 resulted in decreased a-syn pathology in brain areas most affected by transgene overexpression, including the substantia nigra and the striatum, and this was accompanied by a reduced neurodegeneration and by improvements in motor and memory deficits in both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w:t>
      </w:r>
    </w:p>
    <w:p>
      <w:pPr>
        <w:spacing w:after="0" w:line="157" w:lineRule="exact"/>
        <w:rPr>
          <w:sz w:val="20"/>
          <w:szCs w:val="20"/>
          <w:color w:val="auto"/>
        </w:rPr>
      </w:pPr>
    </w:p>
    <w:p>
      <w:pPr>
        <w:ind w:right="260" w:firstLine="321"/>
        <w:spacing w:after="0" w:line="342" w:lineRule="auto"/>
        <w:rPr>
          <w:sz w:val="20"/>
          <w:szCs w:val="20"/>
          <w:color w:val="auto"/>
        </w:rPr>
      </w:pPr>
      <w:r>
        <w:rPr>
          <w:rFonts w:ascii="Arial" w:cs="Arial" w:eastAsia="Arial" w:hAnsi="Arial"/>
          <w:sz w:val="16"/>
          <w:szCs w:val="16"/>
          <w:color w:val="auto"/>
        </w:rPr>
        <w:t>PD01 was the first vaccine candidate against pathological a-syn to be tested in a clinical study involving patients with early PD. A series of Phase 1 studies were completed in June 2018. The start of the Phase 2 trial in early PD patients to evaluate ACI-7104 is scheduled to commence in H2 2022.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hanging="324"/>
        <w:spacing w:after="0" w:line="342"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ACI-7104 is composed of a short engineered antigenic a-syn peptide. This peptide coupled to a carrier protein facilitates the induction of an a-syn-specific antibody response that binds to toxic aggregated a-syn species with high selectivity (Mandler-M </w:t>
      </w:r>
      <w:r>
        <w:rPr>
          <w:rFonts w:ascii="Arial" w:cs="Arial" w:eastAsia="Arial" w:hAnsi="Arial"/>
          <w:sz w:val="16"/>
          <w:szCs w:val="16"/>
          <w:i w:val="1"/>
          <w:iCs w:val="1"/>
          <w:color w:val="auto"/>
        </w:rPr>
        <w:t>et al</w:t>
      </w:r>
      <w:r>
        <w:rPr>
          <w:rFonts w:ascii="Arial" w:cs="Arial" w:eastAsia="Arial" w:hAnsi="Arial"/>
          <w:sz w:val="16"/>
          <w:szCs w:val="16"/>
          <w:color w:val="auto"/>
        </w:rPr>
        <w:t>., Acta Neuropathol. 2014).</w:t>
      </w:r>
    </w:p>
    <w:p>
      <w:pPr>
        <w:spacing w:after="0" w:line="123" w:lineRule="exact"/>
        <w:rPr>
          <w:rFonts w:ascii="Arial" w:cs="Arial" w:eastAsia="Arial" w:hAnsi="Arial"/>
          <w:sz w:val="16"/>
          <w:szCs w:val="16"/>
          <w:color w:val="auto"/>
        </w:rPr>
      </w:pPr>
    </w:p>
    <w:p>
      <w:pPr>
        <w:ind w:left="980" w:right="360" w:hanging="324"/>
        <w:spacing w:after="0" w:line="263"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Vaccination of wild-type and transgenic mice, resulted in high antibody titres in plasma, which crossed into the cerebrospinal fluid (CSF) (Mandler-M </w:t>
      </w:r>
      <w:r>
        <w:rPr>
          <w:rFonts w:ascii="Arial" w:cs="Arial" w:eastAsia="Arial" w:hAnsi="Arial"/>
          <w:sz w:val="18"/>
          <w:szCs w:val="18"/>
          <w:i w:val="1"/>
          <w:iCs w:val="1"/>
          <w:color w:val="auto"/>
        </w:rPr>
        <w:t>et al</w:t>
      </w:r>
      <w:r>
        <w:rPr>
          <w:rFonts w:ascii="Arial" w:cs="Arial" w:eastAsia="Arial" w:hAnsi="Arial"/>
          <w:sz w:val="18"/>
          <w:szCs w:val="18"/>
          <w:color w:val="auto"/>
        </w:rPr>
        <w:t>., Acta Neuropathol. 2014) and recognized a-syn aggregates. Vaccination resulted in a decreased aggregation and accumulation of a-syn oligomers in brains of transgenic animals (Figure 16).</w:t>
      </w:r>
    </w:p>
    <w:p>
      <w:pPr>
        <w:spacing w:after="0" w:line="183"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Clearance of a-syn was accompanied by reduced neurodegeneration and by improvements in motor and memory deficits in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(Mandler-M </w:t>
      </w:r>
      <w:r>
        <w:rPr>
          <w:rFonts w:ascii="Arial" w:cs="Arial" w:eastAsia="Arial" w:hAnsi="Arial"/>
          <w:sz w:val="18"/>
          <w:szCs w:val="18"/>
          <w:i w:val="1"/>
          <w:iCs w:val="1"/>
          <w:color w:val="auto"/>
        </w:rPr>
        <w:t>et al</w:t>
      </w:r>
      <w:r>
        <w:rPr>
          <w:rFonts w:ascii="Arial" w:cs="Arial" w:eastAsia="Arial" w:hAnsi="Arial"/>
          <w:sz w:val="18"/>
          <w:szCs w:val="18"/>
          <w:color w:val="auto"/>
        </w:rPr>
        <w:t>., Acta Neuropathol. 2014).</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Figure 16: Immunization with PD01 reduced the accumulation of a-syn aggregates in brains of mThy1-human a-syn transgenic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161925</wp:posOffset>
            </wp:positionV>
            <wp:extent cx="4191635" cy="1397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9163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Mandler M </w:t>
      </w:r>
      <w:r>
        <w:rPr>
          <w:rFonts w:ascii="Arial" w:cs="Arial" w:eastAsia="Arial" w:hAnsi="Arial"/>
          <w:sz w:val="18"/>
          <w:szCs w:val="18"/>
          <w:i w:val="1"/>
          <w:iCs w:val="1"/>
          <w:color w:val="auto"/>
        </w:rPr>
        <w:t>et al</w:t>
      </w:r>
      <w:r>
        <w:rPr>
          <w:rFonts w:ascii="Arial" w:cs="Arial" w:eastAsia="Arial" w:hAnsi="Arial"/>
          <w:sz w:val="18"/>
          <w:szCs w:val="18"/>
          <w:color w:val="auto"/>
        </w:rPr>
        <w:t>., Acta Neuropathol. 2014</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 study design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The safety tolerability and immunogenicity of the a-syn vaccine were studied over a three and a half year period in 24 early PD subjects. There were four consecutive studies in this group of patients as shown in Figure 17 (Volc </w:t>
      </w:r>
      <w:r>
        <w:rPr>
          <w:rFonts w:ascii="Arial" w:cs="Arial" w:eastAsia="Arial" w:hAnsi="Arial"/>
          <w:sz w:val="18"/>
          <w:szCs w:val="18"/>
          <w:i w:val="1"/>
          <w:iCs w:val="1"/>
          <w:color w:val="auto"/>
        </w:rPr>
        <w:t>et al</w:t>
      </w:r>
      <w:r>
        <w:rPr>
          <w:rFonts w:ascii="Arial" w:cs="Arial" w:eastAsia="Arial" w:hAnsi="Arial"/>
          <w:sz w:val="18"/>
          <w:szCs w:val="18"/>
          <w:color w:val="auto"/>
        </w:rPr>
        <w:t>., The Lancet Neurology 2020 Jul), with patients randomized to receive a lower or higher dose of the alpha synuclein vaccine. After four priming doses, subjects were re-randomized to receive a booster injection at one of the two doses, followed by a second booster injection at the high dose.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17: Phase 1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154305</wp:posOffset>
            </wp:positionV>
            <wp:extent cx="5897880" cy="3343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9788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Volc </w:t>
      </w:r>
      <w:r>
        <w:rPr>
          <w:rFonts w:ascii="Arial" w:cs="Arial" w:eastAsia="Arial" w:hAnsi="Arial"/>
          <w:sz w:val="18"/>
          <w:szCs w:val="18"/>
          <w:i w:val="1"/>
          <w:iCs w:val="1"/>
          <w:color w:val="auto"/>
        </w:rPr>
        <w:t>et al</w:t>
      </w:r>
      <w:r>
        <w:rPr>
          <w:rFonts w:ascii="Arial" w:cs="Arial" w:eastAsia="Arial" w:hAnsi="Arial"/>
          <w:sz w:val="18"/>
          <w:szCs w:val="18"/>
          <w:color w:val="auto"/>
        </w:rPr>
        <w:t>., The Lancet Neurology,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Phase 1 study series demonstrated a favorable long-term safety profile for PD01.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PD01 induced a long lasting and boostable antibody response (Figure 18A). Such induced antibodies have been shown to bind preferentially the aggregated species of a-syn. The induced antibodies were also demonstrated to bind to a-syn aggregates in human PD and DLB brain tissue.</w:t>
      </w:r>
    </w:p>
    <w:p>
      <w:pPr>
        <w:sectPr>
          <w:pgSz w:w="11900" w:h="16838" w:orient="portrait"/>
          <w:cols w:equalWidth="0" w:num="1">
            <w:col w:w="11200"/>
          </w:cols>
          <w:pgMar w:left="320" w:top="122" w:right="379" w:bottom="1440" w:gutter="0" w:footer="0" w:header="0"/>
        </w:sect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2" w:name="page73"/>
    <w:bookmarkEnd w:id="7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Pharmacological and clinical effect</w:t>
      </w:r>
    </w:p>
    <w:p>
      <w:pPr>
        <w:spacing w:after="0" w:line="225"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8"/>
          <w:szCs w:val="18"/>
          <w:color w:val="auto"/>
        </w:rPr>
        <w:t xml:space="preserve">Evidence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target engagement and signals for clinical efficacy have been observed in these Phase 1 studies in PD, as immunization was associated with a decrease in oligomeric a-syn in CSF of treated patients and with a stabilization of clinical scores as shown by the MDS-UPDRS part 3 scores (Volc </w:t>
      </w:r>
      <w:r>
        <w:rPr>
          <w:rFonts w:ascii="Arial" w:cs="Arial" w:eastAsia="Arial" w:hAnsi="Arial"/>
          <w:sz w:val="18"/>
          <w:szCs w:val="18"/>
          <w:i w:val="1"/>
          <w:iCs w:val="1"/>
          <w:color w:val="auto"/>
        </w:rPr>
        <w:t>et al</w:t>
      </w:r>
      <w:r>
        <w:rPr>
          <w:rFonts w:ascii="Arial" w:cs="Arial" w:eastAsia="Arial" w:hAnsi="Arial"/>
          <w:sz w:val="18"/>
          <w:szCs w:val="18"/>
          <w:color w:val="auto"/>
        </w:rPr>
        <w:t>., The Lancet Neurology, 2020 Jul). Post hoc analyses of this study series delivered highly encouraging data with respect to target engagement and identification of a potential biomarker for PD, including:</w:t>
      </w:r>
    </w:p>
    <w:p>
      <w:pPr>
        <w:spacing w:after="0" w:line="187" w:lineRule="exact"/>
        <w:rPr>
          <w:sz w:val="20"/>
          <w:szCs w:val="20"/>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target engagement of induced antibodies was demonstrated by lowering of oligomeric a-syn in CSF of vaccinated subjects (Figure</w:t>
      </w:r>
      <w:r>
        <w:rPr>
          <w:rFonts w:ascii="Arial" w:cs="Arial" w:eastAsia="Arial" w:hAnsi="Arial"/>
          <w:sz w:val="18"/>
          <w:szCs w:val="18"/>
          <w:i w:val="1"/>
          <w:iCs w:val="1"/>
          <w:color w:val="auto"/>
        </w:rPr>
        <w:t xml:space="preserve"> </w:t>
      </w:r>
      <w:r>
        <w:rPr>
          <w:rFonts w:ascii="Arial" w:cs="Arial" w:eastAsia="Arial" w:hAnsi="Arial"/>
          <w:sz w:val="18"/>
          <w:szCs w:val="18"/>
          <w:color w:val="auto"/>
        </w:rPr>
        <w:t>18B).</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highly significant correlation between oligomeric a-syn concentration in CSF and MDS-UPDRS 3 score (motor-symptoms) in PD patients at baseline was shown for the first time.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reduction of oligomeric a-syn in CSF correlated significantly with clinical improvement, the changes in MDS-UPDRS 3 score over time (Figure 18C).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18: Pharmacokinetic and pharmacodynamic effect of PD01 vaccination in early 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5760720" cy="1543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Volc </w:t>
      </w:r>
      <w:r>
        <w:rPr>
          <w:rFonts w:ascii="Arial" w:cs="Arial" w:eastAsia="Arial" w:hAnsi="Arial"/>
          <w:sz w:val="18"/>
          <w:szCs w:val="18"/>
          <w:i w:val="1"/>
          <w:iCs w:val="1"/>
          <w:color w:val="auto"/>
        </w:rPr>
        <w:t>et al</w:t>
      </w:r>
      <w:r>
        <w:rPr>
          <w:rFonts w:ascii="Arial" w:cs="Arial" w:eastAsia="Arial" w:hAnsi="Arial"/>
          <w:sz w:val="18"/>
          <w:szCs w:val="18"/>
          <w:color w:val="auto"/>
        </w:rPr>
        <w:t>., The Lancet Neurology, 2020</w:t>
      </w:r>
    </w:p>
    <w:p>
      <w:pPr>
        <w:spacing w:after="0" w:line="22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These combined data provide a validation of the role of a-syn in disease progression and demonstrate that a-syn directed vaccination using ACI-7104 has the potential to positively impact clinical outcome. These data also provide an excellent basis for design of the planned Phase 2 study.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Semorinemab</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Semorinemab is a humanized high-affinity IgG4 isotype antibody candidate that binds all forms of Tau. Semorinemab is designed to intercept extracellular Tau, stopping or slowing cell-to-cell spread and propagation of pathological Tau in the brain. Semorinemab is in Phase 2 clinical development for AD as part of an ongoing collaboration, which was established in 2012, with Genentech.</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anti-Tau monoclonal antibody program successfully generated multiple humanized antibodies for potential use as passive immunotherapies, which are highly specific for pathological forms of Tau found in AD and other Tauopathies. Results from preclinical studies demonstrated a reduction in pathological Tau and improvement of long-term spatial memory. Efficacy studies run in mouse models of AD and other Tauopathies exhibited dose– response alleviation of Tau pathology with behavioral improvements.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19: Alleviation of Tau pathology in models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154305</wp:posOffset>
            </wp:positionV>
            <wp:extent cx="5709285" cy="1551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928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940"/>
        <w:spacing w:after="0" w:line="282" w:lineRule="auto"/>
        <w:rPr>
          <w:sz w:val="20"/>
          <w:szCs w:val="20"/>
          <w:color w:val="auto"/>
        </w:rPr>
      </w:pPr>
      <w:r>
        <w:rPr>
          <w:rFonts w:ascii="Arial" w:cs="Arial" w:eastAsia="Arial" w:hAnsi="Arial"/>
          <w:sz w:val="18"/>
          <w:szCs w:val="18"/>
          <w:color w:val="auto"/>
        </w:rPr>
        <w:t>Representative images of hippocampal coronal sections from human Tau-P301L transgenic mice treated with (</w:t>
      </w:r>
      <w:r>
        <w:rPr>
          <w:rFonts w:ascii="Arial" w:cs="Arial" w:eastAsia="Arial" w:hAnsi="Arial"/>
          <w:sz w:val="18"/>
          <w:szCs w:val="18"/>
          <w:b w:val="1"/>
          <w:bCs w:val="1"/>
          <w:color w:val="auto"/>
        </w:rPr>
        <w:t>A</w:t>
      </w:r>
      <w:r>
        <w:rPr>
          <w:rFonts w:ascii="Arial" w:cs="Arial" w:eastAsia="Arial" w:hAnsi="Arial"/>
          <w:sz w:val="18"/>
          <w:szCs w:val="18"/>
          <w:color w:val="auto"/>
        </w:rPr>
        <w:t>) control antibody or (</w:t>
      </w:r>
      <w:r>
        <w:rPr>
          <w:rFonts w:ascii="Arial" w:cs="Arial" w:eastAsia="Arial" w:hAnsi="Arial"/>
          <w:sz w:val="18"/>
          <w:szCs w:val="18"/>
          <w:b w:val="1"/>
          <w:bCs w:val="1"/>
          <w:color w:val="auto"/>
        </w:rPr>
        <w:t>B</w:t>
      </w:r>
      <w:r>
        <w:rPr>
          <w:rFonts w:ascii="Arial" w:cs="Arial" w:eastAsia="Arial" w:hAnsi="Arial"/>
          <w:sz w:val="18"/>
          <w:szCs w:val="18"/>
          <w:color w:val="auto"/>
        </w:rPr>
        <w:t>) semorinemab, and immunostained for pathological Tau deposits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Ayalon </w:t>
      </w:r>
      <w:r>
        <w:rPr>
          <w:rFonts w:ascii="Arial" w:cs="Arial" w:eastAsia="Arial" w:hAnsi="Arial"/>
          <w:sz w:val="18"/>
          <w:szCs w:val="18"/>
          <w:i w:val="1"/>
          <w:iCs w:val="1"/>
          <w:color w:val="auto"/>
        </w:rPr>
        <w:t>et al.,</w:t>
      </w:r>
      <w:r>
        <w:rPr>
          <w:rFonts w:ascii="Arial" w:cs="Arial" w:eastAsia="Arial" w:hAnsi="Arial"/>
          <w:sz w:val="18"/>
          <w:szCs w:val="18"/>
          <w:color w:val="auto"/>
        </w:rPr>
        <w:t xml:space="preserve"> Science Trans. Med. 2021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firstLine="324"/>
        <w:spacing w:after="0" w:line="247" w:lineRule="auto"/>
        <w:rPr>
          <w:sz w:val="20"/>
          <w:szCs w:val="20"/>
          <w:color w:val="auto"/>
        </w:rPr>
      </w:pPr>
      <w:r>
        <w:rPr>
          <w:rFonts w:ascii="Arial" w:cs="Arial" w:eastAsia="Arial" w:hAnsi="Arial"/>
          <w:sz w:val="17"/>
          <w:szCs w:val="17"/>
          <w:color w:val="auto"/>
        </w:rPr>
        <w:t>A Phase 1 clinical trial involving 75 subjects evaluated the safety, tolerability, pharmacokinetics and preliminary data on therapeutic activity of semorinemab in people with AD and in healthy volunteers. This trial was completed in the second quarter of 2017. Semorinemab was administered at single doses of up to 16,800 mg to healthy volunteers, and at multiple doses of 8,400 mg to healthy volunteers and patients with mild-to-moderate AD. No dose-limiting toxicities and no SAEs were observed. No participant withdrawals, modifications or interruptions due to an adverse event were reported. Results were presented at multiple conferences, including the 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International Conference on Alzheimer’s &amp; Parkinson’s Diseases and Related Neurological Disorders (AD/PD) in 2017, the AAIC in 2017, and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international CTAD conference in 2017.</w:t>
      </w:r>
    </w:p>
    <w:p>
      <w:pPr>
        <w:spacing w:after="0" w:line="45"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Semorinemab exhibited a dose-proportional pharmacokinetic profile and CNS exposure, with a median half-life of 32.3 days. Plasma total Tau concentration increased with increasing drug doses and was doubled in participants with AD compared with healthy volunteers, suggesting a pharmacodynamic signal as shown in the figure below.</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20: Phase 1 pharmacokinetic and plasma Tau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6489065" cy="1491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906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CTAD 2017.</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 Phase 2 clinical trial (Tauriel) commenced in Q4 2017 with the dosing of the first patient. This multicenter trial, which enrolled 457 participants, assessed the safety, tolerability and efficacy of semorinemab in people with prodromal-to-mild AD. Participants received one of three active doses or a placebo for 72 weeks, followed by a 96-week optional open-label extension (OLE) (Figure 21). Primary endpoints included safety assessment and the composite functional and cognitive endpoint CDR (Clinical Dementia Rating scale) CDR-SB score.</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21: Phase 2 (Tauriel)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154305</wp:posOffset>
            </wp:positionV>
            <wp:extent cx="5966460" cy="2846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CTAD 2017</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On September 23, 2020, the Company reported that Genentech informed us of top line results which showed that semorinemab did not meet its primary efficacy endpoint of reducing decline on Clinical Dementia Rating-Sum of Boxes (CDR-SB) compared to placebo. Two secondary endpoints, Alzheimer’s Disease Assessment Scale-Cognitive Subscale 13 (ADAS-Cog13) and Alzheimer’s Disease Cooperative Study Group – Activities of Daily Living Inventory (ADCS-ADL), were also not met. The primary safety endpoint was however met.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Further analyses revealed a dose-dependent increase in serum pharmacokinetics and evidence of target engagement, measured by an increase in plasma Tau levels, which is consistent with previous Phase 1 study results (Figure 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22: Phase 2 (Tauriel) study peripheral pharmacokinetic and pharmacodynamic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26231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64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Teng </w:t>
      </w:r>
      <w:r>
        <w:rPr>
          <w:rFonts w:ascii="Arial" w:cs="Arial" w:eastAsia="Arial" w:hAnsi="Arial"/>
          <w:sz w:val="18"/>
          <w:szCs w:val="18"/>
          <w:i w:val="1"/>
          <w:iCs w:val="1"/>
          <w:color w:val="auto"/>
        </w:rPr>
        <w:t>et al.</w:t>
      </w:r>
      <w:r>
        <w:rPr>
          <w:rFonts w:ascii="Arial" w:cs="Arial" w:eastAsia="Arial" w:hAnsi="Arial"/>
          <w:sz w:val="18"/>
          <w:szCs w:val="18"/>
          <w:color w:val="auto"/>
        </w:rPr>
        <w:t>, CTAD 2020</w:t>
      </w:r>
    </w:p>
    <w:p>
      <w:pPr>
        <w:spacing w:after="0" w:line="225" w:lineRule="exact"/>
        <w:rPr>
          <w:sz w:val="20"/>
          <w:szCs w:val="20"/>
          <w:color w:val="auto"/>
        </w:rPr>
      </w:pPr>
    </w:p>
    <w:p>
      <w:pPr>
        <w:ind w:right="300" w:firstLine="321"/>
        <w:spacing w:after="0" w:line="308" w:lineRule="auto"/>
        <w:rPr>
          <w:sz w:val="20"/>
          <w:szCs w:val="20"/>
          <w:color w:val="auto"/>
        </w:rPr>
      </w:pPr>
      <w:r>
        <w:rPr>
          <w:rFonts w:ascii="Arial" w:cs="Arial" w:eastAsia="Arial" w:hAnsi="Arial"/>
          <w:sz w:val="17"/>
          <w:szCs w:val="17"/>
          <w:color w:val="auto"/>
        </w:rPr>
        <w:t>Semorinemab did not show a dose-dependent effect on Tau PET signal in the brain. However there was evidence of central target engagement from assessment of soluble tau in CSF: N-terminal Tau increased with exposure, and pTau181 and mid-domain Tau decreased.</w:t>
      </w:r>
    </w:p>
    <w:p>
      <w:pPr>
        <w:sectPr>
          <w:pgSz w:w="11900" w:h="16838" w:orient="portrait"/>
          <w:cols w:equalWidth="0" w:num="1">
            <w:col w:w="11240"/>
          </w:cols>
          <w:pgMar w:left="320" w:top="122"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23: Phase 2 (Tauriel) study CSF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22371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64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Wildsmith </w:t>
      </w:r>
      <w:r>
        <w:rPr>
          <w:rFonts w:ascii="Arial" w:cs="Arial" w:eastAsia="Arial" w:hAnsi="Arial"/>
          <w:sz w:val="18"/>
          <w:szCs w:val="18"/>
          <w:i w:val="1"/>
          <w:iCs w:val="1"/>
          <w:color w:val="auto"/>
        </w:rPr>
        <w:t>et al.</w:t>
      </w:r>
      <w:r>
        <w:rPr>
          <w:rFonts w:ascii="Arial" w:cs="Arial" w:eastAsia="Arial" w:hAnsi="Arial"/>
          <w:sz w:val="18"/>
          <w:szCs w:val="18"/>
          <w:color w:val="auto"/>
        </w:rPr>
        <w:t>, AD/PD 2021</w:t>
      </w:r>
    </w:p>
    <w:p>
      <w:pPr>
        <w:spacing w:after="0" w:line="225" w:lineRule="exact"/>
        <w:rPr>
          <w:sz w:val="20"/>
          <w:szCs w:val="20"/>
          <w:color w:val="auto"/>
        </w:rPr>
      </w:pPr>
    </w:p>
    <w:p>
      <w:pPr>
        <w:ind w:firstLine="321"/>
        <w:spacing w:after="0" w:line="255" w:lineRule="auto"/>
        <w:rPr>
          <w:sz w:val="20"/>
          <w:szCs w:val="20"/>
          <w:color w:val="auto"/>
        </w:rPr>
      </w:pPr>
      <w:r>
        <w:rPr>
          <w:rFonts w:ascii="Arial" w:cs="Arial" w:eastAsia="Arial" w:hAnsi="Arial"/>
          <w:sz w:val="18"/>
          <w:szCs w:val="18"/>
          <w:color w:val="auto"/>
        </w:rPr>
        <w:t>A second Phase 2 trial (Lauriet) was initiated in Q1 2019. This is a multicenter study enrolling 272 participants, and is designed to evaluate the clinical efficacy, safety, pharmacokinetics and pharmacodynamics of semorinemab in patients with moderate AD [Mini Mental State Examination (MMSE) 16–21, CDR-GS 1 or 2]. The study consists of a screening period, a double-blind treatment period of 49 weeks, an optional OLE period, and a follow-up period, with the 11-item Alzheimer’s Disease Assessment Scale-cognitive subscale (ADAS-Cog11) and Alzheimer’s Disease Cooperative Study-Activities of Daily Living tools as the primary endpoints, and CDR-SB, MMSE and safety as secondary endpoints. Primary completion (last patient, last visit) was in Q2 2021.</w:t>
      </w:r>
    </w:p>
    <w:p>
      <w:pPr>
        <w:spacing w:after="0" w:line="192" w:lineRule="exact"/>
        <w:rPr>
          <w:sz w:val="20"/>
          <w:szCs w:val="20"/>
          <w:color w:val="auto"/>
        </w:rPr>
      </w:pPr>
    </w:p>
    <w:p>
      <w:pPr>
        <w:ind w:right="60" w:firstLine="324"/>
        <w:spacing w:after="0" w:line="280" w:lineRule="auto"/>
        <w:rPr>
          <w:sz w:val="20"/>
          <w:szCs w:val="20"/>
          <w:color w:val="auto"/>
        </w:rPr>
      </w:pPr>
      <w:r>
        <w:rPr>
          <w:rFonts w:ascii="Arial" w:cs="Arial" w:eastAsia="Arial" w:hAnsi="Arial"/>
          <w:sz w:val="17"/>
          <w:szCs w:val="17"/>
          <w:color w:val="auto"/>
        </w:rPr>
        <w:t>On August 31,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On November 10, 2021, the Company reported that Genentech had presented the full top-line data from the Lauriet study during a late-breaking session at the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Clinical Trials on Alzheimer’s Disease conference.</w:t>
      </w:r>
    </w:p>
    <w:p>
      <w:pPr>
        <w:spacing w:after="0" w:line="20" w:lineRule="exact"/>
        <w:rPr>
          <w:sz w:val="20"/>
          <w:szCs w:val="20"/>
          <w:color w:val="auto"/>
        </w:rPr>
      </w:pPr>
    </w:p>
    <w:p>
      <w:pPr>
        <w:ind w:right="80" w:firstLine="321"/>
        <w:spacing w:after="0" w:line="286" w:lineRule="auto"/>
        <w:rPr>
          <w:sz w:val="20"/>
          <w:szCs w:val="20"/>
          <w:color w:val="auto"/>
        </w:rPr>
      </w:pPr>
      <w:r>
        <w:rPr>
          <w:rFonts w:ascii="Arial" w:cs="Arial" w:eastAsia="Arial" w:hAnsi="Arial"/>
          <w:sz w:val="17"/>
          <w:szCs w:val="17"/>
          <w:color w:val="auto"/>
        </w:rPr>
        <w:t>272 subjects were randomized into the study and 267 dosed. 49 study centers participated in the US, France, Spain and Poland. In a modified intent to treat (mITT) population of all trial participants who had received at least one dose of study drug and had at least one post-baseline ADAS-Cog 11 assessment, there was a 42.2% slowing of cognitive decline compared to placebo, the result being highly statistically significant (p=0.0008).</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24: Effect of semorinemab on cognition assessed by ADAS-Cog11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154305</wp:posOffset>
            </wp:positionV>
            <wp:extent cx="3968750" cy="2057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87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Monteiro C. </w:t>
      </w:r>
      <w:r>
        <w:rPr>
          <w:rFonts w:ascii="Arial" w:cs="Arial" w:eastAsia="Arial" w:hAnsi="Arial"/>
          <w:sz w:val="18"/>
          <w:szCs w:val="18"/>
          <w:i w:val="1"/>
          <w:iCs w:val="1"/>
          <w:color w:val="auto"/>
        </w:rPr>
        <w:t>et al.</w:t>
      </w:r>
      <w:r>
        <w:rPr>
          <w:rFonts w:ascii="Arial" w:cs="Arial" w:eastAsia="Arial" w:hAnsi="Arial"/>
          <w:sz w:val="18"/>
          <w:szCs w:val="18"/>
          <w:color w:val="auto"/>
        </w:rPr>
        <w:t>, CTAD 2021</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effect on ADAS-Cog 11 was consistently seen at around the same magnitude in subgroup analyses looking at subjects with higher or lower baseline severity assessed by MMSE, brain tau load assessed by GTP1-PET and different ApoE genotypes. The effect on ADAS-Cog11 was driven by an effect on memory items in the scale. No changes were apparent in functional measures including the co-primary endpoint ADCS-ADL, and the secondary endpoint, CDR-SB, and there was no significant effect in the other secondary endpoint, the MMSE. The reason for the lack of functional effects is unclear. Regular interim analyses in the ongoing extension study are being made to test for later effects on function. Plasma tau rose markedly during the study confirming peripheral target engagement, with serum levels of semorinemab in the expected range. The ratio of CSF to plasma semorinemab concentration was 0.29%, in the expected range for similar monoclonal antibodies. There was no apparent effect on global or regional brain tau load assessed by GTP-1 PET. CSF biomarker data are not yet available. Safety data indicated that semorinemab was well tolerated, with no difference in the frequency of serious or non-serious adverse events or discontinuations due to adverse events.</w:t>
      </w:r>
    </w:p>
    <w:p>
      <w:pPr>
        <w:spacing w:after="0" w:line="181" w:lineRule="exact"/>
        <w:rPr>
          <w:sz w:val="20"/>
          <w:szCs w:val="20"/>
          <w:color w:val="auto"/>
        </w:rPr>
      </w:pPr>
    </w:p>
    <w:p>
      <w:pPr>
        <w:ind w:right="300" w:firstLine="321"/>
        <w:spacing w:after="0" w:line="277" w:lineRule="auto"/>
        <w:rPr>
          <w:sz w:val="20"/>
          <w:szCs w:val="20"/>
          <w:color w:val="auto"/>
        </w:rPr>
      </w:pPr>
      <w:r>
        <w:rPr>
          <w:rFonts w:ascii="Arial" w:cs="Arial" w:eastAsia="Arial" w:hAnsi="Arial"/>
          <w:sz w:val="18"/>
          <w:szCs w:val="18"/>
          <w:color w:val="auto"/>
        </w:rPr>
        <w:t>The results are the first evidence for an effect of an anti-tau immunotherapy on cognition. Data from the ongoing open-label extension phase of the study and CSF biomarkers when available will help in further interpretation of the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Crenezumab is a humanized, conformation-specific monoclonal antibody that targets misfolded Abeta and has a broad binding profile. Crenezumab was developed using our proprietary SupraAntigen platform. In 2006, we licensed crenezumab to Genentech, a company with a long history of developing and commercializing innovative biologics.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660" w:right="20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Crenezumab binds to multiple forms of Abeta, particularly oligomeric forms, which it binds to with ten times higher affinity than to monomers. This is a desirable property since oligomeric forms of Abeta are believed to be principally responsible for neurotoxicity in AD.</w:t>
      </w:r>
    </w:p>
    <w:p>
      <w:pPr>
        <w:spacing w:after="0" w:line="14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Crenezumab localizes to brain regions rich in oligomers, including the halo around plaques and hippocampal mossy fibers, but not to vascular Abeta (Maloney </w:t>
      </w:r>
      <w:r>
        <w:rPr>
          <w:rFonts w:ascii="Arial" w:cs="Arial" w:eastAsia="Arial" w:hAnsi="Arial"/>
          <w:sz w:val="18"/>
          <w:szCs w:val="18"/>
          <w:i w:val="1"/>
          <w:iCs w:val="1"/>
          <w:color w:val="auto"/>
        </w:rPr>
        <w:t>et al.</w:t>
      </w:r>
      <w:r>
        <w:rPr>
          <w:rFonts w:ascii="Arial" w:cs="Arial" w:eastAsia="Arial" w:hAnsi="Arial"/>
          <w:sz w:val="18"/>
          <w:szCs w:val="18"/>
          <w:color w:val="auto"/>
        </w:rPr>
        <w:t>, 2019).</w:t>
      </w:r>
    </w:p>
    <w:p>
      <w:pPr>
        <w:spacing w:after="0" w:line="17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Crenezumab has been designed with an IgG4 backbone to reduce effector function on microglia compared with an IgG1 backbone, and to clear Abeta from the brain while limiting inflammation by minimizing FcγR-mediated inflammatory activation of microglia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25: Crenezumab’s IgG4 backbone balances efficacy with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154305</wp:posOffset>
            </wp:positionV>
            <wp:extent cx="6283325" cy="26314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332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Data reported in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 xml:space="preserve">The potential for a better safety profile derived from a human IgG4 rather than a IgG1 backbone has been born out in practice by the safety findings from the Phase 1, 2 and 3 clinical studies of crenezumab, in which, following either single or multiple doses, no increase in ARIA-E was reported (Cummings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2014 and Cummings </w:t>
      </w:r>
      <w:r>
        <w:rPr>
          <w:rFonts w:ascii="Arial" w:cs="Arial" w:eastAsia="Arial" w:hAnsi="Arial"/>
          <w:sz w:val="18"/>
          <w:szCs w:val="18"/>
          <w:i w:val="1"/>
          <w:iCs w:val="1"/>
          <w:color w:val="auto"/>
        </w:rPr>
        <w:t>et al.</w:t>
      </w:r>
      <w:r>
        <w:rPr>
          <w:rFonts w:ascii="Arial" w:cs="Arial" w:eastAsia="Arial" w:hAnsi="Arial"/>
          <w:sz w:val="18"/>
          <w:szCs w:val="18"/>
          <w:color w:val="auto"/>
        </w:rPr>
        <w:t>, 2018).</w:t>
      </w:r>
    </w:p>
    <w:p>
      <w:pPr>
        <w:spacing w:after="0" w:line="184"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Due to its capacity to bind to multiple forms of Abeta, with 10-fold higher specificity to oligomers, which are thought to be the most toxic species, crenezumab also protects against oligomer-induced neurotoxicity.</w:t>
      </w:r>
    </w:p>
    <w:p>
      <w:pPr>
        <w:sectPr>
          <w:pgSz w:w="11900" w:h="16838" w:orient="portrait"/>
          <w:cols w:equalWidth="0" w:num="1">
            <w:col w:w="11200"/>
          </w:cols>
          <w:pgMar w:left="320" w:top="121" w:right="379" w:bottom="1440" w:gutter="0" w:footer="0" w:header="0"/>
        </w:sect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220" w:hanging="328"/>
        <w:spacing w:after="0" w:line="286"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Linked to its unique epitope, crenezumab has been shown to promote disaggregation of existing Abeta aggregates and to disrupt their assembly, preventing amyloid plaque formation. The crystal structure reveals binding interactions that are consistent with this flexible binding profile and provides further explanation for crenezumab’s ability to block aggregation and to promote disaggregation.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Signal of activity in patients with milder AD (MMSE 22–26) in Phase 2 clinical trials</w:t>
      </w:r>
    </w:p>
    <w:p>
      <w:pPr>
        <w:spacing w:after="0" w:line="229" w:lineRule="exact"/>
        <w:rPr>
          <w:sz w:val="20"/>
          <w:szCs w:val="20"/>
          <w:color w:val="auto"/>
        </w:rPr>
      </w:pPr>
    </w:p>
    <w:p>
      <w:pPr>
        <w:ind w:left="660" w:right="24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170" w:lineRule="exact"/>
        <w:rPr>
          <w:rFonts w:ascii="Arial" w:cs="Arial" w:eastAsia="Arial" w:hAnsi="Arial"/>
          <w:sz w:val="18"/>
          <w:szCs w:val="18"/>
          <w:color w:val="auto"/>
        </w:rPr>
      </w:pPr>
    </w:p>
    <w:p>
      <w:pPr>
        <w:ind w:left="660" w:right="200" w:hanging="328"/>
        <w:spacing w:after="0" w:line="31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Favorable safety profile allowing for higher dosing</w:t>
      </w:r>
    </w:p>
    <w:p>
      <w:pPr>
        <w:spacing w:after="0" w:line="229" w:lineRule="exact"/>
        <w:rPr>
          <w:sz w:val="20"/>
          <w:szCs w:val="20"/>
          <w:color w:val="auto"/>
        </w:rPr>
      </w:pPr>
    </w:p>
    <w:p>
      <w:pPr>
        <w:ind w:left="660" w:right="300" w:hanging="328"/>
        <w:spacing w:after="0" w:line="279"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AEs, and these were not dose-related, with only one case of asymptomatic ARIA-E (0.4% in ABBY, 0.3% on active pooled) in patients treated with crenezumab. AEs also included inflammation of the throat and nasal passages, urinary tract infections and upper respiratory infections. However, no patients in the studies experienced SAEs that were believed related to the administration of crenezumab.</w:t>
      </w:r>
    </w:p>
    <w:p>
      <w:pPr>
        <w:spacing w:after="0" w:line="171"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Phase 1 study with higher doses of crenezumab up to 120 mg/kg showed good tolerability with no investigator assessed drug-related SAEs and no events of ARIA-E, supporting the dose of 60 mg/kg in the Phase 3 CREAD clinical trials.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good safety profile and lack of induction of ARIA-E was confirmed in the Phase 3 CREAD and CREAD 2 studies, in which there was no increase in incidence of SAEs compared with placebo.</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Crenezumab is currently being evaluated in a Phase 2 clinical prevention trial in Colombia, which has enrolled 300 cognitively healthy individuals of whom 200 are genetically predisposed to develop early AD. As of January 2019, two Phase 3 clinical trials, CREAD and CREAD 2, in patients with prodromal-to-mild AD were discontinued after an interim analysis of the CREAD study conducted by our collaboration partner Genentech.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 studies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 overview</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mild-to-moderate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dependencies were considered indicators of a response in this learning phase of development, with confirmation to then be sought in Phase 3. Both studies had two active arms: a low-dose arm receiving 300 mg subcutaneous injection, every 2 weeks and a higher-dose arm receiving 15 mg/kg intravenously every 4 weeks. The primary analysis was conducted at 73 weeks, after 68 weeks of treatment. Safety and tolerability measures included repeated MRI scans to assess for the development of ARIA, both vasogenic edema (E) and hemorrhages (H).</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ABBY study results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patients with mild-to-moderate AD (MMSE 18–26).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figure below. The milder group was not pre-specified, meaning the group of patients with milder AD was not identified before commencing the Phase 2 clinical studies.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26: ABBY high-dose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154305</wp:posOffset>
            </wp:positionV>
            <wp:extent cx="6197600" cy="1911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9760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Cummings </w:t>
      </w:r>
      <w:r>
        <w:rPr>
          <w:rFonts w:ascii="Arial" w:cs="Arial" w:eastAsia="Arial" w:hAnsi="Arial"/>
          <w:sz w:val="18"/>
          <w:szCs w:val="18"/>
          <w:i w:val="1"/>
          <w:iCs w:val="1"/>
          <w:color w:val="auto"/>
        </w:rPr>
        <w:t>et al.</w:t>
      </w:r>
      <w:r>
        <w:rPr>
          <w:rFonts w:ascii="Arial" w:cs="Arial" w:eastAsia="Arial" w:hAnsi="Arial"/>
          <w:sz w:val="18"/>
          <w:szCs w:val="18"/>
          <w:color w:val="auto"/>
        </w:rPr>
        <w:t>, AAIC, 2014</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design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BLAZE study was a randomized, double-blind, parallel-group, placebo-controlled study to evaluate the effects of crenezumab on brain amyloid burden as assessed by amyloid PET imaging and other biomarker endpoints in patients with mild-to-moderate AD. The primary endpoint was the change in brain amyloid load using florbetapir-PET. The terms “brain amyloid burden” and “brain amyloid load” refer to the total amount of amyloid deposited in the brain. In total, 91 patients were included in the study.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primary endpoint of change in brain amyloid load by florbetapir-PET was not met, but the study was not powered to detect statistically significant results. However, positive trends were observed as shown below in exploratory analyses of the BLAZE amyloid PET results using a white matter reference region, which is considered a more sensitive approach for longitudinal studies. These analyses, conducted independently by two laboratories, the Banner Alzheimer’s Institute and MNI Laboratories, produced analogous results, with a trend in the reduction of Abeta accumulation observed in the high-dose arm (Figure 27). As described below, a similar result was obtained in the Phase 3 studies.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27: Blaze high-dose arm: amyloid PET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154305</wp:posOffset>
            </wp:positionV>
            <wp:extent cx="6292215" cy="3180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as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41" w:lineRule="exact"/>
        <w:rPr>
          <w:sz w:val="20"/>
          <w:szCs w:val="20"/>
          <w:color w:val="auto"/>
        </w:rPr>
      </w:pPr>
    </w:p>
    <w:p>
      <w:pPr>
        <w:jc w:val="both"/>
        <w:ind w:right="300" w:firstLine="324"/>
        <w:spacing w:after="0" w:line="221"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29"/>
          <w:szCs w:val="29"/>
          <w:color w:val="auto"/>
          <w:vertAlign w:val="subscript"/>
        </w:rPr>
        <w:t>1–42</w:t>
      </w:r>
      <w:r>
        <w:rPr>
          <w:rFonts w:ascii="Arial" w:cs="Arial" w:eastAsia="Arial" w:hAnsi="Arial"/>
          <w:sz w:val="18"/>
          <w:szCs w:val="18"/>
          <w:color w:val="auto"/>
        </w:rPr>
        <w:t>, which we believe confirms target engagement by crenezumab. Similar results were observed in the ABBY study, which assessed CSF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level in 49 patients. These results suggest that Abeta is being eliminated from the brain when treated with crenezumab.</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28: BLAZE high-dose arm: crenezumab increases CSF total Abeta levels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154305</wp:posOffset>
            </wp:positionV>
            <wp:extent cx="3077210" cy="2820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7721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BLAZE study results suggest that Abeta is being eliminated from the brain as patients showed a statistically significant increase in CSF Abeta</w:t>
      </w:r>
      <w:r>
        <w:rPr>
          <w:rFonts w:ascii="Arial" w:cs="Arial" w:eastAsia="Arial" w:hAnsi="Arial"/>
          <w:sz w:val="29"/>
          <w:szCs w:val="29"/>
          <w:color w:val="auto"/>
          <w:vertAlign w:val="subscript"/>
        </w:rPr>
        <w:t>1–</w:t>
      </w:r>
      <w:r>
        <w:rPr>
          <w:rFonts w:ascii="Arial" w:cs="Arial" w:eastAsia="Arial" w:hAnsi="Arial"/>
          <w:sz w:val="18"/>
          <w:szCs w:val="18"/>
          <w:color w:val="auto"/>
        </w:rPr>
        <w:t xml:space="preserve"> </w:t>
      </w:r>
      <w:r>
        <w:rPr>
          <w:rFonts w:ascii="Arial" w:cs="Arial" w:eastAsia="Arial" w:hAnsi="Arial"/>
          <w:sz w:val="29"/>
          <w:szCs w:val="29"/>
          <w:color w:val="auto"/>
          <w:vertAlign w:val="subscript"/>
        </w:rPr>
        <w:t>42</w:t>
      </w:r>
      <w:r>
        <w:rPr>
          <w:rFonts w:ascii="Arial" w:cs="Arial" w:eastAsia="Arial" w:hAnsi="Arial"/>
          <w:sz w:val="18"/>
          <w:szCs w:val="18"/>
          <w:color w:val="auto"/>
        </w:rPr>
        <w:t>, which confirms target engagement by crenezumab.</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 from ABBY and BLAZE studies</w:t>
      </w:r>
    </w:p>
    <w:p>
      <w:pPr>
        <w:sectPr>
          <w:pgSz w:w="11900" w:h="16838" w:orient="portrait"/>
          <w:cols w:equalWidth="0" w:num="1">
            <w:col w:w="11100"/>
          </w:cols>
          <w:pgMar w:left="320" w:top="121" w:right="479" w:bottom="108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084"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As dose-limiting toxicities are a potential reason for the failure of other antibodies to demonstrate efficacy, crenezumab’s potential safety at high doses is a distinguishing product feature.</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At AAIC in 2014, it was reported that in the combined Phase 2 study populations, SAEs occurred at similar rates in patients treated with crenezumab (16.5%) and in patients given a placebo (11.9%).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1b study to explore higher doses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explore safety at higher doses, crenezumab was tested in a Phase 1b dose-escalation clinical study (NCT02353598) conducted in the US. This randomized, placebo-controlled, double-blind, four parallel-arm study evaluated the safety and tolerability of at least four doses of intravenous crenezumab in 77 patients with mild-to-moderate AD (MMSE 18–28) between the ages of 50 and 90 years. An optional OLE stage was offered to patients after completion of the double-blind stage of the study. At the 2017 AAIC meeting, Genentech presented the results of the four cohorts with mild-to-moderate AD. No dose-limiting toxicities were observed at crenezumab doses of 30, 45, 60 and 120 mg/kg. No events of ARIA-E were observed and only few patients (6 of 75) showed asymptomatic ARIA-H. The pharmacokinetic profile of crenezumab was dose-proportional up to the 120 mg/kg dose, with the 60mg/kg dose being selected for the Phase 3 CREAD and CREAD 2 studies.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AD prevention study</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 xml:space="preserve">There is increasing understanding from studies in patients at risk of AD due to genetic mutations that the build-up of Abeta in the brain is a very early event in the condition, starting around 25 years before symptoms develop (McDade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2018). To treat the underlying amyloid pathology effectively it may therefore be necessary to use anti-amyloid therapies in a preventive mode, starting in patients in whom symptoms have not yet emerged.</w:t>
      </w:r>
    </w:p>
    <w:p>
      <w:pPr>
        <w:spacing w:after="0" w:line="14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In 2012, crenezumab was independently selected from among 25 product candidates for use in the first-ever such AD prevention study. The study, a collaboration worth USD 100 million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years. The 5-year study has cognitive endpoints. An interim analysis is possible according to the protocol, but the data and results of that analysis may not be made public due to patient sensitivity. The study commenced Q4 2013 and the data for the primary outcome measures are expected in H1 2022.</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Figure 29: Crenezumab AD prevention trial (Alzheimer’s Prevention Initiative ADAD): unique population to study prevention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161925</wp:posOffset>
            </wp:positionV>
            <wp:extent cx="5503545" cy="2468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035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right="5820" w:hanging="4"/>
        <w:spacing w:after="0" w:line="527" w:lineRule="auto"/>
        <w:tabs>
          <w:tab w:leader="none" w:pos="4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Mild cognitive impairment; (2) Alzheimer’s disease; (3) Presenilin-1 Ref: McDade </w:t>
      </w:r>
      <w:r>
        <w:rPr>
          <w:rFonts w:ascii="Arial" w:cs="Arial" w:eastAsia="Arial" w:hAnsi="Arial"/>
          <w:sz w:val="18"/>
          <w:szCs w:val="18"/>
          <w:i w:val="1"/>
          <w:iCs w:val="1"/>
          <w:color w:val="auto"/>
        </w:rPr>
        <w:t>et al.</w:t>
      </w:r>
      <w:r>
        <w:rPr>
          <w:rFonts w:ascii="Arial" w:cs="Arial" w:eastAsia="Arial" w:hAnsi="Arial"/>
          <w:sz w:val="18"/>
          <w:szCs w:val="18"/>
          <w:color w:val="auto"/>
        </w:rPr>
        <w:t>, Neurology 2018</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(CREAD and CREAD 2)</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randomized, double-blind, placebo-controlled, parallel-group Phase 3 CREAD study enrolled about 750 participants with prodromal or mild AD at the age of 50−85 years. A high dose of crenezumab (60 mg/kg) was administered intravenously once every 4 weeks for 100 weeks. The primary outcome measure was the change from baseline to week 105 in CDR-SB score. An exposure–response model to evaluate the best dose of crenezumab for the treatment of AD was established, which predicted an improved outcome of the Phase 3 CREAD study by using the higher dose of 60 mg/kg relative to the Phase 2 trials (Polhamus </w:t>
      </w:r>
      <w:r>
        <w:rPr>
          <w:rFonts w:ascii="Arial" w:cs="Arial" w:eastAsia="Arial" w:hAnsi="Arial"/>
          <w:sz w:val="18"/>
          <w:szCs w:val="18"/>
          <w:i w:val="1"/>
          <w:iCs w:val="1"/>
          <w:color w:val="auto"/>
        </w:rPr>
        <w:t>et al.</w:t>
      </w:r>
      <w:r>
        <w:rPr>
          <w:rFonts w:ascii="Arial" w:cs="Arial" w:eastAsia="Arial" w:hAnsi="Arial"/>
          <w:sz w:val="18"/>
          <w:szCs w:val="18"/>
          <w:color w:val="auto"/>
        </w:rPr>
        <w:t>, CTAD 2016).</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30, 2019, we announced that Roche, the parent company of our collaboration partner, is discontinuing the CREAD and CREAD 2 (BN29552 and BN29553) Phase 3 studies of crenezumab in people with prodromal-to-mild sporadic AD. The decision came after an interim analysis of the first CREAD study conducted by the IDMC, which indicated that crenezumab was unlikely to meet its primary endpoint of change from baseline in CDR-SB score.</w:t>
      </w:r>
    </w:p>
    <w:p>
      <w:pPr>
        <w:spacing w:after="0" w:line="44" w:lineRule="exact"/>
        <w:rPr>
          <w:sz w:val="20"/>
          <w:szCs w:val="20"/>
          <w:color w:val="auto"/>
        </w:rPr>
      </w:pPr>
    </w:p>
    <w:p>
      <w:pPr>
        <w:ind w:right="260" w:firstLine="324"/>
        <w:spacing w:after="0" w:line="265" w:lineRule="auto"/>
        <w:rPr>
          <w:sz w:val="20"/>
          <w:szCs w:val="20"/>
          <w:color w:val="auto"/>
        </w:rPr>
      </w:pPr>
      <w:r>
        <w:rPr>
          <w:rFonts w:ascii="Arial" w:cs="Arial" w:eastAsia="Arial" w:hAnsi="Arial"/>
          <w:sz w:val="18"/>
          <w:szCs w:val="18"/>
          <w:color w:val="auto"/>
        </w:rPr>
        <w:t>As presented at CTAD 2019, target engagement was observed with increases in levels of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in blood and CSF. As shown in Figure 30, the number of subjects available for analysis fell significantly after the baseline. Due to the early termination of the studies, data at the 2-year timepoint was only available for 17 of the 139 crenezumab subjects in whom CSF Abeta was analyzed.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30: CSF total Abeta42 and total Abeta change from baseline, pooled CREAD/CREAD2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154305</wp:posOffset>
            </wp:positionV>
            <wp:extent cx="5837555" cy="2425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755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Reduced accumulation of Abeta in the brain on florebetapir amyloid PET scans was observed, with a pattern very similar to that observed in the Phase 2 BLAZE studies.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31: [18F] Florbetapir amyloid PET standard uptake value ratio (SUVR) change from baseline, pooled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154305</wp:posOffset>
            </wp:positionV>
            <wp:extent cx="5837555" cy="25977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7555" cy="259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numerical trend to reduction in level of total Tau and phospho-Tau 181 (pTau181) in the CSF in patients on crenezumab compared with placebo was observed although the small numbers in the analysis due to early termination of the studies preclude firm conclusions from being drawn.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32: CFS total Tau and pTau181 change from baseline, polled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154305</wp:posOffset>
            </wp:positionV>
            <wp:extent cx="5974715" cy="24771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7471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Positive trends on a range of biomarkers associated with AD in CSF including neurogranin, neurofilament light chain (NFL), Glial fibrillary acidic protein (GFAP), soluble Triggering receptor expressed on myeloid cells 2 (sTREM2), Chitinase-3-like protein 1(YKL-40) and a-syn were reported by Roche at the CTAD 2019 conference, although again the small numbers due to early termination of the studies limit interpretability of the results.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33: Exploratory biomarkers: Roche NeuroToolkit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154305</wp:posOffset>
            </wp:positionV>
            <wp:extent cx="6275070" cy="2931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7507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Safety in the CREAD and CREAD 2 studies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decision to terminate the CREAD and CREAD 2 was not related to safety. No safety signals for crenezumab were observed in this analysis and the overall safety profile was similar to that seen in previous trials. There was no difference in the rate of newly developing ARIA-E (0.3%) between the active and placebo arms and the rates of ARIA-H were also similar (8.8% on crenezumab vs 6.8% on placebo).</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Prevention trial in familial AD</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described above crenezumab continues to be studied under the Alzheimer’s Prevention Initiative in a preventive trial in Colombia, which began in 2013, of cognitively healthy individuals with an autosomal-dominant mutation who are at risk of developing familial 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Morphomer Tau</w:t>
      </w:r>
    </w:p>
    <w:p>
      <w:pPr>
        <w:spacing w:after="0" w:line="22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 xml:space="preserve">Approximately 2,000 compounds were screened so far for the Morphomer Tau program. This allowed the identification of several chemical series of orally bioavailable small molecules with suitable CNS properties. The lead compounds displayed selectivity for binding to pathological Tau aggregates in preference to other protein aggregates. In addition, the lead compounds were able to prevent Tau aggregation and promote its disaggregation. Further characterization using multiple orthogonal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tests addressing pharmacology absorption, distribution, metabolism, and excretion (ADME), and safety properties led to the identification of the first clinical candidate ACI-3024.</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ACI-3024</w:t>
      </w:r>
    </w:p>
    <w:p>
      <w:pPr>
        <w:spacing w:after="0" w:line="22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ACI-3024 is a potent Tau aggregation inhibitor active against the 3R and 4R human Tau isoforms as well as the mutant forms associated with human Tauopathies, such as FTLD-Tau (e.g., PSP, Pick’s disease, corticobasal degeneration). ACI-3024 selectively binds to aggregated Tau and does not bind to the monomeric forms of Tau. Moreover, the binding to Tau aggregates is selective, with no cross-reactivity to aggregates of Abeta and a-syn.</w:t>
      </w:r>
    </w:p>
    <w:p>
      <w:pPr>
        <w:spacing w:after="0" w:line="14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 xml:space="preserve">ACI-3024 showed a potent and dose-dependent reduction in spontaneous intracellular Tau aggregation and misfolding as measured by immunocytochemistry in human neuronal-like cells over-expressing Tau. Furthermore, ACI-3024 promoted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disaggregation of Tau neurofibrillary tangles on human AD brain sections.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ACI-3024 was evaluated in the Tg4510 mouse model (Ramsden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2005).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treatment of Tg4510 transgenic mice with ACI-3024 reduced aggregated and insoluble hyper-phosphorylated Tau. Immunohistochemistry analysis of misfolded Tau using an MC1 antibody in Tg4510 brain sections of the same mice treated with ACI-3024 showed reduction of misfolded Tau. These effects were proportional to the plasma concentration of ACI-3024 (Figure 34).</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Total Tau concentration in cerebrospinal fluid (CSF) was inversely correlated with ACI-3024 exposure in plasma, suggesting the possibility of exploring CSF Tau concentrations as a biomarker of target engagement.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work is ongoing to evaluate ACI-3024 in selected NeuroOrphan indications.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Figure 34: Dose-dependent reduction in Tau misfolding </w:t>
      </w:r>
      <w:r>
        <w:rPr>
          <w:rFonts w:ascii="Arial" w:cs="Arial" w:eastAsia="Arial" w:hAnsi="Arial"/>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154305</wp:posOffset>
            </wp:positionV>
            <wp:extent cx="5229225" cy="2254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2922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safety</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 xml:space="preserve">ACI-3024 has a good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ADME profile, including low clearance, long half-life and good CNS disposition as assessed by brain and CSF concentrations. ACI-3024 was negative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genotoxicity assays [Ames, micronucleus test (MNT) and mouse lymphoma cell mutagenesis (MLY)] and has undergone an extensive toxicology and safety pharmacology assessment. The no observed adverse effect level has been established at 300 mg/kg in rodent and at 450 mg/kg in non-rodent animals after 4 weeks of treatment (Poli, CTAD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neuroinflammation</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ACI-3024 efficacy on pathological Tau-induced neuroinflammation was assessed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ACI-3024 induced a potent reduction of Tau-induced neuroinflammation markers (Figure 35, below).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Tg4510 mice, treatment with ACI-3024 overall reduced microgliosis, most likely as a downstream consequence of reducing Tau pathology, by reducing the derived pathological Tau-induced microglial activation (Figure 35).</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35: ACI-3024 significantly reduces Tau-induced neuroinflammation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unpublished data</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 study</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Phase 1 study was a first-in-human (FiH), randomized, placebo-controlled, double-blind, sequential single and multiple ascending dose study. The study assessed the safety, tolerability, pharmacokinetics, and pharmacodynamics of ACI-3024. Part I included five single ascending doses in healthy volunteers, with a food effect assessment in the fourth dose cohort. In Part II, three escalating multiple dose regimens were evaluated; regimen two was assessed in different populations of healthy volunteers. CSF samples were collected from the highest multiple dose group.</w:t>
      </w:r>
    </w:p>
    <w:p>
      <w:pPr>
        <w:spacing w:after="0" w:line="157" w:lineRule="exact"/>
        <w:rPr>
          <w:sz w:val="20"/>
          <w:szCs w:val="20"/>
          <w:color w:val="auto"/>
        </w:rPr>
      </w:pPr>
    </w:p>
    <w:p>
      <w:pPr>
        <w:ind w:right="20" w:firstLine="321"/>
        <w:spacing w:after="0" w:line="259" w:lineRule="auto"/>
        <w:rPr>
          <w:sz w:val="20"/>
          <w:szCs w:val="20"/>
          <w:color w:val="auto"/>
        </w:rPr>
      </w:pPr>
      <w:r>
        <w:rPr>
          <w:rFonts w:ascii="Arial" w:cs="Arial" w:eastAsia="Arial" w:hAnsi="Arial"/>
          <w:sz w:val="18"/>
          <w:szCs w:val="18"/>
          <w:color w:val="auto"/>
        </w:rPr>
        <w:t>The study was executed as planned and all single and multiple dosing regimens were completed in healthy young, elderly, and Japanese subjects. ACI-3024 was administered following single or multiple oral doses and dose-dependent plasma exposure was observed. ACI-3024 showed a long half-life (47.5 to 101 h), with steady state reached after 12-13 days. Low renal clearance was shown. After multiple doses, ACI-3024 concentrations in CSF exceeded target concentrations based on animal studies.</w:t>
      </w:r>
    </w:p>
    <w:p>
      <w:pPr>
        <w:spacing w:after="0" w:line="187" w:lineRule="exact"/>
        <w:rPr>
          <w:sz w:val="20"/>
          <w:szCs w:val="20"/>
          <w:color w:val="auto"/>
        </w:rPr>
      </w:pPr>
    </w:p>
    <w:p>
      <w:pPr>
        <w:ind w:right="340" w:firstLine="321"/>
        <w:spacing w:after="0" w:line="277" w:lineRule="auto"/>
        <w:rPr>
          <w:sz w:val="20"/>
          <w:szCs w:val="20"/>
          <w:color w:val="auto"/>
        </w:rPr>
      </w:pPr>
      <w:r>
        <w:rPr>
          <w:rFonts w:ascii="Arial" w:cs="Arial" w:eastAsia="Arial" w:hAnsi="Arial"/>
          <w:sz w:val="18"/>
          <w:szCs w:val="18"/>
          <w:color w:val="auto"/>
        </w:rPr>
        <w:t>Plans to conduct additional clinical trials with ACI-3024 in AD have been suspended. The Companies have decided to pursue other promising Tau Morphomer candidates from AC Immune’s research platform for potential clinical development in AD.</w:t>
      </w:r>
    </w:p>
    <w:p>
      <w:pPr>
        <w:spacing w:after="0" w:line="166"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Figure 36: Morphomer Tau therapeutic program: summary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154305</wp:posOffset>
            </wp:positionV>
            <wp:extent cx="6137910" cy="2194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3791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 diagnostics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severity of cognitive impairment in patients with AD is correlated with the presence of Tau protein tangles, leading us to believe that an imaging agent for Tau is equally, if not more important than Abeta-PET to assess spreading of pathology in the brain. In May 2020, Eli Lilly received FDA approval for the first Tau PET tracer TAUVID (flortaucipir F18 injection). However, TAUVID received approval only for a pathology indication (i.e., correlation with histopathology findings in Braak 5 and 6 patients), but has not received a prognostic label (i.e., prediction of cognitive deterioration based on a positive Tau PET scan.)</w:t>
      </w:r>
    </w:p>
    <w:p>
      <w:pPr>
        <w:spacing w:after="0" w:line="18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Tau-PET tracers are designed to bind specifically to the pathological forms of human Tau in AD and other Tauopathies. They have demonstrated an excellent PET tracer profile with their ability to cross the blood brain barrier and a high selectivity to pathological Tau even in the early-stage disease.</w:t>
      </w:r>
    </w:p>
    <w:p>
      <w:pPr>
        <w:spacing w:after="0" w:line="12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May 2014, we established a license and collaboration agreement for our Tau-PET imaging program with LMI. The Phase 1 clinical study of our clinical candidate PI-2620 in AD was completed in Q1 2018. LMI commenced a Phase 2 longitudinal study in AD of the program in Q3 2019. The Phase 2 longitudinal study in AD in South Korea (Asan Medical Center) was completed in Q4 2021.</w:t>
      </w:r>
    </w:p>
    <w:p>
      <w:pPr>
        <w:spacing w:after="0" w:line="18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PI-2620 is selective for Tau over Abeta and other “off-target” binding compared with current published Tau-PET agents in development, as no binding to Abeta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no “off-target” retention in basal ganglia or choroid plexus was observed. In addition, PI-2620 can be readily radiolabeled with fluorine 18. A major differentiator for PI-2620 is its ability to bind 4-repeat (4R) Tau isoforms, which are present in varying amounts in different neurodegenerative diseases. Most Tau PET tracers in development are not able to bind 4R Tau and are of limited use for certain diseases driven by these Tau species. Thus, two test-retest studies (Phase 1) in PSP are open and recruiting with results anticipated in H2 2022. Due to its ability to detect 4R Tau aggregates, PI-2620 is the first and only PET imaging agent to receive orphan drug designations for the diagnosis of PSP and CBD.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37: PI-2620 – Distinguishing the clinically predicted Tau isoform in different tauopathies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154305</wp:posOffset>
            </wp:positionV>
            <wp:extent cx="6103620" cy="3008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036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Song </w:t>
      </w:r>
      <w:r>
        <w:rPr>
          <w:rFonts w:ascii="Arial" w:cs="Arial" w:eastAsia="Arial" w:hAnsi="Arial"/>
          <w:sz w:val="18"/>
          <w:szCs w:val="18"/>
          <w:i w:val="1"/>
          <w:iCs w:val="1"/>
          <w:color w:val="auto"/>
        </w:rPr>
        <w:t>et al</w:t>
      </w:r>
      <w:r>
        <w:rPr>
          <w:rFonts w:ascii="Arial" w:cs="Arial" w:eastAsia="Arial" w:hAnsi="Arial"/>
          <w:sz w:val="18"/>
          <w:szCs w:val="18"/>
          <w:color w:val="auto"/>
        </w:rPr>
        <w:t>., J Cereb Blood Flow Metab. 2021</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Figure 37 above shows Abeta PET images (left) together with Tau PET (right) SUVR images of cortical areas of patients with 3/4R (top), 4R (middle) tauopathies and healthy control (bottom). Thus, PI-2620 binding characteristics in cortical regions differentiated between 3/4R- (AD) and 4R-tauopathies (PSP, CBD) and might serve as a supportive readout in the diagnostic workup of neurodegenerative disorders.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38: PI-2620 – differentiated CBD subtypes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154305</wp:posOffset>
            </wp:positionV>
            <wp:extent cx="5872480" cy="29146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24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Palleis </w:t>
      </w:r>
      <w:r>
        <w:rPr>
          <w:rFonts w:ascii="Arial" w:cs="Arial" w:eastAsia="Arial" w:hAnsi="Arial"/>
          <w:sz w:val="18"/>
          <w:szCs w:val="18"/>
          <w:i w:val="1"/>
          <w:iCs w:val="1"/>
          <w:color w:val="auto"/>
        </w:rPr>
        <w:t>et al.</w:t>
      </w:r>
      <w:r>
        <w:rPr>
          <w:rFonts w:ascii="Arial" w:cs="Arial" w:eastAsia="Arial" w:hAnsi="Arial"/>
          <w:sz w:val="18"/>
          <w:szCs w:val="18"/>
          <w:color w:val="auto"/>
        </w:rPr>
        <w:t>, Mov Disord. 2021</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PI-2620 Tau-PET data displayed in Figure 38 above shows the average PI-2620 distribution volume ratio (DVR) binding maps presented as axial overlays on a standard MRI template for all study groups (Aβ[-]CBS, n = 34 (top); Aβ[+]CBS, n = 11 (middle); and controls (CTRL), n = 14 (bottom)). Extracerebral voxels were masked. Images from patients with left-dominant symptoms were flipped. Thus, the data indicated a value of PI-2620 for evaluating corticobasal syndrome, providing quantitatively and regionally distinct signals in β-amyloid-positive as well as β-amyloid-negative corticobasal syndrome. In corticobasal syndrome, PI-2620 may potentially serve for a differential diagnosis and for monitoring disease progression.</w:t>
      </w:r>
    </w:p>
    <w:p>
      <w:pPr>
        <w:sectPr>
          <w:pgSz w:w="11900" w:h="16838" w:orient="portrait"/>
          <w:cols w:equalWidth="0" w:num="1">
            <w:col w:w="11160"/>
          </w:cols>
          <w:pgMar w:left="320" w:top="121" w:right="419" w:bottom="1440" w:gutter="0" w:footer="0" w:header="0"/>
        </w:sect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Figure 39: PI-2620 – </w:t>
      </w:r>
      <w:r>
        <w:rPr>
          <w:rFonts w:ascii="Arial" w:cs="Arial" w:eastAsia="Arial" w:hAnsi="Arial"/>
          <w:sz w:val="18"/>
          <w:szCs w:val="18"/>
          <w:b w:val="1"/>
          <w:bCs w:val="1"/>
          <w:i w:val="1"/>
          <w:iCs w:val="1"/>
          <w:color w:val="auto"/>
        </w:rPr>
        <w:t>in silico</w:t>
      </w:r>
      <w:r>
        <w:rPr>
          <w:rFonts w:ascii="Arial" w:cs="Arial" w:eastAsia="Arial" w:hAnsi="Arial"/>
          <w:sz w:val="18"/>
          <w:szCs w:val="18"/>
          <w:b w:val="1"/>
          <w:bCs w:val="1"/>
          <w:color w:val="auto"/>
        </w:rPr>
        <w:t xml:space="preserve"> docking of PI-2620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9005" cy="24777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0900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Ref: Kroth </w:t>
      </w:r>
      <w:r>
        <w:rPr>
          <w:rFonts w:ascii="Arial" w:cs="Arial" w:eastAsia="Arial" w:hAnsi="Arial"/>
          <w:sz w:val="18"/>
          <w:szCs w:val="18"/>
          <w:i w:val="1"/>
          <w:iCs w:val="1"/>
          <w:color w:val="auto"/>
        </w:rPr>
        <w:t>et al.</w:t>
      </w:r>
      <w:r>
        <w:rPr>
          <w:rFonts w:ascii="Arial" w:cs="Arial" w:eastAsia="Arial" w:hAnsi="Arial"/>
          <w:sz w:val="18"/>
          <w:szCs w:val="18"/>
          <w:color w:val="auto"/>
        </w:rPr>
        <w:t>, J Med Chem. 2021</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Figure 39 above shows the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docking of PI-2620 into site1 utilizing a dodecamer model of paired helical filament (PHF) (A). Potential binding interactions between PI-2620 and adjacent amino acid residues of site1 are indicated with black arrows (B).</w:t>
      </w:r>
    </w:p>
    <w:p>
      <w:pPr>
        <w:spacing w:after="0" w:line="1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Tau diagnostics are a major market opportunity that will be driven by the growth in the aging population and the testing and availability of disease-modifying drugs. We believe a best-in-class Tau tracer has the potential to achieve a substantial global market share in this large and growing market, which includes AD as well as other important Tauopathies.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A-syn diagnostics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also developing PET imaging agents to detect a-syn, which progressively accumulates in the brains of PD patients and is believed to be central to the neurodegenerative process of PD, as well as several other disorders, including Lewy body dementia and MSA, making it a priority target for development of therapeutics and diagnostics. We have identified molecules leveraging our Morphomer technology that selectively bind to a-syn pathological structures from human PD brain with affinity in the low-nanomolar range.</w:t>
      </w:r>
    </w:p>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2021, we completed the clinical evaluation of our second generation clinical candidate ACI-3847 by showing no differences in tracer retention between in patients with synucleinopathies compared to controls.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the same timeframe, we have also initiated the clinical development of our third-generation candidate, ACI-12589. Compared to the second-generation tracer, ACI-12589 retained the good selectivity and pharmacokinetic profile while also showing a significantly increased signal specificity in PD versus non-diseased human tissues (Figure 40). The current status of the program was presented at AD/PD 2021 and AAIC 2021.</w:t>
      </w:r>
    </w:p>
    <w:p>
      <w:pPr>
        <w:spacing w:after="0" w:line="165" w:lineRule="exact"/>
        <w:rPr>
          <w:sz w:val="20"/>
          <w:szCs w:val="20"/>
          <w:color w:val="auto"/>
        </w:rPr>
      </w:pPr>
    </w:p>
    <w:p>
      <w:pPr>
        <w:ind w:right="80" w:firstLine="366"/>
        <w:spacing w:after="0" w:line="263" w:lineRule="auto"/>
        <w:rPr>
          <w:sz w:val="20"/>
          <w:szCs w:val="20"/>
          <w:color w:val="auto"/>
        </w:rPr>
      </w:pPr>
      <w:r>
        <w:rPr>
          <w:rFonts w:ascii="Arial" w:cs="Arial" w:eastAsia="Arial" w:hAnsi="Arial"/>
          <w:sz w:val="18"/>
          <w:szCs w:val="18"/>
          <w:color w:val="auto"/>
        </w:rPr>
        <w:t>The Phase 1-enabling preclinical and manufacturing activities for ACI-12589 were completed in 2020 and the IND was accepted in early 2021. The FiH clinical evaluation of the third-generation tracer in PD, MSA and other a-synucleinopathies began in February 2021 and the readout is expected by Q2 2022.</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40: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generation alpha-synuclein tracers with improved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80645</wp:posOffset>
            </wp:positionV>
            <wp:extent cx="5751830" cy="19888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183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right="200" w:hanging="4"/>
        <w:spacing w:after="0" w:line="277" w:lineRule="auto"/>
        <w:tabs>
          <w:tab w:leader="none" w:pos="4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Parkinson’s disease; (2) Alpha synuclein; (3) Parkinson’s disease with dementia; (4) PD with SNCA G51D mutation; (5) Non-diseased control; (6) Non-specific</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AAIC Conference,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Currently there are no imaging products in the market that target a-syn. This provides us with the opportunity to become the market leader in a-syn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PET imaging. We believe the ability to image a-syn deposits in the brain will enable a fundamental change in the approach toward diagnosing and treating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PD and other a-syn-associated diseases.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key pathologies that drive a range of neurodegenerative diseases, including TDP-43, a-syn, and NLRP3. We are accelerating the development of several therapeutic product candidates currently in preclinical development, including several programs focused on indications outside of AD as a critical part of our expansion strategy.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41: Key pathologies for further pipeline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154305</wp:posOffset>
            </wp:positionV>
            <wp:extent cx="6189345" cy="27774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8934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right="140" w:hanging="4"/>
        <w:spacing w:after="0" w:line="277" w:lineRule="auto"/>
        <w:tabs>
          <w:tab w:leader="none" w:pos="4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Frontotemporal lobar degeneration; (2) Amyotrophic lateral sclerosis; (3) Limbic-predominant age-related TDP-43 encephalopathy; (4) TAR DNA-binding protein 43; (5) Alpha-synuclein; (6) NOD-like receptor protein 3</w:t>
      </w:r>
    </w:p>
    <w:p>
      <w:pPr>
        <w:sectPr>
          <w:pgSz w:w="11900" w:h="16838" w:orient="portrait"/>
          <w:cols w:equalWidth="0" w:num="1">
            <w:col w:w="11220"/>
          </w:cols>
          <w:pgMar w:left="320" w:top="121" w:right="359"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Based on the data to date, our technology platforms can be applied to misfolded proteins across a broad range of indications. Five of our preclinical programs are outlined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 candidate</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Lead application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Partner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Platform</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a-syn antibody</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a-syn</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PD, NeuroOrphan</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Proprietary</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SupraAntigen</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Morphomer a-syn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a-syn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PD, NeuroOrphan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Proprietary</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Anti-TDP-43</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TDP-43</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NeuroOrphan</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Proprietary</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SupraAntigen</w:t>
            </w: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antibody</w:t>
            </w: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Morphomer</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NLRP3-ASC</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CNS, non-CNS</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Proprietary</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Morphomer</w:t>
            </w: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inflammasome</w:t>
            </w: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Anti-inflammasome</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NLRP3-ASC</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CNS</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Proprietary</w:t>
            </w:r>
          </w:p>
        </w:tc>
        <w:tc>
          <w:tcPr>
            <w:tcW w:w="22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SupraAntigen</w:t>
            </w:r>
          </w:p>
        </w:tc>
        <w:tc>
          <w:tcPr>
            <w:tcW w:w="0" w:type="dxa"/>
            <w:vAlign w:val="bottom"/>
          </w:tcPr>
          <w:p>
            <w:pPr>
              <w:spacing w:after="0"/>
              <w:rPr>
                <w:sz w:val="1"/>
                <w:szCs w:val="1"/>
                <w:color w:val="auto"/>
              </w:rPr>
            </w:pPr>
          </w:p>
        </w:tc>
      </w:tr>
      <w:tr>
        <w:trPr>
          <w:trHeight w:val="122"/>
        </w:trPr>
        <w:tc>
          <w:tcPr>
            <w:tcW w:w="22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antibody</w:t>
            </w: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2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22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 Immune’s proprietary SupraAntigen platform is used to generate antibodies that can be used as therapeutic and diagnostic products. Such antibodies are generated by injecting the full-length protein and/or corresponding peptide constructs in mice and by selecting the antibodies for their ability to bind to and break up aggregated forms of misfolded proteins. The a-syn and TDP-43 antibodies were discovered using the SupraAntigen technology platform. Both antibodies have unique binding properties allowing them to bind to unique epitopes of the pathological forms of a-syn and TDP-43,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A-syn antibody</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 xml:space="preserve">The a-syn antibodies generated using our SupraAntigen platform have unique binding properties allowing them to bind preferentially to the pathological forms of a-syn. A-syn aggregation and spreading are established targets for PD, MSA and other synucleinopathies. Antibodies that interfere with the aggregation and spreading mechanisms of a-syn provide a therapeutic option for the treatment of PD. The a-syn antibodies were able to significantly delay the seeded aggregation of pathological a-syn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aggregation assay, and were able to significantly decrease pathological a-syn spreading in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animal model of PD. Characterization using multiple orthogonal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tests addressing binding, specificity, functionality and pharmacological properties has led to the identification of the lead candidate ACI-5755.</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 xml:space="preserve">ACI-5755 selectively binds to pathological forms of a-syn with low-nanomolar affinity and shows a significant preference over monomeric a-syn. Additionally, ACI-5755 shows strong recognition for pathological a-syn in patient-derived tissues in both PD and MSA. ACI-5755 showed a potent and dose-dependent reduction in the seeding capacity of pathological a-syn in a proprietary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aggregation assay. Moreover, ACI-5755 substantially reduced the propagation of a-syn aggregates in a cell-based model.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of ACI-5755 was evaluated in the M83 propagation mouse model (Luk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Treatment of mice with ACI-5755 significantly decreased pathological a-syn spreading </w:t>
      </w:r>
      <w:r>
        <w:rPr>
          <w:rFonts w:ascii="Arial" w:cs="Arial" w:eastAsia="Arial" w:hAnsi="Arial"/>
          <w:sz w:val="16"/>
          <w:szCs w:val="16"/>
          <w:i w:val="1"/>
          <w:iCs w:val="1"/>
          <w:color w:val="auto"/>
        </w:rPr>
        <w:t>in vivo</w:t>
      </w:r>
      <w:r>
        <w:rPr>
          <w:rFonts w:ascii="Arial" w:cs="Arial" w:eastAsia="Arial" w:hAnsi="Arial"/>
          <w:sz w:val="16"/>
          <w:szCs w:val="16"/>
          <w:color w:val="auto"/>
        </w:rPr>
        <w:t>. Furthermore, a significant reduction in the rate of body weight loss compared with the vehicle-treated control group was observed for mice treated with ACI-5755.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Morphomer a-Syn</w:t>
      </w:r>
    </w:p>
    <w:p>
      <w:pPr>
        <w:spacing w:after="0" w:line="229" w:lineRule="exact"/>
        <w:rPr>
          <w:sz w:val="20"/>
          <w:szCs w:val="20"/>
          <w:color w:val="auto"/>
        </w:rPr>
      </w:pPr>
    </w:p>
    <w:p>
      <w:pPr>
        <w:ind w:right="20" w:firstLine="321"/>
        <w:spacing w:after="0" w:line="255" w:lineRule="auto"/>
        <w:rPr>
          <w:sz w:val="20"/>
          <w:szCs w:val="20"/>
          <w:color w:val="auto"/>
        </w:rPr>
      </w:pPr>
      <w:r>
        <w:rPr>
          <w:rFonts w:ascii="Arial" w:cs="Arial" w:eastAsia="Arial" w:hAnsi="Arial"/>
          <w:sz w:val="18"/>
          <w:szCs w:val="18"/>
          <w:color w:val="auto"/>
        </w:rPr>
        <w:t xml:space="preserve">Leveraging our Morphomer platform, we identified and characterized the first biologically active small molecule inhibitors targeting intracellular a-syn aggregates. Initial compounds, from several distinct chemical series, significantly decrease a-syn aggregate accumulation in neurons by interfering with the fibrillation process. Iterative medicinal chemistry optimization led to the identification of orally available and well-tolerated compounds with favorable CNS-penetrant pharmacokinetic properties, which will be progressed into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proof-of-concept studies in animal models of alpha-synucleinopathies. Medicinal chemistry efforts will continue on improving properties of lead chemical series, in parallel to identifying structurally diverse compounds fulfilling the target product profile.</w:t>
      </w:r>
    </w:p>
    <w:p>
      <w:pPr>
        <w:spacing w:after="0" w:line="192" w:lineRule="exact"/>
        <w:rPr>
          <w:sz w:val="20"/>
          <w:szCs w:val="20"/>
          <w:color w:val="auto"/>
        </w:rPr>
      </w:pPr>
    </w:p>
    <w:p>
      <w:pPr>
        <w:ind w:right="340" w:firstLine="321"/>
        <w:spacing w:after="0" w:line="277" w:lineRule="auto"/>
        <w:rPr>
          <w:sz w:val="20"/>
          <w:szCs w:val="20"/>
          <w:color w:val="auto"/>
        </w:rPr>
      </w:pPr>
      <w:r>
        <w:rPr>
          <w:rFonts w:ascii="Arial" w:cs="Arial" w:eastAsia="Arial" w:hAnsi="Arial"/>
          <w:sz w:val="18"/>
          <w:szCs w:val="18"/>
          <w:color w:val="auto"/>
        </w:rPr>
        <w:t>In December 2021, the Company received a grant from the MJFF to fund the optimization of the current compound series and declare a preclinical lead, which will commence in Q1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antibody</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TDP-43 is a recently identified target of growing interest for NeuroOrphan indications such as frontotemporal dementia (FTD) and ALS. Interestingly, TDP-43 also plays an important role in other significant neurodegenerative indications such as AD or LATE.</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Anti-TDP-43 antibodies binding to various regions of TDP-43 were generated by our SupraAntigen platform. A subset displayed conformational selectivity to misfolded TDP-43, while others recognized all TDP-43 isoforms (Figure 42A). Multiple antibodies were generated and characterized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from which two pan-TDP-43 antibodies (ACI-5891 and ACI-5886) were selected for the evaluation of their efficacy in mitigating TDP-43 aggregation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(Figure 42B-C). ACI-5891 showed a high binding affinity for TDP-43 and ability to reduce TDP-43 aggregation</w:t>
      </w:r>
      <w:r>
        <w:rPr>
          <w:rFonts w:ascii="Arial" w:cs="Arial" w:eastAsia="Arial" w:hAnsi="Arial"/>
          <w:sz w:val="16"/>
          <w:szCs w:val="16"/>
          <w:i w:val="1"/>
          <w:iCs w:val="1"/>
          <w:color w:val="auto"/>
        </w:rPr>
        <w:t xml:space="preserve"> in vitro and in vivo</w:t>
      </w:r>
      <w:r>
        <w:rPr>
          <w:rFonts w:ascii="Arial" w:cs="Arial" w:eastAsia="Arial" w:hAnsi="Arial"/>
          <w:sz w:val="16"/>
          <w:szCs w:val="16"/>
          <w:color w:val="auto"/>
        </w:rPr>
        <w: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firstLine="321"/>
        <w:spacing w:after="0" w:line="291" w:lineRule="auto"/>
        <w:rPr>
          <w:sz w:val="20"/>
          <w:szCs w:val="20"/>
          <w:color w:val="auto"/>
        </w:rPr>
      </w:pPr>
      <w:r>
        <w:rPr>
          <w:rFonts w:ascii="Arial" w:cs="Arial" w:eastAsia="Arial" w:hAnsi="Arial"/>
          <w:sz w:val="16"/>
          <w:szCs w:val="16"/>
          <w:color w:val="auto"/>
        </w:rPr>
        <w:t xml:space="preserve">To evaluate the functional efficacy of TDP-43 antibodies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the ability of ACI-5891 to inhibit TDP-43 aggregation was tested.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 with recombinant TDP-43, ACI-5891 significantly inhibited TDP-43 aggregation by 98% compared with the isotype control and significantly promoted their phagocytosis by mouse primary microglia. Using FTLD-TDP patient-derived brain extracts to induce templated TDP-43 aggregation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ACI-5891, which binds to the C-terminal domain of TDP-43, was able to substantially interfere with this process of seeding (Figure 42YB). Moreover, ACI-5891 demonstrated functional efficacy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by reducing pathological TDP-43 in two different mouse models of ALS and FTD (Figure 42C). Our findings demonstrate, for the first time, that a monoclonal antibody targeting the C-terminal region of TDP-43 limits pathology and neurotoxicity by enabling clearance of misfolded TDP-43 through microglia engagement and support the clinical strategy to target TDP-43 by passive immunotherapy.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ACI-5891 humanization and manufacturability assessment</w:t>
      </w:r>
    </w:p>
    <w:p>
      <w:pPr>
        <w:spacing w:after="0" w:line="229"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ACI-5891 was successfully humanized on a human antibody framework. Several variants had a similar binding capacity for TDP-43 as well as potency for inhibition of TDP-43 aggregation as compared to the chimeric monoclonal antibody. The target values were achieved for the lead candidates in terms of target affinity, functional efficacy and percentage humanness. Developability of clinical lead candidates was further confirmed in manufacturability assessment studies.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42: Key results for TDP-43 antibodies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154305</wp:posOffset>
            </wp:positionV>
            <wp:extent cx="3728720" cy="33775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2872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AD/PD Conference, 2022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Neuroinflammation and the NLRP3 inflammasome pathway</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Microglial cells are the main resident immune cells in the brain, which maintain a healthy environment by removing damaged cells and misfolded protein aggregates. When overstimulated, microglia can drive neuroinflammation, leading to increased neuronal death and disease progression. A key molecular pathway that is activated by misfolded proteins related to neurodegenerative and other diseases, is the NLRP3 inflammasome, a multi-protein complex that forms within microglia leading to production of pro-inflammatory factors that exacerbate neuronal atrophy. A critical component of the NLRP3 pathway is ASC (apoptosis-associated speck-like protein containing a C-terminal caspase recruitment domain), which is formed and released by activated microglia. Intracellularly, ASC specks participate in the production of pro-inflammatory cytokines, whereas extracellular ASC specks cause acute inflammatory reactions. ASC specks have been identified in microglia within the CNS of patients with NDD (Venegas, 2017) as well as patients’ body fluids.</w:t>
      </w:r>
    </w:p>
    <w:p>
      <w:pPr>
        <w:spacing w:after="0" w:line="192" w:lineRule="exact"/>
        <w:rPr>
          <w:sz w:val="20"/>
          <w:szCs w:val="20"/>
          <w:color w:val="auto"/>
        </w:rPr>
      </w:pPr>
    </w:p>
    <w:p>
      <w:pPr>
        <w:jc w:val="both"/>
        <w:ind w:right="60" w:firstLine="321"/>
        <w:spacing w:after="0" w:line="263" w:lineRule="auto"/>
        <w:rPr>
          <w:sz w:val="20"/>
          <w:szCs w:val="20"/>
          <w:color w:val="auto"/>
        </w:rPr>
      </w:pPr>
      <w:r>
        <w:rPr>
          <w:rFonts w:ascii="Arial" w:cs="Arial" w:eastAsia="Arial" w:hAnsi="Arial"/>
          <w:sz w:val="18"/>
          <w:szCs w:val="18"/>
          <w:color w:val="auto"/>
        </w:rPr>
        <w:t xml:space="preserve">As illustrated in Figure 43, pathological species of Abeta, Tau, a-syn and TDP-43 induce NLRP3 inflammasome activation and ASC speck formation. AC Immune is developing multiple small molecule and antibody-based candidates with the potential to inhibit the NLRP3 pathway. Recent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in animal models of AD, PD and ALS have validated this approach.</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43: Proteinopathies exacerbate NLRP3-driven neuronal damage and promotes further 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154305</wp:posOffset>
            </wp:positionV>
            <wp:extent cx="6086475" cy="33858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8647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right="40" w:hanging="4"/>
        <w:spacing w:after="0" w:line="277" w:lineRule="auto"/>
        <w:tabs>
          <w:tab w:leader="none" w:pos="4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Amyotrophic lateral sclerosis; (2) Frontotemporal lobar dementia; (3) TAR DNA-binding protein 43; (4) NOD-like receptor protein 3; (5) Apoptosis-associated speck-like protein containing a CARD, also PYCARD; (6) Neurofibrillary tangle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Targeting NLRP3-ASC in neurodegenerative diseases</w:t>
      </w:r>
    </w:p>
    <w:p>
      <w:pPr>
        <w:spacing w:after="0" w:line="229" w:lineRule="exact"/>
        <w:rPr>
          <w:sz w:val="20"/>
          <w:szCs w:val="20"/>
          <w:color w:val="auto"/>
        </w:rPr>
      </w:pPr>
    </w:p>
    <w:p>
      <w:pPr>
        <w:ind w:firstLine="383"/>
        <w:spacing w:after="0" w:line="296" w:lineRule="auto"/>
        <w:rPr>
          <w:sz w:val="20"/>
          <w:szCs w:val="20"/>
          <w:color w:val="auto"/>
        </w:rPr>
      </w:pPr>
      <w:r>
        <w:rPr>
          <w:rFonts w:ascii="Arial" w:cs="Arial" w:eastAsia="Arial" w:hAnsi="Arial"/>
          <w:sz w:val="16"/>
          <w:szCs w:val="16"/>
          <w:color w:val="auto"/>
        </w:rPr>
        <w:t>In AD, Abeta peptides, which accumulate to form the characteristic plaques in AD activate the NLRP3 inflammasome (Halle, 2008). The downstream pro-inflammatory factors, IL-1b and IL-18, increased in cells isolated in these patients (Saresella, 2016). Further validation of these targets in AD involve crossing NLRP3 or ASC knockout mice to models of Abeta-driven pathology. In these models, neuroinflammation decreased and neuronal and memory function improved (Heneka, 2013; Demspey, 2017; Venegas, 2017). Recently, ASC speck and IL-18 levels were shown to be higher in human Mild Cognitive Impairment (MCI) and AD brain samples indicating that ASC is a promising biomarker of MCI and AD (Scott, 2020).</w:t>
      </w:r>
    </w:p>
    <w:p>
      <w:pPr>
        <w:spacing w:after="0" w:line="16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Parkinson’s disease, NLRP3 is activated and ASC formation is upregulated (Gordon, 2018 and Anderson, 2021). Exome sequencing analysis identified multiple single-nucleotide polymorphisms of NLRP3 including rs7525979, which was associated with a significantly reduced risk of developing PD (von Herrmann, 2018). In vitro, NLRP3 inhibition decreases a-syn-mediated inflammasome activation in mouse microglial cells and extracellular ASC release. In multiple PD animal models, targeting NLRP3 effectively mitigates motor deficits, nigrostriatal dopaminergic degeneration and accumulation of a-syn aggregates (Gordon 2018). Taken together, NLRP3 is responsible for driving neuroinflammation that results in progressive dopaminergic neuropathology, highlighting NLRP3 as a potential target for PD disease-modifying treatments.</w:t>
      </w:r>
    </w:p>
    <w:p>
      <w:pPr>
        <w:sectPr>
          <w:pgSz w:w="11900" w:h="16838" w:orient="portrait"/>
          <w:cols w:equalWidth="0" w:num="1">
            <w:col w:w="11220"/>
          </w:cols>
          <w:pgMar w:left="320" w:top="121" w:right="359"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2" w:name="page93"/>
    <w:bookmarkEnd w:id="9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As illustrated in Figure 43, extracellular Tau activates NLRP3 and ASC formation in microglia. In patients with frontotemporal dementia, elevated cleavage of caspase-1, increased ASC levels and mature IL-1b are observed (Ising, 2019). Furthermore, in preclinical models, injection of fibrillar Abeta induces Tau pathology in an NLRP3-dependent manner (Ising, 2019) and the absence of ASC or inhibition of NLRP3 decreases seeding by Tau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(Stancu, 2019). Finally, NLRP3 inhibition ameliorates inflammation and ER stress signaling in a model of Tau-driven pathology, as well as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normalizes phospho-tau levels (Hull, 2020).</w:t>
      </w:r>
    </w:p>
    <w:p>
      <w:pPr>
        <w:spacing w:after="0" w:line="188"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 xml:space="preserve">Concerning ALS, TDP-43-mediated activation of microglia causes motor neuron cell death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(Zhao, 2015) with downstream activation of NF-kB and NLRP3 (Clark, 2020) and involves CD14. This finding is clinically relevant as increased CD14 expression by microglia is observed in postmortem spinal cord tissue from patients with ALS, a TDP-43-driven disease (Clark, 2020). Furthermore, wildtype and mutant forms of TDP-43 activate microglia to generate IL-1b, which is abolished by NLRP3 inhibition (Deora, 2019).</w:t>
      </w:r>
    </w:p>
    <w:p>
      <w:pPr>
        <w:spacing w:after="0" w:line="187"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Microglia isolated from the ALS mouse model, SOD1G93A, express elevated levels of NLRP3 (Deora, 2019). When microglia are incubated with soluble or aggregated SOD1G93A, NLRP3 is activated, ASC specks are formed and IL-1b is secreted which is prevented by treatment with an NLRP3 inhibitor (Deora,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targeting the NLRP3-ASC inflammasome</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AC Immune is aggressively pursuing this key pathway in order to reduce the unwanted progression of inflammation in diseases and syndromes caused by the hyper-activation of the NLRP3 inflammasome. Our aim is to develop therapeutics that decrease production of pro-inflammatory factors yet maintain normal phagocytosis of debris and misfolded proteins as well as allow the function of other pathogen-sensing pathways. Currently, AC Immune is targeting the NLRP3-ASC pathway using two complementary approaches, derived from our two technology platforms (Figure 44):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44: Strategy to use our dual proprietary technology platforms to target NLRP3-ASC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154305</wp:posOffset>
            </wp:positionV>
            <wp:extent cx="6189345" cy="2957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8934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right="2920" w:hanging="150"/>
        <w:spacing w:after="0" w:line="500" w:lineRule="auto"/>
        <w:tabs>
          <w:tab w:leader="none" w:pos="4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NOD-like receptor protein 3; (2) Apoptosis-associated speck-like protein containing a CARD, also PYCARD Ref: Adapted from Ransohoff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molecule inhibitors of NLRP3</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 xml:space="preserve">Leveraging our proprietary Morphomer platform, the Company has successfully identified and filed patent applications for various chemical series of potent small molecule NLRP3 inhibitors. The Company has established biological activity for these compounds in multiple functional assays (Figures 45 and 46), and initial animal studies show highly potent target inhibition in a model of peripheral inflammation (Figure 47), providing the first evidence of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activity. AC immune is currently evaluating potential lead compounds for further</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efficacy and optimization for CNS delivery.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Figure 45: Screening assay to quantify the compound-mediated inhibition of IL-1β production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using human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154305</wp:posOffset>
            </wp:positionV>
            <wp:extent cx="6189345" cy="2665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8934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right="7120" w:hanging="170"/>
        <w:spacing w:after="0" w:line="530" w:lineRule="auto"/>
        <w:tabs>
          <w:tab w:leader="none" w:pos="433"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NOD-like receptor protein 3; (2) Interleukin 1 beta Ref: Adapted from Choi </w:t>
      </w:r>
      <w:r>
        <w:rPr>
          <w:rFonts w:ascii="Arial" w:cs="Arial" w:eastAsia="Arial" w:hAnsi="Arial"/>
          <w:sz w:val="17"/>
          <w:szCs w:val="17"/>
          <w:i w:val="1"/>
          <w:iCs w:val="1"/>
          <w:color w:val="auto"/>
        </w:rPr>
        <w:t>et al.,</w:t>
      </w:r>
      <w:r>
        <w:rPr>
          <w:rFonts w:ascii="Arial" w:cs="Arial" w:eastAsia="Arial" w:hAnsi="Arial"/>
          <w:sz w:val="17"/>
          <w:szCs w:val="17"/>
          <w:color w:val="auto"/>
        </w:rPr>
        <w:t xml:space="preserve"> Mol Cell 2014</w:t>
      </w:r>
    </w:p>
    <w:p>
      <w:pPr>
        <w:spacing w:after="0" w:line="1"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In the figure above, the left panel illustrates the signal transduction pathway leading to NLRP3 inflammasome activation. The right panel shows the dose dependent inhibition by a small molecule candidate (cmpd 1) and reference molecule (Ref) of the NLRP3 pathway post stimulation with monosodium urate (MSU) crystal that induced interleukin-1β production by human macrophages. IC50 (inhibition concentration at 50%); DMSO (negative vehicle control) (Ref: AC Immune unpublished data).</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Figure 46: Secondary assays involving human whole blood demonstrate potent hit compounds active </w:t>
      </w:r>
      <w:r>
        <w:rPr>
          <w:rFonts w:ascii="Arial" w:cs="Arial" w:eastAsia="Arial" w:hAnsi="Arial"/>
          <w:sz w:val="17"/>
          <w:szCs w:val="17"/>
          <w:b w:val="1"/>
          <w:bCs w:val="1"/>
          <w:i w:val="1"/>
          <w:iCs w:val="1"/>
          <w:color w:val="auto"/>
        </w:rPr>
        <w:t>in vitro</w:t>
      </w:r>
      <w:r>
        <w:rPr>
          <w:rFonts w:ascii="Arial" w:cs="Arial" w:eastAsia="Arial" w:hAnsi="Arial"/>
          <w:sz w:val="17"/>
          <w:szCs w:val="17"/>
          <w:b w:val="1"/>
          <w:bCs w:val="1"/>
          <w:color w:val="auto"/>
        </w:rPr>
        <w:t xml:space="preserve"> using multiple donors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161925</wp:posOffset>
            </wp:positionV>
            <wp:extent cx="6103620" cy="1808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0362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right="3500" w:hanging="150"/>
        <w:spacing w:after="0" w:line="527" w:lineRule="auto"/>
        <w:tabs>
          <w:tab w:leader="none" w:pos="4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NOD-like receptor protein 3; (2) Interleukin 1 beta; (3) Bioluminescence Resonance Energy Transfer Ref: AC Immune unpublished data</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 xml:space="preserve">Figure 47: In a mouse model of peritonitis, several of the initial hits targeting NLRP3 show significant inhibition of IL-1β production </w:t>
      </w:r>
      <w:r>
        <w:rPr>
          <w:rFonts w:ascii="Arial" w:cs="Arial" w:eastAsia="Arial" w:hAnsi="Arial"/>
          <w:sz w:val="16"/>
          <w:szCs w:val="16"/>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168910</wp:posOffset>
            </wp:positionV>
            <wp:extent cx="6206490" cy="1929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064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0" w:right="4780" w:hanging="150"/>
        <w:spacing w:after="0" w:line="500" w:lineRule="auto"/>
        <w:tabs>
          <w:tab w:leader="none" w:pos="4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NOD-like receptor protein 3; (2) Interleukin 1 beta; (3) Bacterial lipopolysaccaride Ref: AC Immune unpublished data</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Therapeutic antibodies for neuroinflammation (mAb-ASC)</w:t>
      </w:r>
    </w:p>
    <w:p>
      <w:pPr>
        <w:spacing w:after="0" w:line="225" w:lineRule="exact"/>
        <w:rPr>
          <w:sz w:val="20"/>
          <w:szCs w:val="20"/>
          <w:color w:val="auto"/>
        </w:rPr>
      </w:pPr>
    </w:p>
    <w:p>
      <w:pPr>
        <w:ind w:right="80" w:firstLine="321"/>
        <w:spacing w:after="0" w:line="277" w:lineRule="auto"/>
        <w:rPr>
          <w:sz w:val="20"/>
          <w:szCs w:val="20"/>
          <w:color w:val="auto"/>
        </w:rPr>
      </w:pPr>
      <w:r>
        <w:rPr>
          <w:rFonts w:ascii="Arial" w:cs="Arial" w:eastAsia="Arial" w:hAnsi="Arial"/>
          <w:sz w:val="18"/>
          <w:szCs w:val="18"/>
          <w:color w:val="auto"/>
        </w:rPr>
        <w:t>It has been shown in the APP/PSI mouse model of AD, intracellular and extracellular ASC specks are present. Treatment using an anti-ASC antibody decreases the Abeta load in these mice (Figure 48).</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48: ASC specks in AD patients and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154305</wp:posOffset>
            </wp:positionV>
            <wp:extent cx="4380230" cy="2811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8023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right="3240" w:hanging="150"/>
        <w:spacing w:after="0" w:line="500" w:lineRule="auto"/>
        <w:tabs>
          <w:tab w:leader="none" w:pos="41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Apoptosis-associated speck-like protein containing a CARD; (2) Amyloid precursor protein/presenilin 1 Ref: Vanegas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 w:lineRule="exact"/>
        <w:rPr>
          <w:sz w:val="20"/>
          <w:szCs w:val="20"/>
          <w:color w:val="auto"/>
        </w:rPr>
      </w:pPr>
    </w:p>
    <w:p>
      <w:pPr>
        <w:ind w:firstLine="321"/>
        <w:spacing w:after="0" w:line="271" w:lineRule="auto"/>
        <w:rPr>
          <w:sz w:val="20"/>
          <w:szCs w:val="20"/>
          <w:color w:val="auto"/>
        </w:rPr>
      </w:pPr>
      <w:r>
        <w:rPr>
          <w:rFonts w:ascii="Arial" w:cs="Arial" w:eastAsia="Arial" w:hAnsi="Arial"/>
          <w:sz w:val="17"/>
          <w:szCs w:val="17"/>
          <w:color w:val="auto"/>
        </w:rPr>
        <w:t xml:space="preserve">Using our SupraAntigen platform, AC Immune generated a novel anti-ASC monoclonal antibodies. It binds to human and mouse ASC specks with picomolar affinity and shows specific target engagement on human and mouse macrophages (arrows in the immunofluorescence images, Figure 49). In addition, western blot experiments demonstrated target engagement on ASC specks obtained or purified from recombinant mouse (Rec Mouse) and recombinant human (Rec Human) while target specificity was confirmed in human macrophages where ASC is genetically knocked down (no band for THP-1 ASC KO; Figure 49). Selected antibodies are currently being evaluated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studies using animal models of human disease. These have been initiated in Q4 2021 with data estimated by H2 2022 to validate ASC specks as targets. This would narrow the antibody candidates for lead declaration. These innovative, potentially disease-modifying antibodies are designed to have the highest potential to prevent inflammation and modify the downstream exacerbation of various proteinopathies.</w:t>
      </w:r>
    </w:p>
    <w:p>
      <w:pPr>
        <w:sectPr>
          <w:pgSz w:w="11900" w:h="16838" w:orient="portrait"/>
          <w:cols w:equalWidth="0" w:num="1">
            <w:col w:w="11180"/>
          </w:cols>
          <w:pgMar w:left="320" w:top="121" w:right="399" w:bottom="1440" w:gutter="0" w:footer="0" w:header="0"/>
        </w:sect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5" w:name="page96"/>
    <w:bookmarkEnd w:id="9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Figure 49: Neutralizing anti-ASC antibodies that bind extracellular human ASC and potently inhibit inflammation-mediated formation of ASC specks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114300</wp:posOffset>
            </wp:positionV>
            <wp:extent cx="6257925" cy="25971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5792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right="4360" w:hanging="150"/>
        <w:spacing w:after="0" w:line="498" w:lineRule="auto"/>
        <w:tabs>
          <w:tab w:leader="none" w:pos="4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Apoptosis-associated speck-like protein containing a CARD; (2) monoclonal antibodies Ref: AC Immune unpublished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imaging diagnostics</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To complement our pipeline of PET imaging tracers, we also selected TDP-43 as a third target. TDP-43 in its physiological function is a protein regulating mRNA splicing, stability and translation as well as gene transcription. Similar to Tau, Abeta and a-syn, TDP-43 misfolds in TDP-43 proteinopathies into insoluble aggregates predominantly in the cytoplasm of neurons, leading to cellular dysfunction and eventually clinical symptoms. TDP-43 pathology often appears in other neurodegenerative diseases (e.g., AD) as a part of mixed pathologies, and it has been proposed that misfolded TDP-43 contributes to the observed clinical phenotype in addition to the primary pathology. The precise molecular diagnosis and differentiation of early stages of such diseases is of critical importance. Using proprietary assays, a set of small molecular weight compounds from four chemically distinct series were identified, which bind to patient-derived pathological TDP-43. Several of these compounds demonstrated favorable pharmacokinetic profiles in rodents suggesting suitable properties for further development as PET ligands. We identified candidates showing nanomolar affinities on TDP-43 aggregates enriched from patients with TDP-43 proteinopathies. Selected compounds show target engagement on FTLD-TDP brain sections by high resolution autoradiography. Affinity and selectivity are being further optimized to deliver a potential first-in-class PET tracer for TDP-43.</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50: First-in-class TDP-43 PET imaging tracer – Discovery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154305</wp:posOffset>
            </wp:positionV>
            <wp:extent cx="4585970" cy="23742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859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 AC Immune, AD/PD Conference, 2022</w:t>
      </w:r>
    </w:p>
    <w:p>
      <w:pPr>
        <w:spacing w:after="0" w:line="225" w:lineRule="exact"/>
        <w:rPr>
          <w:sz w:val="20"/>
          <w:szCs w:val="20"/>
          <w:color w:val="auto"/>
        </w:rPr>
      </w:pPr>
    </w:p>
    <w:p>
      <w:pPr>
        <w:jc w:val="center"/>
        <w:ind w:right="40"/>
        <w:spacing w:after="0" w:line="311" w:lineRule="auto"/>
        <w:rPr>
          <w:sz w:val="20"/>
          <w:szCs w:val="20"/>
          <w:color w:val="auto"/>
        </w:rPr>
      </w:pPr>
      <w:r>
        <w:rPr>
          <w:rFonts w:ascii="Arial" w:cs="Arial" w:eastAsia="Arial" w:hAnsi="Arial"/>
          <w:sz w:val="16"/>
          <w:szCs w:val="16"/>
          <w:color w:val="auto"/>
        </w:rPr>
        <w:t>There are no imaging products in the market today targeting TDP-43. This provides us with a unique opportunity to become the first company to provide a TDP-43-PET tracer to the market. We believe the ability to image TDP-43 deposits in the brain will enable fundamental change in the approach toward treating primary and secondary TDP-43 proteinopathies including improved design for AD clinical trials to provide the best outcome for patients.</w:t>
      </w:r>
    </w:p>
    <w:p>
      <w:pPr>
        <w:sectPr>
          <w:pgSz w:w="11900" w:h="16838" w:orient="portrait"/>
          <w:cols w:equalWidth="0" w:num="1">
            <w:col w:w="11120"/>
          </w:cols>
          <w:pgMar w:left="320" w:top="121" w:right="459" w:bottom="1440" w:gutter="0" w:footer="0" w:header="0"/>
        </w:sect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SupraAntigen and Morphomer platforms have generated large numbers of clinical assets that address multiple diseases related to protein misfolding. Selected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87" w:lineRule="exact"/>
        <w:rPr>
          <w:sz w:val="20"/>
          <w:szCs w:val="20"/>
          <w:color w:val="auto"/>
        </w:rPr>
      </w:pPr>
    </w:p>
    <w:p>
      <w:pPr>
        <w:ind w:left="620" w:right="260" w:hanging="234"/>
        <w:spacing w:after="0" w:line="263"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March 2009, January 2013, May 2014 and May 2015) for crenezumab for AD, under which we may become eligible to receive payments potentially greater than USD 340 (CHF 314) million, excluding royalties;</w:t>
      </w:r>
    </w:p>
    <w:p>
      <w:pPr>
        <w:spacing w:after="0" w:line="183" w:lineRule="exact"/>
        <w:rPr>
          <w:rFonts w:ascii="Arial" w:cs="Arial" w:eastAsia="Arial" w:hAnsi="Arial"/>
          <w:sz w:val="18"/>
          <w:szCs w:val="18"/>
          <w:color w:val="auto"/>
        </w:rPr>
      </w:pPr>
    </w:p>
    <w:p>
      <w:pPr>
        <w:ind w:left="620" w:right="180" w:hanging="234"/>
        <w:spacing w:after="0" w:line="263"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(and amended in December 2015) for anti-Tau antibodies to treat AD and potentially other indications, under which we may become eligible to receive payments potentially greater than CHF 400 million, excluding royalties;</w:t>
      </w:r>
    </w:p>
    <w:p>
      <w:pPr>
        <w:spacing w:after="0" w:line="183" w:lineRule="exact"/>
        <w:rPr>
          <w:rFonts w:ascii="Arial" w:cs="Arial" w:eastAsia="Arial" w:hAnsi="Arial"/>
          <w:sz w:val="18"/>
          <w:szCs w:val="18"/>
          <w:color w:val="auto"/>
        </w:rPr>
      </w:pPr>
    </w:p>
    <w:p>
      <w:pPr>
        <w:ind w:left="620" w:right="280" w:hanging="234"/>
        <w:spacing w:after="0" w:line="263"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worldwide licensing agreement with Janssen signed in December 2014 (and amended in April 2016, July 2017, January 2019 and November 2019) for therapeutic anti-Tau vaccines for AD, and potentially other Tauopathies, under which we may become eligible to receive payments totaling up to CHF 500 million, excluding royalties;</w:t>
      </w:r>
    </w:p>
    <w:p>
      <w:pPr>
        <w:spacing w:after="0" w:line="183" w:lineRule="exact"/>
        <w:rPr>
          <w:rFonts w:ascii="Arial" w:cs="Arial" w:eastAsia="Arial" w:hAnsi="Arial"/>
          <w:sz w:val="18"/>
          <w:szCs w:val="18"/>
          <w:color w:val="auto"/>
        </w:rPr>
      </w:pPr>
    </w:p>
    <w:p>
      <w:pPr>
        <w:ind w:left="620" w:right="80" w:hanging="234"/>
        <w:spacing w:after="0" w:line="263"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worldwide licensing and collaboration agreement (LCA) with LMI (formerly Piramal Imaging SA) signed in May 2014 for small-molecule Tau ligands for use as PET tracers under which we may become eligible to receive payments totaling up to EUR 160 (CHF 167) million, excluding royalties; and</w:t>
      </w:r>
    </w:p>
    <w:p>
      <w:pPr>
        <w:spacing w:after="0" w:line="183" w:lineRule="exact"/>
        <w:rPr>
          <w:rFonts w:ascii="Arial" w:cs="Arial" w:eastAsia="Arial" w:hAnsi="Arial"/>
          <w:sz w:val="18"/>
          <w:szCs w:val="18"/>
          <w:color w:val="auto"/>
        </w:rPr>
      </w:pPr>
    </w:p>
    <w:p>
      <w:pPr>
        <w:ind w:left="620" w:right="180" w:hanging="234"/>
        <w:spacing w:after="0" w:line="259"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worldwide license agreement with Lilly to research and develop Morphomer Tau small molecules for the treatment of AD and other neurodegenerative diseases, which was entered into in December 2018 (and amended in September 2019 and March 2020). The agreement was deemed effective on January 23, 2019. Under this, we may become eligible to receive payments up to approximately CHF 1.9 billion, excluding royalties.</w:t>
      </w:r>
    </w:p>
    <w:p>
      <w:pPr>
        <w:spacing w:after="0" w:line="18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Further information concerning details of our agreements and collaborations can be found under “Item 5: Operating and financial review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pharmaceutical and biopharmaceutical industries are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7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Currently, there is only one approved disease-modifying product for AD. Most currently approved therapies seek to treat the symptoms of AD, such as cognitive decline, but do not slow or stop the progression of the disease. In addition, commonly, there is off-label prescription of antidepressant and antipsychotic agents for more patients with advanced AD who may have agitation, aggressive behaviors, psychosis and depression.</w:t>
      </w:r>
    </w:p>
    <w:p>
      <w:pPr>
        <w:spacing w:after="0" w:line="149"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We expect there to be several classes of disease-modifying agents that will enter the AD market. Among our monoclonal antibodies, there are semorinemab targeting extracellular Tau and crenezumab targeting Abeta oligomers. Therapeutic vaccines are a second class of disease-modifying therapies, and include our candidate products ACI-35.030, which targets aggregated, phosphorylated Tau protein and ACI-24, which targets oligomeric Abeta. A third class of disease-modifying therapies, small molecules, include our Morphomer Tau program, which inhibits Tau aggregates.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availability of novel diagnostic agents to visualize the disease development in patients with AD is critical for successful clinical development of disease-modifying products in AD. At the forefront of this new diagnostic effort are PET agents for imaging of disease pathology, and in particular, Tau-targeting PET agents, which we believe will allow precise assessment of disease in patients with AD. A similar situation is developing in other NDD, such as PD, where PET imaging is becoming available.</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ACI-35.030. </w:t>
      </w:r>
      <w:r>
        <w:rPr>
          <w:rFonts w:ascii="Arial" w:cs="Arial" w:eastAsia="Arial" w:hAnsi="Arial"/>
          <w:sz w:val="18"/>
          <w:szCs w:val="18"/>
          <w:color w:val="auto"/>
        </w:rPr>
        <w:t>ACI-35.030, if approved, would compete with other approved Tau-targeting therapeutic vaccines. This includes the AADvac1 vaccine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by Axon Neuroscience, which completed a Phase 2 study in 2019.</w:t>
      </w:r>
    </w:p>
    <w:p>
      <w:pPr>
        <w:spacing w:after="0" w:line="170" w:lineRule="exact"/>
        <w:rPr>
          <w:sz w:val="20"/>
          <w:szCs w:val="20"/>
          <w:color w:val="auto"/>
        </w:rPr>
      </w:pPr>
    </w:p>
    <w:p>
      <w:pPr>
        <w:jc w:val="both"/>
        <w:ind w:right="4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ACI-24, if approved, would compete with other approved anti-Abeta-targeting therapeutic vaccines. This includes the ABvac 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(Araclon Biotech), which is currently being evaluated in a Phase 2 study and UB-311(Vaxxinity), which has completed a Phase 2a study. In addition, ABvac 42 (Araclon Biotech) has completed a Phase 1 study and ALZ-101 (Alzinova) is currently being evaluated in a Phase 1b study.</w:t>
      </w:r>
    </w:p>
    <w:p>
      <w:pPr>
        <w:spacing w:after="0" w:line="14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ACI-24 is the first disease-modifying vaccine candidate addressing DS-related AD, with a potential preventive and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Although there are symptomatic treatments of DS in clinical development, to our knowledge there are currently no other disease-modifying treatments in clinical development for AD in DS.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ACI-7104. </w:t>
      </w:r>
      <w:r>
        <w:rPr>
          <w:rFonts w:ascii="Arial" w:cs="Arial" w:eastAsia="Arial" w:hAnsi="Arial"/>
          <w:sz w:val="18"/>
          <w:szCs w:val="18"/>
          <w:color w:val="auto"/>
        </w:rPr>
        <w:t>ACI-7104, if approved, would compete with other approved a-syn-targeting therapeutic vaccines. This includes the UB-312 vaccine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by Vaxxinity, which is being evaluated in a Phase 1 study.</w:t>
      </w:r>
    </w:p>
    <w:p>
      <w:pPr>
        <w:spacing w:after="0" w:line="170"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Semorinemab. </w:t>
      </w:r>
      <w:r>
        <w:rPr>
          <w:rFonts w:ascii="Arial" w:cs="Arial" w:eastAsia="Arial" w:hAnsi="Arial"/>
          <w:sz w:val="17"/>
          <w:szCs w:val="17"/>
          <w:color w:val="auto"/>
        </w:rPr>
        <w:t>Semorinemab is one of several Tau-targeting monoclonal antibodies in development to potentially act as disease-modifying agents.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Bepranemab (UCB/Roche) and JNJ-63733657 (Janssen) are being evaluated in Phase 2 studies. BIIB076 (Biogen/Neuroimmune), Lu AF87908 (Lundbeck), PNT001 (Pinteon Therapeutics), E-2814 (Eisai) and PRX005 (Prothena/BMS) are being evaluated in Phase 1 studies.</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Crenezumab is the first monoclonal antibody candidate that targets Abeta in cognitively healthy individuals at risk of developing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familial AD. However, Lilly’s solanezumab, Roche’s gantenerumab, lecanemab (BioArctic/Eisai) and donanemab (Eli Lilly) are being evaluated in studies of presymptomatic AD. ADUHELM (Biogen) has been approved by FDA under the accelerated approval pathway for the treatment of patients with mild cognitive impairment and mild dementia.</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AC Immune has developed the first small molecule targeting aggregated Tau with high selectivity for the target. In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Lilly, this molecule (ACI-3024) was studied in a Phase 1 clinical trial which was completed in 2020 as a first-in-class, Tau-specific, disease-modifying, Tau aggregation inhibitor small molecule for the treatment of neurodegenerative diseases characterized by misfolded Tau. Together with our partner Eli Lilly, we have identified optimized candidates that will now be prioritized for Alzheimer’s disease development. The optimized candidates have been shown to have enhanced brain uptake, good safety profiles and high affinity for Tau. These new candidates are being further characterized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models and will be advanced into IND-enabling studies, and one of them is expected to advance into development in 2022. ACI-3024 will continue to be investigated in Orphan indications.</w:t>
      </w:r>
    </w:p>
    <w:p>
      <w:pPr>
        <w:spacing w:after="0" w:line="19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b w:val="1"/>
          <w:bCs w:val="1"/>
          <w:i w:val="1"/>
          <w:iCs w:val="1"/>
          <w:color w:val="auto"/>
        </w:rPr>
        <w:t xml:space="preserve">Tau-PET tracer. </w:t>
      </w:r>
      <w:r>
        <w:rPr>
          <w:rFonts w:ascii="Arial" w:cs="Arial" w:eastAsia="Arial" w:hAnsi="Arial"/>
          <w:sz w:val="17"/>
          <w:szCs w:val="17"/>
          <w:color w:val="auto"/>
        </w:rPr>
        <w:t>Tauvid (previously known as Flortaucipir) was developed by Eli Lilly and approved by FDA in May 2020. However, should PI-2620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approved, it would also compete with (i) APN-1607 (previously known as 18F-PM-PBB3), a product candidate in a Phase 2 study and being advanced by Aprinoia; (ii) 18F-MK-6240, which is being evaluated by Cerveau/Merck in a Phase 2 clinical trial in patients with ADAD; (iii) 18F-GTP1, which is being developed by Genentech and is in a Phase 2 study in subjects at risk of developing ADAD, (iv) 18F-RO6958948, for which Roche has completed a Phase 1 study in patients with AD and (v)18F-JNJ-067, for which Janssen has completed a Phase 1 study in patients with AD.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A-syn-PET tracer. </w:t>
      </w:r>
      <w:r>
        <w:rPr>
          <w:rFonts w:ascii="Arial" w:cs="Arial" w:eastAsia="Arial" w:hAnsi="Arial"/>
          <w:sz w:val="18"/>
          <w:szCs w:val="18"/>
          <w:color w:val="auto"/>
        </w:rPr>
        <w:t>To our knowledge, there are no a-syn PET tracers in the clinic</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b w:val="1"/>
          <w:bCs w:val="1"/>
          <w:i w:val="1"/>
          <w:iCs w:val="1"/>
          <w:color w:val="auto"/>
        </w:rPr>
        <w:t xml:space="preserve">A-syn. </w:t>
      </w:r>
      <w:r>
        <w:rPr>
          <w:rFonts w:ascii="Arial" w:cs="Arial" w:eastAsia="Arial" w:hAnsi="Arial"/>
          <w:sz w:val="16"/>
          <w:szCs w:val="16"/>
          <w:color w:val="auto"/>
        </w:rPr>
        <w:t>Several a-syn antibodies are currently in development; Roche/Prothena entered a Phase 2 with prasinezumab in June 2017 and in May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began a Phase 2b study in PD patients with more advanced symptoms; ; Astra Zeneca/Takeda started a Phase 1 study in patients with Parkinson’s disease with MEDI1341 in August 2020; Lundbeck/Genmab entered a Phase 2 in Multiple System Atrophy (MSA) with Lu AF82422 in November 2021; AbbVie/BioArctic is preparing for a Phase 2 study with ABBV-0805; and UCB7853 (UCB/Novartis) entered a Phase 1 study in December 2020.</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TDP-43 antibodies. </w:t>
      </w:r>
      <w:r>
        <w:rPr>
          <w:rFonts w:ascii="Arial" w:cs="Arial" w:eastAsia="Arial" w:hAnsi="Arial"/>
          <w:sz w:val="18"/>
          <w:szCs w:val="18"/>
          <w:color w:val="auto"/>
        </w:rPr>
        <w:t>To our knowledge, there are no TDP-43 antibodies in the clinic.</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opportunities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Our strategy to date has been to focus on identifying partnerships for our early-stage product candidates as both a way to secure non-dilutive capital to fund our other research and development programs and also as a way to accelerate the development of these partnered products by leveraging our partners’ extensive knowledge in clinical studies, drug development, manufacturing and commercialization.</w:t>
      </w:r>
    </w:p>
    <w:p>
      <w:pPr>
        <w:spacing w:after="0" w:line="18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With greater financial resources at our disposal and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while we plan to seek a strategic partner for our Abeta vaccine program in AD, our current plan is to retain full control of this asset for development in the DS population. We will commence an upcoming Phase 2 study for AD before potentially partnering this program and intend to fund further clinical development in DS from our own financial resources. In the field of diagnostics, the parallel development of therapeutic compounds and companion diagnostics is of growing importance to the pharmaceutical and biopharmaceutical industries.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product candidates is granted marketing approval, we intend to focus our initial commercial efforts in the US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and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7"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Our success will significantly depend on our and our collaboration and licensing partners’ ability to obtain and maintain patent and other proprietary protection for commercially important technology, inventions and know-how related to our business, to defend and enforce patents, to preserve the confidentiality of our trade secrets and to operate our business without infringing any patents and other intellectual property or proprietary rights of third parties. See the section titled “Risk factors— Risks related to intellectual property” for additional information.</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December 31, 2021, we owned or co-owned with our collaboration and licensing partners, approximately 44 issued US patents and 363 issued patents in other jurisdictions, as well as 27 pending US patent applications and 519 pending foreign patent applications. As of December 31, 2021, we licensed approximately 28 issued US patents and 257 issued patents in other jurisdictions, as well as 19 pending US patent applications and 333 pending foreign patent applications.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patent portfolios for our most advanced product candidates as of December 31, 2021 are summarized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Anti-Tau vaccines</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Our patent portfolio for anti-Tau vaccines includes a patent family with composition-of-matter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28 issued patents and two pending patent applications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6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patent portfolio for anti-Tau vaccines also includes a patent family relating to therapeutic Tau vaccine claims (including claims directed to a pharmaceutical composition comprising an antigenic Tau peptide), claims directed to using such vaccines to induce an immune response in a subject, and claims directed to methods for preventing or treating a neurodegenerative disease or disorder, including AD, among others. This patent family currently contains 1 issued patent and approximately forty pending patent applications in 38 countries. The issued patent and any patents issuing in this patent family, if the appropriate maintenance, renewal, annuity or other governmental fees are paid, are expected to expire in 2038, excluding any additional term for patent term adjustments or patent term extensions.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patent portfolio for ACI-24 includes a patent family with composition-of-matter claims (including claims directed to the ACI-24 antigenic construct), claims directed to treating certain indications using ACI-24 including AD, and claims directed to using ACI-24 to induce an immune response. This patent family currently contains approximately 26 issued patents and 8 pending patent applications in 30 countries. With respect to the US, we own two issued US patents. The issued patents in this patent family, if the appropriate maintenance, renewal, annuity or other governmental fees are paid, are expected to expire in 2026, excluding any additional term for patent term adjustments or patent term extensions.</w:t>
      </w:r>
    </w:p>
    <w:p>
      <w:pPr>
        <w:spacing w:after="0" w:line="17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patent portfolio for ACI-24 also includes a patent family directed to the use of the ACI-24 vaccine in the treatment and/or prevention of memory and/or cognitive impairments or abnormalities in the DS population, among others. As of December 31, 2021, in this patent family, we owned approximately 12 issued patents and 6 pending patent applications in 18 countries. Issued patents in this patent family, if the appropriate maintenance, renewal, annuity or other governmental fees are paid, are expected to expire in 2032, excluding any additional term for patent term adjustments or patent term extensions.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patent portfolio for ACI-24 also includes a patent family relating to therapeutic anti-Abeta vaccine claims (including claims directed to a pharmaceutical composition comprising an antigenic peptide), and claims directed to using such vaccines in treating, preventing, inducing a protective immune response against or alleviating the symptoms associated with an Abeta-associated disease in a subject, among others. This patent family currently contains one issued US patent and approximately 33 pending patent applications in 32 countries. Any issued patents in this patent family, if the appropriate maintenance, renewal, annuity or other governmental fees are paid, are expected to expire in 2039, excluding any additional term for patent term adjustments or patent term extensions.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ACI-7104</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patent portfolio relating to ACI-7104 includes patents and patent applications with composition-of-matter claims (including claims directed to the peptide, as well as pharmaceutical formulations comprising the peptide), and claims directed to the use of compounds comprising the peptide in treating or preventing synucleinopathies including PD and MSA.</w:t>
      </w:r>
    </w:p>
    <w:p>
      <w:pPr>
        <w:spacing w:after="0" w:line="18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patent portfolio relating to ACI-7104 includes patents and patent applications that we own in two different patent families. As of December 31, 2021, in these patent families, we owned approximately 14 issued patents and 15 pending patent applications, in 11 countries. With respect to the US, we owned two issued US patents. Issued patents in the basic patent family, if the appropriate maintenance, renewal, annuity or other governmental fees are paid, are expected to expire in 2029, excluding any additional term for patent term adjustments or patent term extensions.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Semorinemab</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8"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Our patent portfolio relating to crenezumab includes patents and patent applications that we own or co-own in four different patent families. As of December 31, 2021, we owned or co-owned approximately 49 patents (not including the patents in the individual countries where the issued European patent was validated) and 15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that was filed on July 13, 2007. If the appropriate maintenance, renewal, annuity, or other governmental fees are paid, national-stage applications issuing from this PCT patent application are expected to expire in 2027, excluding any additional term for patent term adjustments or patent term extensions, as applicable.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Morphomer Tau</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Our patent portfolio relating to Morphomer Tau therapeutics includes patent applications with claims directed to composition of matter (including claims directed to the molecule, a pharmaceutical composition comprising such molecule and a mixture comprising such molecule), and claims directed to prevention and treatment of certain indications using such molecules including AD and PSP, among others.</w:t>
      </w:r>
    </w:p>
    <w:p>
      <w:pPr>
        <w:spacing w:after="0" w:line="1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patent portfolio relating to the Morphomer Tau therapeutic program includes patent applications that we own or co-own in four different patent families. As of December 31, 2021, we owned or co-owned approximately 49 pending patent applications and one US issued patent in our main patent family directed to the ACI-3024 small molecule Tau aggregation inhibitor. If the appropriate maintenance, renewal, annuity, or other governmental fees are paid, national-stage applications issuing from this PCT patent application are expected to expire in 2039, excluding any additional term for patent term adjustments or patent term extensions, as applicable.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PI-2620</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patent portfolio relating to PI-2620 includes patent applications with claims directed to composition of matter (including claims directed to the molecule, its precursor and a diagnostic composition comprising such molecule), claims directed to diagnosis of certain indications using PI-2620 including AD and PSP, and claims directed to a method of manufacturing PI-2620, among others.</w:t>
      </w:r>
    </w:p>
    <w:p>
      <w:pPr>
        <w:spacing w:after="0" w:line="184"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Our patent portfolio relating to PI-2620 includes patent applications that we own or co-own in three different patent families. As of December 31, 2021, we owned or co-owned 2 patents and approximately 14 patent applications in 16 countries in our main patent family directed to the PI-2620 molecule, its precursor and methods of using the PI-2620 to diagnose certain indications, including AD and PSP. This main patent family includes one issued US patent If the appropriate maintenance, renewal, annuity, or other governmental fees are paid, national-stage applications issuing from this PCT patent application are expected to expire in 2037, excluding any additional term for patent term adjustments or patent term extensions, as applicable.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A-syn PET Tracer</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Our patent portfolio relating to a-syn diagnostics includes composition of matter claims (including claims directed to the ACI-12589 molecule, its precursor, and diagnostic compositions comprising the molecule), and claims directed to use of the molecule in imaging and in diagnostics of a-synucleinopathies including PD and MSA.</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patent portfolio relating to a-syn diagnostics includes patents and patent applications that we own in three different patent families. If the appropriate maintenance, renewal, annuity or other governmental fees are paid, any issued patents are expected to provide protection up to 2041, excluding any additional term for patent term adjustments or patent term extensions, as applicable.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do not own or operate facilities for the manufacture, packaging, labeling, storage, testing or distribution of preclinical or clinical supplies of any of our product candidates. We instead contract with and rely on third-party CMOs to manufacture, package, label, store, test and distribute all preclinical development and clinical supplies of our product candidates, and we plan to continue to do so for the foreseeable future. We have established relationships with CMOs such as WuXi AppTec (WuXi STA), WuXi Biologics, Avecia, Almac Clinical Services, Bachem AG, Evonik Industries AG, Polymun Scientific Immunbiologische Forschung GmbH, piCHEM Forschungs-und Entwicklungs GmbH, Baccinex SA, Solvias AG and Pfenex Inc. among others.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facilities used by our collaboration partners and CMOs to manufacture our product candidates are systematically audited by local authorities and occasionally inspected by competent authorities where the clinical studies are ongoing. The facilities where the commercial productions are performed will have to be approved by the FDA or other relevant regulatory authorities, pursuant to inspections that are conducted after we submit our NDA or comparable marketing applications. We perform periodic quality audits of the manufacturing facilities and CMOs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QCs and QA systems including personnel qualification.</w:t>
      </w:r>
    </w:p>
    <w:p>
      <w:pPr>
        <w:spacing w:after="0" w:line="16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QC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product stability during the storage period; this, in addition to guaranteeing the safety of the products, supports the definition of a suitable supply chain that may encompass the distribution of the products in different continents.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have established, with CMOs supplying active pharmaceutical ingredients, drug substances or drug products under cGMP, quality agreements and master service agreements. Quality agreements define the quality standards required to develop, produce and supply the product, and also define the responsibilities related to the collaboration with regards to the quality related aspects. Manufacturing service agreements define the commercial and financial framework under which product manufacturing under cGMP is performed.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that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which may offer the chance to rapidly identify alternative contract manufacturers to whom the manufacturing process could be transferred providing continuity for the clinical study.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Interaction with CMOs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Finally, our partnerships with CMOs are managed through an efficient project management platform in which teams are formed with the representatives of each key function from both parties. Meetings occur either through telephone conferences aimed at updating short-term actions or face-to-face conferences when mid- to long-term development plans are discussed.</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QA group is included within the regulatory department with the mission to:</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create and maintain a corporate quality management system;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ensure cGCP, cGMP, cGLP and current Good Distribution Practice (cGDP) compliance.</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science-driven approach is the cornerstone of our interactions and this has helped us to build and maintain a high level of trust with regulators. Besides informal conversations with the authorities, our regulatory department has conducted several pre-Investigational New Drug (pre-IND), Type B and Type C meetings with the FDA (ACI-24 for AD and DS, ACI-7104 and PI-2620) and Scientific Advice meetings, which are the European equivalent of pre-IND meetings (with the German Paul-Ehrlich-Institut, Swedish Medical Products Agency; UK Medicine &amp; Healthcare Products Regulatory Agency, Finnish Medicines Agency, the Spanish Agency of Medicines and Medical Devices and the EMA). Since 2008, our regulatory department has filed a total of 19 clinical trial applications in the EU (one each in Austria, Denmark, the Netherlands and Poland, two in Germany, three in Sweden, four in Finland and five in the UK) and 4 INDs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and the EMA, are intended to facilitate expeditious execution through the regulatory approval process.</w:t>
      </w:r>
    </w:p>
    <w:p>
      <w:pPr>
        <w:spacing w:after="0" w:line="1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regulatory department contains a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90 standard operating procedures and working instructions and continuously train the relevant staff. Our QA personnel conduct regular audits, including in-person audits of the contract manufacturers, contract research organizations and laboratories conducting primary endpoint analysis. In addition, we have a full-time QA documentation assistant to ensure good documentation practice and archiving.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clinical studies, manufacturing, labeling, storage, distribution, record-keeping, advertising, promotion, import, export and marketing, among other things, of our product candidates are subject to extensive regulation by governmental authorities in the US and other countries. The US FDA, under the Federal Food, Drug, and Cosmetic Act (FDCA), regulates pharmaceutical products in the US. The steps required before a drug may be approved for marketing in the US generally include:</w:t>
      </w:r>
    </w:p>
    <w:p>
      <w:pPr>
        <w:spacing w:after="0" w:line="187" w:lineRule="exact"/>
        <w:rPr>
          <w:sz w:val="20"/>
          <w:szCs w:val="20"/>
          <w:color w:val="auto"/>
        </w:rPr>
      </w:pPr>
    </w:p>
    <w:p>
      <w:pPr>
        <w:ind w:left="620" w:hanging="234"/>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cGLP regulations;</w:t>
      </w:r>
    </w:p>
    <w:p>
      <w:pPr>
        <w:spacing w:after="0" w:line="225" w:lineRule="exact"/>
        <w:rPr>
          <w:rFonts w:ascii="Arial" w:cs="Arial" w:eastAsia="Arial" w:hAnsi="Arial"/>
          <w:sz w:val="18"/>
          <w:szCs w:val="18"/>
          <w:color w:val="auto"/>
        </w:rPr>
      </w:pPr>
    </w:p>
    <w:p>
      <w:pPr>
        <w:ind w:left="620" w:right="780" w:hanging="234"/>
        <w:spacing w:after="0" w:line="277"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studies commence;</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obtaining a positive opinion from the ethics committee (Europe)/institutional review board (US) to commence study on human subjects;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20" w:right="520" w:hanging="234"/>
        <w:spacing w:after="0" w:line="277"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performance of adequate and well-controlled human clinical studies to establish the safety and efficacy of the product candidate for each proposed indication and conducted in accordance with cGCP requirements;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225" w:lineRule="exact"/>
        <w:rPr>
          <w:rFonts w:ascii="Arial" w:cs="Arial" w:eastAsia="Arial" w:hAnsi="Arial"/>
          <w:sz w:val="18"/>
          <w:szCs w:val="18"/>
          <w:color w:val="auto"/>
        </w:rPr>
      </w:pPr>
    </w:p>
    <w:p>
      <w:pPr>
        <w:ind w:left="620" w:right="840" w:hanging="234"/>
        <w:spacing w:after="0" w:line="277"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cGMP requirements;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US; and</w:t>
      </w:r>
    </w:p>
    <w:p>
      <w:pPr>
        <w:spacing w:after="0" w:line="225" w:lineRule="exact"/>
        <w:rPr>
          <w:rFonts w:ascii="Arial" w:cs="Arial" w:eastAsia="Arial" w:hAnsi="Arial"/>
          <w:sz w:val="18"/>
          <w:szCs w:val="18"/>
          <w:color w:val="auto"/>
        </w:rPr>
      </w:pPr>
    </w:p>
    <w:p>
      <w:pPr>
        <w:ind w:left="620" w:right="240" w:hanging="234"/>
        <w:spacing w:after="0" w:line="263"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having parallel scientific advice from the EMA or Health Technology Assessment body whereby the payors are involved at the outset (Phase 2), which is intended to facilitate the design of clinical studies to target primarily populations with a high chance of obtaining reimbursement and accelerate the process of time to reimbursement.</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FDA has various programs, including Fast Track, Priority review, Accelerated Approval and Breakthrough Therapy designation, which are intended to increase agency interactions, expedite or facilitate the process for reviewing product candidates, and/or provide for initial approval based on surrogate endpoints. We believe that one or more of our product candidates may qualify for some of these expedited development and review programs. However, even if a product candidate qualifies for one or more of these programs, the FDA may later decide that the product candidate no longer meets the conditions for qualification.</w:t>
      </w:r>
    </w:p>
    <w:p>
      <w:pPr>
        <w:spacing w:after="0" w:line="18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it provides a significant improvement in the treatment, diagnosis or prevention of a disease compared with marketed products. The FDA will attempt to direct additional resources to the evaluation of an application for a new drug designated for Priority Review to facilitate the review. Additionally, a product may be eligible for the Accelerated Approval program. Product candidates that are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as a condition for Accelerated Approval the FDA currently requires pre-approval of promotional materials, which could adversely impact the timing of the commercial launch of the product. The Fast Track, Priority Review and Accelerated Approval programs do not change the standards for approval but may expedite the development or approval process.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Food and Drug Administration Safety and Innovation Act of 2012 also amended the FDCA to require the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in one or more clinically significant endpoints. A sponsor may request that a drug be designated as a breakthrough therapy at any time during the clinical development of the product. If so designated, the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66"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The testing and approval process requires substantial time, effort and financial resources, and the receipt and timing of any approval is uncertain. Given this paradigm, AD has been given Life-Threatening Disease status by the FDA and therefore AD therapies are eligible for the expanded access program for investigational drugs and other pathways such as Breakthrough Therapy, Accelerated Approval and Priority Review. Additionally, a single well-designed, well-conducted, pivotal clinical study could be sufficient to trigger market approval pending a successful PAI.</w:t>
      </w:r>
    </w:p>
    <w:p>
      <w:pPr>
        <w:spacing w:after="0" w:line="15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automatically become effective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Board/Committee. This group provides authorization for whether or not a study may move forward at designated checkpoints based on access to certain data from the study. We may also suspend or terminate a clinical study based on evolving business objectives and/or competitive climate.</w:t>
      </w:r>
    </w:p>
    <w:p>
      <w:pPr>
        <w:spacing w:after="0" w:line="1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46"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Phase 4. 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post-marketing requirements or commitments. Failure to conduct any required Phase 4 clinical studies promptly could result in withdrawal of approval.</w:t>
      </w:r>
    </w:p>
    <w:p>
      <w:pPr>
        <w:spacing w:after="0" w:line="18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estimate that it generally takes 10 to 15 years, or possibly longer, to discover, develop and bring to market a new pharmaceutical or biopharmaceutical product in the US. Several years may be needed to complete each phase, including discovery, preclinical, Phase 1, 2 or 3, or marketing authorization.</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under the Pediatric Research Equity Act,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(FDASIA), which was signed into law on July 9, 2012, amended the FDCA. The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60 days of an end-of-Phase-2 meeting or as may be agreed between the sponsor and the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Pediatric Study Plan. A sponsor can submit amendments to an agreed-upon initial Pediatric Study Plan at any time if changes to the pediatric plan need to be considered based on data collected from nonclinical studies, early-phase clinical trials, and/or other clinical development programs.</w:t>
      </w:r>
    </w:p>
    <w:p>
      <w:pPr>
        <w:spacing w:after="0" w:line="17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(PDUFA), as amended, each NDA must be accompanied by a user fee. The FDA adjusts the PDUFA user fees on an annual basis. PDUFA VI eliminates fees for supplements as well as for establishments, although applicants will be assessed for annual prescription drug program fees for prescription drug products, rather than the prescription drug product fee assessed under the previous iteration of PDUFA. According to the FDA’s fee schedule for the 2022 FY, the user fee for each NDA application requiring clinical data is USD 3,117,218 and the annual program fee is USD 369,413.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 regulations and may also inspect clinical study sites for integrity of the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After the FDA evaluates the NDA and conducts inspections of the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 or studies,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post-marketing studies or clinical studies. Such post-marketing testing may include Phase 4 clinical studies and surveillance to further assess and monitor the product’s safety and effectiveness after commercialization.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(SPA). Upon a specific request for a SPA by an IND sponsor, the FDA will evaluate the protocol. If an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agreed-upon protocol, or the relevant data, assumptions, or information provided by the IND sponsor when requesting a SPA agreement change, are found to be false statements or misstatements, or are found to omit relevant facts. An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Orphan-drug designation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a disease or condition that either affects fewer than 200,000 individuals in the US, or affects more than 200,000 individuals in the US but there is no reasonable expectation that the cost of developing and making a drug product available in the US for this type of disease or condition will be recovered from sales of the product in the US. Orphan-product designation must be requested before submitting an NDA. After the FDA grants orphan-product designation, the identity of the therapeutic agent and its potential orphan use are disclosed publicly by the FDA. Orphan-product designation does not convey any advantage in or shorten the duration of the regulatory review and approval process.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orphan-product exclusivity, which means that the FDA cannot approve any other applications to market the same drug or biological product for the same indication for 7 years, except in limited circumstances, such as a showing of clinical superiority to the product with orphan exclusivity. The designation of such drug also entitles a party to financial incentives such as opportunities for grant funding toward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Orphan-product exclusivity also could block the approval of one of our products for 7 years if a competitor obtains approval of the same drug or biological product as defined by the FDA or if our product candidate is determined to be contained within the competitor’s product for the same indication or disease. If a drug product designated as an orphan product receives marketing approval for an indication broader than what is designated, it may not be entitled to orphan-product exclusivity. Orphan-drug status in the EU has similar but not identical benefits in that jurisdiction.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be required to be disclosed in the future.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areas of production and QC to maintain cGMP compliance.</w:t>
      </w:r>
    </w:p>
    <w:p>
      <w:pPr>
        <w:spacing w:after="0" w:line="17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620" w:hanging="23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36" w:lineRule="exact"/>
        <w:rPr>
          <w:rFonts w:ascii="Arial" w:cs="Arial" w:eastAsia="Arial" w:hAnsi="Arial"/>
          <w:sz w:val="17"/>
          <w:szCs w:val="17"/>
          <w:color w:val="auto"/>
        </w:rPr>
      </w:pPr>
    </w:p>
    <w:p>
      <w:pPr>
        <w:ind w:left="620" w:hanging="23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referred to as the Hatch-Waxman Act. The Hatch-Waxman Act permits a patent term to be extended up to 5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of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60-day period from the date the product is first approved for commercial marketing. The USPTO,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 containing it.</w:t>
      </w:r>
    </w:p>
    <w:p>
      <w:pPr>
        <w:spacing w:after="0" w:line="182"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Biologics Price Competition and Innovation Act of 2009 provides up to 12 years of non-patent data exclusivity within the US to the first applicant to gain approval of a Biologics License Application for a new biologic product that has not previously been approved by the FDA, which we refer to as a reference product. This 12-year data exclusivity does prohibit the FDA from approving a biosimilar or interchangeable product of such reference product until 12 years after the licensure of such reference product. In addition, the FDA will not accept a biosimilar or interchangeable product application for review until 4 years after the date of first licensure of such reference product. Under 21CFR314.108, 5 years’ exclusivity is also granted to new chemical entities that contain no active moiety that has been approved by the FDA under section 505(b). This market exclusivity bars the FDA from accepting for review any ANDA or 505(b)(2) application for a drug containing the same active moiety for (i) 5 years if an ANDA or 505(b)(2) application does not contain a paragraph IV certification to a listed patent, or (ii) 4 years if an ANDA or 505(b)(2) is submitted containing a paragraph IV certification to a listed patent. Moreover, pediatric exclusivity, if granted, may add 6 months of exclusivity if the reference product has been studied with respect to a pediatric indication in accordance with certain regulatory requirements. A reference product may also be granted 7 years of orphan-drug exclusivity for the treatment of a rare disease or condition under section 527(a) of FDCA, which would run in parallel with the 12 years of data exclusivity of the reference product, if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market any product outside of the US,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US apply similarly in the context of the EU,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 drug review approval</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the EEA, which is comprised of the 27 Member States of the EU plus Norway, Iceland and Liechtenstein medicinal products can only be commercialized after obtaining a marketing authorization. There are two types of marketing authorization: the Community Marketing Authorization, which is issued by the EC through the Centralized Procedure based on the opinion of the Committee for Medicinal Products for Human Use (CHMP), a body of the EMA, and which is valid throughout the entire territory of the EEA; and the National Marketing Authorization, which is issued by the competent authorities of the Member States of the EEA and authorizes marketing only in that Member State’s national territory and not the EEA as a whole.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 The National Marketing Authorization is for products not falling within the mandatory scope of the Centralized Procedure. Where a product has already been authorized for marketing in a Member State of the EEA, this National Marketing Authorization can be recognized in another Member State through the Mutual Recognition Procedure. If the product has not received a National Marketing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marketing authorization is sought, one of which is selected by the applicant as the Reference Member State (RMS). If the RMS proposes to authorize the product, and the other Member States do not raise objections, the product is granted a National Marketing Authorization in all the Member States in which the authorization was sought. Before granting the marketing authorization, the EMA or the competent authorities of the Member States of the EEA assesses the risk–benefit balance of the product on the basis of scientific criteria concerning its quality, safety and efficacy.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in the EU</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Product development, the regulatory approval process, and safety monitoring of medicinal products and their manufacturers in the EU proceed in much the same manner as they do in the US. Therefore, many of the issues discussed above apply similarly in the context of the EU. In addition, drugs are subject to the extensive price and reimbursement regulations of the various EU Member States.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As is the case in the US, the various phases of preclinical and clinical research in the EU are subject to significant regulatory controls. The Clinical Trials Directive 2001/20/EC, as amended and which will be replaced in 2021 or later by Regulation (EU) No 536/2014) provides a system for the approval of clinical studies in the European Union via implementation through national legislation of the Member States. Under this system, approval must be obtained from the competent national authorities of the EU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EEA. European regulators and ethics committees also require the submission of AE reports during a study and a copy of the final study report.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Marketing approvals under the EU regulatory system may be obtained through a centralized or decentralized procedure. The centralized procedure results in the grant of a single marketing authorization, which is valid for all (currently 27) EU Member States and the three European Free Trade Association (EFTA) members (Norway, Iceland and Liechtenstein).</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Pursuant to Regulation (EC) No. 726/2004, as amended, the centralized procedure is mandatory for drugs developed by means of specified biotechnological processes, advanced-therapy medicinal products, drugs for human use containing a new active substance for which the therapeutic indication is the treatment of specified diseases, including but not limited to AIDS,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the marketing authorization application, the applicant must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the manufacturing and control information that should be submitted in a marketing authorization application, and the post-approval measures required to monitor patients and evaluate the long-term efficacy and potential adverse reactions. Although these guidelines are not legally binding, we believe that our compliance with them is likely to be necessary to gain approval for any of our product candidates.</w:t>
      </w:r>
    </w:p>
    <w:p>
      <w:pPr>
        <w:spacing w:after="0" w:line="19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maximum timeframe for the evaluation of a marketing authorization application by the CHMP under the centralized procedure is 210 days after receipt of a valid application. This period will be suspended until such time as the supplementary information requested by the CHMP has been provided by the applicant. Likewise, this time limit will be suspended for the time allowed for the applicant to prepare oral or written explanations. When an application is submitted for a marketing authorization in respect of a drug that is of major interest from the viewpoint of public health and in particular therapeutic innovation, the applicant may request an accelerated assessment procedure. If the CHMP accepts such a request, the time limit of 210 days will be reduced to 150 days, but it is possible that the CHMP can revert to the standard time limit for the centralized procedure if it considers that it is no longer appropriate to conduct an accelerated assessment.</w:t>
      </w:r>
    </w:p>
    <w:p>
      <w:pPr>
        <w:spacing w:after="0" w:line="1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EC, which drafts a decision within approximately 67 days following the CHMP opinion. After consulting with the Member States, the EC adopts a decision and grants a marketing authorization, which is valid for the whole of the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EMA has various programs, including accelerated assessment, conditional approval and PRIority MEdicines (PRIME), which are intended to increase agency interactions, expedite or facilitate the process for reviewing product candidates, and/or provide for initial approval on the basis of surrogate endpoints. One or more of our product candidates may qualify for some of these expedited development and review programs. However, even if a product candidate qualifies for one or more of these programs, the EMA may later decide that the product candidate no longer meets the conditions for qualification. Eligibility to the PRIME scheme is limited to products considered to offer a major therapeutic advantage in populations with high unmet need. PRIME is a voluntary scheme aimed at enhancing interaction and early dialogue with developers of promising medicines through achieving the early appointment of the Rapporteur for the product, optimizing development plans and speeding up evaluation so these medicines can reach patients earlier. Products benefiting from PRIME can expect to be eligible for accelerated assessment at the time of application for a marketing authorization application.</w:t>
      </w:r>
    </w:p>
    <w:p>
      <w:pPr>
        <w:spacing w:after="0" w:line="16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EU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8 years of data exclusivity and an additional 2 years of market exclusivity. Data exclusivity prevents regulatory authorities in the EU from referencing the innovator’s data to assess a generic (abbreviated) application. During the additional 2-year period of market exclusivity, a generic marketing authorization can be submitted, and the innovator’s data may be referenced, but no generic medicinal product can be marketed until the expiration of the market exclusivity. The overall 10-year period will be extended to a maximum of 11 years if, during the first 8 years of those 10 years, the marketing authorization holder (MAH) obtains an authorization for one or more new therapeutic indications that, during the scientific evaluation prior to their authorization, are held to bring a significant clinical benefit in comparison with existing therapies. Even if a compound is considered to be a new chemical entity and the innovator can gain the period of data exclusivity, another company nevertheless could also market another version of the drug if such company obtained marketing authorization based on a marketing authorization application with a completely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an SPC of up to 5 years’, pursuant to Regulation (EC) No. 469/2009. Such SPCs extend the rights under the basic patent for the drug.</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an orphan medicinal product pursuant to Regulation (EC) No. 141/2000, as amended. Instead, a medicinal product designated as an orphan medicinal product may enjoy an extension of the 10-year market exclusivity period granted under Regulation (EC) No. 141/2000 to 12 years subject to the conditions applicable to orphan drugs.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regulation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EU, Regulation (EC) No. 141/2000, as amended, states that a drug will be designated as an orphan drug if its sponsor can establish:</w:t>
      </w:r>
    </w:p>
    <w:p>
      <w:pPr>
        <w:spacing w:after="0" w:line="237" w:lineRule="exact"/>
        <w:rPr>
          <w:sz w:val="20"/>
          <w:szCs w:val="20"/>
          <w:color w:val="auto"/>
        </w:rPr>
      </w:pPr>
    </w:p>
    <w:p>
      <w:pPr>
        <w:ind w:left="620" w:right="120" w:hanging="234"/>
        <w:spacing w:after="0" w:line="259"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it is intended for the diagnosis, prevention or treatment of a life-threatening or chronically debilitating condition affecting not more than 5 in 10,000 persons in the EU when the application is made, or that it is intended for the diagnosis, prevention or treatment of a life-threatening, seriously debilitating or serious and chronic condition in the EU and that without incentives it is unlikely that the marketing of the drug in the EU would generate sufficient return to justify the necessary investment; and</w:t>
      </w:r>
    </w:p>
    <w:p>
      <w:pPr>
        <w:spacing w:after="0" w:line="186" w:lineRule="exact"/>
        <w:rPr>
          <w:rFonts w:ascii="Arial" w:cs="Arial" w:eastAsia="Arial" w:hAnsi="Arial"/>
          <w:sz w:val="18"/>
          <w:szCs w:val="18"/>
          <w:color w:val="auto"/>
        </w:rPr>
      </w:pPr>
    </w:p>
    <w:p>
      <w:pPr>
        <w:ind w:left="620" w:right="140" w:hanging="234"/>
        <w:spacing w:after="0" w:line="277" w:lineRule="auto"/>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 or, if such method exists, that the drug will be of significant benefit to those affected by that condition.</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If a EU-wide community marketing authorization in respect of an orphan drug is granted or if all the EU Member States have granted marketing authorizations in accordance with the procedures for mutual recognition, the EU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6 years if, at the end of the fifth year, it is established, with respect to the drug concerned, that the criteria for orphan-drug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7" w:lineRule="exact"/>
        <w:rPr>
          <w:sz w:val="20"/>
          <w:szCs w:val="20"/>
          <w:color w:val="auto"/>
        </w:rPr>
      </w:pPr>
    </w:p>
    <w:p>
      <w:pPr>
        <w:ind w:left="620" w:hanging="234"/>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225" w:lineRule="exact"/>
        <w:rPr>
          <w:rFonts w:ascii="Arial" w:cs="Arial" w:eastAsia="Arial" w:hAnsi="Arial"/>
          <w:sz w:val="18"/>
          <w:szCs w:val="18"/>
          <w:color w:val="auto"/>
        </w:rPr>
      </w:pPr>
    </w:p>
    <w:p>
      <w:pPr>
        <w:ind w:left="640" w:right="280" w:hanging="254"/>
        <w:spacing w:after="0" w:line="277"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incentives available to orphan drugs in the EU include financial incentives such as a reduction of fees or fee waivers and protocol assistance.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Orphan-drug designation does not shorten the duration of the regulatory review and approval process.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manufacturers’ license</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distribution and license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cGDP.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In the EU, the promotion of prescription medicines is subject to intense regulation and control, including EU and national legislation as well as self-regulatory codes (industry codes). Advertising legislation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includes a prohibition on direct-to-consumer advertising. All advertising of prescription medicines must be consistent with the product’s approved Summary of Product Characteristics, and must be factual, accurate, balanced and not misleading. Advertising of prescription medicines pre-approval or off-label is not allowed. Some jurisdictions require that all promotional materials for prescription medicines be subjected to prior review and approval, either internal or regulatory.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An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obligations of an MAH include the following:</w:t>
      </w:r>
    </w:p>
    <w:p>
      <w:pPr>
        <w:spacing w:after="0" w:line="225" w:lineRule="exact"/>
        <w:rPr>
          <w:sz w:val="20"/>
          <w:szCs w:val="20"/>
          <w:color w:val="auto"/>
        </w:rPr>
      </w:pPr>
    </w:p>
    <w:p>
      <w:pPr>
        <w:ind w:left="660" w:right="500" w:hanging="328"/>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GMPs, and the product specifications and manufacturing conditions set out in the marketing authorization, and that each batch of product is subject to appropriate release formalities.</w:t>
      </w:r>
    </w:p>
    <w:p>
      <w:pPr>
        <w:spacing w:after="0" w:line="183"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86" w:lineRule="exact"/>
        <w:rPr>
          <w:rFonts w:ascii="Arial" w:cs="Arial" w:eastAsia="Arial" w:hAnsi="Arial"/>
          <w:sz w:val="18"/>
          <w:szCs w:val="18"/>
          <w:color w:val="auto"/>
        </w:rPr>
      </w:pPr>
    </w:p>
    <w:p>
      <w:pPr>
        <w:ind w:left="660" w:right="400" w:hanging="328"/>
        <w:spacing w:after="0" w:line="34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to submit safety reports to the regulators and to comply with the good pharmacovigilance practice guidelines adopted by the EMA.</w:t>
      </w:r>
    </w:p>
    <w:p>
      <w:pPr>
        <w:spacing w:after="0" w:line="123" w:lineRule="exact"/>
        <w:rPr>
          <w:rFonts w:ascii="Arial" w:cs="Arial" w:eastAsia="Arial" w:hAnsi="Arial"/>
          <w:sz w:val="16"/>
          <w:szCs w:val="16"/>
          <w:color w:val="auto"/>
        </w:rPr>
      </w:pPr>
    </w:p>
    <w:p>
      <w:pPr>
        <w:ind w:left="660" w:right="300" w:hanging="328"/>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their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their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Legal representation and distributor issues</w:t>
      </w:r>
      <w:r>
        <w:rPr>
          <w:rFonts w:ascii="Arial" w:cs="Arial" w:eastAsia="Arial" w:hAnsi="Arial"/>
          <w:sz w:val="18"/>
          <w:szCs w:val="18"/>
          <w:color w:val="auto"/>
        </w:rPr>
        <w:t>—MAHs are responsible for regulatory actions or inactions of their distributors and agents.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0" w:hanging="328"/>
        <w:spacing w:after="0" w:line="275"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Preparation, filing and maintenance of the application and subsequent marketing authorization</w:t>
      </w:r>
      <w:r>
        <w:rPr>
          <w:rFonts w:ascii="Arial" w:cs="Arial" w:eastAsia="Arial" w:hAnsi="Arial"/>
          <w:sz w:val="17"/>
          <w:szCs w:val="17"/>
          <w:color w:val="auto"/>
        </w:rPr>
        <w:t>— MAHs must maintain appropriate records,</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Pricing and reimbursement</w:t>
      </w:r>
    </w:p>
    <w:p>
      <w:pPr>
        <w:spacing w:after="0" w:line="22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In the EU,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to the entry of new products are being erected and some EU countries require the completion of studies that compare the cost-effectiveness of a particular product candidate with that of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In addition to FDA restrictions on marketing of pharmaceutical or biopharmaceutical products, federal and state healthcare laws restrict certain business practices in the pharmaceutical and biopharmaceutical industries. These laws include, but are not limited to, anti-kickback, false claims, data privacy and security, and transparency statutes and regulations.</w:t>
      </w:r>
    </w:p>
    <w:p>
      <w:pPr>
        <w:spacing w:after="0" w:line="18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The US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and biopharmaceutical manufacturers on the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the criteria for a statutory exception or safe harbor protection. Practices involving remuneration that may be alleged to be intended to induce prescribing, purchases or recommendations may be subject to scrutiny if they do not qualify for an exception or safe harbor. Failure to meet all the requirements of a particular applicable statutory exception or regulatory safe harbor does not make the conduct </w:t>
      </w:r>
      <w:r>
        <w:rPr>
          <w:rFonts w:ascii="Arial" w:cs="Arial" w:eastAsia="Arial" w:hAnsi="Arial"/>
          <w:sz w:val="16"/>
          <w:szCs w:val="16"/>
          <w:i w:val="1"/>
          <w:iCs w:val="1"/>
          <w:color w:val="auto"/>
        </w:rPr>
        <w:t>per se</w:t>
      </w:r>
      <w:r>
        <w:rPr>
          <w:rFonts w:ascii="Arial" w:cs="Arial" w:eastAsia="Arial" w:hAnsi="Arial"/>
          <w:sz w:val="16"/>
          <w:szCs w:val="16"/>
          <w:color w:val="auto"/>
        </w:rPr>
        <w:t xml:space="preserv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healthcare-covered business, the statute has been violated. The Patient Protection and Affordable Care Act as amended by the Health Care and Education Reconciliation Act (collectively, the 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Law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5" w:lineRule="exact"/>
        <w:rPr>
          <w:sz w:val="20"/>
          <w:szCs w:val="20"/>
          <w:color w:val="auto"/>
        </w:rPr>
      </w:pPr>
    </w:p>
    <w:p>
      <w:pPr>
        <w:jc w:val="both"/>
        <w:ind w:right="460" w:firstLine="324"/>
        <w:spacing w:after="0" w:line="275" w:lineRule="auto"/>
        <w:rPr>
          <w:sz w:val="20"/>
          <w:szCs w:val="20"/>
          <w:color w:val="auto"/>
        </w:rPr>
      </w:pPr>
      <w:r>
        <w:rPr>
          <w:rFonts w:ascii="Arial" w:cs="Arial" w:eastAsia="Arial" w:hAnsi="Arial"/>
          <w:sz w:val="17"/>
          <w:szCs w:val="17"/>
          <w:color w:val="auto"/>
        </w:rPr>
        <w:t>Additionally, the 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7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Additionally, many states have similar healthcare statutes or regulations that apply to items and services reimbursed under Medicaid and other state programs, or, in several states, apply regardless of the payor. Certain states require the posting of information relating to clinical studies, and require pharmaceutical companies to implement a comprehensive compliance program that includes a limit on expenditures for, or payments to, individual medical or health professionals and to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 xml:space="preserve">In addition, we may be subject to international, federal and state data privacy and security laws, regulations, rules and standards. Internationally, laws, regulations and standards in many jurisdictions, such as the GDPR and the UK GDPR, apply broadly to the collection, use, retention, security, disclosure, transfer and other processing of personal information. At the federal level,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to seek attorneys’ fees and costs associated with pursuing federal civil actions. In addition, state laws, (such as the CCPA and the CPRA,) govern the privacy and security of health and other personal information in certain circumstances, many of which differ from each other in significant ways and may not have the same effect, thus complicating compliance efforts. Non-compliance with these laws, regulations, rules and standards could result in significant penalties or legal liability. Although we take steps to comply with applicable laws, rules and regulations, we cannot ensure that we will not be subject to regulatory or private actions, investigations, disputes and litigation, which may include substantial fines or other legal liability for noncompliance of data privacy and security laws, rules and regulations, including in the event of a cybersecurity breach or other security incident. We could be adversely affected if legislation or regulations are expanded to require changes in our or our third-party service providers’ business practices or if governing jurisdictions interpret or implement their legislation or regulations in ways that negatively affect our business, results of operations or financial condition. See “Risk Factors— </w:t>
      </w:r>
      <w:r>
        <w:rPr>
          <w:rFonts w:ascii="Arial" w:cs="Arial" w:eastAsia="Arial" w:hAnsi="Arial"/>
          <w:sz w:val="16"/>
          <w:szCs w:val="16"/>
          <w:i w:val="1"/>
          <w:iCs w:val="1"/>
          <w:color w:val="auto"/>
        </w:rPr>
        <w:t>Changes in laws, rules or regulations relating to data privacy and security, or any actual or perceived failure</w:t>
      </w:r>
      <w:r>
        <w:rPr>
          <w:rFonts w:ascii="Arial" w:cs="Arial" w:eastAsia="Arial" w:hAnsi="Arial"/>
          <w:sz w:val="16"/>
          <w:szCs w:val="16"/>
          <w:color w:val="auto"/>
        </w:rPr>
        <w:t xml:space="preserve"> </w:t>
      </w:r>
      <w:r>
        <w:rPr>
          <w:rFonts w:ascii="Arial" w:cs="Arial" w:eastAsia="Arial" w:hAnsi="Arial"/>
          <w:sz w:val="16"/>
          <w:szCs w:val="16"/>
          <w:i w:val="1"/>
          <w:iCs w:val="1"/>
          <w:color w:val="auto"/>
        </w:rPr>
        <w:t>by us to comply with such laws, rules, regulations and standards, or contractual or other obligations relating to data privacy and security, could have a material adverse effect on our reputation, results of operations, financial condition and cash flows.</w:t>
      </w:r>
      <w:r>
        <w:rPr>
          <w:rFonts w:ascii="Arial" w:cs="Arial" w:eastAsia="Arial" w:hAnsi="Arial"/>
          <w:sz w:val="16"/>
          <w:szCs w:val="16"/>
          <w:color w:val="auto"/>
        </w:rPr>
        <w: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both domestic and foreign markets, our or our collaboration partners’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or biopharmaceutical companies. Additionally, third-party payors may refuse to include a particular branded drug in their formularies or otherwise restrict patient access to a branded drug when a less costly generic equivalent or another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Furthermore,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or biopharmaceutical products. In addition, there may be importation of foreign products that compete with our own products, which could negatively impact our profitability.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the US and other jurisdictions, there have been, and we expect there will continue to be, a number of legislative and regulatory changes to the healthcare system that could affect our future results of operations as we begin to commercialize our products directly.</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2"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March 2010, the ACA, as amended by the HCERA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 On July 24, 2020 and September 13, 2020, the Trump administration announced several executive orders related to prescription drug pricing that attempt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future of the Health Care Reform Law remains uncertain. In January 2017, Congress voted to adopt a budget resolution for the fiscal year 2017 that authorized the implementation of legislation that would repeal portions of the Health Care Reform Law. On December 14, 2018, a federal judge in Texas ruled that the Health Care Reform Law is unconstitutional in its entirety because the “individual mandate” was repealed by Congress as part of the 2017 Tax Act. While the judge, as well as the Trump administration and CMS, have stated that the ruling will have no immediate effect pending appeal of the decision, it is unclear how this decision, subsequent appeals, and other efforts to repeal and replace the ACA, will impact our business. On December 18, 2019, the Fifth Circuit Court of Appeals upheld the lower court’s decision that the Health Care Reform Law was unconstitutional. On March 2, 2020, the US Supreme Court granted certiorari to review the case and oral arguments were held on November 10, 2020. Although the US Supreme Court has yet ruled on the constitutionality of the ACA, on January 28, 2021, President Biden issued an executive order to initiate a special enrollment period from February 15, 2021 through May 15, 2021 for purposes of obtaining health insurance coverage through the Health Care Reform Law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Pending review, the Health Care Reform Law remains in effect, but it is unclear what effect this litigation, other efforts to repeal and replace the Health Care Reform Law and the healthcare reform measures of the Biden administration will have on the status of the ACA. Litigation and legislation over the Health Care Reform Law are likely to continue, with unpredictable and uncertain results.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future, there may continue to be additional proposals relating to the reform of the US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cost-containment and healthcare-reform measures. Such policy actions could have a material adverse impact on our profitability.</w:t>
      </w:r>
    </w:p>
    <w:p>
      <w:pPr>
        <w:spacing w:after="0" w:line="17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or biopharmaceutical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that are otherwise unfit for distribution such that they would be reasonably likely to result in serious health consequences or death.</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Physician Payment Sunshine Act and transparency</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Physician Payment Sunshine Act requires most pharmaceutical and biopharmaceutical manufacturers to report annually to the Secretary of Health and Human Services any and all financial arrangements, payments, or other transfers of value made by that entity to physicians and teaching hospitals. The payment information is made publicly available in a searchable format on a content management system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 In addition, the Code of Ethics from the EFPIA requires certain disclosures of interactions with institutions and healthcare professionals in various jurisdictions in which we operate.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that legal or regulatory changes may occur in the future, they could result in, among other things, increased costs to us or the impairment of our research, development or production efforts.</w:t>
      </w:r>
    </w:p>
    <w:p>
      <w:pPr>
        <w:spacing w:after="0" w:line="1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Prior to our initial public offering, we were a privately owned company. Our domicile and registered 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controls a fully-owned subsidiary, AC Immune USA, Inc. (“AC Immune USA” or “Subsidiary”), which was registered and organized under the laws of Delaware, USA in Q2 2021. The Company and its Subsidiary form the Group.</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Company’s capital expenditures were CHF 2.6 million in 2021 with CHF 2.1 million for laboratory equipment, additional laboratory space and leasehold improvements. These investments were made to enhance our research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own any real property. The table below details the sizes and uses of our leased facilities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384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Primary Function</w:t>
            </w:r>
          </w:p>
        </w:tc>
        <w:tc>
          <w:tcPr>
            <w:tcW w:w="3600" w:type="dxa"/>
            <w:vAlign w:val="bottom"/>
            <w:gridSpan w:val="2"/>
          </w:tcPr>
          <w:p>
            <w:pPr>
              <w:ind w:left="220"/>
              <w:spacing w:after="0"/>
              <w:rPr>
                <w:sz w:val="20"/>
                <w:szCs w:val="20"/>
                <w:color w:val="auto"/>
              </w:rPr>
            </w:pPr>
            <w:r>
              <w:rPr>
                <w:rFonts w:ascii="Arial" w:cs="Arial" w:eastAsia="Arial" w:hAnsi="Arial"/>
                <w:sz w:val="18"/>
                <w:szCs w:val="18"/>
                <w:b w:val="1"/>
                <w:bCs w:val="1"/>
                <w:color w:val="auto"/>
              </w:rPr>
              <w:t>Approximate Size</w:t>
            </w:r>
          </w:p>
        </w:tc>
      </w:tr>
      <w:tr>
        <w:trPr>
          <w:trHeight w:val="202"/>
        </w:trPr>
        <w:tc>
          <w:tcPr>
            <w:tcW w:w="380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École Polytechnique Fédérale Lausanne (EPFL)</w:t>
            </w:r>
          </w:p>
        </w:tc>
        <w:tc>
          <w:tcPr>
            <w:tcW w:w="220" w:type="dxa"/>
            <w:vAlign w:val="bottom"/>
            <w:tcBorders>
              <w:top w:val="single" w:sz="8" w:color="CCEEFF"/>
            </w:tcBorders>
            <w:shd w:val="clear" w:color="auto" w:fill="CCEEFF"/>
          </w:tcPr>
          <w:p>
            <w:pPr>
              <w:spacing w:after="0"/>
              <w:rPr>
                <w:sz w:val="17"/>
                <w:szCs w:val="17"/>
                <w:color w:val="auto"/>
              </w:rPr>
            </w:pPr>
          </w:p>
        </w:tc>
        <w:tc>
          <w:tcPr>
            <w:tcW w:w="3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Headquarters</w:t>
            </w: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27,000 square feet</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Innovation Park Building B,</w:t>
            </w:r>
          </w:p>
        </w:tc>
        <w:tc>
          <w:tcPr>
            <w:tcW w:w="2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1015</w:t>
            </w: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Lausanne, Vaud, Switzerland</w:t>
            </w:r>
          </w:p>
        </w:tc>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discovery, preclinical and clinical</w:t>
            </w: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r>
      <w:tr>
        <w:trPr>
          <w:trHeight w:val="230"/>
        </w:trPr>
        <w:tc>
          <w:tcPr>
            <w:tcW w:w="4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development</w:t>
            </w:r>
          </w:p>
        </w:tc>
        <w:tc>
          <w:tcPr>
            <w:tcW w:w="2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r>
      <w:tr>
        <w:trPr>
          <w:trHeight w:val="432"/>
        </w:trPr>
        <w:tc>
          <w:tcPr>
            <w:tcW w:w="40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3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Chemistry manufacturing and control</w:t>
            </w:r>
          </w:p>
        </w:tc>
        <w:tc>
          <w:tcPr>
            <w:tcW w:w="2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r>
      <w:tr>
        <w:trPr>
          <w:trHeight w:val="202"/>
        </w:trPr>
        <w:tc>
          <w:tcPr>
            <w:tcW w:w="400" w:type="dxa"/>
            <w:vAlign w:val="bottom"/>
          </w:tcPr>
          <w:p>
            <w:pPr>
              <w:spacing w:after="0" w:line="201" w:lineRule="exact"/>
              <w:rPr>
                <w:sz w:val="20"/>
                <w:szCs w:val="20"/>
                <w:color w:val="auto"/>
              </w:rPr>
            </w:pPr>
            <w:r>
              <w:rPr>
                <w:rFonts w:ascii="Arial" w:cs="Arial" w:eastAsia="Arial" w:hAnsi="Arial"/>
                <w:sz w:val="18"/>
                <w:szCs w:val="18"/>
                <w:color w:val="auto"/>
                <w:w w:val="94"/>
              </w:rPr>
              <w:t>1230</w:t>
            </w:r>
          </w:p>
        </w:tc>
        <w:tc>
          <w:tcPr>
            <w:tcW w:w="3400" w:type="dxa"/>
            <w:vAlign w:val="bottom"/>
          </w:tcPr>
          <w:p>
            <w:pPr>
              <w:ind w:left="20"/>
              <w:spacing w:after="0" w:line="201" w:lineRule="exact"/>
              <w:rPr>
                <w:sz w:val="20"/>
                <w:szCs w:val="20"/>
                <w:color w:val="auto"/>
              </w:rPr>
            </w:pPr>
            <w:r>
              <w:rPr>
                <w:rFonts w:ascii="Arial" w:cs="Arial" w:eastAsia="Arial" w:hAnsi="Arial"/>
                <w:sz w:val="18"/>
                <w:szCs w:val="18"/>
                <w:color w:val="auto"/>
              </w:rPr>
              <w:t>Avenue of the Americas</w:t>
            </w:r>
          </w:p>
        </w:tc>
        <w:tc>
          <w:tcPr>
            <w:tcW w:w="38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US operations</w:t>
            </w:r>
          </w:p>
        </w:tc>
        <w:tc>
          <w:tcPr>
            <w:tcW w:w="360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1,600 square feet</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Suite 1634</w:t>
            </w: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New York, New York 10020</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bl>
    <w:p>
      <w:pPr>
        <w:spacing w:after="0" w:line="20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Innovation Park of the EPFL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the space of our existing facilities is sufficient to meet our current needs.</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audited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74" w:lineRule="exact"/>
        <w:rPr>
          <w:sz w:val="20"/>
          <w:szCs w:val="20"/>
          <w:color w:val="auto"/>
        </w:rPr>
      </w:pPr>
    </w:p>
    <w:p>
      <w:pPr>
        <w:ind w:right="9560" w:firstLine="8"/>
        <w:spacing w:after="0" w:line="503" w:lineRule="auto"/>
        <w:tabs>
          <w:tab w:leader="none" w:pos="32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right="20" w:firstLine="324"/>
        <w:spacing w:after="0" w:line="291" w:lineRule="auto"/>
        <w:rPr>
          <w:sz w:val="20"/>
          <w:szCs w:val="20"/>
          <w:color w:val="auto"/>
        </w:rPr>
      </w:pPr>
      <w:r>
        <w:rPr>
          <w:rFonts w:ascii="Arial" w:cs="Arial" w:eastAsia="Arial" w:hAnsi="Arial"/>
          <w:sz w:val="16"/>
          <w:szCs w:val="16"/>
          <w:color w:val="auto"/>
        </w:rPr>
        <w:t>To date, we have primarily financed our operations through the proceeds from our public offerings, share issuances, contract revenues from license and collaboration agreements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We incurred net losses of CHF 73.0 million for the fiscal year ended December 31, 2021 and have an accumulated losses balance of CHF 200.9 million as of December 31, 2021.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 development, manufacture and commercialization of crenezumab, and we refer to this agreement as the 2006 Agreement.</w:t>
      </w:r>
    </w:p>
    <w:p>
      <w:pPr>
        <w:spacing w:after="0" w:line="16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In June 2012, we entered into an additional strategic collaboration agreement with Genentech regarding the development, manufacture and commercialization of anti-Tau antibodies, which covers semorinemab, and we refer to this agreement as the 2012 Agreement. We expect to capitalize on Genentech’s drug development and regulatory expertise and commercial capabilities to bring our partnered therapeutic products to market.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May 2014, we entered into a license and collaboration agreement with LMI (formerly Piramal Imaging SA) covering our Tau-PET Imaging tracer.</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2014 (as amended in April 2016, July 2017, January 2019 and November 2019), we entered into a strategic collaboration agreement with Janssen regarding the development, manufacture and commercialization of anti-Tau vaccines, which covers ACI-35. We expect to capitalize on Janssen and Johnson &amp; Johnson’s extensive regulatory expertise and experience in developing, manufacturing and, if approved, commercializing vaccines to bring ACI-35 to market.</w:t>
      </w:r>
    </w:p>
    <w:p>
      <w:pPr>
        <w:spacing w:after="0" w:line="187"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entered into a license agreement with Lilly in December 2018 (as amended in September 2019 and March 2020) to research and develop Morphomer Tau small molecules for the treatment of AD and other neurodegenerative diseases. Under the terms of this agreement, we have completed a Phase 1 clinical study with ACI-3024. Lilly is responsible for leading and funding further clinical development for small molecule Tau aggregation inhibitors with plans to evaluate candidates in AD and NeuroOrphan indications. Lilly will also retain global commercialization rights for all indications.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Genentech, a member of the Roche Group</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314) million. The structure of the collaboration agreement is as follows:</w:t>
      </w:r>
    </w:p>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commencement of each of Phase 1 and Phase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186"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in the US and Europe, respectively, and milestone payments upon</w:t>
      </w:r>
      <w:r>
        <w:rPr>
          <w:rFonts w:ascii="Arial" w:cs="Arial" w:eastAsia="Arial" w:hAnsi="Arial"/>
          <w:sz w:val="18"/>
          <w:szCs w:val="18"/>
          <w:i w:val="1"/>
          <w:iCs w:val="1"/>
          <w:color w:val="auto"/>
        </w:rPr>
        <w:t xml:space="preserve"> </w:t>
      </w:r>
      <w:r>
        <w:rPr>
          <w:rFonts w:ascii="Arial" w:cs="Arial" w:eastAsia="Arial" w:hAnsi="Arial"/>
          <w:sz w:val="18"/>
          <w:szCs w:val="18"/>
          <w:color w:val="auto"/>
        </w:rPr>
        <w:t>obtaining marketing approval in each of the US and Europe. In addition, for a second indication, additional regulatory and approval milestones would be payable.</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Royalties</w:t>
      </w:r>
      <w:r>
        <w:rPr>
          <w:rFonts w:ascii="Arial" w:cs="Arial" w:eastAsia="Arial" w:hAnsi="Arial"/>
          <w:sz w:val="17"/>
          <w:szCs w:val="17"/>
          <w:color w:val="auto"/>
        </w:rPr>
        <w:t>: payable on sales, with different royalty rates applicable in the US and Europe. Royalty levels are tied to annual sales volumes.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royalties on sales of crenezumab with the percentage rates ranging from the mid-single digits to mid-teens.</w:t>
      </w:r>
    </w:p>
    <w:p>
      <w:pPr>
        <w:spacing w:after="0" w:line="1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To date, we have received total milestone payments of USD 65 (CHF 70.1) million comprised of an upfront payment of USD 25 (CHF 31.6) million and of USD 40 (CHF 38.2) million for clinical development milestones achieved, all prior to January 1, 2017.</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crenezumab through the clinical phases. In addition, Genentech is responsible for the costs associated with seeking and obtaining regulatory and marketing approvals, along with manufacturing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16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January 30, 2019, we announced that Roche, the parent of Genentech, is discontinuing the CREAD and CREAD 2 (BN29552 and BN29553) Phase 3 studies of crenezumab in people with prodromal-to-mild sporadic AD.</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Crenezumab continues to be studied in the Phase 2 preventive trial, which began in 2013 in Colombia,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 The data for the primary outcome measures are expected in H1 2022.</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6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Preclinical and clinical milestone payments</w:t>
      </w:r>
      <w:r>
        <w:rPr>
          <w:rFonts w:ascii="Arial" w:cs="Arial" w:eastAsia="Arial" w:hAnsi="Arial"/>
          <w:sz w:val="18"/>
          <w:szCs w:val="18"/>
          <w:color w:val="auto"/>
        </w:rPr>
        <w:t>: payable upon selection of a lead candidate and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for marketing approvals in each of the US, Europe and Japan.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second indication, similar regulatory milestones would be payable.</w:t>
      </w:r>
    </w:p>
    <w:p>
      <w:pPr>
        <w:spacing w:after="0" w:line="170" w:lineRule="exact"/>
        <w:rPr>
          <w:rFonts w:ascii="Arial" w:cs="Arial" w:eastAsia="Arial" w:hAnsi="Arial"/>
          <w:sz w:val="18"/>
          <w:szCs w:val="18"/>
          <w:color w:val="auto"/>
        </w:rPr>
      </w:pPr>
    </w:p>
    <w:p>
      <w:pPr>
        <w:ind w:left="660" w:right="60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payable on sales with royalty rates differing based on the source of the intellectual property underlying the commercial product.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receive royalties on sales at a percentage rate ranging from the mid-single digits to low-double digits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semorinemab through the clinical phases. In addition, Genentech is responsible for the costs associated with seeking and obtaining regulatory and marketing approvals, along with manufacturing,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when that notice is given.</w:t>
      </w:r>
    </w:p>
    <w:p>
      <w:pPr>
        <w:spacing w:after="0" w:line="1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w:t>
      </w:r>
    </w:p>
    <w:p>
      <w:pPr>
        <w:spacing w:after="0" w:line="188" w:lineRule="exact"/>
        <w:rPr>
          <w:sz w:val="20"/>
          <w:szCs w:val="20"/>
          <w:color w:val="auto"/>
        </w:rPr>
      </w:pPr>
    </w:p>
    <w:p>
      <w:pPr>
        <w:ind w:right="80" w:firstLine="324"/>
        <w:spacing w:after="0" w:line="280" w:lineRule="auto"/>
        <w:rPr>
          <w:sz w:val="20"/>
          <w:szCs w:val="20"/>
          <w:color w:val="auto"/>
        </w:rPr>
      </w:pPr>
      <w:r>
        <w:rPr>
          <w:rFonts w:ascii="Arial" w:cs="Arial" w:eastAsia="Arial" w:hAnsi="Arial"/>
          <w:sz w:val="17"/>
          <w:szCs w:val="17"/>
          <w:color w:val="auto"/>
        </w:rPr>
        <w:t>On August 31,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On November 10, 2021, the Company reported that Genentech had presented the full top-line data from the Lauriet study during a late-breaking session at the 14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Clinical Trials on Alzheimer’s Disease conference.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Janssen Pharmaceuticals,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 Vaccine in AD – 2014 agreement</w:t>
      </w:r>
    </w:p>
    <w:p>
      <w:pPr>
        <w:spacing w:after="0" w:line="22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high-single digits to the mid-teens for the phospho-tau vaccine program.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185"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Phase 1b study. As we met all performance obligations on reaching the milestone, we recognized this milestone as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reaching certain milestones in the Phase 1b study, commencement of the first Phase 2b or 2b/3 of</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 upon reaching enrollment thresholds in the first Phase 2b or Phase 2b part of the first Phase 2b/3, commencement of the first Phase 3 or Phase 3 part of a Phase 2b/3 study.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187" w:lineRule="exact"/>
        <w:rPr>
          <w:rFonts w:ascii="Arial" w:cs="Arial" w:eastAsia="Arial" w:hAnsi="Arial"/>
          <w:sz w:val="18"/>
          <w:szCs w:val="18"/>
          <w:color w:val="auto"/>
        </w:rPr>
      </w:pPr>
    </w:p>
    <w:p>
      <w:pPr>
        <w:jc w:val="both"/>
        <w:ind w:left="660" w:right="400" w:hanging="328"/>
        <w:spacing w:after="0" w:line="26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making regulatory filings in the US, Europe, and Japan, respectively. In addition,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 similar regulatory milestones would be payable. For a second indication, additional regulatory milestone payments are payable by Janssen to us upon receipt of each of the regulatory approvals in the US, Europe and Japan.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34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payable on sales, with royalty rates differing based on the level of annual sales. We may receive royalties on sales at a percentage rate</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the high-single digits to the mid-teens for the phospho-tau vaccine program.</w:t>
      </w:r>
    </w:p>
    <w:p>
      <w:pPr>
        <w:spacing w:after="0" w:line="170" w:lineRule="exact"/>
        <w:rPr>
          <w:sz w:val="20"/>
          <w:szCs w:val="20"/>
          <w:color w:val="auto"/>
        </w:rPr>
      </w:pPr>
    </w:p>
    <w:p>
      <w:pPr>
        <w:jc w:val="both"/>
        <w:ind w:right="240" w:firstLine="383"/>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LMI (formerly Piramal Imaging SA)</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Tau-PET imaging agent – 2014 agreement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167) million, plus royalties on sales at a percentage rate ranging from mid-single digits to low-teens. LMI may terminate the LCA at any time by providing 3 months’ notice to 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Clinical milestone payments</w:t>
      </w:r>
      <w:r>
        <w:rPr>
          <w:rFonts w:ascii="Arial" w:cs="Arial" w:eastAsia="Arial" w:hAnsi="Arial"/>
          <w:sz w:val="18"/>
          <w:szCs w:val="18"/>
          <w:color w:val="auto"/>
        </w:rPr>
        <w:t>: payable upon the commencement of the Phase 1, 2 and 3 studies for generation of data intended to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submission in the US or the EU. We would be entitled to further clinical milestone payments for the commencement of a Phase 2 and 3 study for a second indication.</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upon acceptance of Regulatory filing (NDA) and Regulatory approval for Commercialization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EU.</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tied to specific annual net sales amounts.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payable on sales, with royalty rates differing based on the level of annual sales. We may receive royalties on sales at a percentage rate</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the mid-single digits to the low-teens.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Eli Lilly and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Morphomer Tau small molecule – 2018 license agreement</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2018, we entered into an exclusive, worldwide licensing agreement with Eli Lilly and Company (Lilly) to research and develop Morphomer Tau small molecules for the treatment of AD and other neurodegenerative diseases. 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Per the terms of the agreement, the Company may become eligible to receive additional milestone payments totaling up to approximately CHF 1.9 billion. In addition to milestones, we will be eligible to receive royalties on sales at a percentage rate ranging from the low double-digits to the mid-teens.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the EU.</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8"/>
          <w:szCs w:val="18"/>
          <w:color w:val="auto"/>
        </w:rPr>
        <w:t>n</w:t>
      </w:r>
      <w:r>
        <w:rPr>
          <w:rFonts w:ascii="Arial" w:cs="Arial" w:eastAsia="Arial" w:hAnsi="Arial"/>
          <w:sz w:val="18"/>
          <w:szCs w:val="18"/>
          <w:i w:val="1"/>
          <w:iCs w:val="1"/>
          <w:color w:val="auto"/>
        </w:rPr>
        <w:t xml:space="preserve"> exclusive license: </w:t>
      </w:r>
      <w:r>
        <w:rPr>
          <w:rFonts w:ascii="Arial" w:cs="Arial" w:eastAsia="Arial" w:hAnsi="Arial"/>
          <w:sz w:val="18"/>
          <w:szCs w:val="18"/>
          <w:color w:val="auto"/>
        </w:rPr>
        <w:t>granted by us to Lilly under certain of our intellectual property to develop,</w:t>
      </w:r>
    </w:p>
    <w:p>
      <w:pPr>
        <w:spacing w:after="0" w:line="23" w:lineRule="exact"/>
        <w:rPr>
          <w:rFonts w:ascii="Arial" w:cs="Arial" w:eastAsia="Arial" w:hAnsi="Arial"/>
          <w:sz w:val="18"/>
          <w:szCs w:val="18"/>
          <w:color w:val="auto"/>
        </w:rPr>
      </w:pPr>
    </w:p>
    <w:p>
      <w:pPr>
        <w:ind w:left="660" w:right="540"/>
        <w:spacing w:after="0" w:line="260" w:lineRule="auto"/>
        <w:rPr>
          <w:rFonts w:ascii="Arial" w:cs="Arial" w:eastAsia="Arial" w:hAnsi="Arial"/>
          <w:sz w:val="18"/>
          <w:szCs w:val="18"/>
          <w:color w:val="auto"/>
        </w:rPr>
      </w:pPr>
      <w:r>
        <w:rPr>
          <w:rFonts w:ascii="Arial" w:cs="Arial" w:eastAsia="Arial" w:hAnsi="Arial"/>
          <w:sz w:val="18"/>
          <w:szCs w:val="18"/>
          <w:color w:val="auto"/>
        </w:rPr>
        <w:t>manufacture and commercialize products containing Morphomer Tau small molecules for the treatment of AD and other neurodegenerative diseases throughout the world in any indication.</w:t>
      </w:r>
    </w:p>
    <w:p>
      <w:pPr>
        <w:spacing w:after="0" w:line="18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Clinical milestone payment</w:t>
      </w:r>
      <w:r>
        <w:rPr>
          <w:rFonts w:ascii="Arial" w:cs="Arial" w:eastAsia="Arial" w:hAnsi="Arial"/>
          <w:sz w:val="18"/>
          <w:szCs w:val="18"/>
          <w:color w:val="auto"/>
        </w:rPr>
        <w:t>s: payable upon completion of the Lilly preclinical activities period and following the first patient dosed in a Phase 2</w:t>
      </w:r>
      <w:r>
        <w:rPr>
          <w:rFonts w:ascii="Arial" w:cs="Arial" w:eastAsia="Arial" w:hAnsi="Arial"/>
          <w:sz w:val="18"/>
          <w:szCs w:val="18"/>
          <w:i w:val="1"/>
          <w:iCs w:val="1"/>
          <w:color w:val="auto"/>
        </w:rPr>
        <w:t xml:space="preserve"> </w:t>
      </w:r>
      <w:r>
        <w:rPr>
          <w:rFonts w:ascii="Arial" w:cs="Arial" w:eastAsia="Arial" w:hAnsi="Arial"/>
          <w:sz w:val="18"/>
          <w:szCs w:val="18"/>
          <w:color w:val="auto"/>
        </w:rPr>
        <w:t>and Phase 3 clinical study of a licensed product in the US or the EU.</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Regulatory milestone payments</w:t>
      </w:r>
      <w:r>
        <w:rPr>
          <w:rFonts w:ascii="Arial" w:cs="Arial" w:eastAsia="Arial" w:hAnsi="Arial"/>
          <w:sz w:val="18"/>
          <w:szCs w:val="18"/>
          <w:color w:val="auto"/>
        </w:rPr>
        <w:t>: payable within 60 days after obtaining regulatory approval for any licensed product in the first indication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in certain additional indications in the US, Europe and Japan,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Commercialization milestones</w:t>
      </w:r>
      <w:r>
        <w:rPr>
          <w:rFonts w:ascii="Arial" w:cs="Arial" w:eastAsia="Arial" w:hAnsi="Arial"/>
          <w:sz w:val="18"/>
          <w:szCs w:val="18"/>
          <w:color w:val="auto"/>
        </w:rPr>
        <w:t>: payable upon achieving certain commercial sales milestones.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payable on sales with royalty rates differing based on the level of annual sales of licensed products. We may receive royalties on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rate ranging from the low double-digits to the mid-teens.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agreement will terminate by the date of expiration of the last royalty term for the last licensed product. However, under the terms of the agreement, Lilly may terminate the agreement at any time after March 31, 2020 by providing 3 months’ notice to us.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and Lilly also entered into a convertible note agreement that became effective on January 23, 2019 for USD 50 (CHF 50.3) million from Lilly. In Q2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May 2020, the Company, as part of a joint arrangement with Skåne University Hospital (Skåne) in Sweden, was awarded a USD 3.2 (CHF 3.0) million grant from the MJFF’s Ken Griffin Alpha-synuclein Imaging Competition. As part of this grant, AC Immune is eligible to receive USD 2.5 (CHF</w:t>
      </w:r>
    </w:p>
    <w:p>
      <w:pPr>
        <w:ind w:right="40"/>
        <w:spacing w:after="0" w:line="260" w:lineRule="auto"/>
        <w:rPr>
          <w:sz w:val="20"/>
          <w:szCs w:val="20"/>
          <w:color w:val="auto"/>
        </w:rPr>
      </w:pPr>
      <w:r>
        <w:rPr>
          <w:rFonts w:ascii="Arial" w:cs="Arial" w:eastAsia="Arial" w:hAnsi="Arial"/>
          <w:sz w:val="18"/>
          <w:szCs w:val="18"/>
          <w:color w:val="auto"/>
        </w:rPr>
        <w:t>2.3) million directly from the MJFF. Skåne will receive USD 0.7 (CHF 0.7) million of the total grant directly from the MJFF over two years to conduct and support the clinical arm of the project.</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December 2021, the Company announced that it had been awarded two grants totaling USD 1.5 (CHF 1.4) million to advance small molecule PD programs. One award will support an existing early-stage program to develop small molecules that can prevent intracellular aggregation and spreading of a-syn. The other award will fund research on the therapeutic potential of chemically and mechanistically novel, brain penetrant small molecule inhibitors of NLRP3 inflammasome activation for the treatment of PD.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 from the Target ALS Foundation</w:t>
      </w:r>
    </w:p>
    <w:p>
      <w:pPr>
        <w:spacing w:after="0" w:line="225"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amends the guidance for accounting for revenues from contracts with customers. This IFRS replaces all current revenue standards in IFRS including IAS 11 </w:t>
      </w:r>
      <w:r>
        <w:rPr>
          <w:rFonts w:ascii="Arial" w:cs="Arial" w:eastAsia="Arial" w:hAnsi="Arial"/>
          <w:sz w:val="18"/>
          <w:szCs w:val="18"/>
          <w:i w:val="1"/>
          <w:iCs w:val="1"/>
          <w:color w:val="auto"/>
        </w:rPr>
        <w:t>Construction Contracts</w:t>
      </w:r>
      <w:r>
        <w:rPr>
          <w:rFonts w:ascii="Arial" w:cs="Arial" w:eastAsia="Arial" w:hAnsi="Arial"/>
          <w:sz w:val="18"/>
          <w:szCs w:val="18"/>
          <w:color w:val="auto"/>
        </w:rPr>
        <w:t xml:space="preserve">,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and various interpretations.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Contract revenue</w:t>
      </w:r>
      <w:r>
        <w:rPr>
          <w:rFonts w:ascii="Arial" w:cs="Arial" w:eastAsia="Arial" w:hAnsi="Arial"/>
          <w:sz w:val="17"/>
          <w:szCs w:val="17"/>
          <w:color w:val="auto"/>
        </w:rPr>
        <w:t>. The Company enters into LCAs, which are within the scope of IFRS 15, under which it licenses certain proprietary rights to its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consolidated statements of income/(loss).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i w:val="1"/>
          <w:iCs w:val="1"/>
          <w:color w:val="auto"/>
        </w:rPr>
        <w:t>Licenses of intellectual property</w:t>
      </w:r>
      <w:r>
        <w:rPr>
          <w:rFonts w:ascii="Arial" w:cs="Arial" w:eastAsia="Arial" w:hAnsi="Arial"/>
          <w:sz w:val="17"/>
          <w:szCs w:val="17"/>
          <w:color w:val="auto"/>
        </w:rPr>
        <w:t>. 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i w:val="1"/>
          <w:iCs w:val="1"/>
          <w:color w:val="auto"/>
        </w:rPr>
        <w:t>Research and development services</w:t>
      </w:r>
      <w:r>
        <w:rPr>
          <w:rFonts w:ascii="Arial" w:cs="Arial" w:eastAsia="Arial" w:hAnsi="Arial"/>
          <w:sz w:val="16"/>
          <w:szCs w:val="16"/>
          <w:color w:val="auto"/>
        </w:rPr>
        <w:t>. The Company has certain arrangements with our collaboration partners that include contracting our employees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i w:val="1"/>
          <w:iCs w:val="1"/>
          <w:color w:val="auto"/>
        </w:rPr>
        <w:t>Sublicense revenues</w:t>
      </w:r>
      <w:r>
        <w:rPr>
          <w:rFonts w:ascii="Arial" w:cs="Arial" w:eastAsia="Arial" w:hAnsi="Arial"/>
          <w:sz w:val="17"/>
          <w:szCs w:val="17"/>
          <w:color w:val="auto"/>
        </w:rPr>
        <w:t>. 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customers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among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consolidated balance sheets and within research and development expenses in the consolidated statements of income/(loss). These costs are a significant component of our research and development expenses.</w:t>
      </w:r>
    </w:p>
    <w:p>
      <w:pPr>
        <w:spacing w:after="0" w:line="1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70" w:lineRule="exact"/>
        <w:rPr>
          <w:sz w:val="20"/>
          <w:szCs w:val="20"/>
          <w:color w:val="auto"/>
        </w:rPr>
      </w:pPr>
    </w:p>
    <w:p>
      <w:pPr>
        <w:ind w:left="660" w:right="460" w:hanging="328"/>
        <w:spacing w:after="0" w:line="34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costs;</w:t>
      </w:r>
    </w:p>
    <w:p>
      <w:pPr>
        <w:spacing w:after="0" w:line="123"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estimating and accruing expenses in our consolidated financial statements as of each balance sheet date based on facts and circumstances known to us at the time;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providers and adjusting, if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225"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paid to CROs in connection with preclinical and toxicology studies and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our product candidates prior to qualifying for capitalization as inventory;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CROs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invoice us monthly in arrears for services performed. In accruing service fees, we estimate the time period over which the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7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estimate the fair value of all time-vested options as of the date of grant using the Black-Scholes option-pricing model. Key assumptions in determining the fair value of share options granted utilizing the Black-Scholes valuation method include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80" w:type="dxa"/>
            <w:vAlign w:val="bottom"/>
          </w:tcPr>
          <w:p>
            <w:pPr>
              <w:ind w:left="2220"/>
              <w:spacing w:after="0"/>
              <w:rPr>
                <w:sz w:val="20"/>
                <w:szCs w:val="20"/>
                <w:color w:val="auto"/>
              </w:rPr>
            </w:pPr>
            <w:r>
              <w:rPr>
                <w:rFonts w:ascii="Arial" w:cs="Arial" w:eastAsia="Arial" w:hAnsi="Arial"/>
                <w:sz w:val="18"/>
                <w:szCs w:val="18"/>
                <w:b w:val="1"/>
                <w:bCs w:val="1"/>
                <w:color w:val="auto"/>
              </w:rPr>
              <w:t>Assumption</w:t>
            </w:r>
          </w:p>
        </w:tc>
        <w:tc>
          <w:tcPr>
            <w:tcW w:w="6620" w:type="dxa"/>
            <w:vAlign w:val="bottom"/>
          </w:tcPr>
          <w:p>
            <w:pPr>
              <w:ind w:left="3180"/>
              <w:spacing w:after="0"/>
              <w:rPr>
                <w:sz w:val="20"/>
                <w:szCs w:val="20"/>
                <w:color w:val="auto"/>
              </w:rPr>
            </w:pPr>
            <w:r>
              <w:rPr>
                <w:rFonts w:ascii="Arial" w:cs="Arial" w:eastAsia="Arial" w:hAnsi="Arial"/>
                <w:sz w:val="18"/>
                <w:szCs w:val="18"/>
                <w:b w:val="1"/>
                <w:bCs w:val="1"/>
                <w:color w:val="auto"/>
              </w:rPr>
              <w:t>Method of estimation</w:t>
            </w:r>
          </w:p>
        </w:tc>
      </w:tr>
      <w:tr>
        <w:trPr>
          <w:trHeight w:val="216"/>
        </w:trPr>
        <w:tc>
          <w:tcPr>
            <w:tcW w:w="4620" w:type="dxa"/>
            <w:vAlign w:val="bottom"/>
            <w:gridSpan w:val="2"/>
          </w:tcPr>
          <w:p>
            <w:pPr>
              <w:spacing w:after="0"/>
              <w:rPr>
                <w:sz w:val="18"/>
                <w:szCs w:val="18"/>
                <w:color w:val="auto"/>
              </w:rPr>
            </w:pPr>
          </w:p>
        </w:tc>
        <w:tc>
          <w:tcPr>
            <w:tcW w:w="66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Estimated expected term of options</w:t>
            </w:r>
          </w:p>
        </w:tc>
        <w:tc>
          <w:tcPr>
            <w:tcW w:w="6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Simplified method</w:t>
            </w:r>
          </w:p>
        </w:tc>
      </w:tr>
      <w:tr>
        <w:trPr>
          <w:trHeight w:val="202"/>
        </w:trPr>
        <w:tc>
          <w:tcPr>
            <w:tcW w:w="34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4280" w:type="dxa"/>
            <w:vAlign w:val="bottom"/>
          </w:tcPr>
          <w:p>
            <w:pPr>
              <w:ind w:left="80"/>
              <w:spacing w:after="0" w:line="201" w:lineRule="exact"/>
              <w:rPr>
                <w:sz w:val="20"/>
                <w:szCs w:val="20"/>
                <w:color w:val="auto"/>
              </w:rPr>
            </w:pPr>
            <w:r>
              <w:rPr>
                <w:rFonts w:ascii="Arial" w:cs="Arial" w:eastAsia="Arial" w:hAnsi="Arial"/>
                <w:sz w:val="18"/>
                <w:szCs w:val="18"/>
                <w:color w:val="auto"/>
              </w:rPr>
              <w:t>Expected volatility</w:t>
            </w:r>
          </w:p>
        </w:tc>
        <w:tc>
          <w:tcPr>
            <w:tcW w:w="6620" w:type="dxa"/>
            <w:vAlign w:val="bottom"/>
          </w:tcPr>
          <w:p>
            <w:pPr>
              <w:ind w:left="1140"/>
              <w:spacing w:after="0" w:line="201" w:lineRule="exact"/>
              <w:rPr>
                <w:sz w:val="20"/>
                <w:szCs w:val="20"/>
                <w:color w:val="auto"/>
              </w:rPr>
            </w:pPr>
            <w:r>
              <w:rPr>
                <w:rFonts w:ascii="Arial" w:cs="Arial" w:eastAsia="Arial" w:hAnsi="Arial"/>
                <w:sz w:val="18"/>
                <w:szCs w:val="18"/>
                <w:color w:val="auto"/>
                <w:w w:val="95"/>
              </w:rPr>
              <w:t>●  Estimate based on average historical volatilities of common shares of</w:t>
            </w: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20" w:type="dxa"/>
            <w:vAlign w:val="bottom"/>
          </w:tcPr>
          <w:p>
            <w:pPr>
              <w:ind w:left="1400"/>
              <w:spacing w:after="0"/>
              <w:rPr>
                <w:sz w:val="20"/>
                <w:szCs w:val="20"/>
                <w:color w:val="auto"/>
              </w:rPr>
            </w:pPr>
            <w:r>
              <w:rPr>
                <w:rFonts w:ascii="Arial" w:cs="Arial" w:eastAsia="Arial" w:hAnsi="Arial"/>
                <w:sz w:val="18"/>
                <w:szCs w:val="18"/>
                <w:color w:val="auto"/>
                <w:w w:val="94"/>
              </w:rPr>
              <w:t>comparable publicly traded companies. We will continue to apply this</w:t>
            </w: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20" w:type="dxa"/>
            <w:vAlign w:val="bottom"/>
          </w:tcPr>
          <w:p>
            <w:pPr>
              <w:ind w:left="1400"/>
              <w:spacing w:after="0"/>
              <w:rPr>
                <w:sz w:val="20"/>
                <w:szCs w:val="20"/>
                <w:color w:val="auto"/>
              </w:rPr>
            </w:pPr>
            <w:r>
              <w:rPr>
                <w:rFonts w:ascii="Arial" w:cs="Arial" w:eastAsia="Arial" w:hAnsi="Arial"/>
                <w:sz w:val="18"/>
                <w:szCs w:val="18"/>
                <w:color w:val="auto"/>
                <w:w w:val="91"/>
              </w:rPr>
              <w:t>process to grants made as a public company until a sufficient amount of</w:t>
            </w: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20" w:type="dxa"/>
            <w:vAlign w:val="bottom"/>
          </w:tcPr>
          <w:p>
            <w:pPr>
              <w:ind w:left="1400"/>
              <w:spacing w:after="0"/>
              <w:rPr>
                <w:sz w:val="20"/>
                <w:szCs w:val="20"/>
                <w:color w:val="auto"/>
              </w:rPr>
            </w:pPr>
            <w:r>
              <w:rPr>
                <w:rFonts w:ascii="Arial" w:cs="Arial" w:eastAsia="Arial" w:hAnsi="Arial"/>
                <w:sz w:val="18"/>
                <w:szCs w:val="18"/>
                <w:color w:val="auto"/>
                <w:w w:val="99"/>
              </w:rPr>
              <w:t>historical information regarding the volatility of our own stock price</w:t>
            </w:r>
          </w:p>
        </w:tc>
      </w:tr>
      <w:tr>
        <w:trPr>
          <w:trHeight w:val="230"/>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620" w:type="dxa"/>
            <w:vAlign w:val="bottom"/>
          </w:tcPr>
          <w:p>
            <w:pPr>
              <w:ind w:left="1400"/>
              <w:spacing w:after="0"/>
              <w:rPr>
                <w:sz w:val="20"/>
                <w:szCs w:val="20"/>
                <w:color w:val="auto"/>
              </w:rPr>
            </w:pPr>
            <w:r>
              <w:rPr>
                <w:rFonts w:ascii="Arial" w:cs="Arial" w:eastAsia="Arial" w:hAnsi="Arial"/>
                <w:sz w:val="18"/>
                <w:szCs w:val="18"/>
                <w:color w:val="auto"/>
              </w:rPr>
              <w:t>becomes available</w:t>
            </w:r>
          </w:p>
        </w:tc>
      </w:tr>
      <w:tr>
        <w:trPr>
          <w:trHeight w:val="216"/>
        </w:trPr>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Risk-free interest rate</w:t>
            </w:r>
          </w:p>
        </w:tc>
        <w:tc>
          <w:tcPr>
            <w:tcW w:w="6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Yields of long-dated Swiss government zero coupon bond issues</w:t>
            </w:r>
          </w:p>
        </w:tc>
      </w:tr>
      <w:tr>
        <w:trPr>
          <w:trHeight w:val="216"/>
        </w:trPr>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280" w:type="dxa"/>
            <w:vAlign w:val="bottom"/>
          </w:tcPr>
          <w:p>
            <w:pPr>
              <w:ind w:left="80"/>
              <w:spacing w:after="0"/>
              <w:rPr>
                <w:sz w:val="20"/>
                <w:szCs w:val="20"/>
                <w:color w:val="auto"/>
              </w:rPr>
            </w:pPr>
            <w:r>
              <w:rPr>
                <w:rFonts w:ascii="Arial" w:cs="Arial" w:eastAsia="Arial" w:hAnsi="Arial"/>
                <w:sz w:val="18"/>
                <w:szCs w:val="18"/>
                <w:color w:val="auto"/>
              </w:rPr>
              <w:t>Expected dividends</w:t>
            </w:r>
          </w:p>
        </w:tc>
        <w:tc>
          <w:tcPr>
            <w:tcW w:w="6620" w:type="dxa"/>
            <w:vAlign w:val="bottom"/>
          </w:tcPr>
          <w:p>
            <w:pPr>
              <w:ind w:left="1140"/>
              <w:spacing w:after="0"/>
              <w:rPr>
                <w:sz w:val="20"/>
                <w:szCs w:val="20"/>
                <w:color w:val="auto"/>
              </w:rPr>
            </w:pPr>
            <w:r>
              <w:rPr>
                <w:rFonts w:ascii="Arial" w:cs="Arial" w:eastAsia="Arial" w:hAnsi="Arial"/>
                <w:sz w:val="18"/>
                <w:szCs w:val="18"/>
                <w:color w:val="auto"/>
              </w:rPr>
              <w:t>●  Zero percent as dividends have not been paid</w:t>
            </w:r>
          </w:p>
        </w:tc>
      </w:tr>
      <w:tr>
        <w:trPr>
          <w:trHeight w:val="216"/>
        </w:trPr>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Forfeiture rates</w:t>
            </w:r>
          </w:p>
        </w:tc>
        <w:tc>
          <w:tcPr>
            <w:tcW w:w="6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Historical and expected forfeiture data</w:t>
            </w: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Historically, for all periods prior to the initial public offering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Company’s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consolidated balance sheets and capital base, equity market conditions affecting comparable public companies, and the lack of liquidity of our common shares.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 units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estimate the fair value of restricted share units using a reasonable estimate of market value of the common shares on the date of the award. We classify our share-based payments as equity-classified awards as they are settled in our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premium as the awards vested.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Effective January 1, 2019, the Company adopted IFRS 16 </w:t>
      </w:r>
      <w:r>
        <w:rPr>
          <w:rFonts w:ascii="Arial" w:cs="Arial" w:eastAsia="Arial" w:hAnsi="Arial"/>
          <w:sz w:val="16"/>
          <w:szCs w:val="16"/>
          <w:i w:val="1"/>
          <w:iCs w:val="1"/>
          <w:color w:val="auto"/>
        </w:rPr>
        <w:t>Leases</w:t>
      </w:r>
      <w:r>
        <w:rPr>
          <w:rFonts w:ascii="Arial" w:cs="Arial" w:eastAsia="Arial" w:hAnsi="Arial"/>
          <w:sz w:val="16"/>
          <w:szCs w:val="16"/>
          <w:color w:val="auto"/>
        </w:rPr>
        <w:t>, which provides a new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The Company applied the modified retrospective approach, which required the recognition of the cumulative effect of initially applying IFRS 16 as of January 1, 2019 to accumulated losses and not restating previous years. As the Company recognized the right-of-use assets at the amount equal to the lease liabilities there was no impact to accumulated losses. In accordance with IFRS 16, the Company (i) does not recognize right-of-use assets and lease liabilities for leases of low value (i.e. approximate fair value of USD 5,000). For a complete discussion of accounting, see “Note 5. Right-of-use assets and lease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(IPR&amp;D) asset</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Company’s acquired IPR&amp;D asset is stated at cost less any impairments. Our IPR&amp;D asset is subject to impairment testing at least annually or when there are indications that the carrying value may not be recoverable until the completion of the development process. At that point, the capitalized amounts are amortized over their estimated useful life. The determination of the recoverable amounts include key estimates which are highly sensitive to, and depend upon, key assumptions.</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The Company will not capitalize future development costs in respect to this IPR&amp;D asset until they meet the criteria for capitalization of research and development costs in accordance with IAS 38 </w:t>
      </w:r>
      <w:r>
        <w:rPr>
          <w:rFonts w:ascii="Arial" w:cs="Arial" w:eastAsia="Arial" w:hAnsi="Arial"/>
          <w:sz w:val="18"/>
          <w:szCs w:val="18"/>
          <w:i w:val="1"/>
          <w:iCs w:val="1"/>
          <w:color w:val="auto"/>
        </w:rPr>
        <w:t>Intangible Assets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6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continues to effect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Given our stage of development, we have not generated any revenue from product sales. Our contract revenues to date have been derived primarily from separate license and collaboration agreements on some of our product candidates in various stages of preclinical and clinical development.</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contract revenues have experienced fluctuations over the past three years as a result of securing new collaboration agreements, the timing of milestone achievement and the size of each milestone payment. We expect that any revenue we generate from our collaboration agreements with each of Lilly, Genentech, Janssen and LMI and/or from any other current or future collaboration partners will fluctuate from year to year as a result of the timing and amount of milestones and other payments.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Research and development costs are expensed as incurred, and consist of salaries and benefits, laboratory supplies, materials, intellectual property, facility and information technology (IT) costs, as well as fees paid to other non-employees and entities that conduct certain research and development activities on our behalf and all other allocated expenses. Amounts incurred in connection with license and collaboration agreements are also included in research and development expense. Payments made prior to the receipt of goods or services to be used in research and development are capitalized until those goods or services are received.</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CROs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the manufacturing activities performed by third parties based upon actual work completed in accordance with agreements established with contract manufacturers.</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and the development of product candidates pursuant to our collaboration agreements with Lilly, Genentech, Janssen and LMI. We recognize all research and development costs as they are incurred. Clinical study costs, contract manufacturing and other development costs incurred by third parties are expensed as the contracted work is performed. At present, most of our research activities comprise three major areas:</w:t>
      </w:r>
    </w:p>
    <w:p>
      <w:pPr>
        <w:spacing w:after="0" w:line="164"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focused non-AD NDD including Parkinson’s disease, ALS and NeuroOrphan indications;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expect our research and development expenses to increase substantially in the future and expect to fund a broader number of projects, which will impact our research strategy in four key ways:</w:t>
      </w:r>
    </w:p>
    <w:p>
      <w:pPr>
        <w:spacing w:after="0" w:line="170" w:lineRule="exact"/>
        <w:rPr>
          <w:sz w:val="20"/>
          <w:szCs w:val="20"/>
          <w:color w:val="auto"/>
        </w:rPr>
      </w:pPr>
    </w:p>
    <w:p>
      <w:pPr>
        <w:ind w:right="180" w:firstLine="332"/>
        <w:spacing w:after="0" w:line="277" w:lineRule="auto"/>
        <w:tabs>
          <w:tab w:leader="none" w:pos="5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 diagnostics;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expect that our total future research and development costs will increase over current levels in line with our three-pillar strategy that focuses on (i) AD, (ii) focused non-AD NDD including Parkinson’s disease, ALS and NeuroOrphan indications and (iii) diagnostics.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operating income/(expense)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operating income/(expense) consists primarily of income associated with foundation grants such as those from the MJFF or Target ALS.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Financial income and expenses include bank fees associated with charges levied by banks on foreign payments, interest income and expense associated with our cash balances and interest expense associated with lease liabilities. For the year ended December 31, 2021, we recognized a gain on the change in fair value of derivative financial assets associated with two convertible notes sold to certain Affiris affiliated entities that did not occur in the comparable prior periods. For the year ended December 31, 2019, we recorded a gain on the conversion feature of the convertible loan due to Lilly, incurred effective interest to amortize the host debt for this convertible loan and accrued interest for a financing obligation.</w:t>
      </w:r>
    </w:p>
    <w:p>
      <w:pPr>
        <w:spacing w:after="0" w:line="176" w:lineRule="exact"/>
        <w:rPr>
          <w:sz w:val="20"/>
          <w:szCs w:val="20"/>
          <w:color w:val="auto"/>
        </w:rPr>
      </w:pPr>
    </w:p>
    <w:p>
      <w:pPr>
        <w:ind w:right="120" w:firstLine="321"/>
        <w:spacing w:after="0" w:line="263" w:lineRule="auto"/>
        <w:rPr>
          <w:sz w:val="20"/>
          <w:szCs w:val="20"/>
          <w:color w:val="auto"/>
        </w:rPr>
      </w:pPr>
      <w:r>
        <w:rPr>
          <w:rFonts w:ascii="Arial" w:cs="Arial" w:eastAsia="Arial" w:hAnsi="Arial"/>
          <w:sz w:val="18"/>
          <w:szCs w:val="18"/>
          <w:color w:val="auto"/>
        </w:rPr>
        <w:t>Exchange differences consist of foreign exchange transactions and re-measurement gains and losses that arise from our cash being held in currency other than Swiss Francs, certain collaboration agreements such as the collaboration agreements with Genentech and LMI being denominated in currencies other than Swiss Francs, and selected purchases, which we effect in foreign currencies.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AC Immune is subject to corporate Swiss federal, cantonal and communal taxation, respectively, in Switzerland, Canton of Vaud, Commune of Ecublens, near Lausanne. We are also subject to taxation in other jurisdictions in which we operate, in particular, the United States where our wholly-owned subsidiary is incorporated.</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7 years and can offset our losses carried forward against future taxes. As of December 31, 2021, we had tax loss carry-forwards totaling CHF 197.2 million. There is no certainty that we will make sufficient profits to be able to utilize these tax loss carry-forwards in full.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corporate income tax rate (federal, cantonal and communal) where we are domiciled is currently 13.606%.</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January 1, 2020, the Company may request for 2020 and future tax years a tax relief of 60%, which would be applied to income from patents and similar rights at the communal and cantonal levels. This relief would first require the reintegration of all expensed and deducted research and development costs related to the concerned patents and similar rights for consideration in our taxable results from the prior ten years. The Company has not currently made any decision to enter this patent box system. Additionally, a “super-deduction” may be granted for payroll and other expenses of research and development of Swiss origins.</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Notwithstanding the corporate income tax, the corporate capital is taxed at a rate of 0.1305% (cantonal and communal tax only, as there is no federal tax on capital).</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Value added tax (VAT) is charged on all qualifying goods and services supplied by VAT-registered businesses. Rates vary based on category, but the Company applies a standard rate of 7.7% on the value of the goods or services to all sales invoices, which is payable to the Swiss tax authorities. Similarly, VAT paid on purchase invoices is reclaimable from the Swiss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numbers below have been derived from our audited consolidated financial statements included elsewhere in this Annual Report. The discussion below should be read along with these consolidated financial statements and it is qualified in its entirety by reference to them.</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For the year ended December 31, 2021, AC Immune generated no contract revenues compared with CHF 15.4 million for the comparable period in 2020. This represents a decrease of CHF 15.4 million. The following table summarizes our contract revenues during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3"/>
              </w:rPr>
              <w:t>15,431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0"/>
              </w:rPr>
              <w:t>(15,431)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15,431</w:t>
            </w: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w w:val="95"/>
              </w:rPr>
              <w:t>(15,431)</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contract revenues experience fluctuations as a result of securing new collaboration agreements, the timing of milestone achievements and the size of each milestone payment. For the year ended December 31, 2021, the decrease of CHF 15.4 million in contract revenues compared to the year ended December 31, 2020 is predominantly related to:</w:t>
      </w:r>
    </w:p>
    <w:p>
      <w:pPr>
        <w:spacing w:after="0" w:line="184" w:lineRule="exact"/>
        <w:rPr>
          <w:sz w:val="20"/>
          <w:szCs w:val="20"/>
          <w:color w:val="auto"/>
        </w:rPr>
      </w:pPr>
    </w:p>
    <w:p>
      <w:pPr>
        <w:ind w:left="660" w:right="80" w:hanging="328"/>
        <w:spacing w:after="0" w:line="25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decrease of CHF 14.3 million in our agreement with Lilly. The Company recognized a CHF 10 million milestone as well as CHF 4.3 million for R&amp;D activities in 2020;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decrease of CHF 1.1 million in our collaboration with Janssen.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4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have completed our R&amp;D spending in both of our Genentech collaborations. We and Janssen are co-developing second-generation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vaccines. We also expect to incur additional R&amp;D expenditures associated with the expansion of our Morphomer Tau program into AD and NeuroOrphan indications.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intend to increase our R&amp;D costs associated with the advancement of ACI-7104 in Parkinson’s disease and our ACI-24 vaccine program (i.e.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ACI-24 AD and ACI-24 DS) through mid- and late-stage clinical development.</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Finally, we intend to further characterize our other clinical and preclinical candidates. In addition to these arrangements and proprietarily held assets, we expect that our total future R&amp;D costs will increase over current levels, in line with our three-pillar strategy that focuses on (i) AD, (ii) focused non-AD NDD including Parkinson’s disease, ALS and NeuroOrphan indications and (iii) diagnostics.</w:t>
      </w:r>
    </w:p>
    <w:p>
      <w:pPr>
        <w:spacing w:after="0" w:line="184"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manufacturing costs related to research and development and other research and development costs not allocated directly to programs for the periods covered by this Annual Report. The research and development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research and development programs.</w:t>
      </w:r>
    </w:p>
    <w:p>
      <w:pPr>
        <w:spacing w:after="0" w:line="19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the year ended December 31, 2021, research and development expenses totaled CHF 62.3 million compared with CHF 59.5 million for the comparable period in 2020. This represents an increase of CHF 2.8 million. The following table presents the research and development expenses during the years ended December 31, 2021 and 2020: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880" w:type="dxa"/>
            <w:vAlign w:val="bottom"/>
            <w:gridSpan w:val="5"/>
          </w:tcPr>
          <w:p>
            <w:pPr>
              <w:ind w:left="1500"/>
              <w:spacing w:after="0"/>
              <w:rPr>
                <w:sz w:val="20"/>
                <w:szCs w:val="20"/>
                <w:color w:val="auto"/>
              </w:rPr>
            </w:pPr>
            <w:r>
              <w:rPr>
                <w:rFonts w:ascii="Arial" w:cs="Arial" w:eastAsia="Arial" w:hAnsi="Arial"/>
                <w:sz w:val="18"/>
                <w:szCs w:val="18"/>
                <w:b w:val="1"/>
                <w:bCs w:val="1"/>
                <w:color w:val="auto"/>
                <w:w w:val="91"/>
              </w:rPr>
              <w:t>Detailed research and development expenditures by major development category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Discovery and preclinical expenses</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20,408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Clinical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14,872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17,124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(2,252)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Group function expenses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102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Direct R&amp;D</w:t>
            </w:r>
          </w:p>
        </w:tc>
        <w:tc>
          <w:tcPr>
            <w:tcW w:w="1160" w:type="dxa"/>
            <w:vAlign w:val="bottom"/>
          </w:tcPr>
          <w:p>
            <w:pPr>
              <w:jc w:val="right"/>
              <w:spacing w:after="0"/>
              <w:rPr>
                <w:sz w:val="20"/>
                <w:szCs w:val="20"/>
                <w:color w:val="auto"/>
              </w:rPr>
            </w:pPr>
            <w:r>
              <w:rPr>
                <w:rFonts w:ascii="Arial" w:cs="Arial" w:eastAsia="Arial" w:hAnsi="Arial"/>
                <w:sz w:val="18"/>
                <w:szCs w:val="18"/>
                <w:color w:val="auto"/>
              </w:rPr>
              <w:t>35,764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38,436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(2,672)</w:t>
            </w:r>
          </w:p>
        </w:tc>
      </w:tr>
      <w:tr>
        <w:trPr>
          <w:trHeight w:val="20"/>
        </w:trPr>
        <w:tc>
          <w:tcPr>
            <w:tcW w:w="102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Payroll expenses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3"/>
              </w:rPr>
              <w:t>14,424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non-allocated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r>
      <w:tr>
        <w:trPr>
          <w:trHeight w:val="27"/>
        </w:trPr>
        <w:tc>
          <w:tcPr>
            <w:tcW w:w="102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Total R&amp;D</w:t>
            </w:r>
          </w:p>
        </w:tc>
        <w:tc>
          <w:tcPr>
            <w:tcW w:w="1160" w:type="dxa"/>
            <w:vAlign w:val="bottom"/>
          </w:tcPr>
          <w:p>
            <w:pPr>
              <w:jc w:val="right"/>
              <w:spacing w:after="0"/>
              <w:rPr>
                <w:sz w:val="20"/>
                <w:szCs w:val="20"/>
                <w:color w:val="auto"/>
              </w:rPr>
            </w:pPr>
            <w:r>
              <w:rPr>
                <w:rFonts w:ascii="Arial" w:cs="Arial" w:eastAsia="Arial" w:hAnsi="Arial"/>
                <w:sz w:val="18"/>
                <w:szCs w:val="18"/>
                <w:color w:val="auto"/>
              </w:rPr>
              <w:t>62,282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59,487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2,795</w:t>
            </w:r>
          </w:p>
        </w:tc>
      </w:tr>
      <w:tr>
        <w:trPr>
          <w:trHeight w:val="20"/>
        </w:trPr>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0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43,787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line="216" w:lineRule="exact"/>
              <w:rPr>
                <w:sz w:val="20"/>
                <w:szCs w:val="20"/>
                <w:color w:val="auto"/>
              </w:rPr>
            </w:pPr>
            <w:r>
              <w:rPr>
                <w:rFonts w:ascii="Arial" w:cs="Arial" w:eastAsia="Arial" w:hAnsi="Arial"/>
                <w:sz w:val="16"/>
                <w:szCs w:val="16"/>
                <w:color w:val="auto"/>
              </w:rPr>
              <w:t>Salaries and related costs</w:t>
            </w:r>
            <w:r>
              <w:rPr>
                <w:rFonts w:ascii="Arial" w:cs="Arial" w:eastAsia="Arial" w:hAnsi="Arial"/>
                <w:sz w:val="25"/>
                <w:szCs w:val="25"/>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17,993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15,700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2,293</w:t>
            </w:r>
          </w:p>
        </w:tc>
      </w:tr>
      <w:tr>
        <w:trPr>
          <w:trHeight w:val="257"/>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62,282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59,487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120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Includes depreciation expenses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Includes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Discovery and preclinical expenses decreased CHF 0.4 million, primarily due to:</w:t>
      </w:r>
    </w:p>
    <w:p>
      <w:pPr>
        <w:spacing w:after="0" w:line="225" w:lineRule="exact"/>
        <w:rPr>
          <w:sz w:val="20"/>
          <w:szCs w:val="20"/>
          <w:color w:val="auto"/>
        </w:rPr>
      </w:pPr>
    </w:p>
    <w:p>
      <w:pPr>
        <w:ind w:left="340" w:right="5040" w:hanging="8"/>
        <w:spacing w:after="0" w:line="500" w:lineRule="auto"/>
        <w:tabs>
          <w:tab w:leader="none" w:pos="6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decrease of CHF 2.0 million for the research of alpha-synuclein antibodies. partially offset by:</w:t>
      </w:r>
    </w:p>
    <w:p>
      <w:pPr>
        <w:spacing w:after="0" w:line="1"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increase of CHF 0.7 million for the expansion of our Morphomer Tau program into NeuroOrphan indications and the further characterization of our preclinical candidates, CHF 0.5 million for the optimization and development of our anti-TDP-43 antibody, CHF 0.1 million for our diagnostic imaging agents and CHF 0.4 million in other discovery programs,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Clinical expenses decreased by CHF 2.3 million, primarily due to:</w:t>
      </w:r>
    </w:p>
    <w:p>
      <w:pPr>
        <w:spacing w:after="0" w:line="225" w:lineRule="exact"/>
        <w:rPr>
          <w:sz w:val="20"/>
          <w:szCs w:val="20"/>
          <w:color w:val="auto"/>
        </w:rPr>
      </w:pPr>
    </w:p>
    <w:p>
      <w:pPr>
        <w:jc w:val="both"/>
        <w:ind w:left="660" w:right="20" w:hanging="328"/>
        <w:spacing w:after="0" w:line="263"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decrease of CHF 2.2 million for Phase 1 activities for our Morphomer Tau compound which completed in 2020, CHF 2.0 million for ACI-24 for DS as a result of prior period scaling up activities for a Phase 2 clinical trial which were not repeated in the current period and CHF 1.8 million for ACI-24 for AD as the six-month safety period completed,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right="2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increase of CHF 3.5 million for ACI-35.030 driven by R&amp;D cost sharing, increased patient enrollment into the Phase 1b/2a study and increased frequency of interim analysis testing and CHF 0.2 million for other clinical programs.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variances in Group function expenses relate to regulatory and quality assurance, intellectual property and other non-allocated costs.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salaries and related costs increased by CHF 2.3 million, primarily due to:</w:t>
      </w:r>
    </w:p>
    <w:p>
      <w:pPr>
        <w:spacing w:after="0" w:line="225" w:lineRule="exact"/>
        <w:rPr>
          <w:sz w:val="20"/>
          <w:szCs w:val="20"/>
          <w:color w:val="auto"/>
        </w:rPr>
      </w:pPr>
    </w:p>
    <w:p>
      <w:pPr>
        <w:ind w:left="660" w:right="40" w:hanging="328"/>
        <w:spacing w:after="0" w:line="291"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 increase in salary and benefit related costs of CHF 2.0 million primarily related to the internal reallocation of certain employees’ personnel cost from general and administrative expenses to research and development personnel expenses in 2021 and the annualization of 2020 hires; and</w:t>
      </w: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higher share-based compensation expense of CHF 0.3 million related predominantly to an increase of stock options issued to employees.</w:t>
      </w:r>
    </w:p>
    <w:p>
      <w:pPr>
        <w:spacing w:after="0" w:line="22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CHF 3.2 million increase in other non-allocated expenses relate to administrative R&amp;D and certain non-allocated functional expenses, primarily due to:</w:t>
      </w:r>
    </w:p>
    <w:p>
      <w:pPr>
        <w:sectPr>
          <w:pgSz w:w="11900" w:h="16838" w:orient="portrait"/>
          <w:cols w:equalWidth="0" w:num="1">
            <w:col w:w="11240"/>
          </w:cols>
          <w:pgMar w:left="320" w:top="113" w:right="3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32" w:name="page133"/>
    <w:bookmarkEnd w:id="1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2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increase of CHF 2.8 million associated with the reallocation of certain IT and facilities expenditures made in 2021 that were not reclassified in the prior period, CHF 0.3 million in depreciation expense and CHF 0.1 million in other items.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such as legal and accounting related services, infrastructure expenses, and other operating expenses.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For the year ended December 31, 2021, general and administrative expenses totaled CHF 17.9 million compared with CHF 18.6 million for the comparable period in 2020. This represents a decrease of CHF 0.7 million. The following table presents the general and administrative expenses during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6"/>
              </w:rPr>
              <w:t>(440)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line="216" w:lineRule="exact"/>
              <w:rPr>
                <w:sz w:val="20"/>
                <w:szCs w:val="20"/>
                <w:color w:val="auto"/>
              </w:rPr>
            </w:pPr>
            <w:r>
              <w:rPr>
                <w:rFonts w:ascii="Arial" w:cs="Arial" w:eastAsia="Arial" w:hAnsi="Arial"/>
                <w:sz w:val="16"/>
                <w:szCs w:val="16"/>
                <w:color w:val="auto"/>
              </w:rPr>
              <w:t>Salaries and related costs</w:t>
            </w:r>
            <w:r>
              <w:rPr>
                <w:rFonts w:ascii="Arial" w:cs="Arial" w:eastAsia="Arial" w:hAnsi="Arial"/>
                <w:sz w:val="25"/>
                <w:szCs w:val="25"/>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10,879</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11,086</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w w:val="99"/>
              </w:rPr>
              <w:t>(207)</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6"/>
              </w:rPr>
              <w:t>(647)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2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Includes depreciation expenses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Includes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this decrease is primarily due to:</w:t>
      </w:r>
    </w:p>
    <w:p>
      <w:pPr>
        <w:spacing w:after="0" w:line="225" w:lineRule="exact"/>
        <w:rPr>
          <w:sz w:val="20"/>
          <w:szCs w:val="20"/>
          <w:color w:val="auto"/>
        </w:rPr>
      </w:pPr>
    </w:p>
    <w:p>
      <w:pPr>
        <w:ind w:left="660" w:right="50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CHF 2.8 million associated with the reallocation of certain IT and facilities expenditures made in 2021 that were not reclassified in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CHF 1.1 million for transaction costs associated with our asset acquisition for a portfolio of therapeutics targeting alpha-synuclein from Affiris,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CHF 0.9 million increase in our directors’ and officers’ insurance for the period;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CHF 0.3 million increase in other administrative expenses.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operating income/(expense)</w:t>
      </w:r>
    </w:p>
    <w:p>
      <w:pPr>
        <w:spacing w:after="0" w:line="225"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For the year ended December 31, 2021, other operating income/(expense) totaled CHF 1.2 million in income compared with CHF 1.4 million in income for the comparable period in 2020. This represents a decrease of CHF 0.2 million. The following table presents the other operating income/(expense) during the years ended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ind w:left="460"/>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72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income/(expense)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4"/>
              </w:rPr>
              <w:t>1,182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4"/>
              </w:rPr>
              <w:t>1,353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6"/>
              </w:rPr>
              <w:t>(171)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other operating income/(expense)</w:t>
            </w:r>
          </w:p>
        </w:tc>
        <w:tc>
          <w:tcPr>
            <w:tcW w:w="1140" w:type="dxa"/>
            <w:vAlign w:val="bottom"/>
          </w:tcPr>
          <w:p>
            <w:pPr>
              <w:ind w:left="740"/>
              <w:spacing w:after="0"/>
              <w:rPr>
                <w:sz w:val="20"/>
                <w:szCs w:val="20"/>
                <w:color w:val="auto"/>
              </w:rPr>
            </w:pPr>
            <w:r>
              <w:rPr>
                <w:rFonts w:ascii="Arial" w:cs="Arial" w:eastAsia="Arial" w:hAnsi="Arial"/>
                <w:sz w:val="18"/>
                <w:szCs w:val="18"/>
                <w:color w:val="auto"/>
                <w:w w:val="84"/>
              </w:rPr>
              <w:t>1,182</w:t>
            </w:r>
          </w:p>
        </w:tc>
        <w:tc>
          <w:tcPr>
            <w:tcW w:w="240" w:type="dxa"/>
            <w:vAlign w:val="bottom"/>
          </w:tcPr>
          <w:p>
            <w:pPr>
              <w:spacing w:after="0"/>
              <w:rPr>
                <w:sz w:val="18"/>
                <w:szCs w:val="18"/>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1,353</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w w:val="99"/>
              </w:rPr>
              <w:t>(171)</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this decrease is primarily due to:</w:t>
      </w:r>
    </w:p>
    <w:p>
      <w:pPr>
        <w:spacing w:after="0" w:line="225" w:lineRule="exact"/>
        <w:rPr>
          <w:sz w:val="20"/>
          <w:szCs w:val="20"/>
          <w:color w:val="auto"/>
        </w:rPr>
      </w:pPr>
    </w:p>
    <w:p>
      <w:pPr>
        <w:ind w:left="820" w:right="120" w:hanging="326"/>
        <w:spacing w:after="0" w:line="277" w:lineRule="auto"/>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decrease of CHF 0.3 million in grant income related to activities completed prior to the start of the current period related to our MJFF awards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820" w:hanging="326"/>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increase of CHF 0.1 million in grant income for activities completed for our Target ALS Foundation award.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2021, finance result was a CHF 6.0 million gain compared with a CHF 0.7 million loss for the comparable period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This represents an increase of CHF 6.7 million. The following table presents the finance result during the years ended December 31, 2021 and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r>
      <w:tr>
        <w:trPr>
          <w:trHeight w:val="27"/>
        </w:trPr>
        <w:tc>
          <w:tcPr>
            <w:tcW w:w="102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Pr>
          <w:p>
            <w:pPr>
              <w:jc w:val="right"/>
              <w:spacing w:after="0"/>
              <w:rPr>
                <w:sz w:val="20"/>
                <w:szCs w:val="20"/>
                <w:color w:val="auto"/>
              </w:rPr>
            </w:pPr>
            <w:r>
              <w:rPr>
                <w:rFonts w:ascii="Arial" w:cs="Arial" w:eastAsia="Arial" w:hAnsi="Arial"/>
                <w:sz w:val="18"/>
                <w:szCs w:val="18"/>
                <w:color w:val="auto"/>
              </w:rPr>
              <w:t>6,017</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6,678</w:t>
            </w:r>
          </w:p>
        </w:tc>
      </w:tr>
      <w:tr>
        <w:trPr>
          <w:trHeight w:val="20"/>
        </w:trPr>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finance result was a gain primarily increased related to:</w:t>
      </w:r>
    </w:p>
    <w:p>
      <w:pPr>
        <w:spacing w:after="0" w:line="225" w:lineRule="exact"/>
        <w:rPr>
          <w:sz w:val="20"/>
          <w:szCs w:val="20"/>
          <w:color w:val="auto"/>
        </w:rPr>
      </w:pPr>
    </w:p>
    <w:p>
      <w:pPr>
        <w:ind w:left="660" w:right="440" w:hanging="328"/>
        <w:spacing w:after="0" w:line="291"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increase of CHF 6.4 million in financial income, predominantly related to a CHF 6.5 million gain on the change in fair value of derivative financial assets associated with two convertible notes sold to certain Affiris affiliated entities as a result of fair value remeasurements; and</w:t>
      </w:r>
    </w:p>
    <w:p>
      <w:pPr>
        <w:ind w:left="660" w:right="660" w:hanging="328"/>
        <w:spacing w:after="0" w:line="260"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CHF 0.7 million increase in favorable foreign currency exchange differences related to movement in the CHF versus foreign currencies, predominantly the US Dollar and Euro,</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225" w:lineRule="exact"/>
        <w:rPr>
          <w:sz w:val="20"/>
          <w:szCs w:val="20"/>
          <w:color w:val="auto"/>
        </w:rPr>
      </w:pPr>
    </w:p>
    <w:p>
      <w:pPr>
        <w:ind w:left="660" w:right="24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CHF 0.4 million increase in financial expense, of which CHF 0.4 million relates to interest expense as many of our CHF-denominated deposit accounts bear negative interest as well as our lease liabilities in accordance with IFRS 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In addition to our operating results, as calculated in accordance with IFRS, as adopted by the IASB,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5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our consolidated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Income/(loss)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(72,996)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(61,921)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Non-cash share-based payments</w:t>
            </w:r>
            <w:r>
              <w:rPr>
                <w:rFonts w:ascii="Arial" w:cs="Arial" w:eastAsia="Arial" w:hAnsi="Arial"/>
                <w:sz w:val="25"/>
                <w:szCs w:val="25"/>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73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Foreign currency (gains)/losses</w:t>
            </w:r>
            <w:r>
              <w:rPr>
                <w:rFonts w:ascii="Arial" w:cs="Arial" w:eastAsia="Arial" w:hAnsi="Arial"/>
                <w:sz w:val="25"/>
                <w:szCs w:val="25"/>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73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Change in fair value of derivative financial assets</w:t>
            </w:r>
            <w:r>
              <w:rPr>
                <w:rFonts w:ascii="Arial" w:cs="Arial" w:eastAsia="Arial" w:hAnsi="Arial"/>
                <w:sz w:val="25"/>
                <w:szCs w:val="25"/>
                <w:color w:val="auto"/>
                <w:vertAlign w:val="superscript"/>
              </w:rPr>
              <w:t>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5"/>
                <w:szCs w:val="25"/>
                <w:color w:val="auto"/>
                <w:vertAlign w:val="superscript"/>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Effective interest expenses</w:t>
            </w:r>
            <w:r>
              <w:rPr>
                <w:rFonts w:ascii="Arial" w:cs="Arial" w:eastAsia="Arial" w:hAnsi="Arial"/>
                <w:sz w:val="25"/>
                <w:szCs w:val="25"/>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r>
      <w:tr>
        <w:trPr>
          <w:trHeight w:val="223"/>
        </w:trPr>
        <w:tc>
          <w:tcPr>
            <w:tcW w:w="73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Change in fair value of conversion feature</w:t>
            </w:r>
            <w:r>
              <w:rPr>
                <w:rFonts w:ascii="Arial" w:cs="Arial" w:eastAsia="Arial" w:hAnsi="Arial"/>
                <w:sz w:val="25"/>
                <w:szCs w:val="25"/>
                <w:color w:val="auto"/>
                <w:vertAlign w:val="superscript"/>
              </w:rPr>
              <w:t>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(4,542)</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income/(loss)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(74,115)</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(57,130)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(0.97)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adjusted loss per share – basic</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74,951,833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71,900,212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70,603,611</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Weighted-average number of shares used to compute adjusted loss per share – diluted</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71,103,341</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Reflects non-cash expenses associated with share-based compensation for equity awards issued to directors, management and employees of the Company.</w:t>
      </w:r>
    </w:p>
    <w:p>
      <w:pPr>
        <w:spacing w:after="0" w:line="234" w:lineRule="auto"/>
        <w:rPr>
          <w:sz w:val="20"/>
          <w:szCs w:val="20"/>
          <w:color w:val="auto"/>
        </w:rPr>
      </w:pPr>
      <w:r>
        <w:rPr>
          <w:rFonts w:ascii="Arial" w:cs="Arial" w:eastAsia="Arial" w:hAnsi="Arial"/>
          <w:sz w:val="18"/>
          <w:szCs w:val="18"/>
          <w:color w:val="auto"/>
        </w:rPr>
        <w:t>This expense reflects the awards’ fair value recognized for the portion of the equity award which is vesting over the period.</w:t>
      </w:r>
    </w:p>
    <w:p>
      <w:pPr>
        <w:ind w:right="340"/>
        <w:spacing w:after="0" w:line="191"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1"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6"/>
          <w:szCs w:val="16"/>
          <w:color w:val="auto"/>
        </w:rPr>
        <w:t>Reflects the change in the fair value of the derivative financial instruments associated with two convertible notes sold to certain Affiris affiliated entities.</w:t>
      </w:r>
    </w:p>
    <w:p>
      <w:pPr>
        <w:spacing w:after="0" w:line="181"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6"/>
          <w:szCs w:val="16"/>
          <w:color w:val="auto"/>
        </w:rPr>
        <w:t>Reflects transaction costs associated with our asset acquisition for a portfolio of therapeutics targeting alpha-synuclein.</w:t>
      </w:r>
    </w:p>
    <w:p>
      <w:pPr>
        <w:spacing w:after="0" w:line="180"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16"/>
          <w:szCs w:val="16"/>
          <w:color w:val="auto"/>
        </w:rPr>
        <w:t>Effective interest expense for the period relates to the accretion of the Company’s convertible loan in accordance with the effective interest method.</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Change in fair value of conversion feature that is bifurcated from the convertible loan host debt with Lilly.</w:t>
      </w:r>
    </w:p>
    <w:p>
      <w:pPr>
        <w:spacing w:after="0" w:line="9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Adjustments for the years ended December 31, 2021, 2020 and 2019 increased net loss by CHF 1.1 million, decreased net loss by CHF 4.8 million and increased net income by CHF 0.5 million, respectively. The Company recorded share-based compensation expenses of CHF 4.1 million, CHF 4.1 million and CHF 2.8 million for the years ended December 31, 2021, 2020 and 2019, respectively. There were foreign currency re-measurement losses of CHF 0.1 million, CHF 0.7 million and CHF 0.8 million for the years ended December 31, 2021, 2020 and 2019, respectively, predominantly related to the cash balance of the Company as a result of fluctuations of the US Dollar against the Swiss Franc. The Company recognized a CHF 6.5 million gain on the change in fair value of the derivative financial assets associated with two convertible notes sold to certain Affiris affiliated entities in 2021. This gain did not arise in the comparable prior periods. The Company also incurred CHF 1.1 million in transaction costs associated with its acquisition of a portfolio of therapeutics targeting alpha-synuclein, which did not arise in the comparable prior periods. Finally,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or gains in 2021 nor 2020.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discloses liquidity, which is defined as a financial indicator comprised of cash and cash equivalents and short-term financial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Summary of 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to our consolidated financial statements for further definition.</w:t>
      </w:r>
    </w:p>
    <w:p>
      <w:pPr>
        <w:spacing w:after="0" w:line="207" w:lineRule="exact"/>
        <w:rPr>
          <w:sz w:val="20"/>
          <w:szCs w:val="20"/>
          <w:color w:val="auto"/>
        </w:rPr>
      </w:pPr>
    </w:p>
    <w:p>
      <w:pPr>
        <w:ind w:right="8520" w:firstLine="8"/>
        <w:spacing w:after="0" w:line="503" w:lineRule="auto"/>
        <w:tabs>
          <w:tab w:leader="none" w:pos="324"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Cash flows</w:t>
      </w:r>
    </w:p>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16"/>
        </w:trPr>
        <w:tc>
          <w:tcPr>
            <w:tcW w:w="7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(65,689)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(6,172)</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Investing activities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(53,664)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28,329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(81,993)</w:t>
            </w:r>
          </w:p>
        </w:tc>
      </w:tr>
      <w:tr>
        <w:trPr>
          <w:trHeight w:val="216"/>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41,549</w:t>
            </w:r>
          </w:p>
        </w:tc>
      </w:tr>
      <w:tr>
        <w:trPr>
          <w:trHeight w:val="27"/>
        </w:trPr>
        <w:tc>
          <w:tcPr>
            <w:tcW w:w="102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(78,607)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(31,991)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(46,616)</w:t>
            </w:r>
          </w:p>
        </w:tc>
      </w:tr>
      <w:tr>
        <w:trPr>
          <w:trHeight w:val="20"/>
        </w:trPr>
        <w:tc>
          <w:tcPr>
            <w:tcW w:w="10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Net cash used in operating activities was CHF 65.7 million for the year ended December 31, 2021 compared with net cash used in operating activities of CHF 59.5 million for the year ended December 31, 2020. The change in cash used in operating activities for the year ended December 31, 2021 was due to the Company incurring a net loss of CHF 73.0 million for the year ended December 31, 2021 compared with net loss of CHF 61.9 million for the same period in 2020, which was driven by (i) a decrease of CHF 15.4 million in contract revenues, principally due to the recognition of a CHF 10 million milestone payment and CHF 4.3 million for R&amp;D activities associated with our agreement with Lilly in the prior period, which did not repeat in the current period, (ii) a CHF 2.8 million increase in R&amp;D expenditures for the year ended December 31, 2021 and (iii) a CHF 6.5 million gain on the change in fair value of derivative financial assets associated with two convertible notes sold to certain Affiris affiliated entities.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Net cash used in investing activities was CHF 53.7 million for the year ended December 31, 2021 compared with net cash provided by investing activities of CHF 28.3 million for the year ended December 31, 2020. The Company invested in a net of CHF 51.0 million worth of short-term financial assets for the year ended December 31, 2021, compared to a net maturation of CHF 30.0 million of short-term financial assets for the prior period. Additionally, the Company spent CHF 2.6 million on property, plant and equipment, predominantly to enhance its laboratory and facilities.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Net cash provided by financing activities was CHF 40.7 million for the year ended December 31, 2021, compared with net cash used in financing activities of CHF 0.8 million for the year ended December 31, 2020. The increase of CHF 41.5 million is predominantly related to (i) CHF 23.5 million received from two convertible notes sold to certain Affiris affiliated entities, (ii) CHF 4.6 million for the issuance of shares as part of the Company’ acquisition with Affiris for the program portfolio of therapeutics targeting a-syn, notably ACI-7104 (see “Note 6. Asset acquisition.”) and (iii) CHF 12.1 million received from proceeds from the sale of treasury shares in public offerings, net of underwriting fees and transaction costs.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successfully commercialize, our current or any future product candidates. As of December 31, 2021, we had cash and cash equivalents of CHF 82.2 million and short-term financial assets of CHF 116.0 million, resulting in CHF 198.2 million of liquidity. The decrease relative to December 31, 2020 was predominantly related to R&amp;D spending on our major discovery and R&amp;D programs, and the strengthening of the Company’s infrastructure, systems and organization. This was offset by the receipt of CHF 23.5 million for two convertible notes sold to certain Affiris affiliated entities, CHF 4.6 million for the issuance of shares in association with our transaction with Affiris and CHF 12.1 million, net of underwriting fees and transaction costs, for the sale of 1,171,543 of our common shares that were previously held as treasury shares in accordance with our ATM program.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Q1 2024.</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In addition, the Company has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and lease liabilities.”</w:t>
      </w:r>
    </w:p>
    <w:p>
      <w:pPr>
        <w:spacing w:after="0" w:line="18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Company currently projects CHF 1.0 million in undiscounted short-term lease obligations and CHF 2.4 million in undiscounted long-term lease obligations. Additionally, the Company projects CHF 19.4 million in short-term purchase commitments and CHF 3.9 million in long-term purchase commitments predominantly driven by R&amp;D activities.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Commencing in September 2020, the Company established an “at the market offering” (ATM) for the sale of up to USD 80 (CHF 73.9) million worth of our common shares from time to time by entering into an Open Market Sale Agreement (Sales Agreement) with Jefferies LLC (Jefferies). In Q2 2021, we filed a new registration statement on Form F-3 and entered into a new Sales Agreement in Q2 2021 to replace and extend the ATM program. To date, the Company has sold 1,171,543 million common shares previously held as treasury shares pursuant to the new Sales Agreement, raising USD 13.3 (CHF 12.1) million, net of underwriting fees and transaction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9"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For a discussion of the financial results and condition for the fiscal year ended December 31, 2019, please refer to “Item 5. Operating and financial review and prospects—A. Operating results—comparison of the years ended December 31, 2020 and 2019” of our Annual Report on Form 20-F for the year ended December 31, 2020 filed on March 23, 2021.</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See “Item 4. Information on the Company—B. Business overview” and “Item 5. Operating and financial review and prospects—A. Operating results —results of operations.”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5. Operating and financial review and prospects.”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prepare our consolidated financial statements in accordance with IFRS as issued by the IASB. See “Note 3. Summary of significant accounting policies” to our consolidated financial statements for a description of the most significant accounting policies applied in the preparation of our consolidated financial statements.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March 1, 2022. The term of each of our directors is 1 year and, accordingly, will expire at our 2022 annual shareholder meeting to be held in June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5"/>
              </w:rPr>
              <w:t>Initial year of</w:t>
            </w:r>
          </w:p>
        </w:tc>
      </w:tr>
      <w:tr>
        <w:trPr>
          <w:trHeight w:val="241"/>
        </w:trPr>
        <w:tc>
          <w:tcPr>
            <w:tcW w:w="3940" w:type="dxa"/>
            <w:vAlign w:val="bottom"/>
          </w:tcPr>
          <w:p>
            <w:pPr>
              <w:ind w:left="176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4020" w:type="dxa"/>
            <w:vAlign w:val="bottom"/>
            <w:gridSpan w:val="2"/>
          </w:tcPr>
          <w:p>
            <w:pPr>
              <w:ind w:left="1640"/>
              <w:spacing w:after="0"/>
              <w:rPr>
                <w:sz w:val="20"/>
                <w:szCs w:val="20"/>
                <w:color w:val="auto"/>
              </w:rPr>
            </w:pPr>
            <w:r>
              <w:rPr>
                <w:rFonts w:ascii="Arial" w:cs="Arial" w:eastAsia="Arial" w:hAnsi="Arial"/>
                <w:sz w:val="18"/>
                <w:szCs w:val="18"/>
                <w:b w:val="1"/>
                <w:bCs w:val="1"/>
                <w:color w:val="auto"/>
              </w:rPr>
              <w:t>Position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appointment</w:t>
            </w:r>
          </w:p>
        </w:tc>
      </w:tr>
      <w:tr>
        <w:trPr>
          <w:trHeight w:val="216"/>
        </w:trPr>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Executive Officers</w:t>
            </w:r>
          </w:p>
        </w:tc>
        <w:tc>
          <w:tcPr>
            <w:tcW w:w="14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Andrea Pfeifer,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Executive Officer and 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Marie Kosco-Vilbois, Ph.D.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Chief Scientific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Johannes Rolf Streffer, M.D.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Piergiorgio Donati</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Chief Technical Operations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Joerg Hornstein</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Jean-Fabien Monin</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Chief Administrative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Other Key Employees</w:t>
            </w: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Julien Rongère,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VP Regulatory Affairs and Quality Assurance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Olivier Sol, M.D.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VP Head of Clinical Development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Alexandre Caratsch</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Counsel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Bojana Portmann, Ph.D.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AVP IP and Business Development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Julian Gray, M.D.,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Clinical Advisor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Mark Danton</w:t>
            </w:r>
          </w:p>
        </w:tc>
        <w:tc>
          <w:tcPr>
            <w:tcW w:w="41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VP Information Systems, Security and Digital</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7"/>
                <w:szCs w:val="17"/>
                <w:color w:val="auto"/>
              </w:rPr>
            </w:pP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2019</w:t>
            </w:r>
          </w:p>
        </w:tc>
      </w:tr>
      <w:tr>
        <w:trPr>
          <w:trHeight w:val="230"/>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Technologies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Non-Executive Directors</w:t>
            </w: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Douglas Williams,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Chairman and 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Thomas Graney</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Werner Lanthaler,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Roy Twyman, M.D.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Carl June, M.D.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Alan Colowick, M.D.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Monika Bütler, Ph.D.</w:t>
            </w:r>
          </w:p>
        </w:tc>
        <w:tc>
          <w:tcPr>
            <w:tcW w:w="41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Monica Shaw, M.D.</w:t>
            </w:r>
          </w:p>
        </w:tc>
        <w:tc>
          <w:tcPr>
            <w:tcW w:w="41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2021</w:t>
            </w:r>
          </w:p>
        </w:tc>
      </w:tr>
    </w:tbl>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w:t>
      </w:r>
      <w:r>
        <w:rPr>
          <w:rFonts w:ascii="Arial" w:cs="Arial" w:eastAsia="Arial" w:hAnsi="Arial"/>
          <w:sz w:val="16"/>
          <w:szCs w:val="16"/>
          <w:color w:val="auto"/>
        </w:rPr>
        <w:t>Prof. Andrea Pfeifer co-founded AC Immune SA in 2003,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it to an IPO in 2016, since when she has served as a Director on the Board. Under her leadership, multiple transformative partnerships have been established with leading pharmaceutical companies, yielding a potential value of up to CHF 3.3 billion plus additional royalties. Before founding the Company, she was the Head of Nestlé Research Centre in Lausanne, Switzerland where she played a major role in connecting science and business. Whilst at Nestlé she led the scientific development of a number of highly innovative, critically acclaimed products from laboratory to market, established the microbiome as a major cross-category product development platform and co-founded the Life Science focused Nestlé Venture Capital Fund. Prior to this she was a Visiting Fellow at the Human Carcinogenesis Branch of The National Institute of Health, Bethesda, USA. She currently serves as the Chair of Investment Fund BioMedInvest, Basel and AB2 Bio SA, Lausanne, and is a member of the Supervisory Board of Symrise AG, Holzminden, Germany. She is also a key member of the CEOi initiative on Alzheimer’s Disease and the Davos Alzheimer’s Collaborative (DAC).</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Prof. Pfeifer holds a Ph.D. in Toxicology (Cancer Research) from the University of Würzburg, Germany and is a registered Toxicologist and Pharmacist. She received her Habilitation from the University of Lausanne, Switzerland and is an Honorary Professor at the Ecole Polytechnique Fédérale de Lausanne (EPFL).</w:t>
      </w:r>
    </w:p>
    <w:p>
      <w:pPr>
        <w:spacing w:after="0" w:line="18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Marie Kosco-Vilbois, Ph.D., Chief Scientific Officer</w:t>
      </w:r>
      <w:r>
        <w:rPr>
          <w:rFonts w:ascii="Arial" w:cs="Arial" w:eastAsia="Arial" w:hAnsi="Arial"/>
          <w:sz w:val="17"/>
          <w:szCs w:val="17"/>
          <w:color w:val="auto"/>
        </w:rPr>
        <w:t>: A US citizen, Dr. Kosco-Vilbois has extensive experience in the biopharmaceutical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pacing w:after="0" w:line="172" w:lineRule="exact"/>
        <w:rPr>
          <w:sz w:val="20"/>
          <w:szCs w:val="20"/>
          <w:color w:val="auto"/>
        </w:rPr>
      </w:pPr>
    </w:p>
    <w:p>
      <w:pPr>
        <w:ind w:right="40" w:firstLine="321"/>
        <w:spacing w:after="0" w:line="298" w:lineRule="auto"/>
        <w:rPr>
          <w:sz w:val="20"/>
          <w:szCs w:val="20"/>
          <w:color w:val="auto"/>
        </w:rPr>
      </w:pPr>
      <w:r>
        <w:rPr>
          <w:rFonts w:ascii="Arial" w:cs="Arial" w:eastAsia="Arial" w:hAnsi="Arial"/>
          <w:sz w:val="16"/>
          <w:szCs w:val="16"/>
          <w:b w:val="1"/>
          <w:bCs w:val="1"/>
          <w:color w:val="auto"/>
        </w:rPr>
        <w:t xml:space="preserve">Johannes Rolf Streffer, M.D., Chief Medical Officer: </w:t>
      </w:r>
      <w:r>
        <w:rPr>
          <w:rFonts w:ascii="Arial" w:cs="Arial" w:eastAsia="Arial" w:hAnsi="Arial"/>
          <w:sz w:val="16"/>
          <w:szCs w:val="16"/>
          <w:color w:val="auto"/>
        </w:rPr>
        <w:t>Prof. Johannes Streffer joined AC Immune SA in January 2021 as Chief Medical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UCB Biopharma SPRL where he was VP, Head of Translational Medicine Neuroscience. Prior to this he was a member of the Alzheimer Disease Area Leadership Team at Janssen R&amp;D and the industrial lead for EMIF-AD, where 14 countries are combined to foster understanding of early biomarkers and change in the predementia AD spectrum. His recognized expertise and standing in the scientific and medical community provide an invaluable asset as we work to develop innovative treatments for neurodegenerative diseases based on our proprietary technology platforms.</w:t>
      </w:r>
    </w:p>
    <w:p>
      <w:pPr>
        <w:spacing w:after="0" w:line="158" w:lineRule="exact"/>
        <w:rPr>
          <w:sz w:val="20"/>
          <w:szCs w:val="20"/>
          <w:color w:val="auto"/>
        </w:rPr>
      </w:pPr>
    </w:p>
    <w:p>
      <w:pPr>
        <w:ind w:right="220" w:firstLine="321"/>
        <w:spacing w:after="0" w:line="342" w:lineRule="auto"/>
        <w:rPr>
          <w:sz w:val="20"/>
          <w:szCs w:val="20"/>
          <w:color w:val="auto"/>
        </w:rPr>
      </w:pPr>
      <w:r>
        <w:rPr>
          <w:rFonts w:ascii="Arial" w:cs="Arial" w:eastAsia="Arial" w:hAnsi="Arial"/>
          <w:sz w:val="16"/>
          <w:szCs w:val="16"/>
          <w:color w:val="auto"/>
        </w:rPr>
        <w:t>Prof. Streffer graduated from the University of Tübingen, Germany with a medical degree. He completed graduate studies on neuro-oncology and is Board certified in Psychiatry and Neurology. Currently he is a visiting Professor in the Department of Biomedical Sciences, University of Antwerp.</w:t>
      </w:r>
    </w:p>
    <w:p>
      <w:pPr>
        <w:spacing w:after="0" w:line="120" w:lineRule="exact"/>
        <w:rPr>
          <w:sz w:val="20"/>
          <w:szCs w:val="20"/>
          <w:color w:val="auto"/>
        </w:rPr>
      </w:pPr>
    </w:p>
    <w:p>
      <w:pPr>
        <w:ind w:right="160" w:firstLine="324"/>
        <w:spacing w:after="0" w:line="303" w:lineRule="auto"/>
        <w:rPr>
          <w:sz w:val="20"/>
          <w:szCs w:val="20"/>
          <w:color w:val="auto"/>
        </w:rPr>
      </w:pPr>
      <w:r>
        <w:rPr>
          <w:rFonts w:ascii="Arial" w:cs="Arial" w:eastAsia="Arial" w:hAnsi="Arial"/>
          <w:sz w:val="16"/>
          <w:szCs w:val="16"/>
          <w:b w:val="1"/>
          <w:bCs w:val="1"/>
          <w:color w:val="auto"/>
        </w:rPr>
        <w:t xml:space="preserve">Piergiorgio Donati, Chief Technical Operations Officer: </w:t>
      </w:r>
      <w:r>
        <w:rPr>
          <w:rFonts w:ascii="Arial" w:cs="Arial" w:eastAsia="Arial" w:hAnsi="Arial"/>
          <w:sz w:val="16"/>
          <w:szCs w:val="16"/>
          <w:color w:val="auto"/>
        </w:rPr>
        <w:t>Mr. Donati joined AC Immune in June 2018 as Director, Global Program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having previously worked for AC Immune from 2011 to 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5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Joerg Hornstein, Chief Financial Officer: </w:t>
      </w:r>
      <w:r>
        <w:rPr>
          <w:rFonts w:ascii="Arial" w:cs="Arial" w:eastAsia="Arial" w:hAnsi="Arial"/>
          <w:sz w:val="18"/>
          <w:szCs w:val="18"/>
          <w:color w:val="auto"/>
        </w:rPr>
        <w:t>Mr. Hornstein has served as our Chief Financial Officer since April 2017. Prior to joining AC Immune,</w:t>
      </w:r>
      <w:r>
        <w:rPr>
          <w:rFonts w:ascii="Arial" w:cs="Arial" w:eastAsia="Arial" w:hAnsi="Arial"/>
          <w:sz w:val="18"/>
          <w:szCs w:val="18"/>
          <w:b w:val="1"/>
          <w:bCs w:val="1"/>
          <w:color w:val="auto"/>
        </w:rPr>
        <w:t xml:space="preserve"> </w:t>
      </w:r>
      <w:r>
        <w:rPr>
          <w:rFonts w:ascii="Arial" w:cs="Arial" w:eastAsia="Arial" w:hAnsi="Arial"/>
          <w:sz w:val="18"/>
          <w:szCs w:val="18"/>
          <w:color w:val="auto"/>
        </w:rPr>
        <w:t>Mr. 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 other appointments,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18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key employees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color w:val="auto"/>
        </w:rPr>
        <w:t>Julien Rongère, Ph.D., VP Regulatory Affairs and Quality Assurance</w:t>
      </w:r>
      <w:r>
        <w:rPr>
          <w:rFonts w:ascii="Arial" w:cs="Arial" w:eastAsia="Arial" w:hAnsi="Arial"/>
          <w:sz w:val="17"/>
          <w:szCs w:val="17"/>
          <w:color w:val="auto"/>
        </w:rPr>
        <w:t>: Dr. Rongère joined AC Immune in July 2017 as Head of European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Affairs and Quality Assurance. Prior to joining AC Immune, Dr. Rongère held positions of increasing responsibility at Celgene in Switzerland. Most recently, he served as Director, Regulatory Affairs, leading the development of regulatory strategies for small molecules and CAR-T cell therapies and contributed to the development and approval of Revlimid in multiple myeloma and mantle cell lymphoma. Prior to Celgene, Dr. Rongère served as a Regulatory Expert at Apoxis, SA in Switzerland. During his career, Dr. Rongère gained specific expertise in the development of regulatory strategies for taking products from Phase 1 through to commercialization in the field of hematology/oncology and immunology/inflammation, including fast-to-market approaches, orphan drugs and pediatric development. Dr. Rongère gained his Master’s Degree in Medical Genetics from the University of Aberdeen, UK, and holds a Ph.D. in Molecular Biology from the University of Lausanne, Switzerland.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Oliver Sol, M.D., VP Head of Clinical Development</w:t>
      </w:r>
      <w:r>
        <w:rPr>
          <w:rFonts w:ascii="Arial" w:cs="Arial" w:eastAsia="Arial" w:hAnsi="Arial"/>
          <w:sz w:val="18"/>
          <w:szCs w:val="18"/>
          <w:color w:val="auto"/>
        </w:rPr>
        <w:t>: Prior to joining AC Immune, Dr. Olivier Sol was Clinical Director of Exonhit (Paris)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thereafter Medical &amp; Regulatory Affairs Director for Diaxonhit, where he was responsible for the development and medical validation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disease. He has also gained significant experience in the field of biological biomarkers. Dr. Sol holds an M.D. from the Paris-Sud University (Paris-Saclay) with a specialization in Medical Biology.</w:t>
      </w:r>
    </w:p>
    <w:p>
      <w:pPr>
        <w:spacing w:after="0" w:line="189"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color w:val="auto"/>
        </w:rPr>
        <w:t xml:space="preserve">Alexandre Caratsch, General Counsel: </w:t>
      </w:r>
      <w:r>
        <w:rPr>
          <w:rFonts w:ascii="Arial" w:cs="Arial" w:eastAsia="Arial" w:hAnsi="Arial"/>
          <w:sz w:val="16"/>
          <w:szCs w:val="16"/>
          <w:color w:val="auto"/>
        </w:rPr>
        <w:t>Alexandre Caratsch is a Swiss-qualified attorney with 30 years’ experience in private practice, multinational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and in ventures. He initially worked as an in-house lawyer for E&amp;Y and the SGS Group before specializing in healthcare, holding senior legal positions at Novartis and Medtronic. Before joining AC Immune, he led the Corporate Legal Affairs and Intellectual Property group for Medtronic’s Europe, Middle East and Africa (EMEA) region. Mr. Caratsch has also co-founded two start-up companies in the field of information technology and medical technology, respectively, and has supported other start-up companies with strategic, transactional and general counsel. Mr. Caratsch holds a Master’s degree in Law from the University of Neuchâtel, Switzerland and is admitted to the Bar of Geneva, Switzerland.</w:t>
      </w:r>
    </w:p>
    <w:p>
      <w:pPr>
        <w:spacing w:after="0" w:line="160"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Bojana Portmann, Ph.D., AVP IP and Business Development</w:t>
      </w:r>
      <w:r>
        <w:rPr>
          <w:rFonts w:ascii="Arial" w:cs="Arial" w:eastAsia="Arial" w:hAnsi="Arial"/>
          <w:sz w:val="17"/>
          <w:szCs w:val="17"/>
          <w:color w:val="auto"/>
        </w:rPr>
        <w:t>: Dr. Portmann joined AC Immune in 2011 as Intellectual Property Manager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held multiple roles within the IP department with increasing responsibility over the past years, during which her work was mainly focused on creating and strengthening patent portfolios for biologicals, small molecules and liposomal technology. Dr. Portmann holds a Ph.D. degree from the EPFL University in Switzerland, and a LL.M. degree, Master of Intellectual Property Law and Management (MIPLM), from the CEIPI in France. She also received a M.Sc. (Dipl. Ing.) degree in Polymer and Chemical Engineering from the University of Belgrade in Serbia.</w:t>
      </w:r>
    </w:p>
    <w:p>
      <w:pPr>
        <w:spacing w:after="0" w:line="16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Oxford Brookes University.</w:t>
      </w:r>
    </w:p>
    <w:p>
      <w:pPr>
        <w:spacing w:after="0" w:line="172"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b w:val="1"/>
          <w:bCs w:val="1"/>
          <w:color w:val="auto"/>
        </w:rPr>
        <w:t xml:space="preserve">Mark Danton, VP Information Systems, Security and Digital Technologies: </w:t>
      </w:r>
      <w:r>
        <w:rPr>
          <w:rFonts w:ascii="Arial" w:cs="Arial" w:eastAsia="Arial" w:hAnsi="Arial"/>
          <w:sz w:val="18"/>
          <w:szCs w:val="18"/>
          <w:color w:val="auto"/>
        </w:rPr>
        <w:t>Mr. Mark Danton is a globally recognized and experienced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in Information Systems/Information Technology (IS/IT) with extensive experience in developing, launching and managing business-relevant IS, cybersecurity and digital technology solutions and services.</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Prior to joining AC Immune, Mr. Danton served as IS/IT Global Manager at Nestlé and held a number of global roles at BT Global Services and in Dimension Data PLC. Mr. Danton holds an Executive MBA from the Business School Lausanne, graduating cum laude and as the Executive MBA Student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color w:val="auto"/>
        </w:rPr>
        <w:t xml:space="preserve">Douglas Williams, Ph.D., Chairman and Director: </w:t>
      </w:r>
      <w:r>
        <w:rPr>
          <w:rFonts w:ascii="Arial" w:cs="Arial" w:eastAsia="Arial" w:hAnsi="Arial"/>
          <w:sz w:val="18"/>
          <w:szCs w:val="18"/>
          <w:color w:val="auto"/>
        </w:rPr>
        <w:t>Douglas E. Williams, Ph.D., is currently the President, CEO and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Codiak BioSciences. He was previously Biogen’s Executive Vice President, Research and Development, serving in this role from January 2011 to July 2015. He joined Biogen from ZymoGenetics, where he was most recently CEO and member of the Board of Directors. ZymoGenetics was purchased for $985 million by Bristol Myers Squibb during Dr. Williams’ tenure.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30+ year career in the biotechnology industry he has played a role in the development of several novel drugs including Enbrel, Tecfidera, and Spinraza. He has served on the board of numerous biotechnology companies and is currently Chairman of the Board of AC Immune, and is a Director for Panacea II and a Director for private companies CytoImmune Therapeutics and Xenikos.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b w:val="1"/>
          <w:bCs w:val="1"/>
          <w:color w:val="auto"/>
        </w:rPr>
        <w:t xml:space="preserve">Thomas Graney, Director: </w:t>
      </w:r>
      <w:r>
        <w:rPr>
          <w:rFonts w:ascii="Arial" w:cs="Arial" w:eastAsia="Arial" w:hAnsi="Arial"/>
          <w:sz w:val="16"/>
          <w:szCs w:val="16"/>
          <w:color w:val="auto"/>
        </w:rPr>
        <w:t>Thomas Graney is currently the CEO, CFO, and member of the Board of Directors of Oxurion NV. Prior to Oxurion, he</w:t>
      </w:r>
      <w:r>
        <w:rPr>
          <w:rFonts w:ascii="Arial" w:cs="Arial" w:eastAsia="Arial" w:hAnsi="Arial"/>
          <w:sz w:val="16"/>
          <w:szCs w:val="16"/>
          <w:b w:val="1"/>
          <w:bCs w:val="1"/>
          <w:color w:val="auto"/>
        </w:rPr>
        <w:t xml:space="preserve"> </w:t>
      </w:r>
      <w:r>
        <w:rPr>
          <w:rFonts w:ascii="Arial" w:cs="Arial" w:eastAsia="Arial" w:hAnsi="Arial"/>
          <w:sz w:val="16"/>
          <w:szCs w:val="16"/>
          <w:color w:val="auto"/>
        </w:rPr>
        <w:t>was CFO of Generation Bio, Senior Vice President and CFO at Vertex Pharmaceuticals Inc. and CFO and SVP of Finance &amp; Corporate Strategy at Ironwood Pharmaceuticals. Prior to Ironwood Pharmaceuticals, Mr. Graney spent 20 years working with J&amp;J and its affiliates, serving for 4 years as worldwide VP of Finance and CFO of Ethicon. Mr. Graney has extensive global experience that spans corporate development, commercial strategy, portfolio management and supply chain management, communication, and investor relations. Mr. Graney is currently on the Board of Directors of Mogrify LTD and Chairman of the Audit Committee. A Chartered Financial Analyst charterholder, Mr. Graney holds a B.S. in accounting from the University of Delaware and an MBA in Marketing, Finance and International Business from the Leonard N. Stern School of Business at New York University.</w:t>
      </w:r>
    </w:p>
    <w:p>
      <w:pPr>
        <w:spacing w:after="0" w:line="16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Werner Lanthaler, Ph.D., Director: </w:t>
      </w:r>
      <w:r>
        <w:rPr>
          <w:rFonts w:ascii="Arial" w:cs="Arial" w:eastAsia="Arial" w:hAnsi="Arial"/>
          <w:sz w:val="17"/>
          <w:szCs w:val="17"/>
          <w:color w:val="auto"/>
        </w:rPr>
        <w:t>Dr. Werner Lanthaler is the CEO of Evotec AG, a drug discovery alliance and development partnership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rapidly progressing innovative product approaches with leading pharmaceutical and biotechnology companies, academics, patient advocacy groups and venture capitalists. Since joining Evotec in 2009, Dr. Lanthaler has focused the company on collaborating with biotech and pharma companies and academia, supporting biotech innovation. He previously served as Chief Financial Officer at Intercell AG where he played a key role in many of that company’s major milestones. During his tenure, Intercell undertook an IPO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74" w:lineRule="exact"/>
        <w:rPr>
          <w:sz w:val="20"/>
          <w:szCs w:val="20"/>
          <w:color w:val="auto"/>
        </w:rPr>
      </w:pPr>
    </w:p>
    <w:p>
      <w:pPr>
        <w:ind w:right="140" w:firstLine="324"/>
        <w:spacing w:after="0" w:line="274" w:lineRule="auto"/>
        <w:rPr>
          <w:sz w:val="20"/>
          <w:szCs w:val="20"/>
          <w:color w:val="auto"/>
        </w:rPr>
      </w:pPr>
      <w:r>
        <w:rPr>
          <w:rFonts w:ascii="Arial" w:cs="Arial" w:eastAsia="Arial" w:hAnsi="Arial"/>
          <w:sz w:val="17"/>
          <w:szCs w:val="17"/>
          <w:b w:val="1"/>
          <w:bCs w:val="1"/>
          <w:color w:val="auto"/>
        </w:rPr>
        <w:t>Roy Twyman, M.D., Director</w:t>
      </w:r>
      <w:r>
        <w:rPr>
          <w:rFonts w:ascii="Arial" w:cs="Arial" w:eastAsia="Arial" w:hAnsi="Arial"/>
          <w:sz w:val="17"/>
          <w:szCs w:val="17"/>
          <w:color w:val="auto"/>
        </w:rPr>
        <w:t>: Dr. Twyman is a Neurologist and is founder and current CEO of Amron Neuroscience, LLC, a private consulting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Dr. Twyman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73"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 xml:space="preserve">Carl June, M.D., Director: </w:t>
      </w:r>
      <w:r>
        <w:rPr>
          <w:rFonts w:ascii="Arial" w:cs="Arial" w:eastAsia="Arial" w:hAnsi="Arial"/>
          <w:sz w:val="16"/>
          <w:szCs w:val="16"/>
          <w:color w:val="auto"/>
        </w:rPr>
        <w:t>Prof. June is Richard W. Vague Professor in Immunotherapy, Director of the Center for Cellular Immunotherapies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Parker Institute for Cancer Immunotherapy at the Perelman School of Medicine at the University of Pennsylvania. Due to his lifelong work on lymphocyte activation, Prof.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16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Prof. June is a graduate of the Naval Academy in Annapolis, USA, and Baylor College of Medicine in Houston, USA, where he received his medical degree. Prof.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15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Alan Colowick, M.D., Director: </w:t>
      </w:r>
      <w:r>
        <w:rPr>
          <w:rFonts w:ascii="Arial" w:cs="Arial" w:eastAsia="Arial" w:hAnsi="Arial"/>
          <w:sz w:val="18"/>
          <w:szCs w:val="18"/>
          <w:color w:val="auto"/>
        </w:rPr>
        <w:t>Dr. Alan Colowick is currently a Managing Director at Matrix Capital Management and has served in executive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Board roles for numerous large and emerging biotech companies. From 2017 until January 2021, he was a Partner at Sofinnova, where he led investments for several clinical-stage companies. Previously, Dr. Colowick was Executive Vice President and served in various leadership roles at Celgene Corporation, including President for Celgene’s EMEA regions and Senior Vice President of Global Medical Affairs. Before Celgene, he was the Chief Executive Officer at Gloucester Pharmaceuticals, Inc. which was acquired by Celgene in 2010. Dr. Colowick also served as the President of Oncology at Geron Corporation, as Chief Medical Officer of Threshold Pharmaceuticals, and in numerous positions of increasing responsibility at Amgen culminating with his role as VP, Medical Affairs Europe.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Dr. Colowick serves on the Board of Directors for several biopharma companies, and his prior roles as Chairman include VelosBio (sold to Merck in 2020 for $2.75 billion) and Principia Biopharma (sold to Sanofi in 2020 for $3.7 billion). He received his medical degree from Stanford University, a Master’s in Public Health from Harvard University, and a B.S. in Molecular Biology from the University of Colorado. He completed specialty training in Hematology-Oncology at Harvard Medical School, the Dana Farber Cancer Institute, and Brigham and Women’s Hospital in Boston, USA.</w:t>
      </w:r>
    </w:p>
    <w:p>
      <w:pPr>
        <w:spacing w:after="0" w:line="15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Monika Bütler, Ph.D., Director: </w:t>
      </w:r>
      <w:r>
        <w:rPr>
          <w:rFonts w:ascii="Arial" w:cs="Arial" w:eastAsia="Arial" w:hAnsi="Arial"/>
          <w:sz w:val="18"/>
          <w:szCs w:val="18"/>
          <w:color w:val="auto"/>
        </w:rPr>
        <w:t>Dr. Monika Bütler is a leading Swiss economist and former Vice President of the independent Swiss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Taskforce. She is a member of the Board of Directors and of the audit committees of both Schindler Holding AG and Huber &amp; Suhner AG. Dr. Bütler is also a member of the Swiss National Bank’s Council, where she serves on the remuneration committee. Her international economic expertise is in public policy and managerial economics, including an advisory role to the World Bank and visiting appointments in the U.S., Australia and Europe. Dr. Bütler is a Vice President of the Foundation Board of the Gebert Rüf Foundation, a science and innovation foundation that supports entrepreneurial projects which are committed to achieving an impact.</w:t>
      </w:r>
    </w:p>
    <w:p>
      <w:pPr>
        <w:spacing w:after="0" w:line="19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Prof. Bütler holds a Ph.D. in Economics from the University of St. Gallen, a Doctorate Honoris Causa from the University of Lucerne, and a Diploma in Mathematics/Physics from the University of Zurich.</w:t>
      </w:r>
    </w:p>
    <w:p>
      <w:pPr>
        <w:spacing w:after="0" w:line="166" w:lineRule="exact"/>
        <w:rPr>
          <w:sz w:val="20"/>
          <w:szCs w:val="20"/>
          <w:color w:val="auto"/>
        </w:rPr>
      </w:pPr>
    </w:p>
    <w:p>
      <w:pPr>
        <w:ind w:right="200" w:firstLine="324"/>
        <w:spacing w:after="0" w:line="303" w:lineRule="auto"/>
        <w:rPr>
          <w:sz w:val="20"/>
          <w:szCs w:val="20"/>
          <w:color w:val="auto"/>
        </w:rPr>
      </w:pPr>
      <w:r>
        <w:rPr>
          <w:rFonts w:ascii="Arial" w:cs="Arial" w:eastAsia="Arial" w:hAnsi="Arial"/>
          <w:sz w:val="16"/>
          <w:szCs w:val="16"/>
          <w:b w:val="1"/>
          <w:bCs w:val="1"/>
          <w:color w:val="auto"/>
        </w:rPr>
        <w:t xml:space="preserve">Monica Shaw, M.D., Director: </w:t>
      </w:r>
      <w:r>
        <w:rPr>
          <w:rFonts w:ascii="Arial" w:cs="Arial" w:eastAsia="Arial" w:hAnsi="Arial"/>
          <w:sz w:val="16"/>
          <w:szCs w:val="16"/>
          <w:color w:val="auto"/>
        </w:rPr>
        <w:t>Dr. Monica Shaw is a pharmaceutical industry expert who has held senior leadership positions and was involved in</w:t>
      </w:r>
      <w:r>
        <w:rPr>
          <w:rFonts w:ascii="Arial" w:cs="Arial" w:eastAsia="Arial" w:hAnsi="Arial"/>
          <w:sz w:val="16"/>
          <w:szCs w:val="16"/>
          <w:b w:val="1"/>
          <w:bCs w:val="1"/>
          <w:color w:val="auto"/>
        </w:rPr>
        <w:t xml:space="preserve"> </w:t>
      </w:r>
      <w:r>
        <w:rPr>
          <w:rFonts w:ascii="Arial" w:cs="Arial" w:eastAsia="Arial" w:hAnsi="Arial"/>
          <w:sz w:val="16"/>
          <w:szCs w:val="16"/>
          <w:color w:val="auto"/>
        </w:rPr>
        <w:t>advancing more than 15 therapeutic products from first-in-man studies through regulatory approvals and commercialization across multiple geographies. She also played key business development roles in company acquisition and integration and co-development partnerships. Through her work, Dr. Shaw gained extensive specialty experience in the fields of dermatology, immuno-inflammation, HIV, neurology and oncology.</w:t>
      </w:r>
    </w:p>
    <w:p>
      <w:pPr>
        <w:spacing w:after="0" w:line="15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Currently, she is Executive Vice President Head Region Europe, Canada, Australia for Leo Pharma. She has previously held other broad leadership roles, at other leading pharmaceutical companies, including as Vice-President Commercial Head Asia Pacific region at GSK/ViiV Healthcare, and Medical Director and Chief Scientific Officer UK for Novartis, in addition to previous leadership positions at Norgine, Shire and Merck KGaA.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Monica Shaw holds an M.D. from the University of Oxford Medical School and is a Member of the Royal College of Physicians.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 of our directors or executive officers has a family relationship as defined in Item 401 of Regulation S-K.</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the year ended December 31, 2021, the aggregate compensation accrued or paid to the members of our board of directors and our executive officers for services in all capacities was CHF 8.5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 ended December 31, 2021, the total fair value of stock options granted to directors and executive officers was CHF 3.7 million.</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and executive officers amounted to a total of CHF 0.3 million in the year ended December 31, 2021.</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incorporate by reference into this Annual Report the information in “Item 1. C—2020 Board Compensation” and “Item 2. C—2020 Executive Compensation” of Exhibit 99.3 to our report on Form 6-K filed with the SEC on March 22,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2016, we ceased issuing new grants under our prior equity incentive plans, which we refer to as the Prior Plans, and adopted a new omnibus equity incentive plan under which we have the discretion to grant a broad range of equity-based awards to eligible participants.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plan: C1</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Since our inception in 2003, we have had four separate Prior Plans under which stock options were granted (Prior Plans A, B and C2 have terminated): Options granted under Plan C1 from 2013 through the adoption of the current 2016 Stock Option and Incentive Plan (SOIP) were taxed upon exercise instead of at grant due to a change in taxation rules.</w:t>
      </w:r>
    </w:p>
    <w:p>
      <w:pPr>
        <w:spacing w:after="0" w:line="18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Plan C1, an option, which can only be granted with the approval of our board of directors, is evidenced by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signed by the participant to indicate his or her acceptance of the option and is subject to the terms and conditions of the applicable Prior Plan.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Under Plan C1, options were granted to our directors, employees, advisors and agents.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 exercise price</w:t>
      </w:r>
      <w:r>
        <w:rPr>
          <w:rFonts w:ascii="Arial" w:cs="Arial" w:eastAsia="Arial" w:hAnsi="Arial"/>
          <w:sz w:val="18"/>
          <w:szCs w:val="18"/>
          <w:color w:val="auto"/>
        </w:rPr>
        <w:t>. The exercise price of all options issued under the Prior Plan is CHF 0.15.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 period</w:t>
      </w:r>
      <w:r>
        <w:rPr>
          <w:rFonts w:ascii="Arial" w:cs="Arial" w:eastAsia="Arial" w:hAnsi="Arial"/>
          <w:sz w:val="18"/>
          <w:szCs w:val="18"/>
          <w:color w:val="auto"/>
        </w:rPr>
        <w:t>. Under Plan C1, the options vesting period was 4 years with 25% of the options vesting each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Expiration period. </w:t>
      </w:r>
      <w:r>
        <w:rPr>
          <w:rFonts w:ascii="Arial" w:cs="Arial" w:eastAsia="Arial" w:hAnsi="Arial"/>
          <w:sz w:val="18"/>
          <w:szCs w:val="18"/>
          <w:color w:val="auto"/>
        </w:rPr>
        <w:t>The expiry dates for each plan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C1: 10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SOIP</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At the November 15, 2016 AGM of the Company, our board of directors approved the 2016 SOIP (as amended and restated the “2016 SOIP”). The maximum number of shares available for issuance under the 2016 SOIP is 3,228,886 common shares. The shares available for issuance under the 2016 SOIP were initially registered with the SEC on a Form S-8 on March 8, 2017, and additional shares were registered on a Form S-8 on August 5, 2019. As of December 31, 2021, there were a total of 1,613,242 shares underlying options that were exercisable and 3,585,689 shares underlying outstanding options and 797 shares underlying outstanding restricted share units issued from both our Prior Plans and the 2016 SOIP.</w:t>
      </w:r>
    </w:p>
    <w:p>
      <w:pPr>
        <w:spacing w:after="0" w:line="176"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2016 SOIP is administered by either our board of directors or the compensation committee, or a similar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performing the functions of the compensation committee. Approval of the plan administrator is required for all grants of awards under the 2016 SOIP, but the administrator may delegate to our CEO the authority to grant awards, subject to certain limitations set forth on the plan.</w:t>
      </w:r>
    </w:p>
    <w:p>
      <w:pPr>
        <w:spacing w:after="0" w:line="16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Awards may be granted in the form of incentive stock options, non-qualified stock options, stock appreciation rights,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awards, unrestricted share awards, performance share awards and dividend equivalent rights.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2016 SOIP, full or part-time officers and other employees, non-employee directors and consultants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selected by the administrator are eligible to participate in the plan.</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 xml:space="preserve">Options exercise price. </w:t>
      </w:r>
      <w:r>
        <w:rPr>
          <w:rFonts w:ascii="Arial" w:cs="Arial" w:eastAsia="Arial" w:hAnsi="Arial"/>
          <w:sz w:val="18"/>
          <w:szCs w:val="18"/>
          <w:color w:val="auto"/>
        </w:rPr>
        <w:t>Under the 2016 SOIP, the option exercise price is determined by the plan administrator at the time of grant, but will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fair market value (as defined in the 2016 SOIP) on the grant date, and for incentive stock options granted to any employee who is a 10 percent owner in the Company, will not be less than 110 percent of the fair market value on the grant date.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Vesting period. </w:t>
      </w:r>
      <w:r>
        <w:rPr>
          <w:rFonts w:ascii="Arial" w:cs="Arial" w:eastAsia="Arial" w:hAnsi="Arial"/>
          <w:sz w:val="17"/>
          <w:szCs w:val="17"/>
          <w:color w:val="auto"/>
        </w:rPr>
        <w:t>Vesting conditions are determined by the administrator at the time of grant and are specified in the applicable award certificate.</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The administrator may accelerate the exercisability or vesting of all or any portion of any award in circumstances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death, disability, retirement or termination of employment, or a change in control.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the 2016 SOIP.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restatement to the 2016 SOIP</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June 2019, the Board authorized, and the shareholders approved, an increase in the maximum number of shares reserved for issuance under the 2016 SOIP. In October 2019, the Board authorized a second amendment and restatement to the 2016 SOIP. These amendments were made to align certain elements with Swiss statutory requirements and had no financial impact for the Company in 2021 or 2020.</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For the fiscal year ended December 31, 2021, the Company has granted our directors and executive officers, in the aggregate, options for the right to acquire 718,472 shares at exercise prices ranging from USD 5.31 to USD 7.72 per share, which vest either over a 1 year, 3 year or 4 year period with vesting to occur quarterly or annually depending on the nature of the award. The expiration date for these options granted in 2021 is 2031. The Company did not grant restricted share units to its directors and executive officers in 2021, 2020 or 2019. Previous restricted share units granted to directors vested over a 1 year period. Restricted share units granted to executives have a 4 year vesting life with vesting to occur quarterly. Please see “Note 18. Share-based compensation” for further detail.</w:t>
      </w:r>
    </w:p>
    <w:p>
      <w:pPr>
        <w:spacing w:after="0" w:line="188" w:lineRule="exact"/>
        <w:rPr>
          <w:sz w:val="20"/>
          <w:szCs w:val="20"/>
          <w:color w:val="auto"/>
        </w:rPr>
      </w:pPr>
    </w:p>
    <w:p>
      <w:pPr>
        <w:ind w:right="8620" w:firstLine="8"/>
        <w:spacing w:after="0" w:line="566" w:lineRule="auto"/>
        <w:tabs>
          <w:tab w:leader="none" w:pos="324"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Composition of board of directors</w:t>
      </w:r>
    </w:p>
    <w:p>
      <w:pPr>
        <w:ind w:right="40" w:firstLine="324"/>
        <w:spacing w:after="0" w:line="263" w:lineRule="auto"/>
        <w:rPr>
          <w:sz w:val="20"/>
          <w:szCs w:val="20"/>
          <w:color w:val="auto"/>
        </w:rPr>
      </w:pPr>
      <w:r>
        <w:rPr>
          <w:rFonts w:ascii="Arial" w:cs="Arial" w:eastAsia="Arial" w:hAnsi="Arial"/>
          <w:sz w:val="18"/>
          <w:szCs w:val="18"/>
          <w:color w:val="auto"/>
        </w:rPr>
        <w:t>Our board of directors is composed of nine directors. Each director is elected for a 1-year term, no later than the next Annual General Meeting (AGM). The current members of our board of directors were appointed at shareholders’ meetings held on June 25, 2021 and October 29, 2021 to serve until the 2022 AGM to be held in June 2022.</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jc w:val="both"/>
        <w:ind w:firstLine="321"/>
        <w:spacing w:after="0" w:line="311" w:lineRule="auto"/>
        <w:rPr>
          <w:sz w:val="20"/>
          <w:szCs w:val="20"/>
          <w:color w:val="auto"/>
        </w:rPr>
      </w:pPr>
      <w:r>
        <w:rPr>
          <w:rFonts w:ascii="Arial" w:cs="Arial" w:eastAsia="Arial" w:hAnsi="Arial"/>
          <w:sz w:val="16"/>
          <w:szCs w:val="16"/>
          <w:color w:val="auto"/>
        </w:rPr>
        <w:t>Our Board of Directors met in accordance with their respective mandate both physically (as was practicable under current pandemic circumstances), by video-conference and telephonically throughout 2021. The Board members analyzed the scientific, business, financial, organizational and legal risks of the Company based on the external factors and internal changes that could potentially impact the risks for the Company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considering any applicable committee independence standards, Douglas Williams, Thomas Graney, Werner Lanthaler, Roy Twyman, Carl June, Alan Colowick, Monika Bütler and Monica Shaw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common shares beneficially owned by the director and his or her affiliated entities, if any.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Our board of directors established two separate committees: an audit and finance committee and a compensation, nomination and corporate governance committee.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audit and finance committee, which consists of Monika Bütler (Chair), Thomas Graney, and Werner Lanthaler, assists our board of directors in overseeing our accounting and financial reporting processes and the audits of our consolidated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Monika Bütler, Thomas Graney and Werner Lanthaler are considered to be “audit committee financial experts” as defined by the SEC. Our board of directors has determined that Monika Bütler, Thomas Graney and Werner Lanthaler satisfy the “independence” requirements set forth in Rule 10A-3 under the Exchange Act.</w:t>
      </w:r>
    </w:p>
    <w:p>
      <w:pPr>
        <w:spacing w:after="0" w:line="16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audit and finance committee is governed by a charter that complies with Nasdaq rules. The audit and finance committee has the responsibility to, among other things:</w:t>
      </w:r>
    </w:p>
    <w:p>
      <w:pPr>
        <w:spacing w:after="0" w:line="170"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approve any audit and non-audit services proposed to be provided by the independent auditor to ensure independent auditor independence;</w:t>
      </w:r>
    </w:p>
    <w:p>
      <w:pPr>
        <w:spacing w:after="0" w:line="248" w:lineRule="exact"/>
        <w:rPr>
          <w:rFonts w:ascii="Arial" w:cs="Arial" w:eastAsia="Arial" w:hAnsi="Arial"/>
          <w:sz w:val="16"/>
          <w:szCs w:val="16"/>
          <w:color w:val="auto"/>
        </w:rPr>
      </w:pPr>
    </w:p>
    <w:p>
      <w:pPr>
        <w:ind w:left="660" w:right="560" w:hanging="328"/>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 and assess the independent auditor’s report and management letters and take notice of all comments of the independent auditor on accounting procedures and systems of control, and review the independent auditor’s reports with management;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225"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 and discuss all (i) consolidated financial statements, (ii) reports intended for publication and (iii) any other financial statements intended for publication to consider significant financial reporting issues and judgments made in connection with the preparation of our consolidated financial statements, including any significant changes in our selection or application of accounting principles;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approve the quarterly condensed consolidated financial statements;</w:t>
      </w:r>
    </w:p>
    <w:p>
      <w:pPr>
        <w:spacing w:after="0" w:line="225"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consolidated financial statements, including critical accounting policies, the effect of regulatory and accounting initiatives, and off-balance sheet transactions and structures on our consolidated financial statements;</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45" w:name="page146"/>
    <w:bookmarkEnd w:id="1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280" w:hanging="328"/>
        <w:spacing w:after="0" w:line="342"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discuss with management and external advisors any legal matters that may have a material impact on our consolidated financial statements and any material reports or inquiries from regulatory or governmental agencies that could materially impact our contingent liabilities and risks;</w:t>
      </w:r>
    </w:p>
    <w:p>
      <w:pPr>
        <w:spacing w:after="0" w:line="123" w:lineRule="exact"/>
        <w:rPr>
          <w:rFonts w:ascii="Arial" w:cs="Arial" w:eastAsia="Arial" w:hAnsi="Arial"/>
          <w:sz w:val="16"/>
          <w:szCs w:val="16"/>
          <w:color w:val="auto"/>
        </w:rPr>
      </w:pPr>
    </w:p>
    <w:p>
      <w:pPr>
        <w:ind w:left="660" w:right="64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including significant deficiencies and material weaknesses in the design or operation of internal controls over financial reporting;</w:t>
      </w:r>
    </w:p>
    <w:p>
      <w:pPr>
        <w:spacing w:after="0" w:line="170"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review and approve or ratify any related-person transaction in accordance with our related-person transaction policy.</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nomination and corporate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compensation, nomination and corporate governance committee, consists of Douglas Williams (Chair), Roy Twyman and Thomas Graney.</w:t>
      </w:r>
    </w:p>
    <w:p>
      <w:pPr>
        <w:spacing w:after="0" w:line="23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compensation, nomination and corporate governance committee is governed by a charter that complies with SEC and home country governance rules. The compensation, nomination and corporate governance committee has the responsibility to, among other things:</w:t>
      </w:r>
    </w:p>
    <w:p>
      <w:pPr>
        <w:spacing w:after="0" w:line="146" w:lineRule="exact"/>
        <w:rPr>
          <w:sz w:val="20"/>
          <w:szCs w:val="20"/>
          <w:color w:val="auto"/>
        </w:rPr>
      </w:pPr>
    </w:p>
    <w:p>
      <w:pPr>
        <w:ind w:left="660" w:right="2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recommend to the board the guidelines for the overall compensation and equity awards for the board of directors and executive officers along with the rationale for such recommendations;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recommend to the board the compensation of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propose the maximum total compensation of the board of directors and executive officers for approval at the Annual General Meeting;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periodically review policies and principles for the Company’s corporate governance;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establish the process for assessment of the performance of members of the board, its committees and individual members;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and reviews the Company’s succession plan for members of the board and the executive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periodically review the Company’s code of conduct and recommends changes as needed;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recommend for presentation to our shareholders the compensation report for shareholder vote;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define guidelines for the selection of candidates for election or re-election as members of the board and our executive officers.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Swiss law requires that we adopt a compensation committee, so in accordance with Nasdaq Listing Rule 5615(a)(3), we will follow home country requirements with respect to the compensation, nomination and corporate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 requirements of Nasdaq Listing Rule 5605(e). We will be subject to the Swiss Ordinance Against Executive Compensation (Say on Pay) Rule. In addition, this committee will also be responsible for director and board committee nominations as well as reviewing and amending, if required, our corporate governance framework and guidelines.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of December 31, 2021, we employed 143 employees, 26 of whom were part-time employees. 73 of our employees hold Ph.D. degrees and 51 hold M.Sc. degrees. Our 143 employees are from more than 25 countries. The average number of employees (calculated on full-time equivalents) in 2021 was</w:t>
      </w:r>
    </w:p>
    <w:p>
      <w:pPr>
        <w:ind w:right="160" w:firstLine="8"/>
        <w:spacing w:after="0" w:line="323" w:lineRule="auto"/>
        <w:tabs>
          <w:tab w:leader="none" w:pos="3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 of December 31, 2020 and 2019 we had 149 and 132 employees, respectively. We have never had a work stoppage, and none of our employees is represented by a labor organization or under any collective-bargaining arrangements. We consider our employee relations to be good.</w:t>
      </w:r>
    </w:p>
    <w:p>
      <w:pPr>
        <w:spacing w:after="0" w:line="13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Major shareholders and related-party transactions—A. Major shareholders.”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relating to the beneficial ownership of our common shares as of the date of this Annual Report by:</w:t>
      </w:r>
    </w:p>
    <w:p>
      <w:pPr>
        <w:spacing w:after="0" w:line="225"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2022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percentage of outstanding common shares is computed on the basis of 83,479,013 common shares outstanding as of March 1, 2022. Common shares that a person has the right to acquire within 60 days of March 1, 2022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1"/>
        </w:trPr>
        <w:tc>
          <w:tcPr>
            <w:tcW w:w="8540" w:type="dxa"/>
            <w:vAlign w:val="bottom"/>
            <w:gridSpan w:val="3"/>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41"/>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Shareholder</w:t>
            </w:r>
          </w:p>
        </w:tc>
        <w:tc>
          <w:tcPr>
            <w:tcW w:w="10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 (%)</w:t>
            </w:r>
          </w:p>
        </w:tc>
      </w:tr>
      <w:tr>
        <w:trPr>
          <w:trHeight w:val="216"/>
        </w:trPr>
        <w:tc>
          <w:tcPr>
            <w:tcW w:w="85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5%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dievini Hopp BioTech holding GmbH &amp; Co KG</w:t>
            </w:r>
            <w:r>
              <w:rPr>
                <w:rFonts w:ascii="Arial" w:cs="Arial" w:eastAsia="Arial" w:hAnsi="Arial"/>
                <w:sz w:val="25"/>
                <w:szCs w:val="25"/>
                <w:color w:val="auto"/>
                <w:vertAlign w:val="superscript"/>
              </w:rPr>
              <w:t>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18,041,000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8540" w:type="dxa"/>
            <w:vAlign w:val="bottom"/>
            <w:gridSpan w:val="3"/>
          </w:tcPr>
          <w:p>
            <w:pPr>
              <w:spacing w:after="0" w:line="216" w:lineRule="exact"/>
              <w:rPr>
                <w:sz w:val="20"/>
                <w:szCs w:val="20"/>
                <w:color w:val="auto"/>
              </w:rPr>
            </w:pPr>
            <w:r>
              <w:rPr>
                <w:rFonts w:ascii="Arial" w:cs="Arial" w:eastAsia="Arial" w:hAnsi="Arial"/>
                <w:sz w:val="16"/>
                <w:szCs w:val="16"/>
                <w:color w:val="auto"/>
              </w:rPr>
              <w:t>Varuma AG</w:t>
            </w:r>
            <w:r>
              <w:rPr>
                <w:rFonts w:ascii="Arial" w:cs="Arial" w:eastAsia="Arial" w:hAnsi="Arial"/>
                <w:sz w:val="25"/>
                <w:szCs w:val="25"/>
                <w:color w:val="auto"/>
                <w:vertAlign w:val="superscript"/>
              </w:rPr>
              <w:t>2</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11,999,999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8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Affiris AG</w:t>
            </w:r>
            <w:r>
              <w:rPr>
                <w:rFonts w:ascii="Arial" w:cs="Arial" w:eastAsia="Arial" w:hAnsi="Arial"/>
                <w:sz w:val="25"/>
                <w:szCs w:val="25"/>
                <w:color w:val="auto"/>
                <w:vertAlign w:val="superscript"/>
              </w:rPr>
              <w:t>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10,133,474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r>
      <w:tr>
        <w:trPr>
          <w:trHeight w:val="216"/>
        </w:trPr>
        <w:tc>
          <w:tcPr>
            <w:tcW w:w="8540" w:type="dxa"/>
            <w:vAlign w:val="bottom"/>
            <w:gridSpan w:val="3"/>
          </w:tcPr>
          <w:p>
            <w:pPr>
              <w:spacing w:after="0" w:line="216" w:lineRule="exact"/>
              <w:rPr>
                <w:sz w:val="20"/>
                <w:szCs w:val="20"/>
                <w:color w:val="auto"/>
              </w:rPr>
            </w:pPr>
            <w:r>
              <w:rPr>
                <w:rFonts w:ascii="Arial" w:cs="Arial" w:eastAsia="Arial" w:hAnsi="Arial"/>
                <w:sz w:val="16"/>
                <w:szCs w:val="16"/>
                <w:color w:val="auto"/>
              </w:rPr>
              <w:t>Biotechnology Value Fund (BVF) Inc.</w:t>
            </w:r>
            <w:r>
              <w:rPr>
                <w:rFonts w:ascii="Arial" w:cs="Arial" w:eastAsia="Arial" w:hAnsi="Arial"/>
                <w:sz w:val="25"/>
                <w:szCs w:val="25"/>
                <w:color w:val="auto"/>
                <w:vertAlign w:val="superscript"/>
              </w:rPr>
              <w:t>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7,062,379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Officers and Directors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Andrea Pfeifer</w:t>
            </w:r>
            <w:r>
              <w:rPr>
                <w:rFonts w:ascii="Arial" w:cs="Arial" w:eastAsia="Arial" w:hAnsi="Arial"/>
                <w:sz w:val="25"/>
                <w:szCs w:val="25"/>
                <w:color w:val="auto"/>
                <w:vertAlign w:val="superscript"/>
              </w:rPr>
              <w:t>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2,684,105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Marie Kosco-Vilbois</w:t>
            </w:r>
            <w:r>
              <w:rPr>
                <w:rFonts w:ascii="Arial" w:cs="Arial" w:eastAsia="Arial" w:hAnsi="Arial"/>
                <w:sz w:val="25"/>
                <w:szCs w:val="25"/>
                <w:color w:val="auto"/>
                <w:vertAlign w:val="superscript"/>
              </w:rPr>
              <w:t>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Johannes Rolf Streffer</w:t>
            </w:r>
            <w:r>
              <w:rPr>
                <w:rFonts w:ascii="Arial" w:cs="Arial" w:eastAsia="Arial" w:hAnsi="Arial"/>
                <w:sz w:val="25"/>
                <w:szCs w:val="25"/>
                <w:color w:val="auto"/>
                <w:vertAlign w:val="superscript"/>
              </w:rPr>
              <w:t>7</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Piergiorgio Donati</w:t>
            </w:r>
            <w:r>
              <w:rPr>
                <w:rFonts w:ascii="Arial" w:cs="Arial" w:eastAsia="Arial" w:hAnsi="Arial"/>
                <w:sz w:val="25"/>
                <w:szCs w:val="25"/>
                <w:color w:val="auto"/>
                <w:vertAlign w:val="superscript"/>
              </w:rPr>
              <w:t>8</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Joerg Hornstein</w:t>
            </w:r>
            <w:r>
              <w:rPr>
                <w:rFonts w:ascii="Arial" w:cs="Arial" w:eastAsia="Arial" w:hAnsi="Arial"/>
                <w:sz w:val="25"/>
                <w:szCs w:val="25"/>
                <w:color w:val="auto"/>
                <w:vertAlign w:val="superscript"/>
              </w:rPr>
              <w:t>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Jean-Fabien Monin</w:t>
            </w:r>
            <w:r>
              <w:rPr>
                <w:rFonts w:ascii="Arial" w:cs="Arial" w:eastAsia="Arial" w:hAnsi="Arial"/>
                <w:sz w:val="25"/>
                <w:szCs w:val="25"/>
                <w:color w:val="auto"/>
                <w:vertAlign w:val="superscript"/>
              </w:rPr>
              <w:t>10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Douglas Williams</w:t>
            </w:r>
            <w:r>
              <w:rPr>
                <w:rFonts w:ascii="Arial" w:cs="Arial" w:eastAsia="Arial" w:hAnsi="Arial"/>
                <w:sz w:val="25"/>
                <w:szCs w:val="25"/>
                <w:color w:val="auto"/>
                <w:vertAlign w:val="superscript"/>
              </w:rPr>
              <w:t>11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Thomas Graney</w:t>
            </w:r>
            <w:r>
              <w:rPr>
                <w:rFonts w:ascii="Arial" w:cs="Arial" w:eastAsia="Arial" w:hAnsi="Arial"/>
                <w:sz w:val="25"/>
                <w:szCs w:val="25"/>
                <w:color w:val="auto"/>
                <w:vertAlign w:val="superscript"/>
              </w:rPr>
              <w:t>12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Werner Lanthaler</w:t>
            </w:r>
            <w:r>
              <w:rPr>
                <w:rFonts w:ascii="Arial" w:cs="Arial" w:eastAsia="Arial" w:hAnsi="Arial"/>
                <w:sz w:val="25"/>
                <w:szCs w:val="25"/>
                <w:color w:val="auto"/>
                <w:vertAlign w:val="superscript"/>
              </w:rPr>
              <w:t>13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Roy Twyman</w:t>
            </w:r>
            <w:r>
              <w:rPr>
                <w:rFonts w:ascii="Arial" w:cs="Arial" w:eastAsia="Arial" w:hAnsi="Arial"/>
                <w:sz w:val="25"/>
                <w:szCs w:val="25"/>
                <w:color w:val="auto"/>
                <w:vertAlign w:val="superscript"/>
              </w:rPr>
              <w:t>14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Carl June</w:t>
            </w:r>
            <w:r>
              <w:rPr>
                <w:rFonts w:ascii="Arial" w:cs="Arial" w:eastAsia="Arial" w:hAnsi="Arial"/>
                <w:sz w:val="25"/>
                <w:szCs w:val="25"/>
                <w:color w:val="auto"/>
                <w:vertAlign w:val="superscript"/>
              </w:rPr>
              <w:t>15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Alan Colowick</w:t>
            </w:r>
            <w:r>
              <w:rPr>
                <w:rFonts w:ascii="Arial" w:cs="Arial" w:eastAsia="Arial" w:hAnsi="Arial"/>
                <w:sz w:val="25"/>
                <w:szCs w:val="25"/>
                <w:color w:val="auto"/>
                <w:vertAlign w:val="superscript"/>
              </w:rPr>
              <w:t>16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tcPr>
          <w:p>
            <w:pPr>
              <w:ind w:left="140"/>
              <w:spacing w:after="0" w:line="216" w:lineRule="exact"/>
              <w:rPr>
                <w:sz w:val="20"/>
                <w:szCs w:val="20"/>
                <w:color w:val="auto"/>
              </w:rPr>
            </w:pPr>
            <w:r>
              <w:rPr>
                <w:rFonts w:ascii="Arial" w:cs="Arial" w:eastAsia="Arial" w:hAnsi="Arial"/>
                <w:sz w:val="16"/>
                <w:szCs w:val="16"/>
                <w:color w:val="auto"/>
              </w:rPr>
              <w:t>Monika Bütler</w:t>
            </w:r>
            <w:r>
              <w:rPr>
                <w:rFonts w:ascii="Arial" w:cs="Arial" w:eastAsia="Arial" w:hAnsi="Arial"/>
                <w:sz w:val="25"/>
                <w:szCs w:val="25"/>
                <w:color w:val="auto"/>
                <w:vertAlign w:val="superscript"/>
              </w:rPr>
              <w:t>17</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gridSpan w:val="3"/>
            <w:shd w:val="clear" w:color="auto" w:fill="CCEEFF"/>
          </w:tcPr>
          <w:p>
            <w:pPr>
              <w:ind w:left="140"/>
              <w:spacing w:after="0" w:line="216" w:lineRule="exact"/>
              <w:rPr>
                <w:sz w:val="20"/>
                <w:szCs w:val="20"/>
                <w:color w:val="auto"/>
              </w:rPr>
            </w:pPr>
            <w:r>
              <w:rPr>
                <w:rFonts w:ascii="Arial" w:cs="Arial" w:eastAsia="Arial" w:hAnsi="Arial"/>
                <w:sz w:val="16"/>
                <w:szCs w:val="16"/>
                <w:color w:val="auto"/>
              </w:rPr>
              <w:t>Monica Shaw</w:t>
            </w:r>
            <w:r>
              <w:rPr>
                <w:rFonts w:ascii="Arial" w:cs="Arial" w:eastAsia="Arial" w:hAnsi="Arial"/>
                <w:sz w:val="25"/>
                <w:szCs w:val="25"/>
                <w:color w:val="auto"/>
                <w:vertAlign w:val="superscript"/>
              </w:rPr>
              <w:t>18</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(14 persons)</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3,878,722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09"/>
        </w:trPr>
        <w:tc>
          <w:tcPr>
            <w:tcW w:w="1020" w:type="dxa"/>
            <w:vAlign w:val="bottom"/>
          </w:tcPr>
          <w:p>
            <w:pPr>
              <w:spacing w:after="0"/>
              <w:rPr>
                <w:sz w:val="18"/>
                <w:szCs w:val="18"/>
                <w:color w:val="auto"/>
              </w:rPr>
            </w:pPr>
          </w:p>
        </w:tc>
        <w:tc>
          <w:tcPr>
            <w:tcW w:w="7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Indicates beneficial</w:t>
            </w:r>
          </w:p>
        </w:tc>
        <w:tc>
          <w:tcPr>
            <w:tcW w:w="6840" w:type="dxa"/>
            <w:vAlign w:val="bottom"/>
          </w:tcPr>
          <w:p>
            <w:pPr>
              <w:spacing w:after="0"/>
              <w:rPr>
                <w:sz w:val="20"/>
                <w:szCs w:val="20"/>
                <w:color w:val="auto"/>
              </w:rPr>
            </w:pPr>
            <w:r>
              <w:rPr>
                <w:rFonts w:ascii="Arial" w:cs="Arial" w:eastAsia="Arial" w:hAnsi="Arial"/>
                <w:sz w:val="18"/>
                <w:szCs w:val="18"/>
                <w:color w:val="auto"/>
              </w:rPr>
              <w:t>ownership of less than 1% of the total issued and outstanding common shares.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8" w:lineRule="exact"/>
        <w:rPr>
          <w:sz w:val="20"/>
          <w:szCs w:val="20"/>
          <w:color w:val="auto"/>
        </w:rPr>
      </w:pPr>
    </w:p>
    <w:p>
      <w:pPr>
        <w:ind w:right="100"/>
        <w:spacing w:after="0" w:line="215"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address for dievini Hopp BioTech holding GmbH &amp; Co KG is Johann-Jakob-Astor Str. 57, 69190 Walldorf, Germany.</w:t>
      </w:r>
    </w:p>
    <w:p>
      <w:pPr>
        <w:spacing w:after="0" w:line="194" w:lineRule="exact"/>
        <w:rPr>
          <w:sz w:val="20"/>
          <w:szCs w:val="20"/>
          <w:color w:val="auto"/>
        </w:rPr>
      </w:pPr>
    </w:p>
    <w:p>
      <w:pPr>
        <w:ind w:right="100"/>
        <w:spacing w:after="0" w:line="211"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7"/>
          <w:szCs w:val="17"/>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193" w:lineRule="exact"/>
        <w:rPr>
          <w:sz w:val="20"/>
          <w:szCs w:val="20"/>
          <w:color w:val="auto"/>
        </w:rPr>
      </w:pPr>
    </w:p>
    <w:p>
      <w:pPr>
        <w:ind w:right="20"/>
        <w:spacing w:after="0" w:line="231" w:lineRule="auto"/>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Based on information set forth in a Schedule 13G filed with the SEC by Affiris on August 5, 2021, (i) these shares consist of 7,106,840 shares held of record by Affiris AG, as well as 1,513,317 shares that were issuable upon the conversion of notes held by Santo Venture Capital GmbH and 1,513,317 shares that were issuable upon the conversion of notes held by FCPB Affi GmbH; and (iii) the address of Affiris AG is Karl-Farkas-Gasse 22, 1030 Vienna, Austria, the address of by Santo Venture Capital GmbH is Bergfeldstrasse 9, 83607 Holzkirchen, Germany and the address of FCPB Affi GmbH is Freihamer Strasse 2, 82166 Gräfelfing, Germany. The convertible notes held by Santo Venture Capital GmbH and FCPB Affi GmbH were fully settled in Q4 2021.</w:t>
      </w:r>
    </w:p>
    <w:p>
      <w:pPr>
        <w:spacing w:after="0" w:line="205" w:lineRule="exact"/>
        <w:rPr>
          <w:sz w:val="20"/>
          <w:szCs w:val="20"/>
          <w:color w:val="auto"/>
        </w:rPr>
      </w:pPr>
    </w:p>
    <w:p>
      <w:pPr>
        <w:ind w:right="440" w:firstLine="8"/>
        <w:spacing w:after="0" w:line="210" w:lineRule="auto"/>
        <w:tabs>
          <w:tab w:leader="none" w:pos="120" w:val="left"/>
        </w:tabs>
        <w:numPr>
          <w:ilvl w:val="0"/>
          <w:numId w:val="127"/>
        </w:numPr>
        <w:rPr>
          <w:rFonts w:ascii="Arial" w:cs="Arial" w:eastAsia="Arial" w:hAnsi="Arial"/>
          <w:sz w:val="30"/>
          <w:szCs w:val="30"/>
          <w:color w:val="auto"/>
          <w:vertAlign w:val="superscript"/>
        </w:rPr>
      </w:pPr>
      <w:r>
        <w:rPr>
          <w:rFonts w:ascii="Arial" w:cs="Arial" w:eastAsia="Arial" w:hAnsi="Arial"/>
          <w:sz w:val="18"/>
          <w:szCs w:val="18"/>
          <w:color w:val="auto"/>
        </w:rPr>
        <w:t>Based on information set forth in a Schedule 13G filed with the SEC by BVF on February 14, 2022, these shares consist of 7,062,379 shares held of record by BVF Inc. The address of BVF Inc. is 44 Montgomery St.,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San Francisco, California 94104.</w:t>
      </w:r>
    </w:p>
    <w:p>
      <w:pPr>
        <w:spacing w:after="0" w:line="45"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5</w:t>
      </w:r>
      <w:r>
        <w:rPr>
          <w:rFonts w:ascii="Arial" w:cs="Arial" w:eastAsia="Arial" w:hAnsi="Arial"/>
          <w:sz w:val="17"/>
          <w:szCs w:val="17"/>
          <w:color w:val="auto"/>
        </w:rPr>
        <w:t>Consists of 2,320,555 of our common shares and options to purchase 363,550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6</w:t>
      </w:r>
      <w:r>
        <w:rPr>
          <w:rFonts w:ascii="Arial" w:cs="Arial" w:eastAsia="Arial" w:hAnsi="Arial"/>
          <w:sz w:val="17"/>
          <w:szCs w:val="17"/>
          <w:color w:val="auto"/>
        </w:rPr>
        <w:t>Consists of 64,365 of our common shares and options to purchase 47,897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7</w:t>
      </w:r>
      <w:r>
        <w:rPr>
          <w:rFonts w:ascii="Arial" w:cs="Arial" w:eastAsia="Arial" w:hAnsi="Arial"/>
          <w:sz w:val="17"/>
          <w:szCs w:val="17"/>
          <w:color w:val="auto"/>
        </w:rPr>
        <w:t>Consists of 14,200 of our common shares and options to purchase 17,789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8</w:t>
      </w:r>
      <w:r>
        <w:rPr>
          <w:rFonts w:ascii="Arial" w:cs="Arial" w:eastAsia="Arial" w:hAnsi="Arial"/>
          <w:sz w:val="17"/>
          <w:szCs w:val="17"/>
          <w:color w:val="auto"/>
        </w:rPr>
        <w:t>Consists of 4,500 of our common shares and options to purchase 54,267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9</w:t>
      </w:r>
      <w:r>
        <w:rPr>
          <w:rFonts w:ascii="Arial" w:cs="Arial" w:eastAsia="Arial" w:hAnsi="Arial"/>
          <w:sz w:val="18"/>
          <w:szCs w:val="18"/>
          <w:color w:val="auto"/>
        </w:rPr>
        <w:t>Consists of 0 of our common shares and options to purchase 429,216 of our common shares exercisable within 60 days of March 1, 2022.</w:t>
      </w:r>
    </w:p>
    <w:p>
      <w:pPr>
        <w:spacing w:after="0" w:line="9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10</w:t>
      </w:r>
      <w:r>
        <w:rPr>
          <w:rFonts w:ascii="Arial" w:cs="Arial" w:eastAsia="Arial" w:hAnsi="Arial"/>
          <w:sz w:val="17"/>
          <w:szCs w:val="17"/>
          <w:color w:val="auto"/>
        </w:rPr>
        <w:t>Consists of 292,942 of our common shares and options to purchase 48,591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11</w:t>
      </w:r>
      <w:r>
        <w:rPr>
          <w:rFonts w:ascii="Arial" w:cs="Arial" w:eastAsia="Arial" w:hAnsi="Arial"/>
          <w:sz w:val="17"/>
          <w:szCs w:val="17"/>
          <w:color w:val="auto"/>
        </w:rPr>
        <w:t>Consists of 12,818 of our common shares and options to purchase 42,819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12</w:t>
      </w:r>
      <w:r>
        <w:rPr>
          <w:rFonts w:ascii="Arial" w:cs="Arial" w:eastAsia="Arial" w:hAnsi="Arial"/>
          <w:sz w:val="17"/>
          <w:szCs w:val="17"/>
          <w:color w:val="auto"/>
        </w:rPr>
        <w:t>Consists of 15,851 of our common shares and options to purchase 34,464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13</w:t>
      </w:r>
      <w:r>
        <w:rPr>
          <w:rFonts w:ascii="Arial" w:cs="Arial" w:eastAsia="Arial" w:hAnsi="Arial"/>
          <w:sz w:val="17"/>
          <w:szCs w:val="17"/>
          <w:color w:val="auto"/>
        </w:rPr>
        <w:t>Consists of 11,906 of our common shares and options to purchase 34,464 of our common shares exercisable within 60 days of March 1, 2022.</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14</w:t>
      </w:r>
      <w:r>
        <w:rPr>
          <w:rFonts w:ascii="Arial" w:cs="Arial" w:eastAsia="Arial" w:hAnsi="Arial"/>
          <w:sz w:val="18"/>
          <w:szCs w:val="18"/>
          <w:color w:val="auto"/>
        </w:rPr>
        <w:t>Consists of 0 of our common shares and options to purchase 46,585 of our common shares exercisable within 60 days of March 1, 2022.</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15</w:t>
      </w:r>
      <w:r>
        <w:rPr>
          <w:rFonts w:ascii="Arial" w:cs="Arial" w:eastAsia="Arial" w:hAnsi="Arial"/>
          <w:sz w:val="18"/>
          <w:szCs w:val="18"/>
          <w:color w:val="auto"/>
        </w:rPr>
        <w:t>Consists of 0 of our common shares and options to purchase 18,742 of our common shares exercisable within 60 days of March 1, 2022.</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16</w:t>
      </w:r>
      <w:r>
        <w:rPr>
          <w:rFonts w:ascii="Arial" w:cs="Arial" w:eastAsia="Arial" w:hAnsi="Arial"/>
          <w:sz w:val="18"/>
          <w:szCs w:val="18"/>
          <w:color w:val="auto"/>
        </w:rPr>
        <w:t>Consists of 0 of our common shares and options to purchase 3,471 of our common shares exercisable within 60 days of March 1, 2022.</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17</w:t>
      </w:r>
      <w:r>
        <w:rPr>
          <w:rFonts w:ascii="Arial" w:cs="Arial" w:eastAsia="Arial" w:hAnsi="Arial"/>
          <w:sz w:val="18"/>
          <w:szCs w:val="18"/>
          <w:color w:val="auto"/>
        </w:rPr>
        <w:t>Dr. Bütler holds neither common shares nor non-vested equity instruments exercisable within 60 days of March 1, 2022.</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18</w:t>
      </w:r>
      <w:r>
        <w:rPr>
          <w:rFonts w:ascii="Arial" w:cs="Arial" w:eastAsia="Arial" w:hAnsi="Arial"/>
          <w:sz w:val="18"/>
          <w:szCs w:val="18"/>
          <w:color w:val="auto"/>
        </w:rPr>
        <w:t>Dr. Shaw holds neither common shares nor non-vested equity instruments exercisable within 60 days of March 1, 2022.</w:t>
      </w:r>
    </w:p>
    <w:p>
      <w:pPr>
        <w:sectPr>
          <w:pgSz w:w="11900" w:h="16838" w:orient="portrait"/>
          <w:cols w:equalWidth="0" w:num="1">
            <w:col w:w="11240"/>
          </w:cols>
          <w:pgMar w:left="320" w:top="113" w:right="339" w:bottom="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0" w:gutter="0" w:footer="0" w:header="0"/>
          <w:type w:val="continuous"/>
        </w:sectPr>
      </w:pPr>
    </w:p>
    <w:bookmarkStart w:id="148" w:name="page149"/>
    <w:bookmarkEnd w:id="14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As of March 1, 2022, we had approximately 242 shareholders of record of our common shares.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experienced significant changes in the percentage ownership held by major shareholders as a result of our IPO. Prior to our IPO in September 2016, our principal shareholders were dievini Hopp BioTech holding GmbH &amp; Co KG and Varuma AG, which held shares representing 36.5% and 23.1% prior to our IPO, respectively. As of March 1, 2022, dievini Hopp BioTech holding GmbH &amp; Co KG and Varuma AG held 21.6% and 14.4% of our common shares, respectively. BVF Inc. decreased its holdings from 10.9% to 8.5% of our outstanding common shares. With the closing of our acquisition of the program portfolio of therapeutics targeting alpha-synuclein (a-syn), notably PD01, from Affiris, Affiris, Santo Venture Capital GmbH and FCPB GmbH became major shareholders, collectively owning 12.1% of our outstanding common shares.</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July 2018, we completed three offerings of our common shares. In these offerings, we issued and sold 10,000,000 common shares, including 1,108,695 sold to the underwriters pursuant to the underwriters’ over-allotment option. The percentage ownership held by certain shareholders decreased as a result of the issuance of the common shares sold by us in these offerings.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September 2016, we completed our IPO and listed our common shares on the Nasdaq Global Market. In the IPO, we issued and sold 6,900,000 common shares, including 900,000 common shares sold to the underwriters pursuant to the underwriters’ over-allotment option. While none of our existing shareholders sold common shares in the IPO, the percentage ownership held by certain shareholders decreased as a result of the issuance of the common shares sold by us in the IPO.</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executive management</w:t>
      </w:r>
    </w:p>
    <w:p>
      <w:pPr>
        <w:spacing w:after="0" w:line="229" w:lineRule="exact"/>
        <w:rPr>
          <w:sz w:val="20"/>
          <w:szCs w:val="20"/>
          <w:color w:val="auto"/>
        </w:rPr>
      </w:pPr>
    </w:p>
    <w:p>
      <w:pPr>
        <w:ind w:right="660" w:firstLine="321"/>
        <w:spacing w:after="0" w:line="277" w:lineRule="auto"/>
        <w:rPr>
          <w:sz w:val="20"/>
          <w:szCs w:val="20"/>
          <w:color w:val="auto"/>
        </w:rPr>
      </w:pPr>
      <w:r>
        <w:rPr>
          <w:rFonts w:ascii="Arial" w:cs="Arial" w:eastAsia="Arial" w:hAnsi="Arial"/>
          <w:sz w:val="18"/>
          <w:szCs w:val="18"/>
          <w:color w:val="auto"/>
        </w:rPr>
        <w:t>Our Articles of Association require us to indemnify our executive officers and directors to the fullest extent permitted by law. We entered into indemnification agreements with our executive officers and directors.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right="6520" w:firstLine="8"/>
        <w:spacing w:after="0" w:line="503" w:lineRule="auto"/>
        <w:tabs>
          <w:tab w:leader="none" w:pos="32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40"/>
        <w:spacing w:after="0"/>
        <w:rPr>
          <w:sz w:val="20"/>
          <w:szCs w:val="20"/>
          <w:color w:val="auto"/>
        </w:rPr>
      </w:pPr>
      <w:r>
        <w:rPr>
          <w:rFonts w:ascii="Arial" w:cs="Arial" w:eastAsia="Arial" w:hAnsi="Arial"/>
          <w:sz w:val="18"/>
          <w:szCs w:val="18"/>
          <w:color w:val="auto"/>
        </w:rPr>
        <w:t>See “Item 18. Financial statements,” which contains our consolidated financial statements prepared in accordance with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As of the date of this Annual Report, we have not been a party to or paid any damages in connection with litigation that has had a material adverse effect on our financial position. No assurance can be given that future litigation will not have a material adverse effect on our financial position. When appropriate in the executive management’s estimation, we may record reserves in our consolidated financial statements for pending litigation and other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ind w:right="180" w:firstLine="415"/>
        <w:spacing w:after="0" w:line="263" w:lineRule="auto"/>
        <w:rPr>
          <w:sz w:val="20"/>
          <w:szCs w:val="20"/>
          <w:color w:val="auto"/>
        </w:rPr>
      </w:pPr>
      <w:r>
        <w:rPr>
          <w:rFonts w:ascii="Arial" w:cs="Arial" w:eastAsia="Arial" w:hAnsi="Arial"/>
          <w:sz w:val="18"/>
          <w:szCs w:val="18"/>
          <w:color w:val="auto"/>
        </w:rPr>
        <w:t>We have never declared or distributed dividends on our capital stock. We intend to retain all available funds and any future earnings, if any, to fund the development and expansion of our business and we do not anticipate distributing any dividends in the foreseeable future. Any future determination related to dividend policy will be made at the discretion of our board of directors.</w:t>
      </w:r>
    </w:p>
    <w:p>
      <w:pPr>
        <w:spacing w:after="0" w:line="184"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Under Swiss law, any dividend must be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Arial" w:cs="Arial" w:eastAsia="Arial" w:hAnsi="Arial"/>
          <w:sz w:val="18"/>
          <w:szCs w:val="18"/>
          <w:i w:val="1"/>
          <w:iCs w:val="1"/>
          <w:color w:val="auto"/>
        </w:rPr>
        <w:t>report des bénéfices</w:t>
      </w:r>
      <w:r>
        <w:rPr>
          <w:rFonts w:ascii="Arial" w:cs="Arial" w:eastAsia="Arial" w:hAnsi="Arial"/>
          <w:sz w:val="18"/>
          <w:szCs w:val="18"/>
          <w:color w:val="auto"/>
        </w:rPr>
        <w:t>) or if it has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w:t>
      </w:r>
      <w:r>
        <w:rPr>
          <w:rFonts w:ascii="Arial" w:cs="Arial" w:eastAsia="Arial" w:hAnsi="Arial"/>
          <w:sz w:val="18"/>
          <w:szCs w:val="18"/>
          <w:color w:val="auto"/>
        </w:rPr>
        <w:t>”). Distributions out of nominal share capital, which is the aggregate nominal value of a corporation’s issued shares, may be made only by way of a share capital reduction.</w:t>
      </w:r>
    </w:p>
    <w:p>
      <w:pPr>
        <w:sectPr>
          <w:pgSz w:w="11900" w:h="16838" w:orient="portrait"/>
          <w:cols w:equalWidth="0" w:num="1">
            <w:col w:w="11200"/>
          </w:cols>
          <w:pgMar w:left="320" w:top="121" w:right="379" w:bottom="1440" w:gutter="0" w:footer="0" w:header="0"/>
        </w:sect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49" w:name="page150"/>
    <w:bookmarkEnd w:id="14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340" w:right="8520" w:hanging="332"/>
        <w:spacing w:after="0" w:line="563" w:lineRule="auto"/>
        <w:tabs>
          <w:tab w:leader="none" w:pos="34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Offering and listing details </w:t>
      </w:r>
      <w:r>
        <w:rPr>
          <w:rFonts w:ascii="Arial" w:cs="Arial" w:eastAsia="Arial" w:hAnsi="Arial"/>
          <w:sz w:val="16"/>
          <w:szCs w:val="16"/>
          <w:color w:val="auto"/>
        </w:rPr>
        <w:t>See “Item 9–C. Markets” below.</w:t>
      </w:r>
    </w:p>
    <w:p>
      <w:pPr>
        <w:ind w:left="340" w:right="9340" w:hanging="332"/>
        <w:spacing w:after="0" w:line="563" w:lineRule="auto"/>
        <w:tabs>
          <w:tab w:leader="none" w:pos="34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40" w:hanging="332"/>
        <w:spacing w:after="0"/>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common shares trade on the Nasdaq Global Market under the symbol “ACIU.”</w:t>
      </w:r>
    </w:p>
    <w:p>
      <w:pPr>
        <w:spacing w:after="0" w:line="221" w:lineRule="exact"/>
        <w:rPr>
          <w:rFonts w:ascii="Arial" w:cs="Arial" w:eastAsia="Arial" w:hAnsi="Arial"/>
          <w:sz w:val="18"/>
          <w:szCs w:val="18"/>
          <w:b w:val="1"/>
          <w:bCs w:val="1"/>
          <w:color w:val="auto"/>
        </w:rPr>
      </w:pPr>
    </w:p>
    <w:p>
      <w:pPr>
        <w:ind w:left="340" w:right="9300" w:hanging="332"/>
        <w:spacing w:after="0" w:line="601" w:lineRule="auto"/>
        <w:tabs>
          <w:tab w:leader="none" w:pos="340"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500" w:hanging="492"/>
        <w:spacing w:after="0"/>
        <w:tabs>
          <w:tab w:leader="none" w:pos="5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ind w:left="340" w:right="9740" w:hanging="332"/>
        <w:spacing w:after="0" w:line="563" w:lineRule="auto"/>
        <w:tabs>
          <w:tab w:leader="none" w:pos="34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Please see the Articles of Association of AC Immune SA (Exhibit 3.1 to this Form 20-F).</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past 2 years, party to any material contract, other than contracts entered into in the ordinary course of business.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0" w:name="page151"/>
    <w:bookmarkEnd w:id="15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US and regulations thereunder as of the date hereof, which are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consider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Current and prospective shareholders are advised to consult their own tax advisors in light of their particular circumstances as to the Swiss tax laws, regulations and regulatory practices that could be relevant to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Arial" w:cs="Arial" w:eastAsia="Arial" w:hAnsi="Arial"/>
          <w:sz w:val="16"/>
          <w:szCs w:val="16"/>
          <w:i w:val="1"/>
          <w:iCs w:val="1"/>
          <w:color w:val="auto"/>
        </w:rPr>
        <w:t>remboursements de la valeur nominale</w:t>
      </w:r>
      <w:r>
        <w:rPr>
          <w:rFonts w:ascii="Arial" w:cs="Arial" w:eastAsia="Arial" w:hAnsi="Arial"/>
          <w:sz w:val="16"/>
          <w:szCs w:val="16"/>
          <w:color w:val="auto"/>
        </w:rPr>
        <w:t>) or reserves paid out of capital contributions (</w:t>
      </w:r>
      <w:r>
        <w:rPr>
          <w:rFonts w:ascii="Arial" w:cs="Arial" w:eastAsia="Arial" w:hAnsi="Arial"/>
          <w:sz w:val="16"/>
          <w:szCs w:val="16"/>
          <w:i w:val="1"/>
          <w:iCs w:val="1"/>
          <w:color w:val="auto"/>
        </w:rPr>
        <w:t>réserves sur les apports en capital</w:t>
      </w:r>
      <w:r>
        <w:rPr>
          <w:rFonts w:ascii="Arial" w:cs="Arial" w:eastAsia="Arial" w:hAnsi="Arial"/>
          <w:sz w:val="16"/>
          <w:szCs w:val="16"/>
          <w:color w:val="auto"/>
        </w:rPr>
        <w:t>) and the consequences thereof under the tax laws, regulations and regulatory practices of Switzerland.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AC Immune</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AC Immune is subject to corporate Swiss federal, cantonal and communal taxation in Switzerland, Canton of Vaud, Commune of Ecublens, near Lausanne, respectively.</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7 years and can offset our losses carried forward against future taxes. As of December 31, 2021, we had tax loss carry-forwards totaling CHF 197.2 million. There is no certainty that we will make sufficient profits to be able to utilize these tax loss carry-forwards in full.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corporate income tax rate (federal, cantonal and communal) where we are domiciled is currently 13.606%.</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January 1, 2020, the Company may request a tax relief of 60%, which would be applied to income from patents and similar rights at communal and cantonal levels. Additionally, a so-called “super-deduction” may be granted for payroll and other expenses of research and development of Swiss origins.</w:t>
      </w:r>
    </w:p>
    <w:p>
      <w:pPr>
        <w:spacing w:after="0" w:line="18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However, the aforementioned tax relief based on the patent box and deductions for research and development may not exceed 50% of the overall taxable profit before these tax relief and deductions.</w:t>
      </w:r>
    </w:p>
    <w:p>
      <w:pPr>
        <w:spacing w:after="0" w:line="17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Notwithstanding the corporate income tax, the corporate capital is taxed at a rate of 0.1305% (cantonal and communal tax only, as there is no federal tax on capital). As of January 1, 2020 the capital attributable to patents and similar rights is considered with 50% relief in the capital tax calculation.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Federal, cantonal and communal individual income tax and corporate income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Except as described in “—</w:t>
      </w:r>
      <w:r>
        <w:rPr>
          <w:rFonts w:ascii="Arial" w:cs="Arial" w:eastAsia="Arial" w:hAnsi="Arial"/>
          <w:sz w:val="18"/>
          <w:szCs w:val="18"/>
          <w:i w:val="1"/>
          <w:iCs w:val="1"/>
          <w:color w:val="auto"/>
        </w:rPr>
        <w:t>Swiss federal withholding tax”</w:t>
      </w:r>
      <w:r>
        <w:rPr>
          <w:rFonts w:ascii="Arial" w:cs="Arial" w:eastAsia="Arial" w:hAnsi="Arial"/>
          <w:sz w:val="18"/>
          <w:szCs w:val="18"/>
          <w:color w:val="auto"/>
        </w:rPr>
        <w:t xml:space="preserve"> below, 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termed, “Non-resident shareholders”), will not be subject to any Swiss federal, cantonal and communal income tax on dividends and similar cash or in-kind distributions on Shares (including liquidation proceeds and stock dividends) (for the purposes of this section, “dividends”), distributions based upon a capital reduction (</w:t>
      </w:r>
      <w:r>
        <w:rPr>
          <w:rFonts w:ascii="Arial" w:cs="Arial" w:eastAsia="Arial" w:hAnsi="Arial"/>
          <w:sz w:val="18"/>
          <w:szCs w:val="18"/>
          <w:i w:val="1"/>
          <w:iCs w:val="1"/>
          <w:color w:val="auto"/>
        </w:rPr>
        <w:t>remboursements liés à la réduction de la valeur</w:t>
      </w:r>
      <w:r>
        <w:rPr>
          <w:rFonts w:ascii="Arial" w:cs="Arial" w:eastAsia="Arial" w:hAnsi="Arial"/>
          <w:sz w:val="18"/>
          <w:szCs w:val="18"/>
          <w:color w:val="auto"/>
        </w:rPr>
        <w:t xml:space="preserve"> </w:t>
      </w:r>
      <w:r>
        <w:rPr>
          <w:rFonts w:ascii="Arial" w:cs="Arial" w:eastAsia="Arial" w:hAnsi="Arial"/>
          <w:sz w:val="18"/>
          <w:szCs w:val="18"/>
          <w:i w:val="1"/>
          <w:iCs w:val="1"/>
          <w:color w:val="auto"/>
        </w:rPr>
        <w:t>nominale des actions</w:t>
      </w:r>
      <w:r>
        <w:rPr>
          <w:rFonts w:ascii="Arial" w:cs="Arial" w:eastAsia="Arial" w:hAnsi="Arial"/>
          <w:sz w:val="18"/>
          <w:szCs w:val="18"/>
          <w:color w:val="auto"/>
        </w:rPr>
        <w:t>) and distributions paid out of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on shares, or capital gains realized on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disposition of shares.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Swiss-resident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in their personal income tax return and are subject to Swiss federal, cantonal and communal income tax on any net taxable income for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w:t>
      </w:r>
      <w:r>
        <w:rPr>
          <w:rFonts w:ascii="Arial" w:cs="Arial" w:eastAsia="Arial" w:hAnsi="Arial"/>
          <w:sz w:val="16"/>
          <w:szCs w:val="16"/>
          <w:color w:val="auto"/>
        </w:rPr>
        <w:t xml:space="preserve"> </w:t>
      </w:r>
      <w:r>
        <w:rPr>
          <w:rFonts w:ascii="Arial" w:cs="Arial" w:eastAsia="Arial" w:hAnsi="Arial"/>
          <w:sz w:val="16"/>
          <w:szCs w:val="16"/>
          <w:i w:val="1"/>
          <w:iCs w:val="1"/>
          <w:color w:val="auto"/>
        </w:rPr>
        <w:t>des actions</w:t>
      </w:r>
      <w:r>
        <w:rPr>
          <w:rFonts w:ascii="Arial" w:cs="Arial" w:eastAsia="Arial" w:hAnsi="Arial"/>
          <w:sz w:val="16"/>
          <w:szCs w:val="16"/>
          <w:color w:val="auto"/>
        </w:rPr>
        <w:t>) and distributions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Shareholders holding at least 10% of the share capital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may be able to deduct their taxable dividends at 30% (70% taxable) at the federal level and up to 50% at the cantonal level, depending on their respective cantonal rates, as partial relief from economic double taxation. Capital gains resulting from the sale or other disposition of shares are, subject to a few exceptions,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Swiss-resident individuals, who, for income tax purposes, are classified as “professional securities dealers” or are otherwise deemed to hold Company shares in their commercial wealth.</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commercial shareholders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tax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as well as capital gains on sales of shares, if the Shares held by them as part of a Swiss business have an aggregate market value of at least CHF 1 million or represent 10% or more of the outstanding share capital of the Company (in the case of capital gains, if the shares have been held for at least one year).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distributions paid out of reserves from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The Company will be subject to and pay to the Swiss Federal Tax Administration a 1% Swiss federal issuance stamp duty (droit de timbre </w:t>
      </w:r>
      <w:r>
        <w:rPr>
          <w:rFonts w:ascii="Arial" w:cs="Arial" w:eastAsia="Arial" w:hAnsi="Arial"/>
          <w:sz w:val="16"/>
          <w:szCs w:val="16"/>
          <w:i w:val="1"/>
          <w:iCs w:val="1"/>
          <w:color w:val="auto"/>
        </w:rPr>
        <w:t>d’émissions</w:t>
      </w:r>
      <w:r>
        <w:rPr>
          <w:rFonts w:ascii="Arial" w:cs="Arial" w:eastAsia="Arial" w:hAnsi="Arial"/>
          <w:sz w:val="16"/>
          <w:szCs w:val="16"/>
          <w:color w:val="auto"/>
        </w:rPr>
        <w:t>) on the consideration received for the issuance of the shares less certain costs incurred in connection with the issuance. The issuance and delivery of the shares to the initial shareholders at the offering price is not subject to Swiss federal securities transfer stamp duty (</w:t>
      </w:r>
      <w:r>
        <w:rPr>
          <w:rFonts w:ascii="Arial" w:cs="Arial" w:eastAsia="Arial" w:hAnsi="Arial"/>
          <w:sz w:val="16"/>
          <w:szCs w:val="16"/>
          <w:i w:val="1"/>
          <w:iCs w:val="1"/>
          <w:color w:val="auto"/>
        </w:rPr>
        <w:t>droit de timbre de négociation</w:t>
      </w:r>
      <w:r>
        <w:rPr>
          <w:rFonts w:ascii="Arial" w:cs="Arial" w:eastAsia="Arial" w:hAnsi="Arial"/>
          <w:sz w:val="16"/>
          <w:szCs w:val="16"/>
          <w:color w:val="auto"/>
        </w:rPr>
        <w:t>).</w:t>
      </w:r>
    </w:p>
    <w:p>
      <w:pPr>
        <w:spacing w:after="0" w:line="14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Any subsequent dealings in the shares, for which a bank or another securities dealer in Switzerland,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Additional tax considerations associated with our ATM program</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2021, the Company held in total 6,221,617 fully paid-in treasury shares as part of its ATM offerings. These shares were established via two tranches (one in September 2020 and one in September 2021, respectively). Under present Swiss tax laws, repurchases of shares for the purposes of cancellation are treated as a partial liquidation and are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provided the limitations imposed by corporate law are respected (the nominal value of such shares does not exceed 10% of the outstanding share capital and the purchase price is covered by freely disposable equity). However, regarding the above-mentioned 6,221,617 treasury shares and given the specificities of the ATM offering, the Company sought and obtained a tax ruling from the Swiss Federal Tax Administration confirming that their acquisition by the Company did not constitute a direct partial liquidation and therefore does not trigger withholding tax. Further, the Company has obtained a tax ruling from the concerned Cantonal Tax Authority at its place of incorporation, to obtain confirmation that the placement of these treasury shares for a subscription price superior to their nominal value will not trigger any corporate income tax for the Company, provided it occurs within 12 months from the issuance of the shares. The Company sold 1,171,543 shares in 2021 within that deadline.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Of the remaining treasury shares, 2,600,000 shares have been reserved by the board of directors for use only under the Company’s current Stock Option and Incentive Plan per a further tax ruling with the concerned Cantonal Tax Authority without corporate income tax consequences for the Company. 1,228,457 shares are no longer insulated from corporate taxation and the difference between their nominal value and their sale price will be subject to corporate income tax upon sale. 2,393,160 fully paid in treasury shares were issued as part of second tranche for the ATM for future subscription (or, possibly, as part of a future share-dividend program, should the Company become profitable and have enough earnings carried forward to cover such distribution). None of those shares have been sold and are subsequently recorded as treasury shares as of December 31, 2021. They are covered by the same above-mentioned tax rulings (i.e. their acquisition does not trigger any withholding tax and their placement will not trigger any corporate income tax provided it occurs within 12 months from their issuance).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is a description of material US federal income tax consequences to the US Holders described below of owning and disposing of our common shares. It does not describe all tax considerations that may be relevant to a particular person’s decision to own common shares.</w:t>
      </w:r>
    </w:p>
    <w:p>
      <w:pPr>
        <w:spacing w:after="0" w:line="14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Holders whose functional currency for US federal income tax purposes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received their common shares as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shares, by vote or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US.</w:t>
      </w:r>
    </w:p>
    <w:p>
      <w:pPr>
        <w:spacing w:after="0" w:line="225"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advisors as to the particular US federal income tax consequences of owning and disposing of the common shares.</w:t>
      </w:r>
    </w:p>
    <w:p>
      <w:pPr>
        <w:spacing w:after="0" w:line="149" w:lineRule="exact"/>
        <w:rPr>
          <w:sz w:val="20"/>
          <w:szCs w:val="20"/>
          <w:color w:val="auto"/>
        </w:rPr>
      </w:pPr>
    </w:p>
    <w:p>
      <w:pPr>
        <w:ind w:right="120" w:firstLine="366"/>
        <w:spacing w:after="0" w:line="26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US (the “Treaty”) all as of the date hereof, any of which is subject to change or differing interpretations, possibly with retroactive effect.</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“US Holder” is a person that, for US federal income tax purposes, is a beneficial owner of common shares, is eligible for the benefits of the Treaty and is any of the following:</w:t>
      </w:r>
    </w:p>
    <w:p>
      <w:pPr>
        <w:spacing w:after="0" w:line="170"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8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US, any state therein or the District of Columbia;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US Holders should be aware that the Company has determined that it was likely a passive foreign investment company (a “PFIC”) for 2019 and 2020. See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 US Holders should consult their tax advisors concerning the US federal, state, local and non-US tax consequences of owning and disposing of common shares in their particular circumstances, including the consequences to them under the PFIC rules discussed below.</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is subject to the discussion in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As discussed above under “Dividends and dividend policy,” we do not currently expect to make distributions on our common shares. In the event that we do make distributions of cash or other property,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if we are eligible for the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US Holders should consult their tax advisors regarding the availability of the reduced tax rate on dividends in their particular circumstances.</w:t>
      </w:r>
    </w:p>
    <w:p>
      <w:pPr>
        <w:spacing w:after="0" w:line="23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Dividends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amount of dividend income will include any amounts withheld by us in respect of Swiss income taxes. 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An election to deduct foreign taxes instead of claiming foreign tax credits applies to all foreign taxes paid or accrued in the taxable year.</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is subject to the discussion in “—</w:t>
      </w:r>
      <w:r>
        <w:rPr>
          <w:rFonts w:ascii="Arial" w:cs="Arial" w:eastAsia="Arial" w:hAnsi="Arial"/>
          <w:sz w:val="18"/>
          <w:szCs w:val="18"/>
          <w:i w:val="1"/>
          <w:iCs w:val="1"/>
          <w:color w:val="auto"/>
        </w:rPr>
        <w:t>Passive foreign investment company rules</w:t>
      </w:r>
      <w:r>
        <w:rPr>
          <w:rFonts w:ascii="Arial" w:cs="Arial" w:eastAsia="Arial" w:hAnsi="Arial"/>
          <w:sz w:val="18"/>
          <w:szCs w:val="18"/>
          <w:color w:val="auto"/>
        </w:rPr>
        <w:t>” below.</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Gain or loss realized on the sale or other disposition of common shares will be capital gain or loss, and will be long-term capital gain or loss if the US Holder owned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46" w:lineRule="exact"/>
        <w:rPr>
          <w:sz w:val="20"/>
          <w:szCs w:val="20"/>
          <w:color w:val="auto"/>
        </w:rPr>
      </w:pPr>
    </w:p>
    <w:p>
      <w:pPr>
        <w:ind w:right="40" w:firstLine="8"/>
        <w:spacing w:after="0" w:line="271" w:lineRule="auto"/>
        <w:tabs>
          <w:tab w:leader="none" w:pos="2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75% or more of our gross income consists of passive income (the “income test”) or (ii) 50% or more of the average value of our assets (generally determined on a quarterly basis) consists of assets that produce, or are held for the production of, passive income (the “asset test”). Passive income generally includes dividends, interest, certain non-active rents and royalties, and gains from financial investments. For purposes of the above calculations, we will be treated as if we hold our proportionate share of the assets of, and directly receive our proportionate share of the income of, any other corporation in which we directly or indirectly own at least 25%, by value, of the shares of such corporation.</w:t>
      </w:r>
    </w:p>
    <w:p>
      <w:pPr>
        <w:spacing w:after="0" w:line="17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Although the application of the income test to a company like us (whose overall losses from research and development activities significantly exceed its gross income) is not entirely clear, we will be a PFIC for any taxable year under the income test if 75% or more of our gross income (as determined for U.S. federal income tax purposes) for such year consists of interest and other passive income. Prior to the commercialization and sales of any of our product candidates, our gross income may consist primarily of upfront or milestone payments (which we believe are active income), grants (which are likely to be treated as active income) and interest (which is passive income). The receipt of upfront payments is non-recurring in nature, and the receipt of grants or milestone payments is subject to various conditions. Therefore, there can be no assurance as to the amount of grants, milestone payments or upfront payments (if any) that we will receive for any taxable year. Moreover, we may earn income from sublicensing, which may be passive unless certain conditions are satisfied. There is no assurance that the IRS will not challenge the classification of any of our income items for PFIC purposes for any taxable year. Accordingly, there is no assurance that we will not be a PFIC for any taxable year under the income test.</w:t>
      </w:r>
    </w:p>
    <w:p>
      <w:pPr>
        <w:spacing w:after="0" w:line="16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addition, we currently hold, and expect to continue to hold, a substantial amount of passive assets, including cash. The average value of our assets (including goodwill) may be determined, in large part, by reference to our market capitalization, which has fluctuated substantially over time and may continue to be volatile. Due to the volatility of our market capitalization, we may be a PFIC under the asset test for any taxable year if our cash and other passive assets constitute 50% or more of the value of our total assets (including goodwill).</w:t>
      </w:r>
    </w:p>
    <w:p>
      <w:pPr>
        <w:spacing w:after="0" w:line="187"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As discussed in our Annual Reports on Form 20-F for 2019 and 2020, we were likely a PFIC for our taxable years of 2019 and 2020. If we were a PFIC for 2019 or 2020, we will generally continue to be treated as a PFIC with respect to a US Holder that owned our common shares during any portion of such years, even if we are not a PFIC for 2021 or any other taxable year, unless the US Holder makes a “deemed sale” election with respect to our common shares. Under a deemed sale election, the US Holder will be deemed to have sold such common shares at their fair market value and any gain recognized on such deemed sale will be treated as an “excess distribution,” as described below. As a result of this election, the US Holder will have additional basis (to the extent of any gain recognized in the deemed sale) and, solely for purposes of the PFIC rules, a new holding period in the common shares. US Holders are urged to consult their tax advisors regarding the potential application of the deemed sale election rules to their particular circumstances and the advisability of making a deemed sale election in light of the uncertainty regarding our PFIC status for the current or future taxable years, as described below.</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Although we have not obtained independent valuations of our assets for our taxable year of 2021 and thus are not in a position to make a definitive determination as to whether we were a PFIC in 2021, based on the composition of our income and assets during 2021 and the estimated value of our assets (which is based on our average market capitalization during 2021), we believe that we were not a PFIC for 2021. However, for the reasons discussed above there can be no assurance that the IRS will agree. Because our PFIC status for 2022 or any future taxable year will depend on the composition of our income and assets and the value of our assets, we cannot express any expectation regarding our PFIC status for the current or any future taxable year and there is no assurance that we will not be a PFIC for these years.</w:t>
      </w:r>
    </w:p>
    <w:p>
      <w:pPr>
        <w:spacing w:after="0" w:line="17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a US Holder owns our common shares in any year in which we are a PFIC, subject to the discussion above regarding the deemed sale election and the discussion below regarding the mark-to-market election, any gain recognized by the US Holder on a sale or other disposition (including certain pledges) of the common shares will be allocated ratably over the US Holder’s holding period for the common shares. The amounts allocated to the taxable year of the sale or other disposition and to any year before we became a PFIC will be taxed as ordinary income. The amount allocated to any other taxable year will be subject to tax at the highest rate in effect for individuals or corporations, as appropriate, for that taxable year, and an interest charge will be imposed on the amount of tax allocated to that taxable year. Further, to the extent that distributions received by a US Holder on its common shares during a taxable year exceed 125% of the average of the annual distributions on the common shares received during the preceding three taxable or the US Holder’s holding period, whichever is shorter, the excess distribution will be subject to taxation in the same manner as gain, described immediately above.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 US Holder can avoid certain of the adverse rules described above by making a mark-to-market election with respect to the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this election, the US Holder’s tax basis in the common shares will be adjusted to reflect the income or loss amounts recognized. Any gain recognized on the sale or other disposition of common shares in a year in which we are a PFIC will be treated as ordinary income and any loss will be treated as an ordinary loss (but only to the extent of the net amount of income previously included as a result of the mark-to-market election, with any excess treated as capital loss).</w:t>
      </w:r>
    </w:p>
    <w:p>
      <w:pPr>
        <w:spacing w:after="0" w:line="16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do not intend to provide the information necessary for US Holders to make a “qualified electing fund” election, which if available could materially affect the tax consequences of the ownership and disposition of our common shares if we are a PFIC for any taxable year. Therefore, US Holders will not be able to make such elections.</w:t>
      </w:r>
    </w:p>
    <w:p>
      <w:pPr>
        <w:spacing w:after="0" w:line="18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if we are a PFIC or, with respect to particular US Holder, are treated as a PFIC for the taxable year in which we pay a dividend or for the prior taxable year, the preferential dividend rates discussed above with respect to dividends paid to certain non-corporate US Holders will not apply.</w:t>
      </w:r>
    </w:p>
    <w:p>
      <w:pPr>
        <w:spacing w:after="0" w:line="12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If a US Holder owns common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advisors concerning our potential PFIC status and the potential application of the PFIC rules.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they are not subject to backup withholding.</w:t>
      </w:r>
    </w:p>
    <w:p>
      <w:pPr>
        <w:spacing w:after="0" w:line="1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the Holder to a refund, provided that the required information is furnished in a timely manner to the 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advisors regarding the effect, if any, of this legislation on their ownership and disposition of the common shares.</w:t>
      </w:r>
    </w:p>
    <w:p>
      <w:pPr>
        <w:spacing w:after="0" w:line="183" w:lineRule="exact"/>
        <w:rPr>
          <w:sz w:val="20"/>
          <w:szCs w:val="20"/>
          <w:color w:val="auto"/>
        </w:rPr>
      </w:pPr>
    </w:p>
    <w:p>
      <w:pPr>
        <w:ind w:left="500" w:hanging="492"/>
        <w:spacing w:after="0"/>
        <w:tabs>
          <w:tab w:leader="none" w:pos="5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7" w:name="page158"/>
    <w:bookmarkEnd w:id="15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right="220" w:firstLine="369"/>
        <w:spacing w:after="0" w:line="275"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such as us, that file electronically with the SEC. The address of that website is www.sec.gov.</w:t>
      </w:r>
    </w:p>
    <w:p>
      <w:pPr>
        <w:spacing w:after="0" w:line="17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7" w:lineRule="exact"/>
        <w:rPr>
          <w:sz w:val="20"/>
          <w:szCs w:val="20"/>
          <w:color w:val="auto"/>
        </w:rPr>
      </w:pPr>
    </w:p>
    <w:p>
      <w:pPr>
        <w:ind w:left="340" w:right="9120" w:hanging="332"/>
        <w:spacing w:after="0" w:line="563" w:lineRule="auto"/>
        <w:tabs>
          <w:tab w:leader="none" w:pos="34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29" w:lineRule="exact"/>
        <w:rPr>
          <w:sz w:val="20"/>
          <w:szCs w:val="20"/>
          <w:color w:val="auto"/>
        </w:rPr>
      </w:pPr>
    </w:p>
    <w:p>
      <w:pPr>
        <w:ind w:right="260" w:firstLine="369"/>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84"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2021, the Company holds almost 79% of its overall cash and cash equivalents balance in CHF with the remainder predominantly in EUR and USD (see “Note 8. Cash and cash equivalents and financial assets” of the consolidated financial statements). The Company holds almost 91% of its liquidity (cash and cash equivalents plus short-term financial assets) in CHF.</w:t>
      </w:r>
    </w:p>
    <w:p>
      <w:pPr>
        <w:spacing w:after="0" w:line="1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a number of collaboration agreements for which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39% of our total costs are incurred in currencies other than the Swiss Franc. Due to the size of some of the income received from collaboration agreements and also the high percentage of our costs indirectly being in foreign currencies, a hypothetical 10% change in exchange rates relative to the Swiss Franc could have a material impact on our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the current negative interest rates in Switzerland and our policy to maintain the majority of our cash and cash equivalents in our functional currency.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The Company maintains a formal treasury risk and investment management policy to limit counterparty credit risk. As of December 31, 2021, the Company’s cash and cash equivalents and short-term financial assets are held with four financial institutions, each with a high credit rating assigned by international credit-rating agencies. The maximum amount of credit risk is the carrying amount of the financial assets. Receivables are fully performing, not past due and not impaired (see “Note 8. Cash and cash equivalents and financial assets” and “Note 10. Other current receivables”).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and diagnostic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Based on the Company’s current liquidity position, comprised of cash and cash equivalents and short-term financial assets, the Company is well financed through Q1 2024, excluding any potential milestones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“Forward-looking Statements.”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25" w:lineRule="exact"/>
        <w:rPr>
          <w:sz w:val="20"/>
          <w:szCs w:val="20"/>
          <w:color w:val="auto"/>
        </w:rPr>
      </w:pPr>
    </w:p>
    <w:p>
      <w:pPr>
        <w:jc w:val="both"/>
        <w:ind w:left="340" w:right="9580" w:hanging="332"/>
        <w:spacing w:after="0" w:line="601" w:lineRule="auto"/>
        <w:tabs>
          <w:tab w:leader="none" w:pos="340"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40" w:right="9140" w:hanging="332"/>
        <w:spacing w:after="0" w:line="563" w:lineRule="auto"/>
        <w:tabs>
          <w:tab w:leader="none" w:pos="34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ind w:left="340" w:right="9480" w:hanging="332"/>
        <w:spacing w:after="0" w:line="563" w:lineRule="auto"/>
        <w:tabs>
          <w:tab w:leader="none" w:pos="34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ind w:left="320" w:right="8560" w:hanging="312"/>
        <w:spacing w:after="0" w:line="500" w:lineRule="auto"/>
        <w:tabs>
          <w:tab w:leader="none" w:pos="323"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Not applicable.</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5"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Defaults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 matters to report.</w:t>
      </w: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159" w:name="page160"/>
    <w:bookmarkEnd w:id="15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Arrears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December 31, 2021,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Based on such evaluation, our Chief Executive Officer and Chief Financial Officer concluded that our disclosure controls and procedures were effective in recording, processing, summarizing and reporting on a timely basis the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Our internal control over financial reporting is supported by written policies and procedures.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by the Committee of Sponsoring Organizations of the Treadway Commission. Based on that evaluation, our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concluded that our internal control over financial reporting was effective as of December 31, 2021.</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the registered public accounting firm</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SA, an independent registered public accounting firm. Their report is included on page F-2. PricewaterhouseCoopers SA is a member of the Chamber of Public Accountants, Lausanne, Switzerland.</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year ended December 31, 2021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board of directors has determined that Monika Bütler, Thomas Graney and Werner Lanthaler are audit committee financial experts, as that term is defined by the SEC, and are independent for the purposes of SEC and Nasdaq rules.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0" w:name="page161"/>
    <w:bookmarkEnd w:id="16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and Ethics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16C. Principal accountant fees and services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the year ended December 31, 2021, PwC was the Company’s auditor for the IFRS and statutory accounts. At the ordinary Annual General Meeting on June 25, 2021, the shareholders appointed PwC as the Company’s auditor for a term of office of 1 year.</w:t>
      </w:r>
    </w:p>
    <w:p>
      <w:pPr>
        <w:spacing w:after="0" w:line="170"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0D0E00"/>
        </w:rPr>
        <w:t>Audit fees i</w:t>
      </w:r>
      <w:r>
        <w:rPr>
          <w:rFonts w:ascii="Arial" w:cs="Arial" w:eastAsia="Arial" w:hAnsi="Arial"/>
          <w:sz w:val="16"/>
          <w:szCs w:val="16"/>
          <w:color w:val="000000"/>
        </w:rPr>
        <w:t>nclude fees for audit services primarily related to the integrated audit of (i) our annual consolidated financial statements and our internal</w:t>
      </w:r>
      <w:r>
        <w:rPr>
          <w:rFonts w:ascii="Arial" w:cs="Arial" w:eastAsia="Arial" w:hAnsi="Arial"/>
          <w:sz w:val="16"/>
          <w:szCs w:val="16"/>
          <w:color w:val="0D0E00"/>
        </w:rPr>
        <w:t xml:space="preserve"> </w:t>
      </w:r>
      <w:r>
        <w:rPr>
          <w:rFonts w:ascii="Arial" w:cs="Arial" w:eastAsia="Arial" w:hAnsi="Arial"/>
          <w:sz w:val="16"/>
          <w:szCs w:val="16"/>
          <w:color w:val="000000"/>
        </w:rPr>
        <w:t>control over financial reporting as required by Section 404(b) of the Sarbanes-Oxley Act of 2002, (ii) the review of our quarterly condensed consolidated financial statements, (iii) comfort letters, consents and assistance with and review of documents relating to our securities offerings, including our registration statement on Form F-3 related to our follow-on shelf registration in Q2 2021 and (iv) other accounting and financial reporting consultation billed as audit fees or necessary to comply with the standards of the Public Company Accounting Oversight Board (United States).</w:t>
      </w:r>
    </w:p>
    <w:p>
      <w:pPr>
        <w:spacing w:after="0" w:line="16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220" w:firstLine="324"/>
        <w:spacing w:after="0" w:line="220" w:lineRule="exact"/>
        <w:rPr>
          <w:sz w:val="20"/>
          <w:szCs w:val="20"/>
          <w:color w:val="auto"/>
        </w:rPr>
      </w:pPr>
      <w:r>
        <w:rPr>
          <w:rFonts w:ascii="Arial" w:cs="Arial" w:eastAsia="Arial" w:hAnsi="Arial"/>
          <w:sz w:val="18"/>
          <w:szCs w:val="18"/>
          <w:color w:val="0D0E00"/>
        </w:rPr>
        <w:t>In accordance with the requirements of the US Sarbanes</w:t>
      </w:r>
      <w:r>
        <w:rPr>
          <w:rFonts w:ascii="MS PGothic" w:cs="MS PGothic" w:eastAsia="MS PGothic" w:hAnsi="MS PGothic"/>
          <w:sz w:val="18"/>
          <w:szCs w:val="18"/>
          <w:color w:val="0D0E00"/>
        </w:rPr>
        <w:t>‑</w:t>
      </w:r>
      <w:r>
        <w:rPr>
          <w:rFonts w:ascii="Arial" w:cs="Arial" w:eastAsia="Arial" w:hAnsi="Arial"/>
          <w:sz w:val="18"/>
          <w:szCs w:val="18"/>
          <w:color w:val="0D0E00"/>
        </w:rPr>
        <w:t>Oxley Act of 2002 and rules issued by the SEC, we review and pre</w:t>
      </w:r>
      <w:r>
        <w:rPr>
          <w:rFonts w:ascii="MS PGothic" w:cs="MS PGothic" w:eastAsia="MS PGothic" w:hAnsi="MS PGothic"/>
          <w:sz w:val="18"/>
          <w:szCs w:val="18"/>
          <w:color w:val="0D0E00"/>
        </w:rPr>
        <w:t>‑</w:t>
      </w:r>
      <w:r>
        <w:rPr>
          <w:rFonts w:ascii="Arial" w:cs="Arial" w:eastAsia="Arial" w:hAnsi="Arial"/>
          <w:sz w:val="18"/>
          <w:szCs w:val="18"/>
          <w:color w:val="0D0E00"/>
        </w:rPr>
        <w:t>approve any services performed by PwC. The procedure requires that all proposed future engagements of PwC for audit and permitted non</w:t>
      </w:r>
      <w:r>
        <w:rPr>
          <w:rFonts w:ascii="MS PGothic" w:cs="MS PGothic" w:eastAsia="MS PGothic" w:hAnsi="MS PGothic"/>
          <w:sz w:val="18"/>
          <w:szCs w:val="18"/>
          <w:color w:val="0D0E00"/>
        </w:rPr>
        <w:t>‑</w:t>
      </w:r>
      <w:r>
        <w:rPr>
          <w:rFonts w:ascii="Arial" w:cs="Arial" w:eastAsia="Arial" w:hAnsi="Arial"/>
          <w:sz w:val="18"/>
          <w:szCs w:val="18"/>
          <w:color w:val="0D0E00"/>
        </w:rPr>
        <w:t>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no purchases of our equity securities were made by or on behalf of AC Immune SA or any affiliated purchaser.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Significant Corporate Governance Differences from Nasdaq Listing Standards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common shares are listed on the Nasdaq Global Market. We are therefore required to comply with certain of the Nasdaq’s corporate governance listing standards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directors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nomination and corporate governance committee</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Swiss law requires that we have a compensation, nomination and corporate governance committee, we will follow home country requirements with respect to such committee. As a result, our practice will vary from the requirements of Nasdaq Listing Rule 5605(d), which sets forth certain requirements as to the responsibilities, composition and independence of compensation, nomination and corporate governance committees.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Quorum requirements</w:t>
      </w:r>
    </w:p>
    <w:p>
      <w:pPr>
        <w:spacing w:after="0" w:line="22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Solicitation of proxies</w:t>
      </w:r>
    </w:p>
    <w:p>
      <w:pPr>
        <w:spacing w:after="0" w:line="225" w:lineRule="exact"/>
        <w:rPr>
          <w:sz w:val="20"/>
          <w:szCs w:val="20"/>
          <w:color w:val="auto"/>
        </w:rPr>
      </w:pPr>
    </w:p>
    <w:p>
      <w:pPr>
        <w:ind w:right="460" w:firstLine="324"/>
        <w:spacing w:after="0" w:line="257" w:lineRule="auto"/>
        <w:rPr>
          <w:sz w:val="20"/>
          <w:szCs w:val="20"/>
          <w:color w:val="auto"/>
        </w:rPr>
      </w:pPr>
      <w:r>
        <w:rPr>
          <w:rFonts w:ascii="Arial" w:cs="Arial" w:eastAsia="Arial" w:hAnsi="Arial"/>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16I.</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responded to Item 18 in lieu of this item.</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2" w:name="page163"/>
    <w:bookmarkEnd w:id="16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Statements are filed as part of this Annual Report, see page F-1.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Annual Report on Form 20-F: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gridSpan w:val="3"/>
            <w:shd w:val="clear" w:color="auto" w:fill="CCEEFF"/>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Articles of Association of AC Immune SA</w:t>
            </w:r>
          </w:p>
        </w:tc>
      </w:tr>
      <w:tr>
        <w:trPr>
          <w:trHeight w:val="175"/>
        </w:trPr>
        <w:tc>
          <w:tcPr>
            <w:tcW w:w="3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r:id="rId22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40" w:type="dxa"/>
            <w:vAlign w:val="bottom"/>
            <w:tcBorders>
              <w:top w:val="single" w:sz="8" w:color="CCEEFF"/>
            </w:tcBorders>
          </w:tcPr>
          <w:p>
            <w:pPr>
              <w:spacing w:after="0"/>
              <w:rPr>
                <w:sz w:val="15"/>
                <w:szCs w:val="15"/>
                <w:color w:val="auto"/>
              </w:rPr>
            </w:pPr>
          </w:p>
        </w:tc>
        <w:tc>
          <w:tcPr>
            <w:tcW w:w="10380" w:type="dxa"/>
            <w:vAlign w:val="bottom"/>
            <w:tcBorders>
              <w:top w:val="single" w:sz="8" w:color="CCEEFF"/>
            </w:tcBorders>
          </w:tcPr>
          <w:p>
            <w:pPr>
              <w:ind w:left="560"/>
              <w:spacing w:after="0" w:line="176" w:lineRule="exact"/>
              <w:rPr>
                <w:sz w:val="20"/>
                <w:szCs w:val="20"/>
                <w:color w:val="auto"/>
              </w:rPr>
            </w:pPr>
            <w:r>
              <w:rPr>
                <w:rFonts w:ascii="Arial" w:cs="Arial" w:eastAsia="Arial" w:hAnsi="Arial"/>
                <w:sz w:val="18"/>
                <w:szCs w:val="18"/>
                <w:color w:val="auto"/>
                <w:w w:val="92"/>
              </w:rPr>
              <w:t>Research Collaboration and License Agreement between AC Immune SA Corporation and Genentech, Inc. dated November 6, 2006</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w w:val="94"/>
              </w:rPr>
              <w:t>(incorporated herein by reference to Exhibit 10.1 to the Company’s Registration Statement on Form F-1 (File No. 333-211714) filed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with the SEC on May 31, 2016)</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22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3"/>
              </w:rPr>
              <w:t>Amendment to the Research Collaboration and License Agreement between AC Immune SA Corporation and Genentech, Inc. dated</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4"/>
              </w:rPr>
              <w:t>May 7, 2015 (incorporated herein by reference to Exhibit 10.2 to the Company’s Registration Statement on Form F-1 (File No. 333-</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211714) filed with the SEC on May 31, 2016)</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27">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540" w:type="dxa"/>
            <w:vAlign w:val="bottom"/>
          </w:tcPr>
          <w:p>
            <w:pPr>
              <w:spacing w:after="0"/>
              <w:rPr>
                <w:sz w:val="15"/>
                <w:szCs w:val="15"/>
                <w:color w:val="auto"/>
              </w:rPr>
            </w:pPr>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w w:val="94"/>
              </w:rPr>
              <w:t>(incorporated herein by reference to Exhibit 10.3 to the Company’s Registration Statement on Form F-1 (File No. 333-211714) filed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with the SEC on May 31, 2016)</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228">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4"/>
              </w:rPr>
              <w:t>License and Collaboration Agreement between Piramal Imaging Ltd., Piramal Imaging SA and AC Immune SA, dated May 9, 2014</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4"/>
              </w:rPr>
              <w:t>(incorporated herein by reference to Exhibit 10.4 to the Company’s Registration Statement on Form F-1 (File No. 333-211714) filed</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with the SEC on May 31, 2016)</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29">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540" w:type="dxa"/>
            <w:vAlign w:val="bottom"/>
          </w:tcPr>
          <w:p>
            <w:pPr>
              <w:spacing w:after="0"/>
              <w:rPr>
                <w:sz w:val="15"/>
                <w:szCs w:val="15"/>
                <w:color w:val="auto"/>
              </w:rPr>
            </w:pPr>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0"/>
              </w:rPr>
              <w:t>License, Development and Commercialization Agreement between Janssen Pharmaceuticals, Inc. and AC Immune SA, dated December</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w w:val="90"/>
              </w:rPr>
              <w:t>24, 2014 (incorporated herein by reference to Exhibit 10.5 to the Company’s Registration Statement on Form F-1 (File No. 333-211714)</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filed with the SEC on May 31, 2016)</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230">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Form of Indemnity Agreement (incorporated herein by reference to Exhibit 10.6 to the Company’s Registration Statement on Form F-1</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(File No. 333-211714) filed with the SEC on May 31, 2016)</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31">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540" w:type="dxa"/>
            <w:vAlign w:val="bottom"/>
          </w:tcPr>
          <w:p>
            <w:pPr>
              <w:spacing w:after="0"/>
              <w:rPr>
                <w:sz w:val="15"/>
                <w:szCs w:val="15"/>
                <w:color w:val="auto"/>
              </w:rPr>
            </w:pPr>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1"/>
              </w:rPr>
              <w:t>AC Immune SA 2013 Equity Incentive Plan (incorporated herein by reference to Exhibit 10.7 to the Company’s Registration Statement</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on Form F-1 (File No. 333-211714) filed with the SEC on May 31, 2016)</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231">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AC Immune SA 2013 Equity Incentive Plan (incorporated herein by reference to Exhibit 10.7 to the Company’s Registration Statement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on Form F-1, filed with the SEC on May 31, 2016)</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32">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540" w:type="dxa"/>
            <w:vAlign w:val="bottom"/>
          </w:tcPr>
          <w:p>
            <w:pPr>
              <w:spacing w:after="0"/>
              <w:rPr>
                <w:sz w:val="15"/>
                <w:szCs w:val="15"/>
                <w:color w:val="auto"/>
              </w:rPr>
            </w:pPr>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2"/>
              </w:rPr>
              <w:t>AC Immune SA 2016 Stock Option and Incentive Plan (incorporated herein by reference to Exhibit 99.08 to the Company’s Report on</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Form 6-K, filed with the SEC on October 13, 2016)</w:t>
            </w:r>
          </w:p>
        </w:tc>
      </w:tr>
      <w:tr>
        <w:trPr>
          <w:trHeight w:val="175"/>
        </w:trPr>
        <w:tc>
          <w:tcPr>
            <w:tcW w:w="860" w:type="dxa"/>
            <w:vAlign w:val="bottom"/>
            <w:gridSpan w:val="3"/>
            <w:shd w:val="clear" w:color="auto" w:fill="CCEEFF"/>
          </w:tcPr>
          <w:p>
            <w:pPr>
              <w:spacing w:after="0" w:line="176" w:lineRule="exact"/>
              <w:rPr>
                <w:rFonts w:ascii="Arial" w:cs="Arial" w:eastAsia="Arial" w:hAnsi="Arial"/>
                <w:sz w:val="18"/>
                <w:szCs w:val="18"/>
                <w:color w:val="0000EE"/>
              </w:rPr>
            </w:pPr>
            <w:hyperlink r:id="rId233">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0"/>
              </w:rPr>
              <w:t>License Agreement between AC Immune SA and Eli Lilly and Company, dated December 11, 2018 (incorporated herein by reference to</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9"/>
              </w:rPr>
              <w:t>Exhibit 4.14 to the Amendment No. 1 to the Company’s Annual Report on Form 20-F/A, filed with the SEC on April 19, 2019)</w:t>
            </w:r>
          </w:p>
        </w:tc>
      </w:tr>
      <w:tr>
        <w:trPr>
          <w:trHeight w:val="175"/>
        </w:trPr>
        <w:tc>
          <w:tcPr>
            <w:tcW w:w="320" w:type="dxa"/>
            <w:vAlign w:val="bottom"/>
            <w:tcBorders>
              <w:bottom w:val="single" w:sz="8" w:color="0000EE"/>
            </w:tcBorders>
            <w:gridSpan w:val="2"/>
          </w:tcPr>
          <w:p>
            <w:pPr>
              <w:spacing w:after="0" w:line="176" w:lineRule="exact"/>
              <w:rPr>
                <w:rFonts w:ascii="Arial" w:cs="Arial" w:eastAsia="Arial" w:hAnsi="Arial"/>
                <w:sz w:val="18"/>
                <w:szCs w:val="18"/>
                <w:color w:val="0000EE"/>
                <w:w w:val="85"/>
              </w:rPr>
            </w:pPr>
            <w:hyperlink r:id="rId23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540" w:type="dxa"/>
            <w:vAlign w:val="bottom"/>
          </w:tcPr>
          <w:p>
            <w:pPr>
              <w:spacing w:after="0"/>
              <w:rPr>
                <w:sz w:val="15"/>
                <w:szCs w:val="15"/>
                <w:color w:val="auto"/>
              </w:rPr>
            </w:pPr>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3"/>
              </w:rPr>
              <w:t>Convertible Note Agreement between AC Immune SA and Eli Lilly and Company, dated December 11, 2018 (incorporated herein by</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reference to Exhibit 4.15 to the Company’s Annual Report on Form 20-F, filed with the SEC on March 21, 2019)</w:t>
            </w:r>
          </w:p>
        </w:tc>
      </w:tr>
      <w:tr>
        <w:trPr>
          <w:trHeight w:val="175"/>
        </w:trPr>
        <w:tc>
          <w:tcPr>
            <w:tcW w:w="860" w:type="dxa"/>
            <w:vAlign w:val="bottom"/>
            <w:gridSpan w:val="3"/>
            <w:shd w:val="clear" w:color="auto" w:fill="CCEEFF"/>
          </w:tcPr>
          <w:p>
            <w:pPr>
              <w:spacing w:after="0" w:line="176" w:lineRule="exact"/>
              <w:rPr>
                <w:rFonts w:ascii="Arial" w:cs="Arial" w:eastAsia="Arial" w:hAnsi="Arial"/>
                <w:sz w:val="18"/>
                <w:szCs w:val="18"/>
                <w:color w:val="0000EE"/>
              </w:rPr>
            </w:pPr>
            <w:hyperlink r:id="rId235">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First Amendment to License Agreement between AC Immune SA and Eli Lilly and Company, dated September 19, 2019 (incorporated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herein by reference to Exhibit 10.1 to the Company’s Report on Form 6-K, filed with the SEC on September 20, 2019)</w:t>
            </w:r>
          </w:p>
        </w:tc>
      </w:tr>
      <w:tr>
        <w:trPr>
          <w:trHeight w:val="175"/>
        </w:trPr>
        <w:tc>
          <w:tcPr>
            <w:tcW w:w="860" w:type="dxa"/>
            <w:vAlign w:val="bottom"/>
            <w:gridSpan w:val="3"/>
          </w:tcPr>
          <w:p>
            <w:pPr>
              <w:spacing w:after="0" w:line="176" w:lineRule="exact"/>
              <w:rPr>
                <w:rFonts w:ascii="Arial" w:cs="Arial" w:eastAsia="Arial" w:hAnsi="Arial"/>
                <w:sz w:val="18"/>
                <w:szCs w:val="18"/>
                <w:color w:val="0000EE"/>
              </w:rPr>
            </w:pPr>
            <w:hyperlink r:id="rId236">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2"/>
              </w:rPr>
              <w:t>Second Amendment to License Agreement between AC Immune SA and Eli Lilly and Company, dated March 20, 2020 (incorporated</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w w:val="93"/>
              </w:rPr>
              <w:t>herein by reference to Exhibit 10.1 to the Company’s Current Report on Form 6-K (File No. 001-37891) filed with the SEC on March</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23, 2020)</w:t>
            </w:r>
          </w:p>
        </w:tc>
      </w:tr>
      <w:tr>
        <w:trPr>
          <w:trHeight w:val="175"/>
        </w:trPr>
        <w:tc>
          <w:tcPr>
            <w:tcW w:w="860" w:type="dxa"/>
            <w:vAlign w:val="bottom"/>
            <w:gridSpan w:val="3"/>
            <w:shd w:val="clear" w:color="auto" w:fill="CCEEFF"/>
          </w:tcPr>
          <w:p>
            <w:pPr>
              <w:spacing w:after="0" w:line="176" w:lineRule="exact"/>
              <w:rPr>
                <w:rFonts w:ascii="Arial" w:cs="Arial" w:eastAsia="Arial" w:hAnsi="Arial"/>
                <w:sz w:val="18"/>
                <w:szCs w:val="18"/>
                <w:color w:val="0000EE"/>
              </w:rPr>
            </w:pPr>
            <w:hyperlink r:id="rId237">
              <w:r>
                <w:rPr>
                  <w:rFonts w:ascii="Arial" w:cs="Arial" w:eastAsia="Arial" w:hAnsi="Arial"/>
                  <w:sz w:val="18"/>
                  <w:szCs w:val="18"/>
                  <w:color w:val="0000EE"/>
                </w:rPr>
                <w:t>4.</w:t>
              </w:r>
              <w:r>
                <w:rPr>
                  <w:rFonts w:ascii="Arial" w:cs="Arial" w:eastAsia="Arial" w:hAnsi="Arial"/>
                  <w:sz w:val="18"/>
                  <w:szCs w:val="18"/>
                  <w:u w:val="single" w:color="auto"/>
                  <w:color w:val="0000EE"/>
                </w:rPr>
                <w:t>14</w:t>
              </w:r>
            </w:hyperlink>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1"/>
              </w:rPr>
              <w:t>Open Market Sale Agreement, dated as of May 5, 2021, between AC Immune SA and Jefferies LLC (incorporated herein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 Exhibit 1.1 to the Company’s Current Report on Form 6-K (File No. 001-37891) filed with the SEC on May 5, 2021)</w:t>
            </w:r>
          </w:p>
        </w:tc>
      </w:tr>
      <w:tr>
        <w:trPr>
          <w:trHeight w:val="175"/>
        </w:trPr>
        <w:tc>
          <w:tcPr>
            <w:tcW w:w="860" w:type="dxa"/>
            <w:vAlign w:val="bottom"/>
            <w:gridSpan w:val="3"/>
          </w:tcPr>
          <w:p>
            <w:pPr>
              <w:spacing w:after="0" w:line="176" w:lineRule="exact"/>
              <w:rPr>
                <w:rFonts w:ascii="Arial" w:cs="Arial" w:eastAsia="Arial" w:hAnsi="Arial"/>
                <w:sz w:val="18"/>
                <w:szCs w:val="18"/>
                <w:color w:val="0000EE"/>
              </w:rPr>
            </w:pPr>
            <w:hyperlink r:id="rId238">
              <w:r>
                <w:rPr>
                  <w:rFonts w:ascii="Arial" w:cs="Arial" w:eastAsia="Arial" w:hAnsi="Arial"/>
                  <w:sz w:val="18"/>
                  <w:szCs w:val="18"/>
                  <w:color w:val="0000EE"/>
                </w:rPr>
                <w:t>4.</w:t>
              </w:r>
              <w:r>
                <w:rPr>
                  <w:rFonts w:ascii="Arial" w:cs="Arial" w:eastAsia="Arial" w:hAnsi="Arial"/>
                  <w:sz w:val="18"/>
                  <w:szCs w:val="18"/>
                  <w:u w:val="single" w:color="auto"/>
                  <w:color w:val="0000EE"/>
                </w:rPr>
                <w:t>15</w:t>
              </w:r>
            </w:hyperlink>
          </w:p>
        </w:tc>
        <w:tc>
          <w:tcPr>
            <w:tcW w:w="10380" w:type="dxa"/>
            <w:vAlign w:val="bottom"/>
          </w:tcPr>
          <w:p>
            <w:pPr>
              <w:ind w:left="560"/>
              <w:spacing w:after="0" w:line="176" w:lineRule="exact"/>
              <w:rPr>
                <w:sz w:val="20"/>
                <w:szCs w:val="20"/>
                <w:color w:val="auto"/>
              </w:rPr>
            </w:pPr>
            <w:r>
              <w:rPr>
                <w:rFonts w:ascii="Arial" w:cs="Arial" w:eastAsia="Arial" w:hAnsi="Arial"/>
                <w:sz w:val="18"/>
                <w:szCs w:val="18"/>
                <w:color w:val="auto"/>
                <w:w w:val="92"/>
              </w:rPr>
              <w:t>Asset Purchase and Contribution in Kind Agreement, dated as of July 26, 2021, between AC Immune SA and Affiris AG (incorporated</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w w:val="93"/>
              </w:rPr>
              <w:t>herein by reference to Exhibit 10.1 to the Company’s Current Report on Form 6-K (File No. 001-37891) filed with the SEC on August</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560"/>
              <w:spacing w:after="0"/>
              <w:rPr>
                <w:sz w:val="20"/>
                <w:szCs w:val="20"/>
                <w:color w:val="auto"/>
              </w:rPr>
            </w:pPr>
            <w:r>
              <w:rPr>
                <w:rFonts w:ascii="Arial" w:cs="Arial" w:eastAsia="Arial" w:hAnsi="Arial"/>
                <w:sz w:val="18"/>
                <w:szCs w:val="18"/>
                <w:color w:val="auto"/>
              </w:rPr>
              <w:t>4, 2021)</w:t>
            </w:r>
          </w:p>
        </w:tc>
      </w:tr>
      <w:tr>
        <w:trPr>
          <w:trHeight w:val="175"/>
        </w:trPr>
        <w:tc>
          <w:tcPr>
            <w:tcW w:w="860" w:type="dxa"/>
            <w:vAlign w:val="bottom"/>
            <w:gridSpan w:val="3"/>
            <w:shd w:val="clear" w:color="auto" w:fill="CCEEFF"/>
          </w:tcPr>
          <w:p>
            <w:pPr>
              <w:spacing w:after="0" w:line="176" w:lineRule="exact"/>
              <w:rPr>
                <w:rFonts w:ascii="Arial" w:cs="Arial" w:eastAsia="Arial" w:hAnsi="Arial"/>
                <w:sz w:val="18"/>
                <w:szCs w:val="18"/>
                <w:color w:val="0000EE"/>
              </w:rPr>
            </w:pPr>
            <w:hyperlink r:id="rId239">
              <w:r>
                <w:rPr>
                  <w:rFonts w:ascii="Arial" w:cs="Arial" w:eastAsia="Arial" w:hAnsi="Arial"/>
                  <w:sz w:val="18"/>
                  <w:szCs w:val="18"/>
                  <w:color w:val="0000EE"/>
                </w:rPr>
                <w:t>4.</w:t>
              </w:r>
              <w:r>
                <w:rPr>
                  <w:rFonts w:ascii="Arial" w:cs="Arial" w:eastAsia="Arial" w:hAnsi="Arial"/>
                  <w:sz w:val="18"/>
                  <w:szCs w:val="18"/>
                  <w:u w:val="single" w:color="auto"/>
                  <w:color w:val="0000EE"/>
                </w:rPr>
                <w:t>16</w:t>
              </w:r>
            </w:hyperlink>
          </w:p>
        </w:tc>
        <w:tc>
          <w:tcPr>
            <w:tcW w:w="103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w w:val="93"/>
              </w:rPr>
              <w:t>Convertible Note Agreement, dated as of July 26, 2021, between AC Immune SA and Santo Venture GmbH (incorporated herein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3"/>
              </w:rPr>
              <w:t>reference to Exhibit 10.2 to the Company’s Current Report on Form 6-K (File No. 001-37891) filed with the SEC on August 4, 2021)</w:t>
            </w:r>
          </w:p>
        </w:tc>
      </w:tr>
      <w:tr>
        <w:trPr>
          <w:trHeight w:val="56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380" w:type="dxa"/>
            <w:vAlign w:val="bottom"/>
          </w:tcPr>
          <w:p>
            <w:pPr>
              <w:ind w:left="4660"/>
              <w:spacing w:after="0"/>
              <w:rPr>
                <w:sz w:val="20"/>
                <w:szCs w:val="20"/>
                <w:color w:val="auto"/>
              </w:rPr>
            </w:pPr>
            <w:r>
              <w:rPr>
                <w:rFonts w:ascii="Arial" w:cs="Arial" w:eastAsia="Arial" w:hAnsi="Arial"/>
                <w:sz w:val="14"/>
                <w:szCs w:val="14"/>
                <w:color w:val="auto"/>
              </w:rPr>
              <w:t>158</w:t>
            </w:r>
          </w:p>
        </w:tc>
      </w:tr>
      <w:tr>
        <w:trPr>
          <w:trHeight w:val="46"/>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63" w:name="page164"/>
    <w:bookmarkEnd w:id="16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Arial" w:cs="Arial" w:eastAsia="Arial" w:hAnsi="Arial"/>
                <w:sz w:val="18"/>
                <w:szCs w:val="18"/>
                <w:color w:val="0000EE"/>
              </w:rPr>
            </w:pPr>
            <w:hyperlink r:id="rId240">
              <w:r>
                <w:rPr>
                  <w:rFonts w:ascii="Arial" w:cs="Arial" w:eastAsia="Arial" w:hAnsi="Arial"/>
                  <w:sz w:val="18"/>
                  <w:szCs w:val="18"/>
                  <w:color w:val="0000EE"/>
                </w:rPr>
                <w:t>4.</w:t>
              </w:r>
              <w:r>
                <w:rPr>
                  <w:rFonts w:ascii="Arial" w:cs="Arial" w:eastAsia="Arial" w:hAnsi="Arial"/>
                  <w:sz w:val="18"/>
                  <w:szCs w:val="18"/>
                  <w:u w:val="single" w:color="auto"/>
                  <w:color w:val="0000EE"/>
                </w:rPr>
                <w:t>17</w:t>
              </w:r>
            </w:hyperlink>
          </w:p>
        </w:tc>
        <w:tc>
          <w:tcPr>
            <w:tcW w:w="620" w:type="dxa"/>
            <w:vAlign w:val="bottom"/>
            <w:shd w:val="clear" w:color="auto" w:fill="CCEEFF"/>
          </w:tcPr>
          <w:p>
            <w:pPr>
              <w:spacing w:after="0"/>
              <w:rPr>
                <w:sz w:val="17"/>
                <w:szCs w:val="17"/>
                <w:color w:val="auto"/>
              </w:rPr>
            </w:pP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Convertible Note Agreement, dated as of July 26, 2021, between AC Immune SA and FCPB Affi GmbH (incorporated herein by</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20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reference to Exhibit 10.3 to the Company’s Current Report on Form 6-K (File No. 001-37891) filed with the SEC on August 4, 2021)</w:t>
            </w:r>
          </w:p>
        </w:tc>
      </w:tr>
      <w:tr>
        <w:trPr>
          <w:trHeight w:val="176"/>
        </w:trPr>
        <w:tc>
          <w:tcPr>
            <w:tcW w:w="1040" w:type="dxa"/>
            <w:vAlign w:val="bottom"/>
            <w:gridSpan w:val="3"/>
          </w:tcPr>
          <w:p>
            <w:pPr>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4.</w:t>
              </w:r>
              <w:r>
                <w:rPr>
                  <w:rFonts w:ascii="Arial" w:cs="Arial" w:eastAsia="Arial" w:hAnsi="Arial"/>
                  <w:sz w:val="18"/>
                  <w:szCs w:val="18"/>
                  <w:u w:val="single" w:color="auto"/>
                  <w:color w:val="0000EE"/>
                </w:rPr>
                <w:t>18*</w:t>
              </w:r>
            </w:hyperlink>
          </w:p>
        </w:tc>
        <w:tc>
          <w:tcPr>
            <w:tcW w:w="10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Description of Securities</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251">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620" w:type="dxa"/>
            <w:vAlign w:val="bottom"/>
            <w:shd w:val="clear" w:color="auto" w:fill="CCEEFF"/>
          </w:tcPr>
          <w:p>
            <w:pPr>
              <w:spacing w:after="0"/>
              <w:rPr>
                <w:sz w:val="15"/>
                <w:szCs w:val="15"/>
                <w:color w:val="auto"/>
              </w:rPr>
            </w:pPr>
          </w:p>
        </w:tc>
        <w:tc>
          <w:tcPr>
            <w:tcW w:w="1020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rPr>
              <w:t>List of subsidiaries*</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3"/>
          </w:tcPr>
          <w:p>
            <w:pPr>
              <w:spacing w:after="0" w:line="176" w:lineRule="exact"/>
              <w:rPr>
                <w:rFonts w:ascii="Arial" w:cs="Arial" w:eastAsia="Arial" w:hAnsi="Arial"/>
                <w:sz w:val="18"/>
                <w:szCs w:val="18"/>
                <w:color w:val="0000EE"/>
              </w:rPr>
            </w:pPr>
            <w:hyperlink w:anchor="page252">
              <w:r>
                <w:rPr>
                  <w:rFonts w:ascii="Arial" w:cs="Arial" w:eastAsia="Arial" w:hAnsi="Arial"/>
                  <w:sz w:val="18"/>
                  <w:szCs w:val="18"/>
                  <w:color w:val="0000EE"/>
                </w:rPr>
                <w:t>12.</w:t>
              </w:r>
              <w:r>
                <w:rPr>
                  <w:rFonts w:ascii="Arial" w:cs="Arial" w:eastAsia="Arial" w:hAnsi="Arial"/>
                  <w:sz w:val="18"/>
                  <w:szCs w:val="18"/>
                  <w:u w:val="single" w:color="auto"/>
                  <w:color w:val="0000EE"/>
                </w:rPr>
                <w:t>1*</w:t>
              </w:r>
            </w:hyperlink>
          </w:p>
        </w:tc>
        <w:tc>
          <w:tcPr>
            <w:tcW w:w="10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Certification of Andrea Pfeifer pursuant to 17 CFR 240.13a-14(a)</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253">
              <w:r>
                <w:rPr>
                  <w:rFonts w:ascii="Arial" w:cs="Arial" w:eastAsia="Arial" w:hAnsi="Arial"/>
                  <w:sz w:val="18"/>
                  <w:szCs w:val="18"/>
                  <w:color w:val="0000EE"/>
                  <w:w w:val="95"/>
                </w:rPr>
                <w:t>12.</w:t>
              </w:r>
              <w:r>
                <w:rPr>
                  <w:rFonts w:ascii="Arial" w:cs="Arial" w:eastAsia="Arial" w:hAnsi="Arial"/>
                  <w:sz w:val="18"/>
                  <w:szCs w:val="18"/>
                  <w:u w:val="single" w:color="auto"/>
                  <w:color w:val="0000EE"/>
                  <w:w w:val="95"/>
                </w:rPr>
                <w:t>2*</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rPr>
              <w:t>Certification of Joerg Hornstein pursuant to 17 CFR 240.13a-14(a)</w:t>
            </w:r>
          </w:p>
        </w:tc>
      </w:tr>
      <w:tr>
        <w:trPr>
          <w:trHeight w:val="176"/>
        </w:trPr>
        <w:tc>
          <w:tcPr>
            <w:tcW w:w="1040" w:type="dxa"/>
            <w:vAlign w:val="bottom"/>
            <w:gridSpan w:val="3"/>
          </w:tcPr>
          <w:p>
            <w:pPr>
              <w:spacing w:after="0" w:line="176" w:lineRule="exact"/>
              <w:rPr>
                <w:rFonts w:ascii="Arial" w:cs="Arial" w:eastAsia="Arial" w:hAnsi="Arial"/>
                <w:sz w:val="18"/>
                <w:szCs w:val="18"/>
                <w:color w:val="0000EE"/>
              </w:rPr>
            </w:pPr>
            <w:hyperlink w:anchor="page254">
              <w:r>
                <w:rPr>
                  <w:rFonts w:ascii="Arial" w:cs="Arial" w:eastAsia="Arial" w:hAnsi="Arial"/>
                  <w:sz w:val="18"/>
                  <w:szCs w:val="18"/>
                  <w:color w:val="0000EE"/>
                </w:rPr>
                <w:t>13.</w:t>
              </w:r>
              <w:r>
                <w:rPr>
                  <w:rFonts w:ascii="Arial" w:cs="Arial" w:eastAsia="Arial" w:hAnsi="Arial"/>
                  <w:sz w:val="18"/>
                  <w:szCs w:val="18"/>
                  <w:u w:val="single" w:color="auto"/>
                  <w:color w:val="0000EE"/>
                </w:rPr>
                <w:t>1*</w:t>
              </w:r>
            </w:hyperlink>
          </w:p>
        </w:tc>
        <w:tc>
          <w:tcPr>
            <w:tcW w:w="10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Certification of Andrea Pfeifer pursuant to 17 CFR 240.13a-14(b) and 18 USC.1350</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255">
              <w:r>
                <w:rPr>
                  <w:rFonts w:ascii="Arial" w:cs="Arial" w:eastAsia="Arial" w:hAnsi="Arial"/>
                  <w:sz w:val="18"/>
                  <w:szCs w:val="18"/>
                  <w:color w:val="0000EE"/>
                  <w:w w:val="95"/>
                </w:rPr>
                <w:t>13.</w:t>
              </w:r>
              <w:r>
                <w:rPr>
                  <w:rFonts w:ascii="Arial" w:cs="Arial" w:eastAsia="Arial" w:hAnsi="Arial"/>
                  <w:sz w:val="18"/>
                  <w:szCs w:val="18"/>
                  <w:u w:val="single" w:color="auto"/>
                  <w:color w:val="0000EE"/>
                  <w:w w:val="95"/>
                </w:rPr>
                <w:t>2*</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rPr>
              <w:t>Certification of Joerg Hornstein pursuant to 17 CFR 240.13a-14(b) and 18 USC.1350</w:t>
            </w:r>
          </w:p>
        </w:tc>
      </w:tr>
      <w:tr>
        <w:trPr>
          <w:trHeight w:val="175"/>
        </w:trPr>
        <w:tc>
          <w:tcPr>
            <w:tcW w:w="1040" w:type="dxa"/>
            <w:vAlign w:val="bottom"/>
            <w:gridSpan w:val="3"/>
          </w:tcPr>
          <w:p>
            <w:pPr>
              <w:spacing w:after="0" w:line="176" w:lineRule="exact"/>
              <w:rPr>
                <w:rFonts w:ascii="Arial" w:cs="Arial" w:eastAsia="Arial" w:hAnsi="Arial"/>
                <w:sz w:val="18"/>
                <w:szCs w:val="18"/>
                <w:color w:val="0000EE"/>
              </w:rPr>
            </w:pPr>
            <w:hyperlink w:anchor="page256">
              <w:r>
                <w:rPr>
                  <w:rFonts w:ascii="Arial" w:cs="Arial" w:eastAsia="Arial" w:hAnsi="Arial"/>
                  <w:sz w:val="18"/>
                  <w:szCs w:val="18"/>
                  <w:color w:val="0000EE"/>
                </w:rPr>
                <w:t>15.</w:t>
              </w:r>
              <w:r>
                <w:rPr>
                  <w:rFonts w:ascii="Arial" w:cs="Arial" w:eastAsia="Arial" w:hAnsi="Arial"/>
                  <w:sz w:val="18"/>
                  <w:szCs w:val="18"/>
                  <w:u w:val="single" w:color="auto"/>
                  <w:color w:val="0000EE"/>
                </w:rPr>
                <w:t>1*</w:t>
              </w:r>
            </w:hyperlink>
          </w:p>
        </w:tc>
        <w:tc>
          <w:tcPr>
            <w:tcW w:w="10200" w:type="dxa"/>
            <w:vAlign w:val="bottom"/>
            <w:gridSpan w:val="2"/>
          </w:tcPr>
          <w:p>
            <w:pPr>
              <w:ind w:left="380"/>
              <w:spacing w:after="0" w:line="176" w:lineRule="exact"/>
              <w:rPr>
                <w:sz w:val="20"/>
                <w:szCs w:val="20"/>
                <w:color w:val="auto"/>
              </w:rPr>
            </w:pPr>
            <w:r>
              <w:rPr>
                <w:rFonts w:ascii="Arial" w:cs="Arial" w:eastAsia="Arial" w:hAnsi="Arial"/>
                <w:sz w:val="18"/>
                <w:szCs w:val="18"/>
                <w:color w:val="auto"/>
              </w:rPr>
              <w:t>Consent of PricewaterhouseCoopers SA</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2"/>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223"/>
        </w:trPr>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540" w:type="dxa"/>
            <w:vAlign w:val="bottom"/>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340" w:right="8440"/>
        <w:spacing w:after="0" w:line="527" w:lineRule="auto"/>
        <w:rPr>
          <w:rFonts w:ascii="Arial" w:cs="Arial" w:eastAsia="Arial" w:hAnsi="Arial"/>
          <w:sz w:val="18"/>
          <w:szCs w:val="18"/>
          <w:color w:val="auto"/>
        </w:rPr>
      </w:pPr>
      <w:r>
        <w:rPr>
          <w:rFonts w:ascii="Arial" w:cs="Arial" w:eastAsia="Arial" w:hAnsi="Arial"/>
          <w:sz w:val="18"/>
          <w:szCs w:val="18"/>
          <w:color w:val="auto"/>
        </w:rPr>
        <w:t>(b) Financial Statement Schedules None.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2022</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4327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1"/>
        </w:trPr>
        <w:tc>
          <w:tcPr>
            <w:tcW w:w="10720" w:type="dxa"/>
            <w:vAlign w:val="bottom"/>
            <w:gridSpan w:val="9"/>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520" w:type="dxa"/>
            <w:vAlign w:val="bottom"/>
          </w:tcPr>
          <w:p>
            <w:pPr>
              <w:spacing w:after="0"/>
              <w:rPr>
                <w:sz w:val="14"/>
                <w:szCs w:val="14"/>
                <w:color w:val="auto"/>
              </w:rPr>
            </w:pPr>
          </w:p>
        </w:tc>
      </w:tr>
      <w:tr>
        <w:trPr>
          <w:trHeight w:val="601"/>
        </w:trPr>
        <w:tc>
          <w:tcPr>
            <w:tcW w:w="10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9200" w:type="dxa"/>
            <w:vAlign w:val="bottom"/>
            <w:gridSpan w:val="7"/>
          </w:tcPr>
          <w:p>
            <w:pPr>
              <w:jc w:val="center"/>
              <w:ind w:right="1000"/>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tcPr>
          <w:p>
            <w:pPr>
              <w:spacing w:after="0"/>
              <w:rPr>
                <w:sz w:val="24"/>
                <w:szCs w:val="24"/>
                <w:color w:val="auto"/>
              </w:rPr>
            </w:pPr>
          </w:p>
        </w:tc>
      </w:tr>
      <w:tr>
        <w:trPr>
          <w:trHeight w:val="432"/>
        </w:trPr>
        <w:tc>
          <w:tcPr>
            <w:tcW w:w="1072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 — AC IMMUNE SA</w:t>
            </w:r>
          </w:p>
        </w:tc>
        <w:tc>
          <w:tcPr>
            <w:tcW w:w="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76"/>
        </w:trPr>
        <w:tc>
          <w:tcPr>
            <w:tcW w:w="10720" w:type="dxa"/>
            <w:vAlign w:val="bottom"/>
            <w:gridSpan w:val="9"/>
            <w:shd w:val="clear" w:color="auto" w:fill="CCEEFF"/>
          </w:tcPr>
          <w:p>
            <w:pPr>
              <w:spacing w:after="0" w:line="176" w:lineRule="exact"/>
              <w:rPr>
                <w:rFonts w:ascii="Arial" w:cs="Arial" w:eastAsia="Arial" w:hAnsi="Arial"/>
                <w:sz w:val="18"/>
                <w:szCs w:val="18"/>
                <w:color w:val="0000EE"/>
              </w:rPr>
            </w:pPr>
            <w:hyperlink w:anchor="page16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1358)</w:t>
            </w:r>
          </w:p>
        </w:tc>
        <w:tc>
          <w:tcPr>
            <w:tcW w:w="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F-2</w:t>
            </w:r>
          </w:p>
        </w:tc>
      </w:tr>
      <w:tr>
        <w:trPr>
          <w:trHeight w:val="20"/>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20" w:type="dxa"/>
            <w:vAlign w:val="bottom"/>
            <w:gridSpan w:val="9"/>
          </w:tcPr>
          <w:p>
            <w:pPr>
              <w:spacing w:after="0" w:line="176" w:lineRule="exact"/>
              <w:rPr>
                <w:rFonts w:ascii="Arial" w:cs="Arial" w:eastAsia="Arial" w:hAnsi="Arial"/>
                <w:sz w:val="18"/>
                <w:szCs w:val="18"/>
                <w:color w:val="0000EE"/>
              </w:rPr>
            </w:pPr>
            <w:hyperlink w:anchor="page169">
              <w:r>
                <w:rPr>
                  <w:rFonts w:ascii="Arial" w:cs="Arial" w:eastAsia="Arial" w:hAnsi="Arial"/>
                  <w:sz w:val="18"/>
                  <w:szCs w:val="18"/>
                  <w:color w:val="0000EE"/>
                </w:rPr>
                <w:t>Consolidated Balance Sheets as of December 31, 2021 and 2020</w:t>
              </w:r>
            </w:hyperlink>
          </w:p>
        </w:tc>
        <w:tc>
          <w:tcPr>
            <w:tcW w:w="520" w:type="dxa"/>
            <w:vAlign w:val="bottom"/>
          </w:tcPr>
          <w:p>
            <w:pPr>
              <w:ind w:left="120"/>
              <w:spacing w:after="0" w:line="176" w:lineRule="exact"/>
              <w:rPr>
                <w:sz w:val="20"/>
                <w:szCs w:val="20"/>
                <w:color w:val="auto"/>
              </w:rPr>
            </w:pPr>
            <w:r>
              <w:rPr>
                <w:rFonts w:ascii="Arial" w:cs="Arial" w:eastAsia="Arial" w:hAnsi="Arial"/>
                <w:sz w:val="18"/>
                <w:szCs w:val="18"/>
                <w:color w:val="auto"/>
              </w:rPr>
              <w:t>F-4</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6"/>
        </w:trPr>
        <w:tc>
          <w:tcPr>
            <w:tcW w:w="10720" w:type="dxa"/>
            <w:vAlign w:val="bottom"/>
            <w:gridSpan w:val="9"/>
            <w:shd w:val="clear" w:color="auto" w:fill="CCEEFF"/>
          </w:tcPr>
          <w:p>
            <w:pPr>
              <w:spacing w:after="0" w:line="17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Consolidated Statements of Income/(Loss) and Consolidated Statements of Comprehensive Income/(Loss) for the fiscal years ended December 31,</w:t>
              </w:r>
            </w:hyperlink>
          </w:p>
        </w:tc>
        <w:tc>
          <w:tcPr>
            <w:tcW w:w="520" w:type="dxa"/>
            <w:vAlign w:val="bottom"/>
            <w:shd w:val="clear" w:color="auto" w:fill="CCEEFF"/>
          </w:tcPr>
          <w:p>
            <w:pPr>
              <w:spacing w:after="0"/>
              <w:rPr>
                <w:sz w:val="15"/>
                <w:szCs w:val="15"/>
                <w:color w:val="auto"/>
              </w:rPr>
            </w:pPr>
          </w:p>
        </w:tc>
      </w:tr>
      <w:tr>
        <w:trPr>
          <w:trHeight w:val="196"/>
        </w:trPr>
        <w:tc>
          <w:tcPr>
            <w:tcW w:w="1058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2021, 2020 and 2019</w:t>
              </w:r>
            </w:hyperlink>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F-5</w:t>
            </w:r>
          </w:p>
        </w:tc>
      </w:tr>
      <w:tr>
        <w:trPr>
          <w:trHeight w:val="21"/>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720" w:type="dxa"/>
            <w:vAlign w:val="bottom"/>
            <w:gridSpan w:val="9"/>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Changes in Equity for the fiscal years ended December 31, 2021, 2020 and 2019</w:t>
              </w:r>
            </w:hyperlink>
          </w:p>
        </w:tc>
        <w:tc>
          <w:tcPr>
            <w:tcW w:w="520" w:type="dxa"/>
            <w:vAlign w:val="bottom"/>
          </w:tcPr>
          <w:p>
            <w:pPr>
              <w:ind w:left="120"/>
              <w:spacing w:after="0" w:line="176" w:lineRule="exact"/>
              <w:rPr>
                <w:sz w:val="20"/>
                <w:szCs w:val="20"/>
                <w:color w:val="auto"/>
              </w:rPr>
            </w:pPr>
            <w:r>
              <w:rPr>
                <w:rFonts w:ascii="Arial" w:cs="Arial" w:eastAsia="Arial" w:hAnsi="Arial"/>
                <w:sz w:val="18"/>
                <w:szCs w:val="18"/>
                <w:color w:val="auto"/>
              </w:rPr>
              <w:t>F-6</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720" w:type="dxa"/>
            <w:vAlign w:val="bottom"/>
            <w:gridSpan w:val="9"/>
            <w:shd w:val="clear" w:color="auto" w:fill="CCEEFF"/>
          </w:tcPr>
          <w:p>
            <w:pPr>
              <w:spacing w:after="0" w:line="17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Cash Flows for the fiscal years ended December 31, 2021, 2020 and 2019</w:t>
              </w:r>
            </w:hyperlink>
          </w:p>
        </w:tc>
        <w:tc>
          <w:tcPr>
            <w:tcW w:w="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F-7</w:t>
            </w:r>
          </w:p>
        </w:tc>
      </w:tr>
      <w:tr>
        <w:trPr>
          <w:trHeight w:val="176"/>
        </w:trPr>
        <w:tc>
          <w:tcPr>
            <w:tcW w:w="73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Notes to the Consolidated Financial Statements</w:t>
              </w:r>
            </w:hyperlink>
          </w:p>
        </w:tc>
        <w:tc>
          <w:tcPr>
            <w:tcW w:w="3380" w:type="dxa"/>
            <w:vAlign w:val="bottom"/>
            <w:tcBorders>
              <w:top w:val="single" w:sz="8" w:color="CCEEFF"/>
            </w:tcBorders>
            <w:gridSpan w:val="3"/>
          </w:tcPr>
          <w:p>
            <w:pPr>
              <w:spacing w:after="0"/>
              <w:rPr>
                <w:sz w:val="15"/>
                <w:szCs w:val="15"/>
                <w:color w:val="auto"/>
              </w:rPr>
            </w:pPr>
          </w:p>
        </w:tc>
        <w:tc>
          <w:tcPr>
            <w:tcW w:w="52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F-8</w:t>
            </w:r>
          </w:p>
        </w:tc>
      </w:tr>
      <w:tr>
        <w:trPr>
          <w:trHeight w:val="589"/>
        </w:trPr>
        <w:tc>
          <w:tcPr>
            <w:tcW w:w="10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60" w:type="dxa"/>
            <w:vAlign w:val="bottom"/>
            <w:gridSpan w:val="4"/>
          </w:tcPr>
          <w:p>
            <w:pPr>
              <w:jc w:val="center"/>
              <w:ind w:right="4140"/>
              <w:spacing w:after="0"/>
              <w:rPr>
                <w:sz w:val="20"/>
                <w:szCs w:val="20"/>
                <w:color w:val="auto"/>
              </w:rPr>
            </w:pPr>
            <w:r>
              <w:rPr>
                <w:rFonts w:ascii="Arial" w:cs="Arial" w:eastAsia="Arial" w:hAnsi="Arial"/>
                <w:sz w:val="14"/>
                <w:szCs w:val="14"/>
                <w:color w:val="auto"/>
                <w:w w:val="95"/>
              </w:rPr>
              <w:t>F-1</w:t>
            </w:r>
          </w:p>
        </w:tc>
        <w:tc>
          <w:tcPr>
            <w:tcW w:w="52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66" w:name="page167"/>
    <w:bookmarkEnd w:id="16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have audited the accompanying consolidated balance sheets of AC Immune SA and its subsidiary (the “Company”) as of December 31, 2021 and December 31, 2020 and the related consolidated statements of income/(loss) and comprehensive income/(loss), changes in equity and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December 31, 2020, and the results of its operations and its cash flows for each of the three years in the period ended December 31, 2021 in conformity with International Financial Reporting Standards as issued by the International Accounting Standards Board. Also in our opinion, the Company maintained, in all material respects, effective internal control over financial reporting as of December 31 ,2021,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and finance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–valuation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described in Notes 6 and 7 to the consolidated financial statements, in Q4 2021, the Company closed its acquisition of an in-process research and development (IPR&amp;D) intangible asset of CHF 50,416 thousand and CHF 4,634 thousand in cash in exchange for 7,106,840 shares of the Company. As the acquisition is in scope of IFRS 2 ‘Share-based Payment’, management measured the fair value of the intangible asset received using a risk-adjusted discounted cash flow method (the “model”). The asset is defined as an intangible asset not yet ready for use. Therefore, in accordance with IAS 36 ‘Impairment of asset’, the IPR&amp;D asset is reviewed at least annually for impairment by assessing the fair value less costs to sell (recoverable amount) and comparing this to the carrying value of the asset. To determine the recoverable amount, management estimated the fair value less costs to sell of the intangible asset, using the same model used at the acquisition date. The significant assumptions used in the model include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intangible asset – valuation is a critical audit matter are the significant judgment by management when determining the value of the intangible asset. This in turn led to a high degree of auditor judgment, subjectivity and effort in performing procedures and evaluating the audit evidence obtained related to the valuation of the intangible asset and management’s assumptions related to anticipated research and development costs, anticipated costs of goods and sales and marketing expenditures, probability of achieving clinical and regulatory development milestones in accordance with certain industry benchmarks, general commercialization expectations such as anticipated pricing and uptake, and the discount rate used to discount future cash flows. In addition, the audit effort involved the use of professionals with specialized skill and knowledge.</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intangible asset. These procedures also included, among others, (i) the involvement of professionals with specialized skill and knowledge to assist in developing an independent range of fair values for the intangible asset, (ii) comparing the independent estimate to management’s fair value estimate to evaluate the reasonableness of management’s assumptions and (iii) assessing that assumptions used did not require to be updated at year end for the purpose of the impairment assessment. Developing the independent estimate involved testing the completeness and accuracy of inputs provided by management and evaluating management’s assumptions based on external market and industry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Statements (IFRS)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3"/>
          </w:tcPr>
          <w:p>
            <w:pPr>
              <w:ind w:left="102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14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Note</w:t>
            </w:r>
          </w:p>
        </w:tc>
        <w:tc>
          <w:tcPr>
            <w:tcW w:w="134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98"/>
        </w:trPr>
        <w:tc>
          <w:tcPr>
            <w:tcW w:w="73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Right-of-use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Long-term financial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57"/>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Accrued income</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1"/>
              </w:rPr>
              <w:t>9/13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receivables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Short-term financial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23"/>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202,634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231,767</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Share premium</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431,251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346,890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Accumulated losses</w:t>
            </w:r>
          </w:p>
        </w:tc>
        <w:tc>
          <w:tcPr>
            <w:tcW w:w="114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(200,942)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(132,850)</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Long-term lease liabilities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1,780</w:t>
            </w:r>
          </w:p>
        </w:tc>
      </w:tr>
      <w:tr>
        <w:trPr>
          <w:trHeight w:val="223"/>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employee defined benefit liabilities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17</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9,244</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16,736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11,085</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Short-term lease liabilities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29,464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23,262</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6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Income/(Loss)</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per-share data)</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For the Years Ended</w:t>
            </w:r>
          </w:p>
        </w:tc>
        <w:tc>
          <w:tcPr>
            <w:tcW w:w="114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ind w:left="320"/>
              <w:spacing w:after="0"/>
              <w:rPr>
                <w:sz w:val="20"/>
                <w:szCs w:val="20"/>
                <w:color w:val="auto"/>
              </w:rPr>
            </w:pPr>
            <w:r>
              <w:rPr>
                <w:rFonts w:ascii="Arial" w:cs="Arial" w:eastAsia="Arial" w:hAnsi="Arial"/>
                <w:sz w:val="18"/>
                <w:szCs w:val="18"/>
                <w:b w:val="1"/>
                <w:bCs w:val="1"/>
                <w:color w:val="auto"/>
              </w:rPr>
              <w:t>Note</w:t>
            </w:r>
          </w:p>
        </w:tc>
        <w:tc>
          <w:tcPr>
            <w:tcW w:w="14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revenue</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13</w:t>
            </w: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110,456</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110,456</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&amp; development expenses</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60" w:type="dxa"/>
            <w:vAlign w:val="bottom"/>
            <w:tcBorders>
              <w:right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(62,282)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General &amp; administrative expenses</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14</w:t>
            </w:r>
          </w:p>
        </w:tc>
        <w:tc>
          <w:tcPr>
            <w:tcW w:w="1660" w:type="dxa"/>
            <w:vAlign w:val="bottom"/>
            <w:gridSpan w:val="4"/>
          </w:tcPr>
          <w:p>
            <w:pPr>
              <w:jc w:val="right"/>
              <w:ind w:right="130"/>
              <w:spacing w:after="0"/>
              <w:rPr>
                <w:sz w:val="20"/>
                <w:szCs w:val="20"/>
                <w:color w:val="auto"/>
              </w:rPr>
            </w:pPr>
            <w:r>
              <w:rPr>
                <w:rFonts w:ascii="Arial" w:cs="Arial" w:eastAsia="Arial" w:hAnsi="Arial"/>
                <w:sz w:val="18"/>
                <w:szCs w:val="18"/>
                <w:color w:val="auto"/>
              </w:rPr>
              <w:t>(17,910)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(16,058)</w:t>
            </w:r>
          </w:p>
        </w:tc>
      </w:tr>
      <w:tr>
        <w:trPr>
          <w:trHeight w:val="223"/>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operating income/(expense)</w:t>
            </w:r>
          </w:p>
        </w:tc>
        <w:tc>
          <w:tcPr>
            <w:tcW w:w="11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13.2</w:t>
            </w:r>
          </w:p>
        </w:tc>
        <w:tc>
          <w:tcPr>
            <w:tcW w:w="320" w:type="dxa"/>
            <w:vAlign w:val="bottom"/>
            <w:tcBorders>
              <w:right w:val="single" w:sz="8" w:color="CCEEFF"/>
            </w:tcBorders>
            <w:gridSpan w:val="2"/>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2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2"/>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(79,010)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(76,691)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(65,920)</w:t>
            </w:r>
          </w:p>
        </w:tc>
      </w:tr>
      <w:tr>
        <w:trPr>
          <w:trHeight w:val="210"/>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(79,010)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Financial income</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6,485</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expense</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60" w:type="dxa"/>
            <w:vAlign w:val="bottom"/>
            <w:tcBorders>
              <w:right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(581)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conversion feature</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Exchange differences</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320" w:type="dxa"/>
            <w:vAlign w:val="bottom"/>
            <w:tcBorders>
              <w:right w:val="single" w:sz="8" w:color="CCEEFF"/>
            </w:tcBorders>
            <w:gridSpan w:val="2"/>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6,017</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1"/>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Income/(loss) before tax</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16</w:t>
            </w:r>
          </w:p>
        </w:tc>
        <w:tc>
          <w:tcPr>
            <w:tcW w:w="1660" w:type="dxa"/>
            <w:vAlign w:val="bottom"/>
            <w:gridSpan w:val="4"/>
          </w:tcPr>
          <w:p>
            <w:pPr>
              <w:jc w:val="right"/>
              <w:ind w:right="130"/>
              <w:spacing w:after="0"/>
              <w:rPr>
                <w:sz w:val="20"/>
                <w:szCs w:val="20"/>
                <w:color w:val="auto"/>
              </w:rPr>
            </w:pPr>
            <w:r>
              <w:rPr>
                <w:rFonts w:ascii="Arial" w:cs="Arial" w:eastAsia="Arial" w:hAnsi="Arial"/>
                <w:sz w:val="18"/>
                <w:szCs w:val="18"/>
                <w:color w:val="auto"/>
              </w:rPr>
              <w:t>(3)</w:t>
            </w: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Income/(loss) for the period</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45,442</w:t>
            </w:r>
          </w:p>
        </w:tc>
      </w:tr>
      <w:tr>
        <w:trPr>
          <w:trHeight w:val="21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Earnings/(loss) per share: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income/(loss) for the period attributable to equity holders</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660" w:type="dxa"/>
            <w:vAlign w:val="bottom"/>
            <w:tcBorders>
              <w:right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(0.97)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660" w:type="dxa"/>
            <w:vAlign w:val="bottom"/>
            <w:gridSpan w:val="4"/>
          </w:tcPr>
          <w:p>
            <w:pPr>
              <w:jc w:val="right"/>
              <w:ind w:right="130"/>
              <w:spacing w:after="0"/>
              <w:rPr>
                <w:sz w:val="20"/>
                <w:szCs w:val="20"/>
                <w:color w:val="auto"/>
              </w:rPr>
            </w:pPr>
            <w:r>
              <w:rPr>
                <w:rFonts w:ascii="Arial" w:cs="Arial" w:eastAsia="Arial" w:hAnsi="Arial"/>
                <w:sz w:val="18"/>
                <w:szCs w:val="18"/>
                <w:color w:val="auto"/>
              </w:rPr>
              <w:t>(0.97)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0.64</w:t>
            </w:r>
          </w:p>
        </w:tc>
      </w:tr>
      <w:tr>
        <w:trPr>
          <w:trHeight w:val="83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Income/(Loss)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7"/>
              </w:rPr>
              <w:t>For the Years Ended</w:t>
            </w:r>
          </w:p>
        </w:tc>
        <w:tc>
          <w:tcPr>
            <w:tcW w:w="114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Borders>
              <w:bottom w:val="single" w:sz="8" w:color="auto"/>
            </w:tcBorders>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Note</w:t>
            </w:r>
          </w:p>
        </w:tc>
        <w:tc>
          <w:tcPr>
            <w:tcW w:w="14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 for the period</w:t>
            </w:r>
          </w:p>
        </w:tc>
        <w:tc>
          <w:tcPr>
            <w:tcW w:w="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(72,996)</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w w:val="96"/>
              </w:rPr>
              <w:t>Items that may be reclassified to income or loss in subsequent periods (net of</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tax):</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w w:val="93"/>
              </w:rPr>
              <w:t>Items that will not be reclassified to income or loss in subsequent periods (net of</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980" w:type="dxa"/>
            <w:vAlign w:val="bottom"/>
            <w:gridSpan w:val="2"/>
          </w:tcPr>
          <w:p>
            <w:pPr>
              <w:ind w:left="300"/>
              <w:spacing w:after="0"/>
              <w:rPr>
                <w:sz w:val="20"/>
                <w:szCs w:val="20"/>
                <w:color w:val="auto"/>
              </w:rPr>
            </w:pPr>
            <w:r>
              <w:rPr>
                <w:rFonts w:ascii="Arial" w:cs="Arial" w:eastAsia="Arial" w:hAnsi="Arial"/>
                <w:sz w:val="18"/>
                <w:szCs w:val="18"/>
                <w:color w:val="auto"/>
              </w:rPr>
              <w:t>tax):</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gains/(losses) on defined-benefit plans</w:t>
            </w:r>
          </w:p>
        </w:tc>
        <w:tc>
          <w:tcPr>
            <w:tcW w:w="11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net of tax</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right w:val="single" w:sz="8" w:color="CCEEFF"/>
            </w:tcBorders>
            <w:gridSpan w:val="2"/>
            <w:shd w:val="clear" w:color="auto" w:fill="CCEEFF"/>
          </w:tcPr>
          <w:p>
            <w:pPr>
              <w:spacing w:after="0"/>
              <w:rPr>
                <w:sz w:val="22"/>
                <w:szCs w:val="22"/>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(72,040)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44,138</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0" w:name="page171"/>
    <w:bookmarkEnd w:id="17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Note</w:t>
            </w: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298,149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177,623</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45,442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w:t>
            </w: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44,138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44,138</w:t>
            </w:r>
          </w:p>
        </w:tc>
      </w:tr>
      <w:tr>
        <w:trPr>
          <w:trHeight w:val="21"/>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shares, net of transaction costs: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Conversion note agreement</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47,705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47,778</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18</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(61,921)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(61,195)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(61,195)</w:t>
            </w:r>
          </w:p>
        </w:tc>
      </w:tr>
      <w:tr>
        <w:trPr>
          <w:trHeight w:val="21"/>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shares, net of transaction costs: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Held as treasury shares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346,890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(132,850)</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Treasury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losses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346,890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215,478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(72,996)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(72,996)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(72,040)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(72,040)</w:t>
            </w:r>
          </w:p>
        </w:tc>
      </w:tr>
      <w:tr>
        <w:trPr>
          <w:trHeight w:val="20"/>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sale of treasury shares in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public offerings, net of underwriting fees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transaction costs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2"/>
              </w:rPr>
              <w:t>Issuance of shares, net of transaction costs: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asset purchase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6/11</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49,871</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Asset acquisition – common shares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6/11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note agreements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1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16,744</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Held as treasury shares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 awards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18</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431,251</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Note</w:t>
            </w:r>
          </w:p>
        </w:tc>
        <w:tc>
          <w:tcPr>
            <w:tcW w:w="13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income/(loss) for the period</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(72,996)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w w:val="92"/>
              </w:rPr>
              <w:t>Adjustments to reconcile net income/(loss) for the period to net cash flows: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Depreciation of right-of-use assets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result, net</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(6,769)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net employee defined benefit liability</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conversion feature</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(4,542)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5/14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(Gain)/loss on sale of fixed assets</w:t>
            </w:r>
          </w:p>
        </w:tc>
        <w:tc>
          <w:tcPr>
            <w:tcW w:w="1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Decrease/(increase) in prepaid expenses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 /(increase) in accrued income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(Increase)/decrease in other current receivables</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accrued expenses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Increase /(decrease) in deferred income</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(Decrease)/increase in trade and other payables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Cash (used in)/provided by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(65,216)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(59,247)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55,227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paid</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1"/>
              </w:rPr>
              <w:t>5/14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(465)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costs</w:t>
            </w:r>
          </w:p>
        </w:tc>
        <w:tc>
          <w:tcPr>
            <w:tcW w:w="11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7"/>
        </w:trPr>
        <w:tc>
          <w:tcPr>
            <w:tcW w:w="102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operating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(65,689)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(59,517)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55,220</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financial assets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8</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(65,000)</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4</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(2,635)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(1,706)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(1,885)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Rental deposits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convertible loan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23,463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50,278</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costs on issuance of shares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w:t>
            </w:r>
          </w:p>
        </w:tc>
      </w:tr>
      <w:tr>
        <w:trPr>
          <w:trHeight w:val="202"/>
        </w:trPr>
        <w:tc>
          <w:tcPr>
            <w:tcW w:w="59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Proceeds from issuance of treasury shares, net of underwriting fees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2"/>
          </w:tcPr>
          <w:p>
            <w:pPr>
              <w:ind w:left="460"/>
              <w:spacing w:after="0"/>
              <w:rPr>
                <w:sz w:val="20"/>
                <w:szCs w:val="20"/>
                <w:color w:val="auto"/>
              </w:rPr>
            </w:pPr>
            <w:r>
              <w:rPr>
                <w:rFonts w:ascii="Arial" w:cs="Arial" w:eastAsia="Arial" w:hAnsi="Arial"/>
                <w:sz w:val="18"/>
                <w:szCs w:val="18"/>
                <w:color w:val="auto"/>
              </w:rPr>
              <w:t>transaction costs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Proceeds from issuance of common shares – asset acquisition, net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Proceeds from issuance of common shares – option plan, net of transaction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costs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of lease obligations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Repayment of short-term financing obligation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for the issuance of treasury shares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11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financing obligation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40,746</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 at January 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160,893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193,587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156,462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Exchange losses on cash and cash equivalents</w:t>
            </w:r>
          </w:p>
        </w:tc>
        <w:tc>
          <w:tcPr>
            <w:tcW w:w="1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 at December 31</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160,893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193,587</w:t>
            </w:r>
          </w:p>
        </w:tc>
      </w:tr>
      <w:tr>
        <w:trPr>
          <w:trHeight w:val="216"/>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12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(78,607)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(31,991)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37,951</w:t>
            </w:r>
          </w:p>
        </w:tc>
      </w:tr>
      <w:tr>
        <w:trPr>
          <w:trHeight w:val="20"/>
        </w:trPr>
        <w:tc>
          <w:tcPr>
            <w:tcW w:w="1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Supplemental non-cash activity</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 recorded in Accrued expenses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Issuance of shares for purchase of IPR&amp;D asset in asset acquisition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5"/>
              </w:rPr>
              <w:t>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Transaction costs associated with issuance of shares in relation to the asset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recorded in Accrued expenses</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79"/>
              </w:rPr>
              <w:t>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Settlement of convertible notes recorded within Shareholders’ equity</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48,288</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27"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27" w:gutter="0" w:footer="0" w:header="0"/>
          <w:type w:val="continuous"/>
        </w:sectPr>
      </w:pPr>
    </w:p>
    <w:bookmarkStart w:id="172" w:name="page173"/>
    <w:bookmarkEnd w:id="17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07"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AC Immune SA was founded in 2003. The Company controls a fully-owned subsidiary, AC Immune USA, Inc. (“AC Immune USA” or “Subsidiary” and, together with AC Immune SA, “AC Immune,” “ACIU,” “Company,” “we,” “our,” “ours,” “us”), which was registered and organized under the laws of Delaware, USA in June 2021. The Company and its Subsidiary form the Group (See “Note 2. Basis of Preparation”).</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7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transformed into a stock company. The Company’s corporate headquarters are located at EPFL Innovation Park Building B, 1015 Lausanne, Switzerland.</w:t>
      </w:r>
    </w:p>
    <w:p>
      <w:pPr>
        <w:spacing w:after="0" w:line="12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believes that it will be able to meet all of its obligations as they fall due for at least 12 months from December 31, 2021, after considering the Company’s cash position of CHF 82.2 million and short-term financial assets of CHF 116.0 million as of December 31, 2021. Hence, these consolidated financial statements have been prepared on a going-concern basis.</w:t>
      </w:r>
    </w:p>
    <w:p>
      <w:pPr>
        <w:spacing w:after="0" w:line="184"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contract revenues from license and collaboration agreements and grants.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 These consolidated financial statements have been approved for issue by the Board of Directors on March 18, 2022.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3" w:name="page174"/>
    <w:bookmarkEnd w:id="17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consolidated financial statements have been prepared under the historical cost convention except for items that are required to be accounted for at fair value.</w:t>
      </w:r>
    </w:p>
    <w:p>
      <w:pPr>
        <w:spacing w:after="0" w:line="166"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principal accounting policies adopted in the preparation of these consolidated financial statements are set out below. These policies have been consistently applied to all the years presented, unless otherwise stated.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and reporting currency</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These consolidated financial statements and accompanying notes are presented in Swiss Francs (“CHF”), which is AC Immune SA’s functional currency and the Group’s reporting currency. The Company’s subsidiary has a functional currency of the US Dollar (“USD”). The respective functional currency represents the primary economic environment in which the entities operate.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exchange rates have been used for the translation of the financial statements of AC Immune USA: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CHF/USD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rate, USD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0.923</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Average exchange rate, USD 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0.929</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and financial position of AC Immune USA are translated into the presentation currency as follows:</w:t>
      </w:r>
    </w:p>
    <w:p>
      <w:pPr>
        <w:spacing w:after="0" w:line="225"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assets and liabilities for each balance sheet presented are translated at the closing rate at the date of that balance sheet;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income and expenses for each statement of income/(loss) are translated at average exchange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income/(loss), within cumulative translation differences.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annual closing date of the individual financial statements is December 31. The Company wholly-owns its Subsidiary and fully consolidates its financial statements into these consolidated financial statements. All intercompany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Foreign currency transactions are translated into the respective functional currency using prevailing exchange rates at the dates of the transactions. Foreign exchange gains and losses resulting from the settlement of such transactions and from the translation at year-end exchange rates of monetary assets and liabilities denominated in foreign currencies are recognized in the consolidated statements of income/(loss). Any gains or losses from these translations are included in the consolidated statements of income/(loss) in the period in which they arise.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Company presents assets and liabilities in the consolidated balance sheets based on current/non-current classification. The Company classifies all amounts to be realized or settled within 12 months after the reporting period to be current and all other amounts to be non-current.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The Company has adopted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enters into license and collaboration agreements (LCAs) which are within the scope of IFRS 15, under which it licenses certain rights to its product candidates and intellectual property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intellectual property. Each of these payments results in license, collaboration and other revenues, which are classified as contract revenue on the consolidated statements of income/(loss).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Licenses of intellectual property</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The Company has certain arrangements with our collaboration partners that include contracting our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5" w:name="page176"/>
    <w:bookmarkEnd w:id="17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Sublicense revenues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consolidated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1 year or less.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complete discussion of accounting for contract revenue, see “Note 13. Contract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Given the stage of development of the Company’s products, all research and development expenditure is expensed as incurred as it does not meet the capitalization criteria outlined in IAS 38 Intangible Assets. The Company has not capitalized any R&amp;D expenses to date. Research and development expenditures include:</w:t>
      </w:r>
    </w:p>
    <w:p>
      <w:pPr>
        <w:spacing w:after="0" w:line="184" w:lineRule="exact"/>
        <w:rPr>
          <w:sz w:val="20"/>
          <w:szCs w:val="20"/>
          <w:color w:val="auto"/>
        </w:rPr>
      </w:pPr>
    </w:p>
    <w:p>
      <w:pPr>
        <w:ind w:left="660" w:right="30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70" w:lineRule="exact"/>
        <w:rPr>
          <w:rFonts w:ascii="Arial" w:cs="Arial" w:eastAsia="Arial" w:hAnsi="Arial"/>
          <w:sz w:val="18"/>
          <w:szCs w:val="18"/>
          <w:color w:val="auto"/>
        </w:rPr>
      </w:pPr>
    </w:p>
    <w:p>
      <w:pPr>
        <w:ind w:left="660" w:right="380" w:hanging="328"/>
        <w:spacing w:after="0" w:line="342"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share-based compensation expenses;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other allocated expenses such as facilities and information technology (IT) costs.</w:t>
      </w:r>
    </w:p>
    <w:p>
      <w:pPr>
        <w:spacing w:after="0" w:line="225" w:lineRule="exact"/>
        <w:rPr>
          <w:sz w:val="20"/>
          <w:szCs w:val="20"/>
          <w:color w:val="auto"/>
        </w:rPr>
      </w:pPr>
    </w:p>
    <w:p>
      <w:pPr>
        <w:ind w:right="20" w:firstLine="321"/>
        <w:spacing w:after="0" w:line="275" w:lineRule="auto"/>
        <w:rPr>
          <w:sz w:val="20"/>
          <w:szCs w:val="20"/>
          <w:color w:val="auto"/>
        </w:rPr>
      </w:pPr>
      <w:r>
        <w:rPr>
          <w:rFonts w:ascii="Arial" w:cs="Arial" w:eastAsia="Arial" w:hAnsi="Arial"/>
          <w:sz w:val="17"/>
          <w:szCs w:val="17"/>
          <w:color w:val="auto"/>
        </w:rPr>
        <w:t>For external research contracts, expenses include those associated with contract research organizations, or CROs, or contract manufacturing organizations, or CMOs. The invoicing from CROs or CMOs for services rendered do not always align with work performed. We accrue the cost of services rendered in connection with CRO or CMO activities based on our estimate of the “stage of completion” for such contracted services. We maintain regular communication with our CRO or CMO vendors to gauge the reasonableness of our estimates and accrue expenses as of the balance sheet date in the consolidated financial statements based on facts and circumstances known at the time.</w:t>
      </w:r>
    </w:p>
    <w:p>
      <w:pPr>
        <w:spacing w:after="0" w:line="17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6" w:name="page177"/>
    <w:bookmarkEnd w:id="17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General and administrative expenses are expensed as incurred and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certain IT, facilities and depreciation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received grants, from time to time, from the Michael J. Fox Foundation (MJFF), the Target ALS Foundation (Target ALS) and other institutions to support certain research projects. Grants are recorded at their fair value in the consolidated statements of income/(loss) within other operating income/(expenses) when there is reasonable assurance that the Company will satisfy the underlying grant conditions and the grants will be received. In certain circumstances, grant income may be recognized before formal grantor acknowledgement of milestone achievements. To the extent required, grant income is deferred and recognized on a systematic basis over the periods in which the Company expects to recognize the related expenses for which the grants are intended to compensate.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 xml:space="preserve">Effective January 1, 2019, the Company adopted IFRS 16 </w:t>
      </w:r>
      <w:r>
        <w:rPr>
          <w:rFonts w:ascii="Arial" w:cs="Arial" w:eastAsia="Arial" w:hAnsi="Arial"/>
          <w:sz w:val="16"/>
          <w:szCs w:val="16"/>
          <w:i w:val="1"/>
          <w:iCs w:val="1"/>
          <w:color w:val="auto"/>
        </w:rPr>
        <w:t>Leases</w:t>
      </w:r>
      <w:r>
        <w:rPr>
          <w:rFonts w:ascii="Arial" w:cs="Arial" w:eastAsia="Arial" w:hAnsi="Arial"/>
          <w:sz w:val="16"/>
          <w:szCs w:val="16"/>
          <w:color w:val="auto"/>
        </w:rPr>
        <w:t>, which provides a new model for lessee accounting in which all leases, other than short-term and low-value leases, are accounted for by the recognition on the consolidated balance sheet of a right-of-use asset and a lease liability, and the subsequent amortization of the right-of-use asset over the earlier of the end of the useful life or the lease term. The Company applied the modified retrospective approach, which required the recognition of the cumulative effect of initially applying IFRS 16 as of January 1, 2019 to accumulated losses and not restating previous years. As the Company recognized the right-of-use assets at the amount equal to the lease liabilities there was no impact to accumulated losses. In accordance with IFRS 16, the Company (i) does not recognize right-of-use assets and lease liabilities for leases of low value (i.e. approximate fair value of USD 5,000). For a complete discussion of accounting, see “Note 5. Right-of-use assets and lease liabilities.”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Right-of-use assets and lease liabilities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At inception of a leasing contract, the Company assesses whether a contract is, or contains, a lease based on whether the contract conveys the right to control the use of an identified asset for a period of time in exchange for consideration. 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lease liabilities are classified as current or non-current based on the due dates of the underlying principal payments.</w:t>
      </w:r>
    </w:p>
    <w:p>
      <w:pPr>
        <w:spacing w:after="0" w:line="14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Lease payments generally are fixed for the contract term. The lease liability is measured at amortized cost using the effective interest method. The lease liability is re-measured if there is a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4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performed on as certain potential triggering events may arise (e.g. lease modifications). When the lease liability is re-measured, a corresponding adjustment is made to the carrying amount of the right-of-use asset or is recorded in profit or loss if the carrying amount of the right-of-use asset has been reduced to zero.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ind w:left="340"/>
              <w:spacing w:after="0"/>
              <w:rPr>
                <w:sz w:val="20"/>
                <w:szCs w:val="20"/>
                <w:color w:val="auto"/>
              </w:rPr>
            </w:pPr>
            <w:r>
              <w:rPr>
                <w:rFonts w:ascii="Arial" w:cs="Arial" w:eastAsia="Arial" w:hAnsi="Arial"/>
                <w:sz w:val="18"/>
                <w:szCs w:val="18"/>
                <w:color w:val="auto"/>
              </w:rPr>
              <w:t>The estimated lease term by right-of-use asset categories are as follows:</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20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84"/>
              </w:rPr>
              <w:t>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Office equipment</w:t>
            </w:r>
          </w:p>
        </w:tc>
        <w:tc>
          <w:tcPr>
            <w:tcW w:w="2200" w:type="dxa"/>
            <w:vAlign w:val="bottom"/>
          </w:tcPr>
          <w:p>
            <w:pPr>
              <w:ind w:left="1680"/>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220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84"/>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40" w:type="dxa"/>
            <w:vAlign w:val="bottom"/>
          </w:tcPr>
          <w:p>
            <w:pPr>
              <w:ind w:left="340"/>
              <w:spacing w:after="0"/>
              <w:rPr>
                <w:sz w:val="20"/>
                <w:szCs w:val="20"/>
                <w:color w:val="auto"/>
              </w:rPr>
            </w:pPr>
            <w:r>
              <w:rPr>
                <w:rFonts w:ascii="Arial" w:cs="Arial" w:eastAsia="Arial" w:hAnsi="Arial"/>
                <w:sz w:val="18"/>
                <w:szCs w:val="18"/>
                <w:color w:val="auto"/>
              </w:rPr>
              <w:t>Both the right-of-use-assets and lease liabilities are recognized in the consolidated balance sheets.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7" w:name="page178"/>
    <w:bookmarkEnd w:id="17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IT equipment</w:t>
            </w:r>
          </w:p>
        </w:tc>
        <w:tc>
          <w:tcPr>
            <w:tcW w:w="4620" w:type="dxa"/>
            <w:vAlign w:val="bottom"/>
            <w:shd w:val="clear" w:color="auto" w:fill="CCEEFF"/>
          </w:tcPr>
          <w:p>
            <w:pPr>
              <w:ind w:left="4100"/>
              <w:spacing w:after="0"/>
              <w:rPr>
                <w:sz w:val="20"/>
                <w:szCs w:val="20"/>
                <w:color w:val="auto"/>
              </w:rPr>
            </w:pPr>
            <w:r>
              <w:rPr>
                <w:rFonts w:ascii="Arial" w:cs="Arial" w:eastAsia="Arial" w:hAnsi="Arial"/>
                <w:sz w:val="18"/>
                <w:szCs w:val="18"/>
                <w:color w:val="auto"/>
                <w:w w:val="84"/>
              </w:rPr>
              <w:t>3 years</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Laboratory equipment</w:t>
            </w:r>
          </w:p>
        </w:tc>
        <w:tc>
          <w:tcPr>
            <w:tcW w:w="4620" w:type="dxa"/>
            <w:vAlign w:val="bottom"/>
          </w:tcPr>
          <w:p>
            <w:pPr>
              <w:ind w:left="4100"/>
              <w:spacing w:after="0"/>
              <w:rPr>
                <w:sz w:val="20"/>
                <w:szCs w:val="20"/>
                <w:color w:val="auto"/>
              </w:rPr>
            </w:pPr>
            <w:r>
              <w:rPr>
                <w:rFonts w:ascii="Arial" w:cs="Arial" w:eastAsia="Arial" w:hAnsi="Arial"/>
                <w:sz w:val="18"/>
                <w:szCs w:val="18"/>
                <w:color w:val="auto"/>
                <w:w w:val="84"/>
              </w:rPr>
              <w:t>5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improvements/furniture</w:t>
            </w:r>
          </w:p>
        </w:tc>
        <w:tc>
          <w:tcPr>
            <w:tcW w:w="4620" w:type="dxa"/>
            <w:vAlign w:val="bottom"/>
            <w:shd w:val="clear" w:color="auto" w:fill="CCEEFF"/>
          </w:tcPr>
          <w:p>
            <w:pPr>
              <w:ind w:left="4100"/>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Gains and losses on disposals are determined by comparing the disposal proceeds with the carrying amount and are included in the consolidated statements of income/(loss).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AC Immune’s acquired in process research and development (IPR&amp;D) asset is stated at cost less any impairments. The Company does not deem this asset ready for use until the asset obtains market approval. Therefore, during the development period after the date of acquisition until market approval, the IPR&amp;D asset is not amortized. Upon market approval, the Company will determine the useful life of the asset, reclassify it from IPR&amp;D and commence amortization. If the associated R&amp;D effort is abandoned, the related IPR&amp;D will likely be written off and we will record the relevant impairment charge. Finally, the Company will not capitalize future development costs in respect to this IPR&amp;D asset until they meet the criteria for capitalization of research and development costs in accordance with IAS 38 Intangible Assets.</w:t>
      </w:r>
    </w:p>
    <w:p>
      <w:pPr>
        <w:spacing w:after="0" w:line="17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IPR&amp;D asset is subject to impairment testing at least annually or when there are indications that the carrying value may not be recoverable until the completion of the development process. The determination of the recoverable amounts include key estimates which are highly sensitive to, and dependent upon, key assumptions.</w:t>
      </w:r>
    </w:p>
    <w:p>
      <w:pPr>
        <w:spacing w:after="0" w:line="1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uses a discounted cash flow method to determine the fair value less costs to sell (recoverable amount) of our IPR&amp;D intangible asset. The Company starts with a forecast of all the expected net cash flows, which incorporates the consideration of a terminal value and then the Company applies a discount rate to arrive at a risk-adjusted net present value amount.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impairment losses are recognized immediately in the consolidated statements of income/(loss).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8" w:name="page179"/>
    <w:bookmarkEnd w:id="17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financial assets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through 12 months in duration.</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assesses whether there is objective evidence that financial assets are impaired annually or whenever potential impairment triggers may occur.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amounts due to third parties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Common shares are classified as equity. Share issuance costs are capitalized as incurred and will be shown in equity as a deduction, net of tax, from the proceeds received from existing or future offerings. Should a planned equity offering not be assessed as probable, the issuance costs would be expensed immediately. See “Note 11. Share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Treasury shares are recognized at acquisition cost and deducted from shareholders’ equity at the time of acquisition, until they are subsequently resold, distributed or cancelled. Where such shares are subsequently sold, any consideration received is included in shareholders’ equity. See “Note 11. Share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Post-employment benefits</w:t>
      </w:r>
    </w:p>
    <w:p>
      <w:pPr>
        <w:spacing w:after="0" w:line="225"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highly liquid corporate bonds that have terms to maturity approximating the terms of the related liability.</w:t>
      </w:r>
    </w:p>
    <w:p>
      <w:pPr>
        <w:spacing w:after="0" w:line="16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Re-measurements of the net defined benefit liability, which comprise actuarial gains and losses and the return on plan assets (excluding interest) are recognized immediately in the consolidated statements of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expense/(income) on the net defined benefit liability for the period by applying the discount rate used to measure the defined benefit obligation at the beginning of the annual period or in case of any significant events between measurement dates to the then-net defined benefit liability, considering any changes in the net defined benefit liability during the period as a result of contributions and benefit payments. Net interest expense/(income) and other expenses related to defined benefit plans are recognized in the consolidated statements of income/(loss).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9" w:name="page180"/>
    <w:bookmarkEnd w:id="17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consolidated statements of income/(loss), and a corresponding adjustment to equity over the remaining vesting period.</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Stock options granted under the Company’s stock option plans C and the 2016 Stock Option and Incentive Plan are valued using the Black-Scholes option-pricing model (see “Note 18. Share-based compensation”). This valuation model as well as parameters used such as expected volatility and expected term of the stock options are partially based on management’s estimates.</w:t>
      </w:r>
    </w:p>
    <w:p>
      <w:pPr>
        <w:spacing w:after="0" w:line="1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estimate the fair value of restricted share units using a reasonable estimate of market value of the common shares on the date of the award. We classify our share-based payments as equity-classified awards as they are settled in common shares. We measure equity-classified awards at their grant date fair value and do not subsequently re-measure them. Compensation costs related to equity-classified awards are equal to the fair value of the award at grant date amortized over the vesting period of the award using the graded method. We reclassify that portion of vested awards to share capital and share premium as the awards vest.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5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5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0" w:name="page181"/>
    <w:bookmarkEnd w:id="18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disclosed in “Note 16. Income taxes,”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presents basic earnings per share for each period in the consolidated financial statements. The earnings per share are calculated by dividing the earnings of the period by the weighted-average number of shares outstanding during the period. Diluted earnings per share reflect the potential dilution that could occur if dilutive securities such as share options or non-vested restricted share units were vested or exercised into common shares or resulted in the issuance of common shares that would participate in net income. Anti-dilutive shares are excluded from dilutive earnings per share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LCAs,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has one segment. The Company currently focuses most of its resources on discovering and developing therapeutic and diagnostic products targeting misfolded proteins.</w:t>
      </w:r>
    </w:p>
    <w:p>
      <w:pPr>
        <w:spacing w:after="0" w:line="1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attributable to the Company’s country of domicile,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1" w:name="page182"/>
    <w:bookmarkEnd w:id="18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tables show the movements in the net book values of property, plant and equipment for the years ended December 31,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Laboratory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Leasehold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00" w:type="dxa"/>
            <w:vAlign w:val="bottom"/>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Furniture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equipment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equipment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improvements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Acquisitions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9,196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12,666</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Depreciation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(5,739)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(7,550)</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315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5,116</w:t>
            </w: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Laboratory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Leasehold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500" w:type="dxa"/>
            <w:vAlign w:val="bottom"/>
          </w:tcPr>
          <w:p>
            <w:pPr>
              <w:ind w:left="154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Furniture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equipment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equipment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improvements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Acquisition cost:</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Acquisitions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Depreciation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(4,405)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(5,717)</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153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4,416</w:t>
            </w:r>
          </w:p>
        </w:tc>
      </w:tr>
    </w:tbl>
    <w:p>
      <w:pPr>
        <w:spacing w:after="0" w:line="18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AC Immune continues to enhance its laboratory equipment to support its R&amp;D functions. This effort has continued for the year ended December 31, 2021, with CHF 1.6 million invested in lab equipment, including the expansion of our leased lab space, and IT equipment, representing an increase of 16.6%.</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incurred CHF 1.9 million, CHF 1.5 million and CHF 1.3 million in depreciation expenses, respectively.</w:t>
      </w:r>
    </w:p>
    <w:p>
      <w:pPr>
        <w:spacing w:after="0" w:line="166"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recognized additions and remeasurements of right-of-use of leased assets for buildings or for office equipment totaling CHF 1.2 million and CHF 0.4 million for the years ended December 31, 2021 and 2020, respectively. In 2021, these increases are predominantly associated with the remeasurement and expansion of our leased office space.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2" w:name="page183"/>
    <w:bookmarkEnd w:id="18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as of December 31, 2021 are 2.5% for buildings, 5.3% for office equipment and 2.6% for IT equipment.</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tables show the movements in the net book values of right-of-use of leased assets for the years ended December 31,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Office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222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Buildings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IT equipment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54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Additions and remeasurements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(474)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40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Office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ind w:left="222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Buildings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equipment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IT equipment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Additions and remeasurements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bl>
    <w:p>
      <w:pPr>
        <w:spacing w:after="0" w:line="18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For the years ended December 31, 2021, and 2020, the impact on the Company’s consolidated statements of income/(loss) and consolidated statements of cash flows is detailed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Consolidated statements of income/(loss)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 on lease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for short-term leases and leases of low value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Consolidated statements of cash flows</w:t>
            </w: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cash outflow for leases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r>
      <w:tr>
        <w:trPr>
          <w:trHeight w:val="20"/>
        </w:trPr>
        <w:tc>
          <w:tcPr>
            <w:tcW w:w="868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240" w:type="dxa"/>
            <w:vAlign w:val="bottom"/>
            <w:gridSpan w:val="5"/>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liabilities as of December 31, 2021 and 2020: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Between 1 and 3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Between 3 and 5 years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0.4 million and CHF 0.3 million for the lease of the Company’s premises as of December 31, 2021 and 2020, respectively.</w:t>
      </w:r>
    </w:p>
    <w:p>
      <w:pPr>
        <w:spacing w:after="0" w:line="166"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Q4 2021, the Company closed its acquisition with Affiris AG (Affiris) for the program portfolio of therapeutics targeting a-syn, notably ACI-7104 (previously PD01), a clinically-validated active vaccine candidate for the treatment of Parkinson’s disease (the Transferred Assets). The Company acquired the Transferred Assets and USD 5.0 (CHF 4.6) million in cash in exchange for 7,106,840 shares of the Company at closing, for a total value of USD 58.7 (CHF 55.1)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3" w:name="page184"/>
    <w:bookmarkEnd w:id="18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With the closing of this transaction, the Company has recorded an IPR&amp;D intangible asset associated with ACI-7104 for USD 53.7 (CHF 50.4) million. The Company used a risk-adjusted discounted cash flow method to determine the fair value of the intangible asset. See “Note 7. Intangible assets” for further details on assumptions used.</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As the Company transferred its own equity instruments in consideration for the asset transferred, the acquisition was assessed in accordance with IFRS 2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The Company determined that the acquisition of the Transferred Assets did not qualify as a business combination in accordance with IFRS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therefore was accounted for as an asset acquisition. Most of the fair value of the Transferred Assets is attributable to a single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 which is the in-process research and development asset. The purchase consideration for the Transferred Assets was allocated based on their relative fair values.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amounts of the Transferred Assets acquired: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8740" w:type="dxa"/>
            <w:vAlign w:val="bottom"/>
            <w:gridSpan w:val="4"/>
          </w:tcPr>
          <w:p>
            <w:pPr>
              <w:ind w:left="1520"/>
              <w:spacing w:after="0"/>
              <w:rPr>
                <w:sz w:val="20"/>
                <w:szCs w:val="20"/>
                <w:color w:val="auto"/>
              </w:rPr>
            </w:pPr>
            <w:r>
              <w:rPr>
                <w:rFonts w:ascii="Arial" w:cs="Arial" w:eastAsia="Arial" w:hAnsi="Arial"/>
                <w:sz w:val="18"/>
                <w:szCs w:val="18"/>
                <w:b w:val="1"/>
                <w:bCs w:val="1"/>
                <w:color w:val="auto"/>
              </w:rPr>
              <w:t>In CHF thousands</w:t>
            </w:r>
          </w:p>
        </w:tc>
      </w:tr>
      <w:tr>
        <w:trPr>
          <w:trHeight w:val="216"/>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380" w:type="dxa"/>
            <w:vAlign w:val="bottom"/>
            <w:shd w:val="clear" w:color="auto" w:fill="CCEEFF"/>
          </w:tcPr>
          <w:p>
            <w:pPr>
              <w:spacing w:after="0"/>
              <w:rPr>
                <w:sz w:val="18"/>
                <w:szCs w:val="18"/>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IPR&amp;D Asset</w:t>
            </w:r>
          </w:p>
        </w:tc>
        <w:tc>
          <w:tcPr>
            <w:tcW w:w="8360" w:type="dxa"/>
            <w:vAlign w:val="bottom"/>
            <w:gridSpan w:val="3"/>
          </w:tcPr>
          <w:p>
            <w:pPr>
              <w:jc w:val="right"/>
              <w:spacing w:after="0"/>
              <w:rPr>
                <w:sz w:val="20"/>
                <w:szCs w:val="20"/>
                <w:color w:val="auto"/>
              </w:rPr>
            </w:pPr>
            <w:r>
              <w:rPr>
                <w:rFonts w:ascii="Arial" w:cs="Arial" w:eastAsia="Arial" w:hAnsi="Arial"/>
                <w:sz w:val="18"/>
                <w:szCs w:val="18"/>
                <w:color w:val="auto"/>
              </w:rPr>
              <w:t>50,416</w:t>
            </w:r>
          </w:p>
        </w:tc>
        <w:tc>
          <w:tcPr>
            <w:tcW w:w="38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55,050</w:t>
            </w:r>
          </w:p>
        </w:tc>
        <w:tc>
          <w:tcPr>
            <w:tcW w:w="3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AC Immune’s acquired IPR&amp;D asset is a clinically-validated active vaccine candidate for the treatment of Parkinson’s disease. The asset is not yet ready for use until the asset obtains market approval. The carrying amount and net book value are detailed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88"/>
              </w:rPr>
              <w:t>As of December 31, 2021</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89"/>
              </w:rPr>
              <w:t>As of December 31, 2020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Gross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5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Net Book</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Carrying</w:t>
            </w: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Net Book</w:t>
            </w:r>
          </w:p>
        </w:tc>
      </w:tr>
      <w:tr>
        <w:trPr>
          <w:trHeight w:val="241"/>
        </w:trPr>
        <w:tc>
          <w:tcPr>
            <w:tcW w:w="3280" w:type="dxa"/>
            <w:vAlign w:val="bottom"/>
            <w:gridSpan w:val="2"/>
          </w:tcPr>
          <w:p>
            <w:pPr>
              <w:ind w:left="88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Amortization</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IPR&amp;D Asset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50,416</w:t>
            </w:r>
          </w:p>
        </w:tc>
        <w:tc>
          <w:tcPr>
            <w:tcW w:w="260" w:type="dxa"/>
            <w:vAlign w:val="bottom"/>
          </w:tcPr>
          <w:p>
            <w:pPr>
              <w:spacing w:after="0"/>
              <w:rPr>
                <w:sz w:val="18"/>
                <w:szCs w:val="18"/>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50,416</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accordance with IAS 36 </w:t>
      </w:r>
      <w:r>
        <w:rPr>
          <w:rFonts w:ascii="Arial" w:cs="Arial" w:eastAsia="Arial" w:hAnsi="Arial"/>
          <w:sz w:val="18"/>
          <w:szCs w:val="18"/>
          <w:i w:val="1"/>
          <w:iCs w:val="1"/>
          <w:color w:val="auto"/>
        </w:rPr>
        <w:t>Impairment of Assets</w:t>
      </w:r>
      <w:r>
        <w:rPr>
          <w:rFonts w:ascii="Arial" w:cs="Arial" w:eastAsia="Arial" w:hAnsi="Arial"/>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unobservable inputs used in the valuation. The Company has not determined the IPR&amp;D asset to be impaired as of December 31, 2021.</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key assumptions used in the valuation model in accordance with an income approach to determine the recoverable amount include observable and unobservable key inputs as follows:</w:t>
      </w:r>
    </w:p>
    <w:p>
      <w:pPr>
        <w:spacing w:after="0" w:line="170" w:lineRule="exact"/>
        <w:rPr>
          <w:sz w:val="20"/>
          <w:szCs w:val="20"/>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Anticipated research and development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Anticipated costs of goods and sales and marketing expenditures;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Probability of achieving clinical and regulatory development milestones in accordance with certain industry benchmarks;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Target indication prevalence and incidence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Anticipated market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General commercialization expectations such as anticipated pricing and uptake;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Expected patent life and market exclusivity periods;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metrics such as the tax rate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4" w:name="page185"/>
    <w:bookmarkEnd w:id="18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Company’s valuation model calculates the risk-adjusted, net cash flows through the projected period of market exclusivity across target sales regions. The Company uses a discount rate of 15%, based on the assumed cost of capital for the Company over the forecast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Asset acquisition” for further details.</w:t>
      </w:r>
    </w:p>
    <w:p>
      <w:pPr>
        <w:spacing w:after="0" w:line="221" w:lineRule="exact"/>
        <w:rPr>
          <w:sz w:val="20"/>
          <w:szCs w:val="20"/>
          <w:color w:val="auto"/>
        </w:rPr>
      </w:pPr>
    </w:p>
    <w:p>
      <w:pPr>
        <w:ind w:left="340" w:hanging="332"/>
        <w:spacing w:after="0"/>
        <w:tabs>
          <w:tab w:leader="none" w:pos="3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cash and cash equivalents are maintained in the following respective currencies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160,893</w:t>
            </w:r>
          </w:p>
        </w:tc>
      </w:tr>
      <w:tr>
        <w:trPr>
          <w:trHeight w:val="20"/>
        </w:trPr>
        <w:tc>
          <w:tcPr>
            <w:tcW w:w="86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CHF</w:t>
            </w:r>
          </w:p>
        </w:tc>
        <w:tc>
          <w:tcPr>
            <w:tcW w:w="1120" w:type="dxa"/>
            <w:vAlign w:val="bottom"/>
          </w:tcPr>
          <w:p>
            <w:pPr>
              <w:jc w:val="right"/>
              <w:spacing w:after="0"/>
              <w:rPr>
                <w:sz w:val="20"/>
                <w:szCs w:val="20"/>
                <w:color w:val="auto"/>
              </w:rPr>
            </w:pPr>
            <w:r>
              <w:rPr>
                <w:rFonts w:ascii="Arial" w:cs="Arial" w:eastAsia="Arial" w:hAnsi="Arial"/>
                <w:sz w:val="18"/>
                <w:szCs w:val="18"/>
                <w:color w:val="auto"/>
              </w:rPr>
              <w:t>64,941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152,537</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USD</w:t>
            </w:r>
          </w:p>
        </w:tc>
        <w:tc>
          <w:tcPr>
            <w:tcW w:w="1120" w:type="dxa"/>
            <w:vAlign w:val="bottom"/>
          </w:tcPr>
          <w:p>
            <w:pPr>
              <w:jc w:val="right"/>
              <w:spacing w:after="0"/>
              <w:rPr>
                <w:sz w:val="20"/>
                <w:szCs w:val="20"/>
                <w:color w:val="auto"/>
              </w:rPr>
            </w:pPr>
            <w:r>
              <w:rPr>
                <w:rFonts w:ascii="Arial" w:cs="Arial" w:eastAsia="Arial" w:hAnsi="Arial"/>
                <w:sz w:val="18"/>
                <w:szCs w:val="18"/>
                <w:color w:val="auto"/>
              </w:rPr>
              <w:t>15,022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4,141</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At the balance sheet dates, Company funds were held in CHF, EUR and USD currencies. As of December 31, 2021 and 2020, funds in EUR and USD were translated into CHF at a rate of 1.045 and 0.923 and 1.095 and 0.891, respectively, for each currency and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4"/>
              </w:rPr>
              <w:t>The following table summarizes the Company’s short-term financial assets as of December 31, 2021 and 2020: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financial assets due in 1 year or less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Prepaid expenses and accrued income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prepaid expenses relate mainly to research contracts with down-payments at contract signature with the related activities to start or continue into 2022 as well as prepayment for our Director and Officer’s insurance coverage.</w:t>
      </w:r>
    </w:p>
    <w:p>
      <w:pPr>
        <w:spacing w:after="0" w:line="170" w:lineRule="exact"/>
        <w:rPr>
          <w:sz w:val="20"/>
          <w:szCs w:val="20"/>
          <w:color w:val="auto"/>
        </w:rPr>
      </w:pPr>
    </w:p>
    <w:p>
      <w:pPr>
        <w:jc w:val="both"/>
        <w:ind w:right="500" w:firstLine="324"/>
        <w:spacing w:after="0" w:line="311" w:lineRule="auto"/>
        <w:rPr>
          <w:sz w:val="20"/>
          <w:szCs w:val="20"/>
          <w:color w:val="auto"/>
        </w:rPr>
      </w:pPr>
      <w:r>
        <w:rPr>
          <w:rFonts w:ascii="Arial" w:cs="Arial" w:eastAsia="Arial" w:hAnsi="Arial"/>
          <w:sz w:val="16"/>
          <w:szCs w:val="16"/>
          <w:color w:val="auto"/>
        </w:rPr>
        <w:t>Accrued income consists of CHF 0.9 million December 31, 2021 associated with our MJFF grants (see “Note 13.2 Grant income”). This amount represents 87% of our total accrued income as of December 31, 2021. As of December 31, 2020, the Company recorded CHF 1.1 million of accrued income associated with our Janssen collaboration. This amount represented 68.1% of our total accrued income as of December 31, 2020.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766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10. Other current receivables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020" w:type="dxa"/>
            <w:vAlign w:val="bottom"/>
          </w:tcPr>
          <w:p>
            <w:pPr>
              <w:spacing w:after="0"/>
              <w:rPr>
                <w:sz w:val="19"/>
                <w:szCs w:val="19"/>
                <w:color w:val="auto"/>
              </w:rPr>
            </w:pPr>
          </w:p>
        </w:tc>
        <w:tc>
          <w:tcPr>
            <w:tcW w:w="7660" w:type="dxa"/>
            <w:vAlign w:val="bottom"/>
            <w:gridSpan w:val="2"/>
          </w:tcPr>
          <w:p>
            <w:pPr>
              <w:ind w:left="256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current receivable</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Swiss VAT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maturity of these assets is less than 3 months. The Company considers the counterparty risk as low and the carrying amount of these receivables is considered to approximate their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29"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As of December 31, 2021 and 2020, the issued share capital amounted to CHF 1,794,013 and CHF 1,538,896, respectively, and is composed of common shares of 83,479,013 and 71,936,738, respectively, and treasury shares of 6,221,617 and 5,000,000,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Company’s capital structure: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2"/>
              </w:rPr>
              <w:t>In CHF thousands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3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Common</w:t>
            </w:r>
          </w:p>
        </w:tc>
        <w:tc>
          <w:tcPr>
            <w:tcW w:w="13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Treasury</w:t>
            </w:r>
          </w:p>
        </w:tc>
        <w:tc>
          <w:tcPr>
            <w:tcW w:w="11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Share</w:t>
            </w:r>
          </w:p>
        </w:tc>
        <w:tc>
          <w:tcPr>
            <w:tcW w:w="180" w:type="dxa"/>
            <w:vAlign w:val="bottom"/>
          </w:tcPr>
          <w:p>
            <w:pPr>
              <w:spacing w:after="0"/>
              <w:rPr>
                <w:sz w:val="17"/>
                <w:szCs w:val="17"/>
                <w:color w:val="auto"/>
              </w:rPr>
            </w:pPr>
          </w:p>
        </w:tc>
        <w:tc>
          <w:tcPr>
            <w:tcW w:w="13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Share</w:t>
            </w:r>
          </w:p>
        </w:tc>
        <w:tc>
          <w:tcPr>
            <w:tcW w:w="11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Treasury</w:t>
            </w: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71,859,431</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Issuance of shares – incentive plans, net of RSU expiration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300"/>
              <w:spacing w:after="0"/>
              <w:rPr>
                <w:sz w:val="20"/>
                <w:szCs w:val="20"/>
                <w:color w:val="auto"/>
              </w:rPr>
            </w:pPr>
            <w:r>
              <w:rPr>
                <w:rFonts w:ascii="Arial" w:cs="Arial" w:eastAsia="Arial" w:hAnsi="Arial"/>
                <w:sz w:val="18"/>
                <w:szCs w:val="18"/>
                <w:color w:val="auto"/>
              </w:rPr>
              <w:t>and forfeiture</w:t>
            </w:r>
          </w:p>
        </w:tc>
        <w:tc>
          <w:tcPr>
            <w:tcW w:w="1140" w:type="dxa"/>
            <w:vAlign w:val="bottom"/>
          </w:tcPr>
          <w:p>
            <w:pPr>
              <w:jc w:val="right"/>
              <w:spacing w:after="0"/>
              <w:rPr>
                <w:sz w:val="20"/>
                <w:szCs w:val="20"/>
                <w:color w:val="auto"/>
              </w:rPr>
            </w:pPr>
            <w:r>
              <w:rPr>
                <w:rFonts w:ascii="Arial" w:cs="Arial" w:eastAsia="Arial" w:hAnsi="Arial"/>
                <w:sz w:val="18"/>
                <w:szCs w:val="18"/>
                <w:color w:val="auto"/>
              </w:rPr>
              <w:t>77,307</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364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to be held as treasury shares,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76,936,738</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1,538</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346,890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from sale of treasury shares in public offerings, net</w:t>
            </w: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underwriting fees and transaction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1,171,543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purchase agreement, net of transaction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7,106,840</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54,328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agreements, net of 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3,026,634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Issuance of shares – incentive plans, net of transaction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237,258</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1,253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to be held as treasury shares, net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2,393,160</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(2,393,160)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89,700,630</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(6,221,617)</w:t>
            </w:r>
          </w:p>
        </w:tc>
        <w:tc>
          <w:tcPr>
            <w:tcW w:w="1140" w:type="dxa"/>
            <w:vAlign w:val="bottom"/>
          </w:tcPr>
          <w:p>
            <w:pPr>
              <w:jc w:val="right"/>
              <w:spacing w:after="0"/>
              <w:rPr>
                <w:sz w:val="20"/>
                <w:szCs w:val="20"/>
                <w:color w:val="auto"/>
              </w:rPr>
            </w:pPr>
            <w:r>
              <w:rPr>
                <w:rFonts w:ascii="Arial" w:cs="Arial" w:eastAsia="Arial" w:hAnsi="Arial"/>
                <w:sz w:val="18"/>
                <w:szCs w:val="18"/>
                <w:color w:val="auto"/>
              </w:rPr>
              <w:t>1,794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431,251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342" w:lineRule="auto"/>
        <w:rPr>
          <w:sz w:val="20"/>
          <w:szCs w:val="20"/>
          <w:color w:val="auto"/>
        </w:rPr>
      </w:pPr>
      <w:r>
        <w:rPr>
          <w:rFonts w:ascii="Arial" w:cs="Arial" w:eastAsia="Arial" w:hAnsi="Arial"/>
          <w:sz w:val="16"/>
          <w:szCs w:val="16"/>
          <w:color w:val="auto"/>
        </w:rPr>
        <w:t>The common shares and treasury shares have nominal values of CHF 0.02 per share. All shares have been fully paid. These treasury shares held by the Company are not considered outstanding shares as of December 31, 2021 or 2020. Additionally, 19,632 RSUs either expired or were forfeited in 2020.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authorized capital is depleted as of December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Conditional share capital for bonds and similar debt instruments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Company’s share capital may be increased by a maximum aggregate amount of CHF 31,028.26 through the issuance of a maximum of 1,551,413 registered shares, payable in full, each with a nominal value of CHF 0.02 per share, through the exercise of conversion and/or option or warrant rights granted in connection with bonds or similar instruments, issued or to be issued by the Company or by subsidiaries of the Company, including convertible debt instruments.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Conditional share capital for employee benefit plans</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Company’s share capital may be increased by a maximum aggregate amount of CHF 64,577.72 through the issuance of not more than 3,228,886 common shares, payable in full, each with a nominal value of CHF 0.02 per share, by the exercise of options rights that have been granted to employees, consultants, members of the board of directors, or other person providing services to the Company or a subsidiary.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April 28, 2021, the Company filed a Shelf Registration Statement on Form F-3 (Reg. No. 333-255576) (the “Shelf Registration Statement”) with the SEC. The Shelf Registration Statement was declared effective by the SEC on May 5, 2021.</w:t>
      </w:r>
    </w:p>
    <w:p>
      <w:pPr>
        <w:spacing w:after="0" w:line="170"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The Shelf Registration Statement allows the Company to offer and sell, from time to time, up to USD 350,000,000 of common shares,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Any offering of securities covered by the Shelf Registration Statement will be made only by means of a written prospectus and prospectus supplement authorized and filed by the Company.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 the market equity offering</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Q3 2020, AC Immune issued 5,000,000 common shares with a nominal value of CHF 0.02, which became treasury shares. The Company also established an “at the market offering program” (“ATM”) for the sale of up to USD 80.0 (CHF 74.5) million worth of our common shares issued from time to time by entering into an Open Market Sale Agreement (“Sales Agreement”) with Jefferies LLC (“Jefferies”) as the sales agent under a prior registration statement on Form F-3 which expired in Q2 2021.</w:t>
      </w:r>
    </w:p>
    <w:p>
      <w:pPr>
        <w:spacing w:after="0" w:line="187" w:lineRule="exact"/>
        <w:rPr>
          <w:sz w:val="20"/>
          <w:szCs w:val="20"/>
          <w:color w:val="auto"/>
        </w:rPr>
      </w:pPr>
    </w:p>
    <w:p>
      <w:pPr>
        <w:ind w:right="380" w:firstLine="321"/>
        <w:spacing w:after="0" w:line="263" w:lineRule="auto"/>
        <w:rPr>
          <w:sz w:val="20"/>
          <w:szCs w:val="20"/>
          <w:color w:val="auto"/>
        </w:rPr>
      </w:pPr>
      <w:r>
        <w:rPr>
          <w:rFonts w:ascii="Arial" w:cs="Arial" w:eastAsia="Arial" w:hAnsi="Arial"/>
          <w:sz w:val="18"/>
          <w:szCs w:val="18"/>
          <w:color w:val="auto"/>
        </w:rPr>
        <w:t>In Q2 2021, the Company filed a new registration statement on Form F-3 and an accompanying prospectus supplement in order to renew its ATM program. The Company also entered into a second Open Market Sale Agreement (the “new Sales Agreement”) with Jefferies to continue the ATM program.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Q3, 2021, the Company issued 2,393,160 common shares with a nominal value of CHF 0.02 to be held as treasury shares.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year ended December 31, 2021, the Company has sold 1,171,543 common shares previously held as treasury shares pursuant to the new Sales Agreement, raising USD 13.3 (CHF 12.1) million, net of underwriting fees and transaction costs. We paid commissions to Jefferies totaling USD 0.4 (CHF 0.4) million as of December 31, 2021, for share issuances in accordance with our ATM programs.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has expensed issuance costs of nil, CHF 0.5 million, and nil, respectively, in the consolidated statements of income/(loss).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note agreement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Concurrently with the Asset Purchase Agreement, the Company entered into two separate Convertible Note Agreements with entities affiliated with each of Athos Service GmbH and First Capital Partner GmbH, both of which entities are shareholders of Affiris. Each Convertible Note Agreement provided for the sale of an unsecured subordinated Convertible Note of the Company with an aggregate principal amount of USD 12.5 (CHF 11.7) million for total net proceeds of USD 25 (CHF 23.5) million.</w:t>
      </w:r>
    </w:p>
    <w:p>
      <w:pPr>
        <w:spacing w:after="0" w:line="18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In Q4 2021, the affiliated entities exercised their options to convert their respective USD 12.5 (CHF 11.7) million notes. As a result of these conversions, 1,513,317 common shares were issued to each Investor, totaling 3,026,634 common shares. The Company recorded an increase to its share capital for the nominal value of its shares and share premium for the difference associated with settlement of this liability. The Company also settled its derivative financial assets, which were embedded conversion features associated with the convertible debt, via an offset to its share premium. These convertible notes and derivative financial assets were fully settled in Q4 and there is no further equity or cash consideration due to the affiliated entities thereunder.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766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12. Trade and other payables and accrued expenses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020" w:type="dxa"/>
            <w:vAlign w:val="bottom"/>
          </w:tcPr>
          <w:p>
            <w:pPr>
              <w:spacing w:after="0"/>
              <w:rPr>
                <w:sz w:val="19"/>
                <w:szCs w:val="19"/>
                <w:color w:val="auto"/>
              </w:rPr>
            </w:pPr>
          </w:p>
        </w:tc>
        <w:tc>
          <w:tcPr>
            <w:tcW w:w="7660" w:type="dxa"/>
            <w:vAlign w:val="bottom"/>
            <w:gridSpan w:val="2"/>
          </w:tcPr>
          <w:p>
            <w:pPr>
              <w:ind w:left="2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85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Total trade and other payables</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research and development costs</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10,361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stamp duty</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Other accrued expenses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An accrual of CHF 3.7 million was recognized as part of our cost sharing arrangement with Janssen within accrued research and development costs, CHF 2.3 million was recognized for performance-related remuneration within accrued payroll expenses and CHF 0.8 million was recognized as accrued stamp duty for the issuance of shares as part of the Company’s asset acquisition as of December 31, 2021. This compares with nil, CHF 2.1 million and nil recognized respectively for the comparable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Contract revenues</w:t>
      </w:r>
    </w:p>
    <w:p>
      <w:pPr>
        <w:spacing w:after="0" w:line="22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For the years ended December 31, 2021, 2020 and 2019, AC Immune generated contract revenues of nil, CHF 15.4 million and CHF 110.5 million, respectively. For comparability, the Company reclassified nil, CHF 0.3 million and CHF 0.6 million from contract revenues to other income/(expense) for the years ended December 31, 2021, 2020 and 2019, respectively for prior grants from the MJFF.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provide contract revenue amounts from its LCAs for the years ended December 31, 2021, 2020 and 2019,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ind w:left="40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Lilly</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Life Molecular Imaging</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Biogen</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contract revenue</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Lilly accounted for 93% and 96% of our contract revenues in 2020 and 2019,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8" w:name="page189"/>
    <w:bookmarkEnd w:id="18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years ended December 31, 2021 and 2020:</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the beginning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the end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the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the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reporting</w:t>
            </w:r>
          </w:p>
        </w:tc>
      </w:tr>
      <w:tr>
        <w:trPr>
          <w:trHeight w:val="241"/>
        </w:trPr>
        <w:tc>
          <w:tcPr>
            <w:tcW w:w="5860" w:type="dxa"/>
            <w:vAlign w:val="bottom"/>
          </w:tcPr>
          <w:p>
            <w:pPr>
              <w:ind w:left="220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period</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Additions</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Deductions</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w:t>
            </w: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Twelve months ended December 31, 2021: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Deferred income</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306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Deferred income</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4,477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bl>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years ended December 31, 2021, 2020 and 2019, the Company recognized the following contract revenues as a result of changes in the contract asset and the contract liability balances in the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Revenues recognized in the period from:</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Licensing and collaboration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Morphomer Tau small molecule – 2018 license agreement with Eli Lilly and Company</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Morphomer Tau small molecules for the treatment of AD and other neurodegenerative diseases. More specifically, this is an exclusive license with the right to Lilly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In Q3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terminated the agreement earlier. In Q1 2020, the Company and Lilly entered into a second amendment to replace the second CHF 30 million to be paid on or before March 31, 2020 with two milestone payments, one of CHF 10 million to be paid on or before March 31, 2020 and the other of CHF 60 million following the first patient dosed in a Phase 2 clinical study of a licensed product in the US or EU.</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Q1 2019 for the rights granted by the Company to Lilly. To date, the Company has completed a Phase 1 clinical study with ACI-3024. The program will be expanded to NeuroOrphan indications and ACI-3024 will be further evaluated for efficacy in models of rare Tauopathies.</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Additionally, the Company and Lilly have continued candidate characterization across the research program, identifying new and highly differentiated candidates with desired cerebrospinal fluid exposure and selectivity for pathological aggregated Tau. These will be broadly developed in Tau-dependent neurodegenerative diseases by Lilly. Lilly is responsible for leading and funding further clinical development and will retain global commercialization rights for all indications.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 double-digits to the mid-teens. The agreement will terminate by the date of expiration of the last royalty term for the last licensed product. However, under the terms of the agreement, Lilly may terminate the agreement at any time by providing 3 months’ prior notice to us.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9" w:name="page190"/>
    <w:bookmarkEnd w:id="18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was responsible for the preclinical and Phase 1 activities for the first clinical candidate, ACI-3024, which the Company determined was distinct and capable of being completed by Lilly or a third party. Preclinical activities for which AC Immune was responsible prior to their completion in Q2 2019 included final manufacturing of materials for use in the regulatory submission of the protocol and in the Phase 1 study. For the completed Phase 1, AC Immune was responsible for leading the study design, obtaining relevant regulatory agency approvals, arranging necessary third-party contracts, completing patient selection, ensuring patient treatment, following up with patients, drafting the clinical study report development and other relevant clinical activities to ensure that the primary objective of the study was completed. The Company used CMOs for certain of its preclinical activities and CROs to complete certain Phase 1 activities and to issue the final clinical study report.</w:t>
      </w:r>
    </w:p>
    <w:p>
      <w:pPr>
        <w:spacing w:after="0" w:line="18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Company’s preclinical and Phase 1 activities did not represent integrated services with the licensed IP for which Lilly contracted. Lilly purchased a license to the Company’s Tau therapeutic small-molecule program, which was delivered at commencement of the agreement, and AC Immune’s preclinical and Phase 1 activities did not affect the form or functionality of this license. The Company’s objective for the Phase 1 activity was to assess safety and tolerability and did not modify or customize ACI-3024. The completion of these preclinical and Phase 1 activities does not affect the licensed IP.</w:t>
      </w:r>
    </w:p>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on a joint steering committee (JSC). Depending upon the agenda, additional field experts can attend the JSC to provide the technical and scientific contribution required. The JSC meets on a regular basis depending on agreements between the representatives. The JSC is responsible for serving as the forum to (i) discuss, review and approve certain activities by reviewing and discussing the development progress with updates on back-up candidates, (ii) discuss, review and approve all amendments to the global development plan, (iii) periodically discuss and review commercialization of licensed products and (iv) review and approve reports related to development costs among other activities. The JSC is intended to ensure that communication between the parties remains consistent and that the development plan is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by either delivery or the provision of services.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were delivered over time as the services were performed. For these services, revenue was recognized over time using the input method, based on costs incurred to perform the services, as the level of costs incurred over time is thought to best reflect the transfer of services to Lilly. The Company determined the value of the research and development activities to be CHF 6.9 million and deferred this balance from the effective date. To date, the Company has cumulatively recognized CHF 6.9 million in contract revenue, resulting in no deferred income (contract liability) on the consolidated balance sheets. The remaining CHF 73.1 million from the upfront payment was allocated to the right-of-use license and recognized on the effective date.</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At inception of the agreement, none of the clinical, regulatory or commercial milestones had been included in the transaction price, as all milestone amounts were fully constrained. To date, the Company has recognized CHF 40 million from milestone payments triggered in Q3 2019 and Q1 2020 related to the right-of-use license for IP as there were no further constraints related to these milestones.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0" w:name="page191"/>
    <w:bookmarkEnd w:id="19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years ended December 31, 2021, 2020 and 2019, we have recognized nil, CHF 14.3 million and CHF 105.7 million,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 a member of the Roche Group</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non-AD indication based on the same intellectual property and anti-Abeta antibody compound. The value of this partnership is potentially greater than USD 340 (CHF 314) million.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has also been studied in a Phase 2 preventive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 (PET) substudy to the ongoing Phase 2 trial in ADAD to evaluate the effect of crenezumab on Tau burden, which may also increase the understanding of disease progression in the preclinical stage of ADAD.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crenezumab receives regulatory approval, we will be entitled to receive royalties that are tied to annual sales volumes with different royalty rates applicable in the US and Europe ranging from the mid-single digits to mid-teens. To date, we have received total milestone payments of USD 65 million (CHF 70.1 million) comprised of an upfront payment of USD 25 (CHF 31.6) million and of USD 40 (CHF 38.2) million for clinical development milestones achieved all-in prior to January 1, 2017. Genentech may terminate the agreement at any time by providing 3 months’ notice to us. In such event all costs incurred are still refundable.</w:t>
      </w:r>
    </w:p>
    <w:p>
      <w:pPr>
        <w:spacing w:after="0" w:line="188"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conducting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upfront consideration received of USD 25 (CHF 31.6) million.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254)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right="160" w:firstLine="369"/>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prodromal-to-mild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1" w:name="page192"/>
    <w:bookmarkEnd w:id="19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in Colombia, of cognitively healthy individuals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2021, 2020 and 2019,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 a member of the Roche Group</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low-double digits. The agreement also provides for collaboration on at least one additional therapeutic indication outside of AD built on the same anti-Tau antibody program as well an anti-Tau diagnostic product for AD.</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when that notice is given.</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milestone payment of CHF 14 million received and recognized in Q4 2017 associated with the first patient dosing in a Phase 2 clinical trial for AD with an anti-Tau monoclonal body known as semorinemab, a milestone payment of CHF 14 million recognized in Q2 2016 and received in July 2016, associated with the announcement of the commencement of the Phase 1 clinical study of semorinemab, and a milestone payment of CHF 14 million received in 2015 in connection with the ED-GO decision. As we met all performance obligations on reaching these milestones, we have recognized revenue in the respective periods. Genentech may terminate the agreement at any time by providing 3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an upfront consideration received of CHF 17 million.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September 23, 2020, the Company reported that Genentech informed us of top line results from a Phase 2 trial of the anti-Tau antibody, semorinemab, in early (prodromal to mild) Alzheimer’s disease (AD) which show that semorinemab did not meet its primary efficacy endpoint of reducing decline on Clinical Dementia Rating-Sum of Boxes (CDR-SB) compared to placebo. The primary safety endpoint was however met. Two secondary endpoints, Alzheimer’s Disease Assessment Scale-Cognitive Subscale 13 (ADAS-Cog13) and Alzheimer’s Disease Cooperative Study Group – Activities of Daily Living Inventory (ADCS-ADL), were not met.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2" w:name="page193"/>
    <w:bookmarkEnd w:id="19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August 31, 2021 the Company reported that Genentech had informed the Company that the Lauriet study had met one of its co-primary endpoints, ADAS-Cog 11. The second co-primary endpoint, ADCS-ADL, was not met. Safety data showed that semorinemab was well tolerated with an acceptable safety profile and no unanticipated safety signals. On November 10, 2021, the Company reported that Genentech had presented the full top-line data from the Lauriet study during a late-breaking session at the 14th Clinical Trials on Alzheimer’s Disease conference.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2021, 2020 and 2019, we have recognized no revenues from this arrangement,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 Inc.</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collaboration is potentially up to CHF 500 million and includes upfront and clinical, regulatory and commercial milestones. In addition to milestones, we will be eligible to receive royalties on sales at a percentage rate ranging from the high-single digits to the mid-teens for the phospho-tau vaccine program.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are co-developing the second-generation lead therapeutic vaccines, ACI-35.030 and JACI-35.054, through Phase 1b/2a completion. AC Immune and Janssen will jointly share research and development costs until the completion of the first Phase 2b (AC Immune’s contribution to the first Phase 2b trial is capped). From Phase 2b and onwards, Janssen will assume responsibility for the clinical development, manufacturing and commercialization of the second-generation vaccines.</w:t>
      </w:r>
    </w:p>
    <w:p>
      <w:pPr>
        <w:spacing w:after="0" w:line="18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received an upfront, non-refundable license fee of CHF 25.9 million, which we recognized as revenue in 2014. In May 2016, we received a payment of CHF 4.9 million for reaching a clinical milestone in the first Phase 1b study. As we met all performance obligations on reaching the milestone, we have recognized this income as revenue.</w:t>
      </w:r>
    </w:p>
    <w:p>
      <w:pPr>
        <w:spacing w:after="0" w:line="18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chemistry, manufacturing and controls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upfront consideration received of CHF 25.9 million. At inception, none of the clinical, regulatory or commercial milestones has been included in the transaction price, as all milestone amounts were fully constrained. The Company did receive a payment of CHF 4.9 million for reaching a clinical milestone in the first Phase 1b study in May 2016. The Company could also receive up to more than CHF 458 million in clinical, regulatory and commercial milestones as well as tiered, high-single digits to mid-teen royalties on aggregate net sales for the phospho-tau vaccine program.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3" w:name="page194"/>
    <w:bookmarkEnd w:id="19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years ended December 31, 2021, 2020 and 2019, we have recognized nil , CHF 1.1 million and CHF 1.2 million,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–2014 agreement with Life Molecular Imaging (LMI) (formerly Piramal Imaging SA)</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LMI, the former Piramal Imaging SA. The partnership with LMI is an exclusive, worldwide licensing agreement for the research, development and commercialization of the Company’s Tau protein PET tracers supporting the early diagnosis and clinical management of AD and other Tau-related disorders and includes upfront and sales milestone payments totaling up to EUR 160 (CHF 167) million, plus royalties on sales at a percentage rate ranging from mid-single digits to low-teens. LMI may terminate the LCA at any time by providing 3 months’ notice to us.</w:t>
      </w:r>
    </w:p>
    <w:p>
      <w:pPr>
        <w:spacing w:after="0" w:line="18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connection with this agreement, AC Immune received a payment of EUR 500 (CHF 664) thousand, which was fully recognized in 2015. In Q1 2017, we recorded a milestone payment of EUR 1 (CHF 1.1) million related to the initiation of “Part B” of the first-in-man Phase 1 study. In Q3 2019, the Company recognized EUR 2 (CHF 2.2) million in connection with the initiation of a Phase 2 trial of Tau-PET tracer in patients with mild cognitive impairment and mild–to-moderate AD in comparison with non-demented control participants. The Company is eligible to receive variable consideration related to the achievement of certain clinical milestones totaling EUR 8 (CHF 8) million should the compound make it through Phase 3 clinical studies. We are also eligible to receive potential regulatory and sales-based milestones totaling EUR 148 (CHF 155) million. Finally, the Company is eligible for royalties from the mid-single digits to low-teens.</w:t>
      </w:r>
    </w:p>
    <w:p>
      <w:pPr>
        <w:spacing w:after="0" w:line="1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LMI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or commercial milestones has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Any consideration related to sales-based milestones (including royalties) will be recognized when the related sales occur as these amounts have been determined to relate predominantly to the license granted to LMI and therefore are recognized at the later of when the performance obligation is satisfied or the related sales occur. The Company considered LMI’s right to sublicense and develop the Tau protein PET tracers, and the fact that LMI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78"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has recognized nil, nil and CHF 2.2 million, respectively, from this arrangement.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A-syn and TDP-43 PET tracers – 2016 agreement with Biogen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4" w:name="page195"/>
    <w:bookmarkEnd w:id="19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April 13, 2016, we entered into a non-exclusive research collaboration agreement with Biogen International GmbH, (Biogen). Under the agreement, we and Biogen have agreed to collaborate in the research and early clinical development of our a-syn PET tracer program for PD and other synucleinopathies, and a second program for the identification, research and development of novel PET ligands against TDP-43, a protein recently linked to neurodegeneration in diseases such as amyotrophic lateral sclerosis (ALS). In addition, we have agreed to share the costs of the collaboration, with Biogen primarily funding the majority of research costs, subject to a cap, which includes an upfront technology access fee and funding toward research and development personnel. We own all intellectual property rights to any invention relating to a-syn or TDP-43 PET tracers.</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CROs,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For the years ended December 31, 2021, 2020 and 2019, the Company has recognized nil, nil and CHF 1.1 million, respectively, from this arrangement. This collaboration ended in April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Grant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Q3 2017, we formally signed a grant continuation with the MJFF. This grant provides funds for the development of PET tracers for pathological forms of the protein alpha-synuclein, to support the early diagnosis and clinical management of Parkinson’s disease. We subsequently signed two additional grants which facilitated the execution of a first-in-human study for a potential alpha-synuclein-PET tracer (PET tracer) with the current lead compound and to further develop the PET tracer. The Company retains its intellectual property rights for these alpha-synuclein-PET tracers. These grants concluded in Q2 2020.</w:t>
      </w:r>
    </w:p>
    <w:p>
      <w:pPr>
        <w:spacing w:after="0" w:line="18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In May 2020, the Company, as part of a joint arrangement with Skåne University Hospital (Skåne) in Sweden, was awarded a USD 3.2 (CHF 3.0) million grant from the MJFF’s Ken Griffin Alpha-synuclein Imaging Competition. As part of this grant, AC Immune is eligible to receive USD 2.5 (CHF</w:t>
      </w:r>
    </w:p>
    <w:p>
      <w:pPr>
        <w:ind w:right="40"/>
        <w:spacing w:after="0" w:line="260" w:lineRule="auto"/>
        <w:rPr>
          <w:sz w:val="20"/>
          <w:szCs w:val="20"/>
          <w:color w:val="auto"/>
        </w:rPr>
      </w:pPr>
      <w:r>
        <w:rPr>
          <w:rFonts w:ascii="Arial" w:cs="Arial" w:eastAsia="Arial" w:hAnsi="Arial"/>
          <w:sz w:val="18"/>
          <w:szCs w:val="18"/>
          <w:color w:val="auto"/>
        </w:rPr>
        <w:t>2.3) million directly from the MJFF. Skåne will receive USD 0.7 (CHF 0.7) million of the total grant directly from the MJFF over two years to conduct and support the clinical arm of the project.</w:t>
      </w:r>
    </w:p>
    <w:p>
      <w:pPr>
        <w:spacing w:after="0" w:line="18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MJFF expects that AC Immune and Skåne will complete tasks according to the agreed timelines. AC Immune’s funding is variable depending on the satisfactory achievement of these specific tasks within a specific period of time.</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December 2021, the Company announced that it had been awarded two grants totaling USD 1.5 (CHF 1.4) million to advance small molecule PD programs. One award will support an existing early-stage program to develop small molecules that can prevent intracellular aggregation and spreading of a-syn. The other award will fund research on the therapeutic potential of chemically and mechanistically novel, brain penetrant small molecule inhibitors of NLRP3 inflammasome activation for the treatment of PD.</w:t>
      </w:r>
    </w:p>
    <w:p>
      <w:pPr>
        <w:spacing w:after="0" w:line="1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the years ended December 31, 2021, 2020 and 2019, the Company has recognized CHF 1.1 million, CHF 1.3 million and CHF 0.6 million, respectively, from its MJFF grants. As of December 31, 2021, the Company recorded CHF 0.9 million in accrued income and CHF 0.6 million in deferred income,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from the Target ALS Foundation</w:t>
      </w:r>
    </w:p>
    <w:p>
      <w:pPr>
        <w:spacing w:after="0" w:line="225" w:lineRule="exact"/>
        <w:rPr>
          <w:sz w:val="20"/>
          <w:szCs w:val="20"/>
          <w:color w:val="auto"/>
        </w:rPr>
      </w:pPr>
    </w:p>
    <w:p>
      <w:pPr>
        <w:ind w:right="440" w:firstLine="324"/>
        <w:spacing w:after="0" w:line="311" w:lineRule="auto"/>
        <w:rPr>
          <w:sz w:val="20"/>
          <w:szCs w:val="20"/>
          <w:color w:val="auto"/>
        </w:rPr>
      </w:pPr>
      <w:r>
        <w:rPr>
          <w:rFonts w:ascii="Arial" w:cs="Arial" w:eastAsia="Arial" w:hAnsi="Arial"/>
          <w:sz w:val="16"/>
          <w:szCs w:val="16"/>
          <w:color w:val="auto"/>
        </w:rPr>
        <w:t>In Q1 2021, AC Immune was awarded a USD 0.3 (CHF 0.2) million grant from the Target ALS Foundation (“Target ALS”). This grant funds a collaboration between the Company and the Investigators at the Healey Center for ALS at Massachusetts General Hospital (“MGH”) to accelerate the development of the Company’s proprietary immunoassays to detect disease-associated forms of TDP-43 in CSF and blood samples.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5" w:name="page196"/>
    <w:bookmarkEnd w:id="19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For the years ended December 31, 2021, 2020 and 2019, the Company recognized CHF 0.1 million, nil and nil in grant income, respectively. As of December 31, 2021, the Company recorded CHF 0.1 million in accrued income and CHF 0.1 million in deferred income,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14. Expenses by category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16,465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12,382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62,282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59,487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50,432</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For the year ended December 31, 2021, 2020 and 2019, the Company incurred CHF 62.3 million, CHF 59.5 million and CHF 50.4 million in research and development expenses, respectively. These increases are predominantly driven by increases in investments in our research and development projects, reallocation of certain IT and facilities expenditures and annualization of prior year full-time equivalent (FTEs) hiring.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2021, 2020 and 2019, the Company had 108.6, 115.3 and 102.7 FTEs in research and development.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Payroll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8,281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8,274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17,910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18,557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16,058</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the years ended December 31, 2021, 2020 and 2019, the Company incurred CHF 17.9 million, CHF 18.6 million and CHF 16.1 million in general and administrative expenses, respectively. The decrease in 2021 compared with the prior year relates to the reallocation of certain IT and facilities expenditures that were not reclassified in the prior years.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2021, 2020 and 2019, the Company had 27.3, 26.7 and 24.1 FTEs within its general and administrative functions.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Financial result,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(1,926)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conversion feature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(2,013)</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financial income and expense primarily consist of a gain on the fair value of our derivative financial asset associated with two convertible notes sold to certain Affiris affiliated entities and interest expense associated with our lease liabilities and short-term financial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6" w:name="page197"/>
    <w:bookmarkEnd w:id="19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For the year ended December 31, 2021, the increase in financial result, net related primarily to a CHF 6.5 million gain on the conversion features related to the Company’s convertible notes due to certain Affiris affiliated entities as a result of fair value remeasurements.</w:t>
      </w:r>
    </w:p>
    <w:p>
      <w:pPr>
        <w:spacing w:after="0" w:line="146" w:lineRule="exact"/>
        <w:rPr>
          <w:sz w:val="20"/>
          <w:szCs w:val="20"/>
          <w:color w:val="auto"/>
        </w:rPr>
      </w:pPr>
    </w:p>
    <w:p>
      <w:pPr>
        <w:ind w:right="240" w:firstLine="329"/>
        <w:spacing w:after="0" w:line="263" w:lineRule="auto"/>
        <w:rPr>
          <w:sz w:val="20"/>
          <w:szCs w:val="20"/>
          <w:color w:val="auto"/>
        </w:rPr>
      </w:pPr>
      <w:r>
        <w:rPr>
          <w:rFonts w:ascii="Arial" w:cs="Arial" w:eastAsia="Arial" w:hAnsi="Arial"/>
          <w:sz w:val="18"/>
          <w:szCs w:val="18"/>
          <w:color w:val="auto"/>
        </w:rPr>
        <w:t>Related to the Company’s convertible note settled with Lilly in 2019, we recorded CHF 1.4 million for amortization of effective interest for the year ended December 31, 2019 within financial expenses and recognized a CHF 4.5 million gain for the change in fair value of the liability related to the conversion feature. There were no comparable expenses or gains in 2021 nor 2020.</w:t>
      </w:r>
    </w:p>
    <w:p>
      <w:pPr>
        <w:spacing w:after="0" w:line="180"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Board of director and executive management compensation</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key management, including the board of directors (eight individuals excluding the CEO) and the executive management (six individuals including the CEO), compensation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Post-employment benefits</w:t>
            </w: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7,666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Group recognized less than CHF 0.1 million, nil and nil in income taxes and no deferred tax asset or liability positions for the years ended December 31, 2021, 2020, and 2019, respectively. The Group’s expected tax expense for each year is based on the applicable tax rates in each jurisdiction. In 2021, these rates ranged from 13.6% to 32.9% (13.6% for 2020 and 2019, respectively) in the Group’s respective tax jurisdictions. The weighted average tax rate applicable to the Group was 13.6% (13.6% for 2020 and 2019, respectively). The variance relates to the establishment of AC Immune USA, Inc. in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340"/>
              <w:spacing w:after="0"/>
              <w:rPr>
                <w:sz w:val="20"/>
                <w:szCs w:val="20"/>
                <w:color w:val="auto"/>
              </w:rPr>
            </w:pPr>
            <w:r>
              <w:rPr>
                <w:rFonts w:ascii="Arial" w:cs="Arial" w:eastAsia="Arial" w:hAnsi="Arial"/>
                <w:sz w:val="18"/>
                <w:szCs w:val="18"/>
                <w:color w:val="auto"/>
                <w:w w:val="92"/>
              </w:rPr>
              <w:t>The Group’s income tax expense for each year can be reconciled to loss before tax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Income/(loss) before income tax</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(61,921)</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w w:val="99"/>
              </w:rPr>
              <w:t>Tax (benefit)/expense calculated at the domestic rates applicable in the respective countries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(9,930)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(8,441)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not subject to tax)/expenses not deductible for tax purposes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10,308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7,979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(6,132)</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Swiss tax rate used for the 2021 reconciliations is the corporate tax rate of 13.6% (13.6% in 2020 and 2019, respectively) payable by corporate entities in the Canton of Vaud, Switzerland on taxable profits under tax law in that jurisdiction.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630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020" w:type="dxa"/>
            <w:vAlign w:val="bottom"/>
            <w:gridSpan w:val="7"/>
          </w:tcPr>
          <w:p>
            <w:pPr>
              <w:ind w:left="340"/>
              <w:spacing w:after="0"/>
              <w:rPr>
                <w:sz w:val="20"/>
                <w:szCs w:val="20"/>
                <w:color w:val="auto"/>
              </w:rPr>
            </w:pPr>
            <w:r>
              <w:rPr>
                <w:rFonts w:ascii="Arial" w:cs="Arial" w:eastAsia="Arial" w:hAnsi="Arial"/>
                <w:sz w:val="18"/>
                <w:szCs w:val="18"/>
                <w:color w:val="auto"/>
                <w:w w:val="98"/>
              </w:rPr>
              <w:t>The below table details the total unrecognized deductible temporary differences, unused tax losses and unused tax credits: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72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w w:val="92"/>
              </w:rPr>
              <w:t>Unrecognized deductible temporary differences, unused tax losses and unused tax credits</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w w:val="93"/>
              </w:rPr>
              <w:t>Deductible temporary differences, unused tax losses and unused tax credits for which no deferred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tax assets have been recognized are attributable to the following:</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losses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121,948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64,125</w:t>
            </w:r>
          </w:p>
        </w:tc>
      </w:tr>
      <w:tr>
        <w:trPr>
          <w:trHeight w:val="216"/>
        </w:trPr>
        <w:tc>
          <w:tcPr>
            <w:tcW w:w="7320" w:type="dxa"/>
            <w:vAlign w:val="bottom"/>
            <w:gridSpan w:val="3"/>
          </w:tcPr>
          <w:p>
            <w:pPr>
              <w:ind w:left="180"/>
              <w:spacing w:after="0"/>
              <w:rPr>
                <w:sz w:val="20"/>
                <w:szCs w:val="20"/>
                <w:color w:val="auto"/>
              </w:rPr>
            </w:pPr>
            <w:r>
              <w:rPr>
                <w:rFonts w:ascii="Arial" w:cs="Arial" w:eastAsia="Arial" w:hAnsi="Arial"/>
                <w:sz w:val="18"/>
                <w:szCs w:val="18"/>
                <w:color w:val="auto"/>
              </w:rPr>
              <w:t>Deductible temporary differences related to: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Right-of-use assets and lease liabilities, net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Retirement benefit plan</w:t>
            </w:r>
          </w:p>
        </w:tc>
        <w:tc>
          <w:tcPr>
            <w:tcW w:w="1140" w:type="dxa"/>
            <w:vAlign w:val="bottom"/>
          </w:tcPr>
          <w:p>
            <w:pPr>
              <w:jc w:val="right"/>
              <w:spacing w:after="0"/>
              <w:rPr>
                <w:sz w:val="20"/>
                <w:szCs w:val="20"/>
                <w:color w:val="auto"/>
              </w:rPr>
            </w:pPr>
            <w:r>
              <w:rPr>
                <w:rFonts w:ascii="Arial" w:cs="Arial" w:eastAsia="Arial" w:hAnsi="Arial"/>
                <w:sz w:val="18"/>
                <w:szCs w:val="18"/>
                <w:color w:val="auto"/>
              </w:rPr>
              <w:t>7,098</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7,464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r>
      <w:tr>
        <w:trPr>
          <w:trHeight w:val="256"/>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204,250</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129,412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tax losses carry forwards of the Company and their respective expiry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15,231</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December 31, 2025</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48,894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48,894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48,894</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December 31, 2027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57,824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57,824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unrecorded tax loss carryforwards</w:t>
            </w:r>
          </w:p>
        </w:tc>
        <w:tc>
          <w:tcPr>
            <w:tcW w:w="1140" w:type="dxa"/>
            <w:vAlign w:val="bottom"/>
          </w:tcPr>
          <w:p>
            <w:pPr>
              <w:jc w:val="right"/>
              <w:spacing w:after="0"/>
              <w:rPr>
                <w:sz w:val="20"/>
                <w:szCs w:val="20"/>
                <w:color w:val="auto"/>
              </w:rPr>
            </w:pPr>
            <w:r>
              <w:rPr>
                <w:rFonts w:ascii="Arial" w:cs="Arial" w:eastAsia="Arial" w:hAnsi="Arial"/>
                <w:sz w:val="18"/>
                <w:szCs w:val="18"/>
                <w:color w:val="auto"/>
              </w:rPr>
              <w:t>197,153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121,949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64,125</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tax losses available for future offset against taxable profits have increased by CHF 75.2 million from 2020, representing the amount of tax losses that are additionally available as an offset, subject to expiration as disclosed in the table above, against future taxable income.</w:t>
      </w:r>
    </w:p>
    <w:p>
      <w:pPr>
        <w:spacing w:after="0" w:line="14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were not met at the balance sheet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benefit plan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47% and 53% by employee and employer, respectively.</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This plan is governed by the Swiss Law on Occupational Retirement, Survivors and Disability Pension Plans (BVG), which requires contributions to be made to a separately administered fund. The fund has the legal form of a foundation and it is governed by a board of trustees, which consists of an equal number of employer and employee representatives of its members. The board of trustees is responsible for the administration of the plan assets and for the definition of the investment strategy. The Company has no direct influence on the investment strategy of the foundation board.</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as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8" w:name="page199"/>
    <w:bookmarkEnd w:id="19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 For accounting purposes under IFRS, the plan is treated as a defined benefit plan in accordance with IAS 19.</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January 1, 2019, the Company changed from a fully insured plan to a plan for which the Company now bears investment and old age risks. The new plan has a higher statutory coverage ratio, which led to an increase in plan assets of 10% (CHF 1.2 million) for the year ended December 31, 2019. The increase is presented in Table B as part of the line “Return on plan assets excluding interest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status of the defined benefit pension plan and the amount that is recognized in the consolidated balance sheets: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26,791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22,749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19,139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amounts have been recorded as net pension cost in the consolidated statements of income/(loss):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Net pension cost</w:t>
            </w:r>
          </w:p>
        </w:tc>
        <w:tc>
          <w:tcPr>
            <w:tcW w:w="1140" w:type="dxa"/>
            <w:vAlign w:val="bottom"/>
          </w:tcPr>
          <w:p>
            <w:pPr>
              <w:jc w:val="right"/>
              <w:spacing w:after="0"/>
              <w:rPr>
                <w:sz w:val="20"/>
                <w:szCs w:val="20"/>
                <w:color w:val="auto"/>
              </w:rPr>
            </w:pPr>
            <w:r>
              <w:rPr>
                <w:rFonts w:ascii="Arial" w:cs="Arial" w:eastAsia="Arial" w:hAnsi="Arial"/>
                <w:sz w:val="18"/>
                <w:szCs w:val="18"/>
                <w:color w:val="auto"/>
              </w:rPr>
              <w:t>1,679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defined benefit obligation, fair value of plan assets and unrecognized gains/(losses)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In CHF thousands</w:t>
            </w:r>
          </w:p>
        </w:tc>
        <w:tc>
          <w:tcPr>
            <w:tcW w:w="2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obligation as of January 1</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Service cost</w:t>
            </w:r>
          </w:p>
        </w:tc>
        <w:tc>
          <w:tcPr>
            <w:tcW w:w="3800" w:type="dxa"/>
            <w:vAlign w:val="bottom"/>
            <w:gridSpan w:val="4"/>
          </w:tcPr>
          <w:p>
            <w:pPr>
              <w:jc w:val="right"/>
              <w:ind w:right="180"/>
              <w:spacing w:after="0"/>
              <w:rPr>
                <w:sz w:val="20"/>
                <w:szCs w:val="20"/>
                <w:color w:val="auto"/>
              </w:rPr>
            </w:pPr>
            <w:r>
              <w:rPr>
                <w:rFonts w:ascii="Arial" w:cs="Arial" w:eastAsia="Arial" w:hAnsi="Arial"/>
                <w:sz w:val="18"/>
                <w:szCs w:val="18"/>
                <w:color w:val="auto"/>
              </w:rPr>
              <w:t>(1,648)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(1,626)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3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Change in experience assumptions</w:t>
            </w:r>
          </w:p>
        </w:tc>
        <w:tc>
          <w:tcPr>
            <w:tcW w:w="3800" w:type="dxa"/>
            <w:vAlign w:val="bottom"/>
            <w:gridSpan w:val="4"/>
          </w:tcPr>
          <w:p>
            <w:pPr>
              <w:jc w:val="right"/>
              <w:ind w:right="180"/>
              <w:spacing w:after="0"/>
              <w:rPr>
                <w:sz w:val="20"/>
                <w:szCs w:val="20"/>
                <w:color w:val="auto"/>
              </w:rPr>
            </w:pPr>
            <w:r>
              <w:rPr>
                <w:rFonts w:ascii="Arial" w:cs="Arial" w:eastAsia="Arial" w:hAnsi="Arial"/>
                <w:sz w:val="18"/>
                <w:szCs w:val="18"/>
                <w:color w:val="auto"/>
              </w:rPr>
              <w:t>(252)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3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(894)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3800" w:type="dxa"/>
            <w:vAlign w:val="bottom"/>
            <w:gridSpan w:val="4"/>
          </w:tcPr>
          <w:p>
            <w:pPr>
              <w:jc w:val="right"/>
              <w:ind w:right="180"/>
              <w:spacing w:after="0"/>
              <w:rPr>
                <w:sz w:val="20"/>
                <w:szCs w:val="20"/>
                <w:color w:val="auto"/>
              </w:rPr>
            </w:pPr>
            <w:r>
              <w:rPr>
                <w:rFonts w:ascii="Arial" w:cs="Arial" w:eastAsia="Arial" w:hAnsi="Arial"/>
                <w:sz w:val="18"/>
                <w:szCs w:val="18"/>
                <w:color w:val="auto"/>
              </w:rPr>
              <w:t>(959)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r>
      <w:tr>
        <w:trPr>
          <w:trHeight w:val="256"/>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2420" w:type="dxa"/>
            <w:vAlign w:val="bottom"/>
            <w:tcBorders>
              <w:bottom w:val="single" w:sz="8" w:color="CCEEFF"/>
            </w:tcBorders>
            <w:gridSpan w:val="2"/>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(33,889)</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900" w:type="dxa"/>
            <w:vAlign w:val="bottom"/>
          </w:tcPr>
          <w:p>
            <w:pPr>
              <w:spacing w:after="0"/>
              <w:rPr>
                <w:sz w:val="24"/>
                <w:szCs w:val="24"/>
                <w:color w:val="auto"/>
              </w:rPr>
            </w:pPr>
          </w:p>
        </w:tc>
        <w:tc>
          <w:tcPr>
            <w:tcW w:w="3800" w:type="dxa"/>
            <w:vAlign w:val="bottom"/>
            <w:gridSpan w:val="4"/>
          </w:tcPr>
          <w:p>
            <w:pPr>
              <w:jc w:val="right"/>
              <w:ind w:right="2940"/>
              <w:spacing w:after="0"/>
              <w:rPr>
                <w:sz w:val="20"/>
                <w:szCs w:val="20"/>
                <w:color w:val="auto"/>
              </w:rPr>
            </w:pPr>
            <w:r>
              <w:rPr>
                <w:rFonts w:ascii="Arial" w:cs="Arial" w:eastAsia="Arial" w:hAnsi="Arial"/>
                <w:sz w:val="14"/>
                <w:szCs w:val="14"/>
                <w:color w:val="auto"/>
              </w:rPr>
              <w:t>F-34</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0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630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Employer’s contributions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Benefits deposited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Return on plan assets excluding 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57"/>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Expected contributions by the employer to be paid to the post-employment benefit plans during the annual period beginning after the end of the reporting period amount to approximately CHF 1.0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January 1</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pension cost through statement of income/(loss)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other comprehensive income/(loss)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Employer’s contribution</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(1,089)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220" w:type="dxa"/>
            <w:vAlign w:val="bottom"/>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220" w:type="dxa"/>
            <w:vAlign w:val="bottom"/>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22"/>
                <w:szCs w:val="22"/>
                <w:color w:val="auto"/>
              </w:rPr>
            </w:pPr>
          </w:p>
        </w:tc>
      </w:tr>
      <w:tr>
        <w:trPr>
          <w:trHeight w:val="425"/>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  Other comprehensive gains/(losses)</w:t>
            </w: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left="1030"/>
              <w:spacing w:after="0"/>
              <w:rPr>
                <w:sz w:val="20"/>
                <w:szCs w:val="20"/>
                <w:color w:val="auto"/>
              </w:rPr>
            </w:pPr>
            <w:r>
              <w:rPr>
                <w:rFonts w:ascii="Arial" w:cs="Arial" w:eastAsia="Arial" w:hAnsi="Arial"/>
                <w:sz w:val="18"/>
                <w:szCs w:val="18"/>
                <w:b w:val="1"/>
                <w:bCs w:val="1"/>
                <w:color w:val="auto"/>
                <w:w w:val="90"/>
              </w:rPr>
              <w:t>For the Years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290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changes in demographic assumptions</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changes in financial assumptions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(2,171)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experience assumptions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Return on plan assets excluding interest income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gain/(loss)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the insurance company (AXA). The investment strategy defined by the board of trustees follows a conservative profile.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duration of the defined benefit obligation is 17.1 years and 17.6 years as of December 31, 2021 and 2020, respectively.</w:t>
      </w:r>
    </w:p>
    <w:p>
      <w:pPr>
        <w:spacing w:after="0" w:line="2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years ended December 31, 2021, 2020 and 2019, respectively, are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61"/>
        </w:trPr>
        <w:tc>
          <w:tcPr>
            <w:tcW w:w="5040" w:type="dxa"/>
            <w:vAlign w:val="bottom"/>
            <w:gridSpan w:val="2"/>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40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Rate of future increase in compensations</w:t>
            </w:r>
          </w:p>
        </w:tc>
        <w:tc>
          <w:tcPr>
            <w:tcW w:w="3420" w:type="dxa"/>
            <w:vAlign w:val="bottom"/>
            <w:gridSpan w:val="3"/>
          </w:tcPr>
          <w:p>
            <w:pPr>
              <w:jc w:val="right"/>
              <w:ind w:right="30"/>
              <w:spacing w:after="0"/>
              <w:rPr>
                <w:sz w:val="20"/>
                <w:szCs w:val="20"/>
                <w:color w:val="auto"/>
              </w:rPr>
            </w:pPr>
            <w:r>
              <w:rPr>
                <w:rFonts w:ascii="Arial" w:cs="Arial" w:eastAsia="Arial" w:hAnsi="Arial"/>
                <w:sz w:val="18"/>
                <w:szCs w:val="18"/>
                <w:color w:val="auto"/>
              </w:rPr>
              <w:t>1.75%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Interest rate on retirement savings capital</w:t>
            </w:r>
          </w:p>
        </w:tc>
        <w:tc>
          <w:tcPr>
            <w:tcW w:w="3420" w:type="dxa"/>
            <w:vAlign w:val="bottom"/>
            <w:gridSpan w:val="3"/>
          </w:tcPr>
          <w:p>
            <w:pPr>
              <w:jc w:val="right"/>
              <w:ind w:right="30"/>
              <w:spacing w:after="0"/>
              <w:rPr>
                <w:sz w:val="20"/>
                <w:szCs w:val="20"/>
                <w:color w:val="auto"/>
              </w:rPr>
            </w:pPr>
            <w:r>
              <w:rPr>
                <w:rFonts w:ascii="Arial" w:cs="Arial" w:eastAsia="Arial" w:hAnsi="Arial"/>
                <w:sz w:val="18"/>
                <w:szCs w:val="18"/>
                <w:color w:val="auto"/>
              </w:rPr>
              <w:t>0.75%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Mortality and disability rates</w:t>
            </w:r>
          </w:p>
        </w:tc>
        <w:tc>
          <w:tcPr>
            <w:tcW w:w="3420" w:type="dxa"/>
            <w:vAlign w:val="bottom"/>
            <w:gridSpan w:val="3"/>
            <w:shd w:val="clear" w:color="auto" w:fill="CCEEFF"/>
          </w:tcPr>
          <w:p>
            <w:pPr>
              <w:jc w:val="center"/>
              <w:ind w:left="1630"/>
              <w:spacing w:after="0"/>
              <w:rPr>
                <w:sz w:val="20"/>
                <w:szCs w:val="20"/>
                <w:color w:val="auto"/>
              </w:rPr>
            </w:pPr>
            <w:r>
              <w:rPr>
                <w:rFonts w:ascii="Arial" w:cs="Arial" w:eastAsia="Arial" w:hAnsi="Arial"/>
                <w:sz w:val="18"/>
                <w:szCs w:val="18"/>
                <w:color w:val="auto"/>
                <w:w w:val="96"/>
              </w:rPr>
              <w:t>BVG 2020-CMI</w:t>
            </w:r>
          </w:p>
        </w:tc>
        <w:tc>
          <w:tcPr>
            <w:tcW w:w="1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BVG 2020-CMI</w:t>
            </w:r>
          </w:p>
        </w:tc>
        <w:tc>
          <w:tcPr>
            <w:tcW w:w="13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BVG 2015-CMI</w:t>
            </w:r>
          </w:p>
        </w:tc>
      </w:tr>
    </w:tbl>
    <w:p>
      <w:pPr>
        <w:spacing w:after="0" w:line="20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defining the benefits, the minimum requirements of the Swiss BVG and its implementing provisions must be observed. The BVG defines the minimum pensionable salary and the minimum retirement credits.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assumptions as of December 31, 2021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Interest rate on</w:t>
            </w:r>
          </w:p>
        </w:tc>
      </w:tr>
      <w:tr>
        <w:trPr>
          <w:trHeight w:val="241"/>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Discount rate</w:t>
            </w: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Future salary increase</w:t>
            </w:r>
          </w:p>
        </w:tc>
        <w:tc>
          <w:tcPr>
            <w:tcW w:w="2220" w:type="dxa"/>
            <w:vAlign w:val="bottom"/>
            <w:gridSpan w:val="4"/>
          </w:tcPr>
          <w:p>
            <w:pPr>
              <w:ind w:left="240"/>
              <w:spacing w:after="0"/>
              <w:rPr>
                <w:sz w:val="20"/>
                <w:szCs w:val="20"/>
                <w:color w:val="auto"/>
              </w:rPr>
            </w:pPr>
            <w:r>
              <w:rPr>
                <w:rFonts w:ascii="Arial" w:cs="Arial" w:eastAsia="Arial" w:hAnsi="Arial"/>
                <w:sz w:val="18"/>
                <w:szCs w:val="18"/>
                <w:b w:val="1"/>
                <w:bCs w:val="1"/>
                <w:color w:val="auto"/>
              </w:rPr>
              <w:t>Future pension cost</w:t>
            </w: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savings capital</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90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7"/>
                <w:szCs w:val="17"/>
                <w:color w:val="auto"/>
              </w:rPr>
            </w:pPr>
          </w:p>
        </w:tc>
      </w:tr>
      <w:tr>
        <w:trPr>
          <w:trHeight w:val="241"/>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Assumptions</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10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In CHF</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81"/>
              </w:rPr>
              <w:t>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Potential defined benefit</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31,190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34,578</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33,176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35,497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34,822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33,007</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Decrease/(increase) from</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actual defined benefit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obligation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2,699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713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(1,608)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assumptions as of December 31, 2020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Interest rate on</w:t>
            </w:r>
          </w:p>
        </w:tc>
      </w:tr>
      <w:tr>
        <w:trPr>
          <w:trHeight w:val="241"/>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Discount rate</w:t>
            </w:r>
          </w:p>
        </w:tc>
        <w:tc>
          <w:tcPr>
            <w:tcW w:w="22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Future salary increase</w:t>
            </w:r>
          </w:p>
        </w:tc>
        <w:tc>
          <w:tcPr>
            <w:tcW w:w="2220" w:type="dxa"/>
            <w:vAlign w:val="bottom"/>
            <w:gridSpan w:val="4"/>
          </w:tcPr>
          <w:p>
            <w:pPr>
              <w:ind w:left="240"/>
              <w:spacing w:after="0"/>
              <w:rPr>
                <w:sz w:val="20"/>
                <w:szCs w:val="20"/>
                <w:color w:val="auto"/>
              </w:rPr>
            </w:pPr>
            <w:r>
              <w:rPr>
                <w:rFonts w:ascii="Arial" w:cs="Arial" w:eastAsia="Arial" w:hAnsi="Arial"/>
                <w:sz w:val="18"/>
                <w:szCs w:val="18"/>
                <w:b w:val="1"/>
                <w:bCs w:val="1"/>
                <w:color w:val="auto"/>
              </w:rPr>
              <w:t>Future pension cost</w:t>
            </w:r>
          </w:p>
        </w:tc>
        <w:tc>
          <w:tcPr>
            <w:tcW w:w="2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savings capital</w:t>
            </w: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90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0.5%</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7"/>
                <w:szCs w:val="17"/>
                <w:color w:val="auto"/>
              </w:rPr>
            </w:pPr>
          </w:p>
        </w:tc>
        <w:tc>
          <w:tcPr>
            <w:tcW w:w="8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0.5%</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7"/>
                <w:szCs w:val="17"/>
                <w:color w:val="auto"/>
              </w:rPr>
            </w:pPr>
          </w:p>
        </w:tc>
      </w:tr>
      <w:tr>
        <w:trPr>
          <w:trHeight w:val="241"/>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Assumptions</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increase</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decrease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increase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decrease</w:t>
            </w:r>
          </w:p>
        </w:tc>
        <w:tc>
          <w:tcPr>
            <w:tcW w:w="10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Arial" w:cs="Arial" w:eastAsia="Arial" w:hAnsi="Arial"/>
                <w:sz w:val="18"/>
                <w:szCs w:val="18"/>
                <w:b w:val="1"/>
                <w:bCs w:val="1"/>
                <w:color w:val="auto"/>
              </w:rPr>
              <w:t>in CHF</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81"/>
              </w:rPr>
              <w:t>thousands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Potential defined benefit</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obligation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27,740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30,912</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29,519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31,652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r>
      <w:tr>
        <w:trPr>
          <w:trHeight w:val="202"/>
        </w:trPr>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Decrease/(increase) from</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actual defined benefit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obligation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2,473</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(2,867)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694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r>
    </w:tbl>
    <w:p>
      <w:pPr>
        <w:spacing w:after="0" w:line="202"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sensitivity analyses above are subject to limitations and have been determined based on a method that extrapolates the impact on net defined benefit obligation as a result of reasonable changes in key assumptions occurring at the end of the reporting period.</w:t>
      </w:r>
    </w:p>
    <w:p>
      <w:pPr>
        <w:spacing w:after="0" w:line="142" w:lineRule="exact"/>
        <w:rPr>
          <w:sz w:val="20"/>
          <w:szCs w:val="20"/>
          <w:color w:val="auto"/>
        </w:rPr>
      </w:pPr>
    </w:p>
    <w:p>
      <w:pPr>
        <w:ind w:left="340" w:right="8860" w:hanging="332"/>
        <w:spacing w:after="0" w:line="603" w:lineRule="auto"/>
        <w:tabs>
          <w:tab w:leader="none" w:pos="340"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Share-based option awards</w:t>
      </w:r>
    </w:p>
    <w:p>
      <w:pPr>
        <w:spacing w:after="0" w:line="1"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6"/>
          <w:szCs w:val="16"/>
          <w:color w:val="auto"/>
        </w:rPr>
        <w:t>Through the year ended December 31, 2021, there are equity-based instruments outstanding that the Company has granted under four different plans.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December 31,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equity-settled share option grants for plans that existed during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options awarded</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3240" w:type="dxa"/>
            <w:vAlign w:val="bottom"/>
          </w:tcPr>
          <w:p>
            <w:pPr>
              <w:ind w:left="1380"/>
              <w:spacing w:after="0"/>
              <w:rPr>
                <w:sz w:val="20"/>
                <w:szCs w:val="20"/>
                <w:color w:val="auto"/>
              </w:rPr>
            </w:pPr>
            <w:r>
              <w:rPr>
                <w:rFonts w:ascii="Arial" w:cs="Arial" w:eastAsia="Arial" w:hAnsi="Arial"/>
                <w:sz w:val="18"/>
                <w:szCs w:val="18"/>
                <w:b w:val="1"/>
                <w:bCs w:val="1"/>
                <w:color w:val="auto"/>
              </w:rPr>
              <w:t>PLAN</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(since inception)</w:t>
            </w:r>
          </w:p>
        </w:tc>
        <w:tc>
          <w:tcPr>
            <w:tcW w:w="3240" w:type="dxa"/>
            <w:vAlign w:val="bottom"/>
          </w:tcPr>
          <w:p>
            <w:pPr>
              <w:ind w:left="920"/>
              <w:spacing w:after="0"/>
              <w:rPr>
                <w:sz w:val="20"/>
                <w:szCs w:val="20"/>
                <w:color w:val="auto"/>
              </w:rPr>
            </w:pPr>
            <w:r>
              <w:rPr>
                <w:rFonts w:ascii="Arial" w:cs="Arial" w:eastAsia="Arial" w:hAnsi="Arial"/>
                <w:sz w:val="18"/>
                <w:szCs w:val="18"/>
                <w:b w:val="1"/>
                <w:bCs w:val="1"/>
                <w:color w:val="auto"/>
              </w:rPr>
              <w:t>Vesting conditions</w:t>
            </w:r>
          </w:p>
        </w:tc>
        <w:tc>
          <w:tcPr>
            <w:tcW w:w="10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8"/>
              </w:rPr>
              <w:t>life of options</w:t>
            </w:r>
          </w:p>
        </w:tc>
      </w:tr>
      <w:tr>
        <w:trPr>
          <w:trHeight w:val="216"/>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option plan C1</w:t>
            </w: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6,775,250</w:t>
            </w:r>
          </w:p>
        </w:tc>
        <w:tc>
          <w:tcPr>
            <w:tcW w:w="120" w:type="dxa"/>
            <w:vAlign w:val="bottom"/>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100" w:type="dxa"/>
            <w:vAlign w:val="bottom"/>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2016 SOIP:</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Executives and directors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1 year, 3 year and 4 years’ service from the</w:t>
            </w: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10 years</w:t>
            </w:r>
          </w:p>
        </w:tc>
      </w:tr>
      <w:tr>
        <w:trPr>
          <w:trHeight w:val="230"/>
        </w:trPr>
        <w:tc>
          <w:tcPr>
            <w:tcW w:w="32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2,643,984</w:t>
            </w: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date of grant, quarterly and annually</w:t>
            </w:r>
          </w:p>
        </w:tc>
        <w:tc>
          <w:tcPr>
            <w:tcW w:w="1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4 years’ service from the date of grant,</w:t>
            </w:r>
          </w:p>
        </w:tc>
        <w:tc>
          <w:tcPr>
            <w:tcW w:w="100" w:type="dxa"/>
            <w:vAlign w:val="bottom"/>
          </w:tcPr>
          <w:p>
            <w:pPr>
              <w:spacing w:after="0"/>
              <w:rPr>
                <w:sz w:val="17"/>
                <w:szCs w:val="17"/>
                <w:color w:val="auto"/>
              </w:rPr>
            </w:pPr>
          </w:p>
        </w:tc>
        <w:tc>
          <w:tcPr>
            <w:tcW w:w="3160" w:type="dxa"/>
            <w:vAlign w:val="bottom"/>
          </w:tcPr>
          <w:p>
            <w:pPr>
              <w:jc w:val="center"/>
              <w:spacing w:after="0" w:line="201" w:lineRule="exact"/>
              <w:rPr>
                <w:sz w:val="20"/>
                <w:szCs w:val="20"/>
                <w:color w:val="auto"/>
              </w:rPr>
            </w:pPr>
            <w:r>
              <w:rPr>
                <w:rFonts w:ascii="Arial" w:cs="Arial" w:eastAsia="Arial" w:hAnsi="Arial"/>
                <w:sz w:val="18"/>
                <w:szCs w:val="18"/>
                <w:color w:val="auto"/>
                <w:w w:val="86"/>
              </w:rPr>
              <w:t>10 years</w:t>
            </w:r>
          </w:p>
        </w:tc>
      </w:tr>
      <w:tr>
        <w:trPr>
          <w:trHeight w:val="230"/>
        </w:trPr>
        <w:tc>
          <w:tcPr>
            <w:tcW w:w="324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1,354,431</w:t>
            </w:r>
          </w:p>
        </w:tc>
        <w:tc>
          <w:tcPr>
            <w:tcW w:w="3240" w:type="dxa"/>
            <w:vAlign w:val="bottom"/>
          </w:tcPr>
          <w:p>
            <w:pPr>
              <w:ind w:left="160"/>
              <w:spacing w:after="0"/>
              <w:rPr>
                <w:sz w:val="20"/>
                <w:szCs w:val="20"/>
                <w:color w:val="auto"/>
              </w:rPr>
            </w:pPr>
            <w:r>
              <w:rPr>
                <w:rFonts w:ascii="Arial" w:cs="Arial" w:eastAsia="Arial" w:hAnsi="Arial"/>
                <w:sz w:val="18"/>
                <w:szCs w:val="18"/>
                <w:color w:val="auto"/>
              </w:rPr>
              <w:t>annually</w:t>
            </w: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1" w:name="page202"/>
    <w:bookmarkEnd w:id="20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and weighted-average exercise prices (in CHF) of options under the share option programs for Plans C1 and the 2016 SOIP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price (CHF)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1,618,856</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79"/>
              </w:rPr>
              <w:t>4.25</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(73,699)</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(616,833)</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1,053,305</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1,981,629</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79"/>
              </w:rPr>
              <w:t>5.93</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Exercisable at December 31, 2019</w:t>
            </w:r>
          </w:p>
        </w:tc>
        <w:tc>
          <w:tcPr>
            <w:tcW w:w="1160" w:type="dxa"/>
            <w:vAlign w:val="bottom"/>
          </w:tcPr>
          <w:p>
            <w:pPr>
              <w:jc w:val="right"/>
              <w:spacing w:after="0"/>
              <w:rPr>
                <w:sz w:val="20"/>
                <w:szCs w:val="20"/>
                <w:color w:val="auto"/>
              </w:rPr>
            </w:pPr>
            <w:r>
              <w:rPr>
                <w:rFonts w:ascii="Arial" w:cs="Arial" w:eastAsia="Arial" w:hAnsi="Arial"/>
                <w:sz w:val="18"/>
                <w:szCs w:val="18"/>
                <w:color w:val="auto"/>
              </w:rPr>
              <w:t>602,218</w:t>
            </w: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1,981,629</w:t>
            </w: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79"/>
              </w:rPr>
              <w:t>5.93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(53,591)</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6.03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(26,729)</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(73,669)</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1,073,027</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1160" w:type="dxa"/>
            <w:vAlign w:val="bottom"/>
          </w:tcPr>
          <w:p>
            <w:pPr>
              <w:jc w:val="right"/>
              <w:spacing w:after="0"/>
              <w:rPr>
                <w:sz w:val="20"/>
                <w:szCs w:val="20"/>
                <w:color w:val="auto"/>
              </w:rPr>
            </w:pPr>
            <w:r>
              <w:rPr>
                <w:rFonts w:ascii="Arial" w:cs="Arial" w:eastAsia="Arial" w:hAnsi="Arial"/>
                <w:sz w:val="18"/>
                <w:szCs w:val="18"/>
                <w:color w:val="auto"/>
              </w:rPr>
              <w:t>2,900,667</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December 31, 2020</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1,099,015</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79"/>
              </w:rPr>
              <w:t>5.49</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Outstanding at January 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2,900,667</w:t>
            </w: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(207,331)</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6.13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(218,561)</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4.97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1,110,914</w:t>
            </w: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at December 31, 2021</w:t>
            </w:r>
          </w:p>
        </w:tc>
        <w:tc>
          <w:tcPr>
            <w:tcW w:w="1160" w:type="dxa"/>
            <w:vAlign w:val="bottom"/>
          </w:tcPr>
          <w:p>
            <w:pPr>
              <w:jc w:val="right"/>
              <w:spacing w:after="0"/>
              <w:rPr>
                <w:sz w:val="20"/>
                <w:szCs w:val="20"/>
                <w:color w:val="auto"/>
              </w:rPr>
            </w:pPr>
            <w:r>
              <w:rPr>
                <w:rFonts w:ascii="Arial" w:cs="Arial" w:eastAsia="Arial" w:hAnsi="Arial"/>
                <w:sz w:val="18"/>
                <w:szCs w:val="18"/>
                <w:color w:val="auto"/>
              </w:rPr>
              <w:t>3,585,689</w:t>
            </w:r>
          </w:p>
        </w:tc>
        <w:tc>
          <w:tcPr>
            <w:tcW w:w="220" w:type="dxa"/>
            <w:vAlign w:val="bottom"/>
          </w:tcPr>
          <w:p>
            <w:pPr>
              <w:spacing w:after="0"/>
              <w:rPr>
                <w:sz w:val="19"/>
                <w:szCs w:val="19"/>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6.21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December 31, 2021</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1,613,242</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right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79"/>
              </w:rPr>
              <w:t>6.13</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700" w:type="dxa"/>
            <w:vAlign w:val="bottom"/>
            <w:gridSpan w:val="3"/>
          </w:tcPr>
          <w:p>
            <w:pPr>
              <w:ind w:left="340"/>
              <w:spacing w:after="0"/>
              <w:rPr>
                <w:sz w:val="20"/>
                <w:szCs w:val="20"/>
                <w:color w:val="auto"/>
              </w:rPr>
            </w:pPr>
            <w:r>
              <w:rPr>
                <w:rFonts w:ascii="Arial" w:cs="Arial" w:eastAsia="Arial" w:hAnsi="Arial"/>
                <w:sz w:val="18"/>
                <w:szCs w:val="18"/>
                <w:color w:val="auto"/>
              </w:rPr>
              <w:t>The outstanding stock options as of December 31, 2021 have the following range of exercise prices: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Range of</w:t>
            </w: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expiration</w:t>
            </w:r>
          </w:p>
        </w:tc>
      </w:tr>
      <w:tr>
        <w:trPr>
          <w:trHeight w:val="241"/>
        </w:trPr>
        <w:tc>
          <w:tcPr>
            <w:tcW w:w="7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 options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dates</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Range of exercise prices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CHF 0.15</w:t>
            </w:r>
          </w:p>
        </w:tc>
        <w:tc>
          <w:tcPr>
            <w:tcW w:w="1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208,125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2022–2026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CHF 9.53</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223,646</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USD 5.04 to USD 12.30</w:t>
            </w:r>
          </w:p>
        </w:tc>
        <w:tc>
          <w:tcPr>
            <w:tcW w:w="1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3,153,918</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2028–2031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outstanding options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3,585,689</w:t>
            </w:r>
          </w:p>
        </w:tc>
        <w:tc>
          <w:tcPr>
            <w:tcW w:w="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weighted-average exercise price for options granted in 2021, 2020 and 2019 is USD 6.95 (CHF 6.34), USD 7.11 (CHF 6.29) and USD 5.41 (CHF 5.24), respectively. The range of exercise prices for outstanding options was CHF 0.15 to CHF 9.53 for awards previously granted in CHF (prior to 2018) and USD 5.04 to USD 12.30 for awards granted in USD as of December 31, 2021.</w:t>
      </w:r>
    </w:p>
    <w:p>
      <w:pPr>
        <w:spacing w:after="0" w:line="18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Prior to the IPO, the exercise price was set by the board of directors. The volatility is based on the historical trend of an appropriate sample of companies operating in the pharmaceutical and biopharmaceutical industries. The risk-free interest rate is based on the CHF swap rate for the expected life of the option. The weighted-average share price of common share options exercised in 2021 is USD 7.26 (CHF 6.62).</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2" w:name="page203"/>
    <w:bookmarkEnd w:id="20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weighted-average grant date fair values of the options granted in 2021, 2020 and 2019 are USD 5.23 (CHF 4.78), USD 5.25 (CHF 4.65) and USD 3.71 (CHF 3.59), respectively. The following table illustrates the weighted-average assumptions for the Black-Scholes option-pricing model used in determining the fair value of these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7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Exercise price (USD)</w:t>
            </w:r>
          </w:p>
        </w:tc>
        <w:tc>
          <w:tcPr>
            <w:tcW w:w="1100" w:type="dxa"/>
            <w:vAlign w:val="bottom"/>
          </w:tcPr>
          <w:p>
            <w:pPr>
              <w:jc w:val="right"/>
              <w:spacing w:after="0"/>
              <w:rPr>
                <w:sz w:val="20"/>
                <w:szCs w:val="20"/>
                <w:color w:val="auto"/>
              </w:rPr>
            </w:pPr>
            <w:r>
              <w:rPr>
                <w:rFonts w:ascii="Arial" w:cs="Arial" w:eastAsia="Arial" w:hAnsi="Arial"/>
                <w:sz w:val="18"/>
                <w:szCs w:val="18"/>
                <w:color w:val="auto"/>
              </w:rPr>
              <w:t>5.31-7.72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5.04-9.16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5.15-5.54</w:t>
            </w:r>
          </w:p>
        </w:tc>
        <w:tc>
          <w:tcPr>
            <w:tcW w:w="2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 price (weighted average)</w:t>
            </w:r>
          </w:p>
        </w:tc>
        <w:tc>
          <w:tcPr>
            <w:tcW w:w="1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6.95</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0 %</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5.1-6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 awards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summary of non-vested share awards (restricted share and restricted share units) activity as of December 31, 2021 and changes during the year then ended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non-vested</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9"/>
              </w:rPr>
              <w:t>life of non-</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7"/>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Grantee type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granted</w:t>
            </w:r>
          </w:p>
        </w:tc>
        <w:tc>
          <w:tcPr>
            <w:tcW w:w="3280" w:type="dxa"/>
            <w:vAlign w:val="bottom"/>
          </w:tcPr>
          <w:p>
            <w:pPr>
              <w:ind w:left="940"/>
              <w:spacing w:after="0"/>
              <w:rPr>
                <w:sz w:val="20"/>
                <w:szCs w:val="20"/>
                <w:color w:val="auto"/>
              </w:rPr>
            </w:pPr>
            <w:r>
              <w:rPr>
                <w:rFonts w:ascii="Arial" w:cs="Arial" w:eastAsia="Arial" w:hAnsi="Arial"/>
                <w:sz w:val="18"/>
                <w:szCs w:val="18"/>
                <w:b w:val="1"/>
                <w:bCs w:val="1"/>
                <w:color w:val="auto"/>
              </w:rPr>
              <w:t>Vesting conditions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awards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share units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83,864</w:t>
            </w: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1 year service from date of grant, annually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490"/>
              <w:spacing w:after="0"/>
              <w:rPr>
                <w:sz w:val="20"/>
                <w:szCs w:val="20"/>
                <w:color w:val="auto"/>
              </w:rPr>
            </w:pPr>
            <w:r>
              <w:rPr>
                <w:rFonts w:ascii="Arial" w:cs="Arial" w:eastAsia="Arial" w:hAnsi="Arial"/>
                <w:sz w:val="18"/>
                <w:szCs w:val="18"/>
                <w:color w:val="auto"/>
                <w:w w:val="86"/>
              </w:rPr>
              <w:t>10 years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Executives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4 years’ service from the date of grant,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3"/>
          </w:tcPr>
          <w:p>
            <w:pPr>
              <w:jc w:val="center"/>
              <w:ind w:left="490"/>
              <w:spacing w:after="0" w:line="201" w:lineRule="exact"/>
              <w:rPr>
                <w:sz w:val="20"/>
                <w:szCs w:val="20"/>
                <w:color w:val="auto"/>
              </w:rPr>
            </w:pPr>
            <w:r>
              <w:rPr>
                <w:rFonts w:ascii="Arial" w:cs="Arial" w:eastAsia="Arial" w:hAnsi="Arial"/>
                <w:sz w:val="18"/>
                <w:szCs w:val="18"/>
                <w:color w:val="auto"/>
                <w:w w:val="86"/>
              </w:rPr>
              <w:t>10 years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110,839</w:t>
            </w:r>
          </w:p>
        </w:tc>
        <w:tc>
          <w:tcPr>
            <w:tcW w:w="3280" w:type="dxa"/>
            <w:vAlign w:val="bottom"/>
          </w:tcPr>
          <w:p>
            <w:pPr>
              <w:ind w:left="160"/>
              <w:spacing w:after="0"/>
              <w:rPr>
                <w:sz w:val="20"/>
                <w:szCs w:val="20"/>
                <w:color w:val="auto"/>
              </w:rPr>
            </w:pPr>
            <w:r>
              <w:rPr>
                <w:rFonts w:ascii="Arial" w:cs="Arial" w:eastAsia="Arial" w:hAnsi="Arial"/>
                <w:sz w:val="18"/>
                <w:szCs w:val="18"/>
                <w:color w:val="auto"/>
              </w:rPr>
              <w:t>quarterly</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non-vested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 date fair</w:t>
            </w:r>
          </w:p>
        </w:tc>
      </w:tr>
      <w:tr>
        <w:trPr>
          <w:trHeight w:val="241"/>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value (CHF)</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color w:val="auto"/>
              </w:rPr>
              <w:t>(66,278)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23"/>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88"/>
              </w:rPr>
              <w:t>Vested and exercisable at December 31, 2019</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130,290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r>
      <w:tr>
        <w:trPr>
          <w:trHeight w:val="20"/>
        </w:trPr>
        <w:tc>
          <w:tcPr>
            <w:tcW w:w="3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color w:val="auto"/>
              </w:rPr>
              <w:t>(11,828)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(7,804)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color w:val="auto"/>
              </w:rPr>
              <w:t>(84,638)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color w:val="auto"/>
              </w:rPr>
              <w:t>(23,269)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r>
      <w:tr>
        <w:trPr>
          <w:trHeight w:val="223"/>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88"/>
              </w:rPr>
              <w:t>Vested and exercisable at December 31, 2020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49,289</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
        </w:trPr>
        <w:tc>
          <w:tcPr>
            <w:tcW w:w="3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8"/>
                <w:szCs w:val="18"/>
                <w:color w:val="auto"/>
              </w:rPr>
              <w:t>(2,471)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(18,697)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Non-vested at December 31, 2021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56"/>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Vested and exercisable at December 31, 2021</w:t>
            </w: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did not grant restricted share awards in 2021, 2020 or 2019, respectively. The weighted-average grant date fair values of the remaining non-vested share awards as of the respective year end (restricted shares and restricted share units) was CHF 9.41, CHF 9.51 and CHF 9.52 for the years ended December 31, 2021, 2020 and 2019, respectively. These fair values of non-vested share awards granted have been determined using a reasonable estimate of market value of the common shares on the date of the award.</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03" w:name="page204"/>
    <w:bookmarkEnd w:id="20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expense charged against the income statement was CHF 4.1 million, CHF 4.1 million and CHF 2.8 million for the years ended December 31, 2021, 2020 and 2019, respectively. The expense is revised by the Company based on the number of instruments that are expected to become exercisable.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2021, external research projects included in the schedule below for 2022 total CHF 19.4 million that have been committed.</w:t>
      </w:r>
    </w:p>
    <w:p>
      <w:pPr>
        <w:spacing w:after="0" w:line="149"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We lease our corporate, laboratory and other facilities under multiple leases at the EPFL Innovation Park in Ecublens, near Lausanne, Canton of Vaud, Switzerland. Our lease agreements have no termination clauses longer than a 12-month contractual notice period. Since January 1, 2019, the Company has applied IFRS 16 and recognized a right-of-use asset for its leases, except for short-term and low-value leases as indicated in Note 3. See “Note 5. Right-of-use assets and lease liabilities” for the contractual undiscounted cash flows for lease obligations.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320" w:type="dxa"/>
            <w:vAlign w:val="bottom"/>
            <w:tcBorders>
              <w:bottom w:val="single" w:sz="8" w:color="auto"/>
            </w:tcBorders>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Between 1 and 3 years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 and 5 years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More than 5 years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57"/>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23,699</w:t>
            </w:r>
          </w:p>
        </w:tc>
        <w:tc>
          <w:tcPr>
            <w:tcW w:w="220" w:type="dxa"/>
            <w:vAlign w:val="bottom"/>
            <w:tcBorders>
              <w:left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100" w:type="dxa"/>
            <w:vAlign w:val="bottom"/>
            <w:shd w:val="clear" w:color="auto" w:fill="CCEEFF"/>
          </w:tcPr>
          <w:p>
            <w:pPr>
              <w:spacing w:after="0"/>
              <w:rPr>
                <w:sz w:val="22"/>
                <w:szCs w:val="22"/>
                <w:color w:val="auto"/>
              </w:rPr>
            </w:pPr>
          </w:p>
        </w:tc>
      </w:tr>
      <w:tr>
        <w:trPr>
          <w:trHeight w:val="42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20. Earnings per share</w:t>
            </w: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For the Years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gridSpan w:val="2"/>
          </w:tcPr>
          <w:p>
            <w:pPr>
              <w:ind w:left="150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8"/>
        </w:trPr>
        <w:tc>
          <w:tcPr>
            <w:tcW w:w="72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Basic income/(loss) per share (EPS):</w:t>
            </w: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(72,996)</w:t>
            </w: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number of shares outstanding to equity 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70,603,611</w:t>
            </w: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Basic income/(loss) for the period attributable to equity holders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r>
      <w:tr>
        <w:trPr>
          <w:trHeight w:val="21"/>
        </w:trPr>
        <w:tc>
          <w:tcPr>
            <w:tcW w:w="73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(72,996)</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45,442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Weighted-average number of shares outstanding to equity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70,603,611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 of dilutive securities from equity incentive plans</w:t>
            </w:r>
          </w:p>
        </w:tc>
        <w:tc>
          <w:tcPr>
            <w:tcW w:w="13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499,730</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74,951,833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71,900,212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71,103,341</w:t>
            </w:r>
          </w:p>
        </w:tc>
      </w:tr>
      <w:tr>
        <w:trPr>
          <w:trHeight w:val="27"/>
        </w:trPr>
        <w:tc>
          <w:tcPr>
            <w:tcW w:w="7320" w:type="dxa"/>
            <w:vAlign w:val="bottom"/>
            <w:gridSpan w:val="2"/>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0"/>
                <w:szCs w:val="20"/>
                <w:color w:val="auto"/>
              </w:rPr>
            </w:pPr>
          </w:p>
        </w:tc>
      </w:tr>
      <w:tr>
        <w:trPr>
          <w:trHeight w:val="20"/>
        </w:trPr>
        <w:tc>
          <w:tcPr>
            <w:tcW w:w="7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periods for which we have a loss, basic net loss per share is the same as diluted net loss per share. We have excluded from our calculation of diluted loss per share all potentially dilutive in-the-money (i) share options, (ii) non-vested restricted share awards and (iii) shares that were issued upon conversion of two different convertible notes as their inclusion would have been anti-dilutive. Potentially dilutive securities that were not included in the diluted per share calculations because they would be anti-dilutive were as follows: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options issued and outstanding (in-the-money)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1,140,388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412,191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Restricted share awards subject to future vesting</w:t>
            </w:r>
          </w:p>
        </w:tc>
        <w:tc>
          <w:tcPr>
            <w:tcW w:w="1140" w:type="dxa"/>
            <w:vAlign w:val="bottom"/>
          </w:tcPr>
          <w:p>
            <w:pPr>
              <w:jc w:val="right"/>
              <w:spacing w:after="0"/>
              <w:rPr>
                <w:sz w:val="20"/>
                <w:szCs w:val="20"/>
                <w:color w:val="auto"/>
              </w:rPr>
            </w:pPr>
            <w:r>
              <w:rPr>
                <w:rFonts w:ascii="Arial" w:cs="Arial" w:eastAsia="Arial" w:hAnsi="Arial"/>
                <w:sz w:val="18"/>
                <w:szCs w:val="18"/>
                <w:color w:val="auto"/>
              </w:rPr>
              <w:t>6,264</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28,418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911,261</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1,188,113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440,609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1,993,097</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risk management</w:t>
      </w:r>
    </w:p>
    <w:p>
      <w:pPr>
        <w:spacing w:after="0" w:line="22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financial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financial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116,000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228,779</w:t>
            </w:r>
          </w:p>
        </w:tc>
        <w:tc>
          <w:tcPr>
            <w:tcW w:w="100" w:type="dxa"/>
            <w:vAlign w:val="bottom"/>
          </w:tcPr>
          <w:p>
            <w:pPr>
              <w:spacing w:after="0"/>
              <w:rPr>
                <w:sz w:val="18"/>
                <w:szCs w:val="18"/>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ind w:left="358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lease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1120" w:type="dxa"/>
            <w:vAlign w:val="bottom"/>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Short-term lease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with lesser balances of EUR and USD (see “Note 8. Cash and cash equivalents and financial assets”). The Company recognized a loss of CHF 0.1 million, CHF 0.7 million and CHF 0.8 million for the years ended December 31, 2021, 2020 and 2019, respectively, within “Finance result, net.”</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December 31, 2021, if the CHF had strengthened/weakened by 10% against the EUR and the USD with all other variables held constant, the net loss for the period would have been lower/higher by CHF 1.7 million (2020: CHF 0.8 million), mainly as a result of foreign exchange gains/losses on predominantly EUR/USD denominated cash and cash equivalents and short-term financial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5" w:name="page206"/>
    <w:bookmarkEnd w:id="20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CHF cash holdings (inclusive of those held in short-term financial assets) are subject to negative interest rates at certain counterparty thresholds. As of December 31, 2021 if the interest rates charged by the counterparties had increased/decreased by 10%, the net income for the period would have been higher/lower by less than CHF 0.2 million. Interest income and interest expense are recorded within finance results, net in our consolidated statements of income/(loss).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maintains a formal treasury risk and investment management policy to limit counterparty credit risk. As of December 31, 2021, the Company’s cash and cash equivalents and short-term financial assets are held with five financial institutions, each with a high credit rating ranging from A-to A+ assigned by international credit-rating agencies. The maximum amount of credit risk is the carrying amount of the financial assets. Trade and other receivables are fully performing, not past due and not impaired (see “Note 8. Cash and cash equivalents and financial assets” and “Note 10. Other current receivables”).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pharmaceutical and biopharmaceutical industries, (iii) acquire and keep key personnel employed and (iv) acquire additional capital to support its operations.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CHF 2.0 million in trade and other payables, which are due within 12 months from the reporting date. Finally, as it relates to the Company’s lease liabilities please see “Note 5. Right-of-use assets and lease liabilities” for detail of when corresponding lease liabilities are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Capital risk management</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(i) AD, (ii) focused non-Alzheimer’s neurodegenerative diseases including NeuroOrphan indications and (iii) diagnostics.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Management has evaluated subsequent events after the balance sheet date, through the issuance of these consolidated financial statements, for appropriate accounting and disclosures. The Company has determined that there were no other such events that warrant disclosure or recognition in these consolidated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80" w:type="dxa"/>
            <w:vAlign w:val="bottom"/>
            <w:tcBorders>
              <w:top w:val="single" w:sz="8" w:color="auto"/>
              <w:left w:val="single" w:sz="8" w:color="auto"/>
            </w:tcBorders>
          </w:tcPr>
          <w:p>
            <w:pPr>
              <w:spacing w:after="0"/>
              <w:rPr>
                <w:sz w:val="19"/>
                <w:szCs w:val="19"/>
                <w:color w:val="auto"/>
              </w:rPr>
            </w:pPr>
          </w:p>
        </w:tc>
        <w:tc>
          <w:tcPr>
            <w:tcW w:w="4920" w:type="dxa"/>
            <w:vAlign w:val="bottom"/>
            <w:tcBorders>
              <w:top w:val="single" w:sz="8" w:color="auto"/>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ARTICLES OF ASSOCIATION</w:t>
            </w:r>
          </w:p>
        </w:tc>
        <w:tc>
          <w:tcPr>
            <w:tcW w:w="280" w:type="dxa"/>
            <w:vAlign w:val="bottom"/>
            <w:tcBorders>
              <w:top w:val="single" w:sz="8" w:color="auto"/>
              <w:right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920" w:type="dxa"/>
            <w:vAlign w:val="bottom"/>
            <w:tcBorders>
              <w:top w:val="single" w:sz="8" w:color="auto"/>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3"/>
              </w:rPr>
              <w:t>STATUTS</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of</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5"/>
              </w:rPr>
              <w:t>de</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5"/>
              </w:rPr>
              <w:t>AC Immune SA</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3"/>
              </w:rPr>
              <w:t>AC Immune SA</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7"/>
              </w:rPr>
              <w:t>(AC Immune AG)</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5"/>
              </w:rPr>
              <w:t>(AC Immune AG)</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6"/>
              </w:rPr>
              <w:t>(AC Immune Ltd)</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6"/>
              </w:rPr>
              <w:t>(AC Immune Ltd)</w:t>
            </w: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89"/>
              </w:rPr>
              <w:t>with registered office in</w:t>
            </w:r>
          </w:p>
        </w:tc>
        <w:tc>
          <w:tcPr>
            <w:tcW w:w="2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4"/>
              </w:rPr>
              <w:t>avec siège à</w:t>
            </w:r>
          </w:p>
        </w:tc>
        <w:tc>
          <w:tcPr>
            <w:tcW w:w="0" w:type="dxa"/>
            <w:vAlign w:val="bottom"/>
          </w:tcPr>
          <w:p>
            <w:pPr>
              <w:spacing w:after="0"/>
              <w:rPr>
                <w:sz w:val="1"/>
                <w:szCs w:val="1"/>
                <w:color w:val="auto"/>
              </w:rPr>
            </w:pPr>
          </w:p>
        </w:tc>
      </w:tr>
      <w:tr>
        <w:trPr>
          <w:trHeight w:val="418"/>
        </w:trPr>
        <w:tc>
          <w:tcPr>
            <w:tcW w:w="58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Ecublens (VD)</w:t>
            </w:r>
          </w:p>
        </w:tc>
        <w:tc>
          <w:tcPr>
            <w:tcW w:w="2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1"/>
              </w:rPr>
              <w:t>Ecublens (VD)</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The French version of these articles of association shall</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Borders>
              <w:left w:val="single" w:sz="8" w:color="auto"/>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prevail.</w:t>
            </w:r>
          </w:p>
        </w:tc>
        <w:tc>
          <w:tcPr>
            <w:tcW w:w="2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jc w:val="center"/>
              <w:ind w:right="490"/>
              <w:spacing w:after="0"/>
              <w:rPr>
                <w:sz w:val="20"/>
                <w:szCs w:val="20"/>
                <w:color w:val="auto"/>
              </w:rPr>
            </w:pPr>
            <w:r>
              <w:rPr>
                <w:rFonts w:ascii="Arial" w:cs="Arial" w:eastAsia="Arial" w:hAnsi="Arial"/>
                <w:sz w:val="18"/>
                <w:szCs w:val="18"/>
                <w:color w:val="auto"/>
                <w:w w:val="90"/>
              </w:rPr>
              <w:t>La version française de ces statuts fait foi.</w:t>
            </w:r>
          </w:p>
        </w:tc>
        <w:tc>
          <w:tcPr>
            <w:tcW w:w="0" w:type="dxa"/>
            <w:vAlign w:val="bottom"/>
          </w:tcPr>
          <w:p>
            <w:pPr>
              <w:spacing w:after="0"/>
              <w:rPr>
                <w:sz w:val="1"/>
                <w:szCs w:val="1"/>
                <w:color w:val="auto"/>
              </w:rPr>
            </w:pPr>
          </w:p>
        </w:tc>
      </w:tr>
      <w:tr>
        <w:trPr>
          <w:trHeight w:val="198"/>
        </w:trPr>
        <w:tc>
          <w:tcPr>
            <w:tcW w:w="580" w:type="dxa"/>
            <w:vAlign w:val="bottom"/>
            <w:tcBorders>
              <w:lef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I.</w:t>
            </w:r>
          </w:p>
        </w:tc>
        <w:tc>
          <w:tcPr>
            <w:tcW w:w="492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CORPORATE NAME, PRINCIPAL OFFICE, DURATION</w:t>
            </w:r>
          </w:p>
        </w:tc>
        <w:tc>
          <w:tcPr>
            <w:tcW w:w="280" w:type="dxa"/>
            <w:vAlign w:val="bottom"/>
            <w:tcBorders>
              <w:right w:val="single" w:sz="8" w:color="auto"/>
            </w:tcBorders>
          </w:tcPr>
          <w:p>
            <w:pPr>
              <w:spacing w:after="0"/>
              <w:rPr>
                <w:sz w:val="17"/>
                <w:szCs w:val="17"/>
                <w:color w:val="auto"/>
              </w:rPr>
            </w:pPr>
          </w:p>
        </w:tc>
        <w:tc>
          <w:tcPr>
            <w:tcW w:w="540" w:type="dxa"/>
            <w:vAlign w:val="bottom"/>
          </w:tcPr>
          <w:p>
            <w:pPr>
              <w:spacing w:after="0" w:line="198" w:lineRule="exact"/>
              <w:rPr>
                <w:sz w:val="20"/>
                <w:szCs w:val="20"/>
                <w:color w:val="auto"/>
              </w:rPr>
            </w:pPr>
            <w:r>
              <w:rPr>
                <w:rFonts w:ascii="Arial" w:cs="Arial" w:eastAsia="Arial" w:hAnsi="Arial"/>
                <w:sz w:val="18"/>
                <w:szCs w:val="18"/>
                <w:b w:val="1"/>
                <w:bCs w:val="1"/>
                <w:color w:val="auto"/>
              </w:rPr>
              <w:t>I.</w:t>
            </w:r>
          </w:p>
        </w:tc>
        <w:tc>
          <w:tcPr>
            <w:tcW w:w="492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RAISON SOCIALE, SIÈGE, DURÉE ET BUT DE LA</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AND PURPOSE OF THE COMPANY</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SOCIÉTÉ</w:t>
            </w: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1   Corporate Name and Duration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1   Raison sociale et durée</w:t>
            </w:r>
          </w:p>
        </w:tc>
        <w:tc>
          <w:tcPr>
            <w:tcW w:w="0" w:type="dxa"/>
            <w:vAlign w:val="bottom"/>
          </w:tcPr>
          <w:p>
            <w:pPr>
              <w:spacing w:after="0"/>
              <w:rPr>
                <w:sz w:val="1"/>
                <w:szCs w:val="1"/>
                <w:color w:val="auto"/>
              </w:rPr>
            </w:pPr>
          </w:p>
        </w:tc>
      </w:tr>
      <w:tr>
        <w:trPr>
          <w:trHeight w:val="399"/>
        </w:trPr>
        <w:tc>
          <w:tcPr>
            <w:tcW w:w="58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Under the name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Sous la raison sociale</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3"/>
              </w:rPr>
              <w:t>AC Immune SA</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5"/>
              </w:rPr>
              <w:t>(AC Immune AG)</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5"/>
              </w:rPr>
              <w:t>AC Immune SA</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6"/>
              </w:rPr>
              <w:t>(AC Immune Ltd)</w:t>
            </w:r>
          </w:p>
        </w:tc>
        <w:tc>
          <w:tcPr>
            <w:tcW w:w="2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20" w:type="dxa"/>
            <w:vAlign w:val="bottom"/>
            <w:tcBorders>
              <w:right w:val="single" w:sz="8" w:color="auto"/>
            </w:tcBorders>
          </w:tcPr>
          <w:p>
            <w:pPr>
              <w:jc w:val="center"/>
              <w:ind w:right="470"/>
              <w:spacing w:after="0"/>
              <w:rPr>
                <w:sz w:val="20"/>
                <w:szCs w:val="20"/>
                <w:color w:val="auto"/>
              </w:rPr>
            </w:pPr>
            <w:r>
              <w:rPr>
                <w:rFonts w:ascii="Arial" w:cs="Arial" w:eastAsia="Arial" w:hAnsi="Arial"/>
                <w:sz w:val="18"/>
                <w:szCs w:val="18"/>
                <w:color w:val="auto"/>
                <w:w w:val="95"/>
              </w:rPr>
              <w:t>(AC Immune AG)</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0"/>
              </w:rPr>
              <w:t xml:space="preserve">there exists a Company pursuant to the provisions of Articles 620 </w:t>
            </w:r>
            <w:r>
              <w:rPr>
                <w:rFonts w:ascii="Arial" w:cs="Arial" w:eastAsia="Arial" w:hAnsi="Arial"/>
                <w:sz w:val="18"/>
                <w:szCs w:val="18"/>
                <w:i w:val="1"/>
                <w:iCs w:val="1"/>
                <w:color w:val="auto"/>
                <w:w w:val="90"/>
              </w:rPr>
              <w:t>et seq.</w:t>
            </w:r>
            <w:r>
              <w:rPr>
                <w:rFonts w:ascii="Arial" w:cs="Arial" w:eastAsia="Arial" w:hAnsi="Arial"/>
                <w:sz w:val="18"/>
                <w:szCs w:val="18"/>
                <w:color w:val="auto"/>
                <w:w w:val="90"/>
              </w:rPr>
              <w:t xml:space="preserve"> of</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92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4"/>
              </w:rPr>
              <w:t>(AC Immune Ltd)</w:t>
            </w: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2"/>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the Swiss Code of Obligations (CO) with registered office in Ecublens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il existe une société conformément aux articles 620 ss. du Code des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(VD). The duration of the Company is unlimited.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Obligations suisse (CO) ayant son siège à Ecublens (VD). La durée de la</w:t>
            </w:r>
          </w:p>
        </w:tc>
        <w:tc>
          <w:tcPr>
            <w:tcW w:w="0" w:type="dxa"/>
            <w:vAlign w:val="bottom"/>
          </w:tcPr>
          <w:p>
            <w:pPr>
              <w:spacing w:after="0"/>
              <w:rPr>
                <w:sz w:val="1"/>
                <w:szCs w:val="1"/>
                <w:color w:val="auto"/>
              </w:rPr>
            </w:pPr>
          </w:p>
        </w:tc>
      </w:tr>
      <w:tr>
        <w:trPr>
          <w:trHeight w:val="237"/>
        </w:trPr>
        <w:tc>
          <w:tcPr>
            <w:tcW w:w="580" w:type="dxa"/>
            <w:vAlign w:val="bottom"/>
            <w:tcBorders>
              <w:left w:val="single" w:sz="8" w:color="auto"/>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société est illimitée.</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Purpose</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Art. 2</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But</w:t>
            </w:r>
          </w:p>
        </w:tc>
        <w:tc>
          <w:tcPr>
            <w:tcW w:w="0" w:type="dxa"/>
            <w:vAlign w:val="bottom"/>
          </w:tcPr>
          <w:p>
            <w:pPr>
              <w:spacing w:after="0"/>
              <w:rPr>
                <w:sz w:val="1"/>
                <w:szCs w:val="1"/>
                <w:color w:val="auto"/>
              </w:rPr>
            </w:pP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The  purpose  of  the  Company  is  the  research,  study,  development,</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Le but de la société est la recherche, les études, le développement, la</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manufacture, promotion, sale and marketing of products and substances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fabrication, la promotion, la vente et le marketing des produits et des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within the pharmaceutical and nutrition industry as well as the purchase,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substances au sein de l’industrie pharmaceutique et de la nutrition ainsi que</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sale and exploitation of patents and licenses in this field.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l’achat, la vente et l’exploitation de brevets et de licences dans ce domaine.</w:t>
            </w: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8"/>
              </w:rPr>
              <w:t>The Company may engage in any activities which are apt to favor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9"/>
              </w:rPr>
              <w:t>La société peut se livrer à des activités qui sont de nature à favoriser</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purpose of the Company directly or indirectly. The Company may also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directement  ou  indirectement  le  but  de  la  société.  La  société  peut</w:t>
            </w: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acquire and sell real estate.</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également acquérir et vendre des biens immobiliers.</w:t>
            </w:r>
          </w:p>
        </w:tc>
        <w:tc>
          <w:tcPr>
            <w:tcW w:w="0" w:type="dxa"/>
            <w:vAlign w:val="bottom"/>
          </w:tcPr>
          <w:p>
            <w:pPr>
              <w:spacing w:after="0"/>
              <w:rPr>
                <w:sz w:val="1"/>
                <w:szCs w:val="1"/>
                <w:color w:val="auto"/>
              </w:rPr>
            </w:pPr>
          </w:p>
        </w:tc>
      </w:tr>
      <w:tr>
        <w:trPr>
          <w:trHeight w:val="425"/>
        </w:trPr>
        <w:tc>
          <w:tcPr>
            <w:tcW w:w="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207" w:name="page208"/>
    <w:bookmarkEnd w:id="2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0"/>
              </w:rPr>
              <w:t>The Company may open branch offices in Switzerland and abroad and may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La société peut ouvrir des succursales en Suisse et à l’étranger et peut</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also acquire participations in other companies.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également acquérir des participations dans d’autres sociétés.</w:t>
            </w: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The Company may provide securities to its subsidiaries and supply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9"/>
              </w:rPr>
              <w:t>La  société  peut  fournir  des  titres  à  ses  filiales  et  des  garanties</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guarantees.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d’approvisionnement.</w:t>
            </w:r>
          </w:p>
        </w:tc>
        <w:tc>
          <w:tcPr>
            <w:tcW w:w="0" w:type="dxa"/>
            <w:vAlign w:val="bottom"/>
          </w:tcPr>
          <w:p>
            <w:pPr>
              <w:spacing w:after="0"/>
              <w:rPr>
                <w:sz w:val="1"/>
                <w:szCs w:val="1"/>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48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II.</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 CAPITAL AND SHARES</w:t>
            </w:r>
          </w:p>
        </w:tc>
        <w:tc>
          <w:tcPr>
            <w:tcW w:w="280" w:type="dxa"/>
            <w:vAlign w:val="bottom"/>
            <w:tcBorders>
              <w:right w:val="single" w:sz="8" w:color="auto"/>
            </w:tcBorders>
          </w:tcPr>
          <w:p>
            <w:pPr>
              <w:spacing w:after="0"/>
              <w:rPr>
                <w:sz w:val="20"/>
                <w:szCs w:val="20"/>
                <w:color w:val="auto"/>
              </w:rPr>
            </w:pPr>
          </w:p>
        </w:tc>
        <w:tc>
          <w:tcPr>
            <w:tcW w:w="640" w:type="dxa"/>
            <w:vAlign w:val="bottom"/>
            <w:vMerge w:val="restart"/>
          </w:tcPr>
          <w:p>
            <w:pPr>
              <w:spacing w:after="0"/>
              <w:rPr>
                <w:sz w:val="20"/>
                <w:szCs w:val="20"/>
                <w:color w:val="auto"/>
              </w:rPr>
            </w:pPr>
            <w:r>
              <w:rPr>
                <w:rFonts w:ascii="Arial" w:cs="Arial" w:eastAsia="Arial" w:hAnsi="Arial"/>
                <w:sz w:val="18"/>
                <w:szCs w:val="18"/>
                <w:b w:val="1"/>
                <w:bCs w:val="1"/>
                <w:color w:val="auto"/>
              </w:rPr>
              <w:t>II.</w:t>
            </w:r>
          </w:p>
        </w:tc>
        <w:tc>
          <w:tcPr>
            <w:tcW w:w="4820" w:type="dxa"/>
            <w:vAlign w:val="bottom"/>
            <w:tcBorders>
              <w:right w:val="single" w:sz="8" w:color="auto"/>
            </w:tcBorders>
            <w:vMerge w:val="restart"/>
          </w:tcPr>
          <w:p>
            <w:pPr>
              <w:jc w:val="right"/>
              <w:ind w:right="1879"/>
              <w:spacing w:after="0"/>
              <w:rPr>
                <w:sz w:val="20"/>
                <w:szCs w:val="20"/>
                <w:color w:val="auto"/>
              </w:rPr>
            </w:pPr>
            <w:r>
              <w:rPr>
                <w:rFonts w:ascii="Arial" w:cs="Arial" w:eastAsia="Arial" w:hAnsi="Arial"/>
                <w:sz w:val="18"/>
                <w:szCs w:val="18"/>
                <w:b w:val="1"/>
                <w:bCs w:val="1"/>
                <w:color w:val="auto"/>
              </w:rPr>
              <w:t>CAPITAL-ACTIONS ET ACTIONS</w:t>
            </w:r>
          </w:p>
        </w:tc>
        <w:tc>
          <w:tcPr>
            <w:tcW w:w="0" w:type="dxa"/>
            <w:vAlign w:val="bottom"/>
          </w:tcPr>
          <w:p>
            <w:pPr>
              <w:spacing w:after="0"/>
              <w:rPr>
                <w:sz w:val="1"/>
                <w:szCs w:val="1"/>
                <w:color w:val="auto"/>
              </w:rPr>
            </w:pPr>
          </w:p>
        </w:tc>
      </w:tr>
      <w:tr>
        <w:trPr>
          <w:trHeight w:val="90"/>
        </w:trPr>
        <w:tc>
          <w:tcPr>
            <w:tcW w:w="680" w:type="dxa"/>
            <w:vAlign w:val="bottom"/>
            <w:tcBorders>
              <w:left w:val="single" w:sz="8" w:color="auto"/>
            </w:tcBorders>
          </w:tcPr>
          <w:p>
            <w:pPr>
              <w:spacing w:after="0"/>
              <w:rPr>
                <w:sz w:val="7"/>
                <w:szCs w:val="7"/>
                <w:color w:val="auto"/>
              </w:rPr>
            </w:pPr>
          </w:p>
        </w:tc>
        <w:tc>
          <w:tcPr>
            <w:tcW w:w="48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4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500" w:type="dxa"/>
            <w:vAlign w:val="bottom"/>
            <w:tcBorders>
              <w:left w:val="single" w:sz="8" w:color="auto"/>
              <w:bottom w:val="single" w:sz="8" w:color="auto"/>
              <w:right w:val="single" w:sz="8" w:color="auto"/>
            </w:tcBorders>
            <w:gridSpan w:val="2"/>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546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   Share Capital and Shares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   Capital-actions et actions</w:t>
            </w:r>
          </w:p>
        </w:tc>
        <w:tc>
          <w:tcPr>
            <w:tcW w:w="0" w:type="dxa"/>
            <w:vAlign w:val="bottom"/>
          </w:tcPr>
          <w:p>
            <w:pPr>
              <w:spacing w:after="0"/>
              <w:rPr>
                <w:sz w:val="1"/>
                <w:szCs w:val="1"/>
                <w:color w:val="auto"/>
              </w:rPr>
            </w:pP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The Share Capital of the Company is CHF 1'792'702.30. It is divided into</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Le capital-actions de la société se monte à CHF 1'792'702.30. Il est divisé</w:t>
            </w:r>
          </w:p>
        </w:tc>
        <w:tc>
          <w:tcPr>
            <w:tcW w:w="0" w:type="dxa"/>
            <w:vAlign w:val="bottom"/>
          </w:tcPr>
          <w:p>
            <w:pPr>
              <w:spacing w:after="0"/>
              <w:rPr>
                <w:sz w:val="1"/>
                <w:szCs w:val="1"/>
                <w:color w:val="auto"/>
              </w:rPr>
            </w:pPr>
          </w:p>
        </w:tc>
      </w:tr>
      <w:tr>
        <w:trPr>
          <w:trHeight w:val="217"/>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89'635'115 registered shares with a nominal value of CHF 0.02 each, fully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en 89'635'115 actions nominatives d'une valeur nominale de CHF 0.02</w:t>
            </w:r>
          </w:p>
        </w:tc>
        <w:tc>
          <w:tcPr>
            <w:tcW w:w="0" w:type="dxa"/>
            <w:vAlign w:val="bottom"/>
          </w:tcPr>
          <w:p>
            <w:pPr>
              <w:spacing w:after="0"/>
              <w:rPr>
                <w:sz w:val="1"/>
                <w:szCs w:val="1"/>
                <w:color w:val="auto"/>
              </w:rPr>
            </w:pPr>
          </w:p>
        </w:tc>
      </w:tr>
      <w:tr>
        <w:trPr>
          <w:trHeight w:val="230"/>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paid-in.</w:t>
            </w:r>
          </w:p>
        </w:tc>
        <w:tc>
          <w:tcPr>
            <w:tcW w:w="482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chacune, entièrement libérées.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According to the contribution in kind agreement dated October 12th, 2021,</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Selon contrat d’apport du 12 octobre 2021, la Société acquiert de Affiris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the  Company  acquires  from  Affiris  AG  (FN  240538),  a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AG (FN 240538), société de droit autrichien ayant son siège à Vienne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incorporated under Austrian law with its registered office in Vienna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(Autriche) les droits liés à des brevets, dépôts de brevets, marques et</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(Austria), the rights related to patents, patent applications, trademarks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savoir-faire. Cet apport est fait et accepté pour le prix de USD 53'702'500.-</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know-how. This contribution is made and accepted for the price of USD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 et payé par la remise à l'apporteur d’un total de 6'501'513 actions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53,702,500.--, and paid by the delivery to the contributor of a total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nominatives de la Société d'une valeur nominale de CHF 0.02 chacune,</w:t>
            </w:r>
          </w:p>
        </w:tc>
        <w:tc>
          <w:tcPr>
            <w:tcW w:w="0" w:type="dxa"/>
            <w:vAlign w:val="bottom"/>
          </w:tcPr>
          <w:p>
            <w:pPr>
              <w:spacing w:after="0"/>
              <w:rPr>
                <w:sz w:val="1"/>
                <w:szCs w:val="1"/>
                <w:color w:val="auto"/>
              </w:rPr>
            </w:pPr>
          </w:p>
        </w:tc>
      </w:tr>
      <w:tr>
        <w:trPr>
          <w:trHeight w:val="25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6,501,513 fully paid up registered shares of the Company with a nominal</w:t>
            </w:r>
          </w:p>
        </w:tc>
        <w:tc>
          <w:tcPr>
            <w:tcW w:w="28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entièrement libérées.</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value of CHF 0.02 each.</w:t>
            </w:r>
          </w:p>
        </w:tc>
        <w:tc>
          <w:tcPr>
            <w:tcW w:w="2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3a  Augmentation autorisée du capital-actions</w:t>
            </w: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1"/>
              </w:rPr>
              <w:t>(abrogé)</w:t>
            </w:r>
          </w:p>
        </w:tc>
        <w:tc>
          <w:tcPr>
            <w:tcW w:w="48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1"/>
              </w:rPr>
              <w:t>(abrogé)</w:t>
            </w:r>
          </w:p>
        </w:tc>
        <w:tc>
          <w:tcPr>
            <w:tcW w:w="4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0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00" w:type="dxa"/>
            <w:vAlign w:val="bottom"/>
            <w:tcBorders>
              <w:left w:val="single" w:sz="8" w:color="auto"/>
              <w:right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w w:val="99"/>
              </w:rPr>
              <w:t>Art. 3b  Conditional Capital Increase for Bonds and Similar Debt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5"/>
              </w:rPr>
              <w:t>Art. 3b Augmentation  conditionnelle  du  capital-actions  pour  les</w:t>
            </w:r>
          </w:p>
        </w:tc>
        <w:tc>
          <w:tcPr>
            <w:tcW w:w="0" w:type="dxa"/>
            <w:vAlign w:val="bottom"/>
          </w:tcPr>
          <w:p>
            <w:pPr>
              <w:spacing w:after="0"/>
              <w:rPr>
                <w:sz w:val="1"/>
                <w:szCs w:val="1"/>
                <w:color w:val="auto"/>
              </w:rPr>
            </w:pPr>
          </w:p>
        </w:tc>
      </w:tr>
      <w:tr>
        <w:trPr>
          <w:trHeight w:val="23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Instruments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obligations et instruments de dettes similaire</w:t>
            </w: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9"/>
              </w:rPr>
              <w:t>The share capital of the Company shall be increased by a maximum</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Le capital-actions de la société peut être augmenté d'un montant maximum</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amount of</w:t>
            </w:r>
          </w:p>
        </w:tc>
        <w:tc>
          <w:tcPr>
            <w:tcW w:w="280" w:type="dxa"/>
            <w:vAlign w:val="bottom"/>
            <w:tcBorders>
              <w:right w:val="single" w:sz="8" w:color="auto"/>
            </w:tcBorders>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de</w:t>
            </w:r>
          </w:p>
        </w:tc>
        <w:tc>
          <w:tcPr>
            <w:tcW w:w="4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CHF 31'028.26 through the issue of a maximum of 1’551’413 registered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CHF  31'028.26  par  l'émission  d'un  maximum  de  1’551’413  actions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shares, payable in full, each with a nominal value of CHF 0.02 through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nominatives, d'une valeur nominale de CHF 0.02 chacune, à libérer</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exercise  of  conversion  and/or  option  or  warrant  rights  granted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entièrement, suite à l'exercice de droits de conversion et/ou d'option ou de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connection with bonds or similar instruments, issued or to be issued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bons  de  souscription  accordés  en  relation  avec  des  obligations  ou</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Company or by subsidiaries of the Company, including convertible debt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d'instruments similaires, émis ou devant être émis par la société ou par des</w:t>
            </w: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instruments.</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filiales de la société, y compris les instruments d'emprunt convertibles.</w:t>
            </w:r>
          </w:p>
        </w:tc>
        <w:tc>
          <w:tcPr>
            <w:tcW w:w="0" w:type="dxa"/>
            <w:vAlign w:val="bottom"/>
          </w:tcPr>
          <w:p>
            <w:pPr>
              <w:spacing w:after="0"/>
              <w:rPr>
                <w:sz w:val="1"/>
                <w:szCs w:val="1"/>
                <w:color w:val="auto"/>
              </w:rPr>
            </w:pPr>
          </w:p>
        </w:tc>
      </w:tr>
      <w:tr>
        <w:trPr>
          <w:trHeight w:val="439"/>
        </w:trPr>
        <w:tc>
          <w:tcPr>
            <w:tcW w:w="6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80"/>
              <w:spacing w:after="0"/>
              <w:rPr>
                <w:sz w:val="20"/>
                <w:szCs w:val="20"/>
                <w:color w:val="auto"/>
              </w:rPr>
            </w:pPr>
            <w:r>
              <w:rPr>
                <w:rFonts w:ascii="Arial" w:cs="Arial" w:eastAsia="Arial" w:hAnsi="Arial"/>
                <w:sz w:val="10"/>
                <w:szCs w:val="10"/>
                <w:color w:val="auto"/>
                <w:w w:val="71"/>
              </w:rPr>
              <w:t>3</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1"/>
              </w:rPr>
              <w:t>Shareholders'  subscription  rights  are  excluded.  Shareholders'  advance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Le droit de souscription préférentiel des actionnaires est exclu. Les droits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subscription rights with regard to the new bonds or similar instruments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de souscription préférentiels préalables des actionnaires à l'égard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may be restricted or excluded by decision of the Board of Directors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nouvelles obligations ou instruments similaires peuvent être limités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order to finance or re-finance the acquisition of companies, parts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exclus par décision du conseil d'administration afin de financer ou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companies or holdings, or new investments planned by the Company, or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refinancer l'acquisition d'entreprises, parts d'entreprises ou de holdings,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order to issue convertible bonds and warrants on the international capital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de nouveaux investissements prévus par la société, ou en vue d'émettre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markets or through private placement. If advance subscription rights are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obligations convertibles et des bons de souscription sur les marchés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excluded, then (1) the instruments are to be placed at market conditions,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internationaux de capitaux ou par placement privé. Si les droits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(2) the exercise period is not to exceed ten years from the date of issue for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souscription  préférentiels  préalables  sont  exclus,  (1)  les  instruments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warrants and twenty years for conversion rights and (3) the conversion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doivent être attribués aux conditions du marché, (2) la période d'exercice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exercise price for the new shares is to be set at least in line with the market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ne doit pas dépasser dix ans à partir de la date d'émission des bons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conditions prevailing at the date on which the instruments are issued.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souscription et vingt ans pour les droits de conversion et (3) le prix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respective holders of conversion and/or option or warrant rights are entitled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conversion ou d'exercice des actions nouvelles doit être fixé au moins aux</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subscribe the new shares.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conditions du marché prévalant à la date à laquelle les instruments sont</w:t>
            </w:r>
          </w:p>
        </w:tc>
      </w:tr>
      <w:tr>
        <w:trPr>
          <w:trHeight w:val="216"/>
        </w:trPr>
        <w:tc>
          <w:tcPr>
            <w:tcW w:w="550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émis. Les détenteurs respectifs de droits de conversion et/ou option ou de</w:t>
            </w:r>
          </w:p>
        </w:tc>
      </w:tr>
      <w:tr>
        <w:trPr>
          <w:trHeight w:val="230"/>
        </w:trPr>
        <w:tc>
          <w:tcPr>
            <w:tcW w:w="550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bons de souscription ont le droit de souscrire les nouvelles actions.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5"/>
              </w:rPr>
              <w:t>The acquisition of registered shares through the exercise of conversion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L'acquisition d'actions nominatives par l'exercice de droits ou de bons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rights or warrants and any transfers of registered shares shall be subject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conversion et les transferts d'actions nominatives sont assujetties aux</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restrictions specified in Article 4 of the Articles of Association.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restrictions prévues par l'article 4 des statuts.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198"/>
        </w:trPr>
        <w:tc>
          <w:tcPr>
            <w:tcW w:w="5500" w:type="dxa"/>
            <w:vAlign w:val="bottom"/>
            <w:tcBorders>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8"/>
              </w:rPr>
              <w:t>Art. 3c  Conditional Share Capital Increase for Employee Benefit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9"/>
              </w:rPr>
              <w:t>Art. 3c  Augmentation conditionnelle du capital-actions pour les</w:t>
            </w:r>
          </w:p>
        </w:tc>
      </w:tr>
      <w:tr>
        <w:trPr>
          <w:trHeight w:val="234"/>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Plans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plans d'avantages sociaux</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6"/>
              </w:rPr>
              <w:t>The share capital of the Company shall be increased by an amount not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88"/>
              </w:rPr>
              <w:t>Le capital social de la société sera augmenté d'un montant ne dépassant pas</w:t>
            </w:r>
          </w:p>
        </w:tc>
      </w:tr>
      <w:tr>
        <w:trPr>
          <w:trHeight w:val="217"/>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exceeding CHF 61'533.68 through the issue of a maximum of 3'076'684</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CHF  61'533.68  par  l'émission  d'un  maximum  de  3'076'684  actions</w:t>
            </w:r>
          </w:p>
        </w:tc>
      </w:tr>
      <w:tr>
        <w:trPr>
          <w:trHeight w:val="229"/>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registered shares, payable in full, each with a nominal value of CHF 0.02,</w:t>
            </w:r>
          </w:p>
        </w:tc>
        <w:tc>
          <w:tcPr>
            <w:tcW w:w="28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nominatives, entièrement libérées, chacune avec une valeur nominale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in connection with the exercise of option rights granted to any employee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CHF 0.02, dans le cadre de l'exercice de droits d'option accordés à tout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the Company or a subsidiary, and any consultant, members of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employé de la Société ou d'une succursale, et à tout consultant, aux</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Directors,  or  other  person  providing  services  to  the  Company  or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membres du conseil d'administration, ou à d'autres personnes fournissant</w:t>
            </w:r>
          </w:p>
        </w:tc>
      </w:tr>
      <w:tr>
        <w:trPr>
          <w:trHeight w:val="277"/>
        </w:trPr>
        <w:tc>
          <w:tcPr>
            <w:tcW w:w="5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subsidiary.</w:t>
            </w:r>
          </w:p>
        </w:tc>
        <w:tc>
          <w:tcPr>
            <w:tcW w:w="2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des services en faveur de la Société ou d'une filiale.</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09" w:name="page210"/>
    <w:bookmarkEnd w:id="2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5"/>
              </w:rPr>
              <w:t>Shareholders' subscription rights shall be excluded with regard to these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Le droit de souscription préférentiel des actionnaires est exclu à l'égard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shares. These new registered shares may be issued at a price below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ces actions. Ces nouvelles actions nominatives peuvent être émises à 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current market price. The Board of Directors shall specify the precise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prix inférieur au prix du marché actuel. Le conseil d'administration doit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conditions of issue including the issue price of the shares.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préciser les conditions précises d'émission, y compris le prix d'émission</w:t>
            </w:r>
          </w:p>
        </w:tc>
      </w:tr>
      <w:tr>
        <w:trPr>
          <w:trHeight w:val="237"/>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des actions.</w:t>
            </w: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7"/>
              </w:rPr>
              <w:t>The  acquisition  of  registered  shares  in  connection  with  employee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L'acquisition d'actions nominatives dans le cadre de la participation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participation and any further transfers of registered shares shall be subject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employés et d'autres transferts d'actions nominatives sont soumis aux</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the restrictions specified in Article 4 of the Articles of Association.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restrictions prévues à l'article 4 des statuts.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r>
      <w:tr>
        <w:trPr>
          <w:trHeight w:val="234"/>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4   Share Register</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Art. 4</w:t>
            </w:r>
          </w:p>
        </w:tc>
        <w:tc>
          <w:tcPr>
            <w:tcW w:w="4880" w:type="dxa"/>
            <w:vAlign w:val="bottom"/>
            <w:tcBorders>
              <w:right w:val="single" w:sz="8" w:color="auto"/>
            </w:tcBorders>
          </w:tcPr>
          <w:p>
            <w:pPr>
              <w:jc w:val="right"/>
              <w:ind w:right="3159"/>
              <w:spacing w:after="0"/>
              <w:rPr>
                <w:sz w:val="20"/>
                <w:szCs w:val="20"/>
                <w:color w:val="auto"/>
              </w:rPr>
            </w:pPr>
            <w:r>
              <w:rPr>
                <w:rFonts w:ascii="Arial" w:cs="Arial" w:eastAsia="Arial" w:hAnsi="Arial"/>
                <w:sz w:val="18"/>
                <w:szCs w:val="18"/>
                <w:b w:val="1"/>
                <w:bCs w:val="1"/>
                <w:color w:val="auto"/>
                <w:w w:val="91"/>
              </w:rPr>
              <w:t>Registre des actions</w:t>
            </w:r>
          </w:p>
        </w:tc>
      </w:tr>
      <w:tr>
        <w:trPr>
          <w:trHeight w:val="399"/>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The Company shall maintain a share register in which it shall register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La société tient un registre des actions nominatives, dans lequel sont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name, first name and place of residence (in case of legal persons the place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inscrits le nom, le prénom et l'adresse (dans le cas d'une personne morale,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of incorporation) of the owners and usufructuaries of its registered shares.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le siège) des propriétaires et des usufruitiers des actions. Les personnes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Natural and legal persons as well as legal representatives of minors etc.</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physiques et morales ainsi que les représentants légaux des mineurs etc.</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entitled by law to the voting rights of a share which they do not own will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autorisés par la loi à voter alors qu'ils ne sont pas propriétaires des actions</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 noted in the share register upon request.</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seront, sur demande, inscrits dans le registre des actions.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Upon request, acquirers of shares will be registered in the share register</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Sur demande, les acquéreurs d'actions seront inscrits dans le registre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without limitation as shareholders if they expressly certify that they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actions sans limitation comme actionnaires s'ils attestent expressément</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acquired the shares in their own name and for their own account.</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qu'ils ont acquis les actions en leur propre nom et pour leur propre compte.</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Persons who do not expressly declare in the registration application that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Les  personnes  qui  ne  déclarent  pas  expressément  dans  la  demande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they are holding the shares on their own account (thereafter: nominees)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d'inscription qu'ils détiennent les actions pour leur propre compte (par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shall forthwith be entered on the share register as shareholders with voting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suite: les candidats) doivent immédiatement être inscrits dans le registre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rights up to a maximum of 3 percent of the share capital. Beyond that limit,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des actions comme actionnaires avec droit de vote pour un maximum de 3</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shares of nominees shall only be entered as voting if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pour  cent  du  capital-actions.  Au-delà  de  cette  limite,  les  actions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nominees in question confirm in writing that they are willing to disclose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nominatives des candidats ne sont inscrites avec droit de vote que si 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the names, addresses and shareholdings of the persons on whose account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candidats en question confirment par écrit qu'ils sont prêts à divulguer 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they hold 0.5 percent or more of the share capital. The Board of Directors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noms, adresses et participations des personnes pour le compte desquelles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concludes agreements with nominees that among other things govern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ils  détiennent  0,5  pour  cent  ou  plus  du  capital-actions.  Le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representation of shareholders and the voting rights.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d'administration conclut des accords avec les candidats qui, entre autres</w:t>
            </w:r>
          </w:p>
        </w:tc>
      </w:tr>
      <w:tr>
        <w:trPr>
          <w:trHeight w:val="237"/>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2"/>
              </w:rPr>
              <w:t>choses, régissent la représentation des actionnaires et des droits de vote.</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0" w:name="page211"/>
    <w:bookmarkEnd w:id="2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80"/>
              <w:spacing w:after="0"/>
              <w:rPr>
                <w:sz w:val="20"/>
                <w:szCs w:val="20"/>
                <w:color w:val="auto"/>
              </w:rPr>
            </w:pPr>
            <w:r>
              <w:rPr>
                <w:rFonts w:ascii="Arial" w:cs="Arial" w:eastAsia="Arial" w:hAnsi="Arial"/>
                <w:sz w:val="10"/>
                <w:szCs w:val="10"/>
                <w:color w:val="auto"/>
                <w:w w:val="71"/>
              </w:rPr>
              <w:t>5</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0"/>
              </w:rPr>
              <w:t>After hearing the registered shareholder or nominee, the Board of Directors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Après avoir entendu l'actionnaire enregistré ou le candidat, le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may remove entries in the share register with retroactive effect as per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d'administration peut supprimer des inscriptions dans le registre des actions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date of entry, if such entry was based on false information. The party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avec effet rétroactif à la date d'inscription, si cette inscription était basée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affected must be informed of such removal immediately.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sur de fausses informations. La partie touchée doit être immédiatement</w:t>
            </w:r>
          </w:p>
        </w:tc>
      </w:tr>
      <w:tr>
        <w:trPr>
          <w:trHeight w:val="230"/>
        </w:trPr>
        <w:tc>
          <w:tcPr>
            <w:tcW w:w="550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informée de cette suppression.</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  individual  or  legal  entity  may,  directly  or  indirectly,  formally,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Aucune  personne  physique  ou  morale  ne  peut,  directement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constructively or beneficially own (as defined in the next paragraph below)</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indirectement, formellement ou implicitement détenir à son profit (comme</w:t>
            </w:r>
          </w:p>
        </w:tc>
      </w:tr>
      <w:tr>
        <w:trPr>
          <w:trHeight w:val="20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or otherwise control voting rights ("Controlled Shares") with respect to 33</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défini dans le paragraphe ci-dessous) ou, d'une autre manière, contrôler le</w:t>
            </w:r>
          </w:p>
        </w:tc>
      </w:tr>
      <w:tr>
        <w:trPr>
          <w:trHeight w:val="226"/>
        </w:trPr>
        <w:tc>
          <w:tcPr>
            <w:tcW w:w="5500" w:type="dxa"/>
            <w:vAlign w:val="bottom"/>
            <w:tcBorders>
              <w:left w:val="single" w:sz="8" w:color="auto"/>
              <w:right w:val="single" w:sz="8" w:color="auto"/>
            </w:tcBorders>
          </w:tcPr>
          <w:p>
            <w:pPr>
              <w:ind w:left="40"/>
              <w:spacing w:after="0" w:line="226" w:lineRule="exact"/>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or more of the registered share capital recorded in the Commercial</w:t>
            </w:r>
          </w:p>
        </w:tc>
        <w:tc>
          <w:tcPr>
            <w:tcW w:w="28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spacing w:after="0" w:line="226" w:lineRule="exact"/>
              <w:rPr>
                <w:sz w:val="20"/>
                <w:szCs w:val="20"/>
                <w:color w:val="auto"/>
              </w:rPr>
            </w:pPr>
            <w:r>
              <w:rPr>
                <w:rFonts w:ascii="Arial" w:cs="Arial" w:eastAsia="Arial" w:hAnsi="Arial"/>
                <w:sz w:val="16"/>
                <w:szCs w:val="16"/>
                <w:color w:val="auto"/>
              </w:rPr>
              <w:t xml:space="preserve">droit de vote (les "Actions Contrôlées") de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ou plus du capital-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Register except if such individual or legal entity has submitted prior to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actions nominatif tel qu'inscrit au registre du commerce sauf si cette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acquisition of such Controlled Shares an orderly tender offer to all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personne physique ou morale a présenté avant l'acquisition de ces Actions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shareholders with a minimum price of the higher of (i) the volume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Contrôlée une offre publique d'achat en bonne et due forme à tous 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weighted average price of the last 60 trading days prior to the publication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actionnaires à un prix minimum équivalent au montant le plus élevé entre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of the tender offer or (ii) the highest price paid by such individual or legal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(i) le cours moyen pondéré en fonction du volume des 60 derniers jours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entity in the 12 months preceding to the publication of the tender offer.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bourse précédant la publication de l'offre publique d'achat et (ii) le plus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Those associated through capital, voting power, joint management or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haut prix payé par cette personne physique ou morale dans les 12 mois</w:t>
            </w:r>
          </w:p>
        </w:tc>
      </w:tr>
      <w:tr>
        <w:trPr>
          <w:trHeight w:val="20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any other way, or joining for the acquisition of shares, shall be regarded as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précédant  la  publication  de  l'offre  publique  d'achat.  Les  personnes</w:t>
            </w:r>
          </w:p>
        </w:tc>
      </w:tr>
      <w:tr>
        <w:trPr>
          <w:trHeight w:val="226"/>
        </w:trPr>
        <w:tc>
          <w:tcPr>
            <w:tcW w:w="5500" w:type="dxa"/>
            <w:vAlign w:val="bottom"/>
            <w:tcBorders>
              <w:left w:val="single" w:sz="8" w:color="auto"/>
              <w:right w:val="single" w:sz="8" w:color="auto"/>
            </w:tcBorders>
          </w:tcPr>
          <w:p>
            <w:pPr>
              <w:ind w:left="40"/>
              <w:spacing w:after="0" w:line="226" w:lineRule="exact"/>
              <w:rPr>
                <w:sz w:val="20"/>
                <w:szCs w:val="20"/>
                <w:color w:val="auto"/>
              </w:rPr>
            </w:pPr>
            <w:r>
              <w:rPr>
                <w:rFonts w:ascii="Arial" w:cs="Arial" w:eastAsia="Arial" w:hAnsi="Arial"/>
                <w:sz w:val="16"/>
                <w:szCs w:val="16"/>
                <w:color w:val="auto"/>
              </w:rPr>
              <w:t xml:space="preserve">one person. The registered shares exceeding the limit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and not</w:t>
            </w:r>
          </w:p>
        </w:tc>
        <w:tc>
          <w:tcPr>
            <w:tcW w:w="28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associées par le capital, les droits de vote, une gestion commune ou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benefiting from the exemption regarding a tender offer shall be entered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toute autre manière, ou qui se joignent pour une acquisition d'actions, sont</w:t>
            </w:r>
          </w:p>
        </w:tc>
      </w:tr>
      <w:tr>
        <w:trPr>
          <w:trHeight w:val="20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share register as shares without voting rights.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considérées comme une personne. Les actions nominatives dépassant la</w:t>
            </w:r>
          </w:p>
        </w:tc>
      </w:tr>
      <w:tr>
        <w:trPr>
          <w:trHeight w:val="226"/>
        </w:trPr>
        <w:tc>
          <w:tcPr>
            <w:tcW w:w="5500" w:type="dxa"/>
            <w:vAlign w:val="bottom"/>
            <w:tcBorders>
              <w:left w:val="single" w:sz="8" w:color="auto"/>
              <w:righ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spacing w:after="0" w:line="226" w:lineRule="exact"/>
              <w:rPr>
                <w:sz w:val="20"/>
                <w:szCs w:val="20"/>
                <w:color w:val="auto"/>
              </w:rPr>
            </w:pPr>
            <w:r>
              <w:rPr>
                <w:rFonts w:ascii="Arial" w:cs="Arial" w:eastAsia="Arial" w:hAnsi="Arial"/>
                <w:sz w:val="16"/>
                <w:szCs w:val="16"/>
                <w:color w:val="auto"/>
              </w:rPr>
              <w:t xml:space="preserve">limite de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et ne bénéficiant pas de l'exemption relative à une offre</w:t>
            </w:r>
          </w:p>
        </w:tc>
      </w:tr>
      <w:tr>
        <w:trPr>
          <w:trHeight w:val="216"/>
        </w:trPr>
        <w:tc>
          <w:tcPr>
            <w:tcW w:w="550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publique d'achat sont inscrites dans le registre des actions comme des</w:t>
            </w:r>
          </w:p>
        </w:tc>
      </w:tr>
      <w:tr>
        <w:trPr>
          <w:trHeight w:val="237"/>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actions sans droit de vote.</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1" w:name="page212"/>
    <w:bookmarkEnd w:id="211"/>
    <w:p>
      <w:pPr>
        <w:ind w:left="1112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114935</wp:posOffset>
            </wp:positionV>
            <wp:extent cx="7132320" cy="5520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32320" cy="5520690"/>
                    </a:xfrm>
                    <a:prstGeom prst="rect">
                      <a:avLst/>
                    </a:prstGeom>
                    <a:noFill/>
                  </pic:spPr>
                </pic:pic>
              </a:graphicData>
            </a:graphic>
          </wp:anchor>
        </w:drawing>
      </w:r>
    </w:p>
    <w:p>
      <w:pPr>
        <w:sectPr>
          <w:pgSz w:w="11900" w:h="16838" w:orient="portrait"/>
          <w:cols w:equalWidth="0" w:num="1">
            <w:col w:w="11205"/>
          </w:cols>
          <w:pgMar w:left="355" w:top="122" w:right="339" w:bottom="1440" w:gutter="0" w:footer="0" w:header="0"/>
        </w:sectPr>
      </w:pPr>
    </w:p>
    <w:p>
      <w:pPr>
        <w:spacing w:after="0" w:line="194"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170" w:lineRule="exact"/>
        <w:rPr>
          <w:sz w:val="20"/>
          <w:szCs w:val="20"/>
          <w:color w:val="auto"/>
        </w:rPr>
      </w:pPr>
    </w:p>
    <w:p>
      <w:pPr>
        <w:ind w:left="325" w:hanging="325"/>
        <w:spacing w:after="0" w:line="277" w:lineRule="auto"/>
        <w:tabs>
          <w:tab w:leader="none" w:pos="31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shares of the Company directly, indirectly or constructively owned by such individual or entity; provided that</w:t>
      </w:r>
    </w:p>
    <w:p>
      <w:pPr>
        <w:spacing w:after="0" w:line="170" w:lineRule="exact"/>
        <w:rPr>
          <w:rFonts w:ascii="Arial" w:cs="Arial" w:eastAsia="Arial" w:hAnsi="Arial"/>
          <w:sz w:val="18"/>
          <w:szCs w:val="18"/>
          <w:color w:val="auto"/>
        </w:rPr>
      </w:pPr>
    </w:p>
    <w:p>
      <w:pPr>
        <w:jc w:val="both"/>
        <w:ind w:left="645" w:hanging="321"/>
        <w:spacing w:after="0" w:line="263" w:lineRule="auto"/>
        <w:tabs>
          <w:tab w:leader="none" w:pos="70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shares owned, directly or indirectly, by or for a partnership, or trust or estate will be considered as being owned proportionately by its partners, or beneficiaries; and</w:t>
      </w:r>
    </w:p>
    <w:p>
      <w:pPr>
        <w:spacing w:after="0" w:line="183" w:lineRule="exact"/>
        <w:rPr>
          <w:rFonts w:ascii="Arial" w:cs="Arial" w:eastAsia="Arial" w:hAnsi="Arial"/>
          <w:sz w:val="18"/>
          <w:szCs w:val="18"/>
          <w:color w:val="auto"/>
        </w:rPr>
      </w:pPr>
    </w:p>
    <w:p>
      <w:pPr>
        <w:jc w:val="both"/>
        <w:ind w:left="645" w:hanging="321"/>
        <w:spacing w:after="0" w:line="259" w:lineRule="auto"/>
        <w:tabs>
          <w:tab w:leader="none" w:pos="63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186" w:lineRule="exact"/>
        <w:rPr>
          <w:rFonts w:ascii="Arial" w:cs="Arial" w:eastAsia="Arial" w:hAnsi="Arial"/>
          <w:sz w:val="18"/>
          <w:szCs w:val="18"/>
          <w:color w:val="auto"/>
        </w:rPr>
      </w:pPr>
    </w:p>
    <w:p>
      <w:pPr>
        <w:ind w:left="645" w:right="20" w:hanging="321"/>
        <w:spacing w:after="0" w:line="277" w:lineRule="auto"/>
        <w:tabs>
          <w:tab w:leader="none" w:pos="64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170" w:lineRule="exact"/>
        <w:rPr>
          <w:rFonts w:ascii="Arial" w:cs="Arial" w:eastAsia="Arial" w:hAnsi="Arial"/>
          <w:sz w:val="18"/>
          <w:szCs w:val="18"/>
          <w:color w:val="auto"/>
        </w:rPr>
      </w:pPr>
    </w:p>
    <w:p>
      <w:pPr>
        <w:ind w:left="325" w:right="20" w:hanging="325"/>
        <w:spacing w:after="0" w:line="277" w:lineRule="auto"/>
        <w:tabs>
          <w:tab w:leader="none" w:pos="3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70" w:lineRule="exact"/>
        <w:rPr>
          <w:rFonts w:ascii="Arial" w:cs="Arial" w:eastAsia="Arial" w:hAnsi="Arial"/>
          <w:sz w:val="18"/>
          <w:szCs w:val="18"/>
          <w:color w:val="auto"/>
        </w:rPr>
      </w:pPr>
    </w:p>
    <w:p>
      <w:pPr>
        <w:jc w:val="both"/>
        <w:ind w:left="645" w:hanging="321"/>
        <w:spacing w:after="0" w:line="259" w:lineRule="auto"/>
        <w:tabs>
          <w:tab w:leader="none" w:pos="64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86" w:lineRule="exact"/>
        <w:rPr>
          <w:rFonts w:ascii="Arial" w:cs="Arial" w:eastAsia="Arial" w:hAnsi="Arial"/>
          <w:sz w:val="18"/>
          <w:szCs w:val="18"/>
          <w:color w:val="auto"/>
        </w:rPr>
      </w:pPr>
    </w:p>
    <w:p>
      <w:pPr>
        <w:ind w:left="965" w:hanging="317"/>
        <w:spacing w:after="0" w:line="277" w:lineRule="auto"/>
        <w:tabs>
          <w:tab w:leader="none" w:pos="979" w:val="left"/>
        </w:tabs>
        <w:numPr>
          <w:ilvl w:val="2"/>
          <w:numId w:val="155"/>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70" w:lineRule="exact"/>
        <w:rPr>
          <w:rFonts w:ascii="Arial" w:cs="Arial" w:eastAsia="Arial" w:hAnsi="Arial"/>
          <w:sz w:val="18"/>
          <w:szCs w:val="18"/>
          <w:color w:val="auto"/>
        </w:rPr>
      </w:pPr>
    </w:p>
    <w:p>
      <w:pPr>
        <w:ind w:left="965" w:hanging="317"/>
        <w:spacing w:after="0" w:line="277" w:lineRule="auto"/>
        <w:tabs>
          <w:tab w:leader="none" w:pos="963" w:val="left"/>
        </w:tabs>
        <w:numPr>
          <w:ilvl w:val="2"/>
          <w:numId w:val="155"/>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70" w:lineRule="exact"/>
        <w:rPr>
          <w:rFonts w:ascii="Arial" w:cs="Arial" w:eastAsia="Arial" w:hAnsi="Arial"/>
          <w:sz w:val="18"/>
          <w:szCs w:val="18"/>
          <w:color w:val="auto"/>
        </w:rPr>
      </w:pPr>
    </w:p>
    <w:p>
      <w:pPr>
        <w:jc w:val="both"/>
        <w:ind w:left="645" w:hanging="321"/>
        <w:spacing w:after="0" w:line="254" w:lineRule="auto"/>
        <w:tabs>
          <w:tab w:leader="none" w:pos="69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8" w:right="20"/>
        <w:spacing w:after="0" w:line="277" w:lineRule="auto"/>
        <w:rPr>
          <w:sz w:val="20"/>
          <w:szCs w:val="20"/>
          <w:color w:val="auto"/>
        </w:rPr>
      </w:pPr>
      <w:r>
        <w:rPr>
          <w:rFonts w:ascii="Arial" w:cs="Arial" w:eastAsia="Arial" w:hAnsi="Arial"/>
          <w:sz w:val="18"/>
          <w:szCs w:val="18"/>
          <w:color w:val="auto"/>
        </w:rPr>
        <w:t>Aux fins du présent article 4, Actions Contrôlées signifie en référence à toute personne physique ou morale:</w:t>
      </w:r>
    </w:p>
    <w:p>
      <w:pPr>
        <w:spacing w:after="0" w:line="170" w:lineRule="exact"/>
        <w:rPr>
          <w:sz w:val="20"/>
          <w:szCs w:val="20"/>
          <w:color w:val="auto"/>
        </w:rPr>
      </w:pPr>
    </w:p>
    <w:p>
      <w:pPr>
        <w:ind w:left="328" w:right="40" w:hanging="328"/>
        <w:spacing w:after="0" w:line="308" w:lineRule="auto"/>
        <w:tabs>
          <w:tab w:leader="none" w:pos="25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toutes actions directement, indirectement ou implicitement détenues par cette personne physique ou morale, à condition que</w:t>
      </w:r>
    </w:p>
    <w:p>
      <w:pPr>
        <w:spacing w:after="0" w:line="146" w:lineRule="exact"/>
        <w:rPr>
          <w:rFonts w:ascii="Arial" w:cs="Arial" w:eastAsia="Arial" w:hAnsi="Arial"/>
          <w:sz w:val="17"/>
          <w:szCs w:val="17"/>
          <w:color w:val="auto"/>
        </w:rPr>
      </w:pPr>
    </w:p>
    <w:p>
      <w:pPr>
        <w:jc w:val="both"/>
        <w:ind w:left="648" w:right="40" w:hanging="324"/>
        <w:spacing w:after="0" w:line="279" w:lineRule="auto"/>
        <w:tabs>
          <w:tab w:leader="none" w:pos="63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171" w:lineRule="exact"/>
        <w:rPr>
          <w:rFonts w:ascii="Arial" w:cs="Arial" w:eastAsia="Arial" w:hAnsi="Arial"/>
          <w:sz w:val="17"/>
          <w:szCs w:val="17"/>
          <w:color w:val="auto"/>
        </w:rPr>
      </w:pPr>
    </w:p>
    <w:p>
      <w:pPr>
        <w:jc w:val="both"/>
        <w:ind w:left="648" w:right="20" w:hanging="324"/>
        <w:spacing w:after="0" w:line="279" w:lineRule="auto"/>
        <w:tabs>
          <w:tab w:leader="none" w:pos="58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171" w:lineRule="exact"/>
        <w:rPr>
          <w:rFonts w:ascii="Arial" w:cs="Arial" w:eastAsia="Arial" w:hAnsi="Arial"/>
          <w:sz w:val="17"/>
          <w:szCs w:val="17"/>
          <w:color w:val="auto"/>
        </w:rPr>
      </w:pPr>
    </w:p>
    <w:p>
      <w:pPr>
        <w:ind w:left="648" w:right="40" w:hanging="324"/>
        <w:spacing w:after="0" w:line="277" w:lineRule="auto"/>
        <w:tabs>
          <w:tab w:leader="none" w:pos="67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170" w:lineRule="exact"/>
        <w:rPr>
          <w:rFonts w:ascii="Arial" w:cs="Arial" w:eastAsia="Arial" w:hAnsi="Arial"/>
          <w:sz w:val="18"/>
          <w:szCs w:val="18"/>
          <w:color w:val="auto"/>
        </w:rPr>
      </w:pPr>
    </w:p>
    <w:p>
      <w:pPr>
        <w:ind w:left="328" w:right="40" w:hanging="328"/>
        <w:spacing w:after="0" w:line="308" w:lineRule="auto"/>
        <w:tabs>
          <w:tab w:leader="none" w:pos="34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toutes actions de la société détenues directement, indirectement ou à son profit par cette personne physique ou morale, à condition que</w:t>
      </w:r>
    </w:p>
    <w:p>
      <w:pPr>
        <w:spacing w:after="0" w:line="146" w:lineRule="exact"/>
        <w:rPr>
          <w:rFonts w:ascii="Arial" w:cs="Arial" w:eastAsia="Arial" w:hAnsi="Arial"/>
          <w:sz w:val="17"/>
          <w:szCs w:val="17"/>
          <w:color w:val="auto"/>
        </w:rPr>
      </w:pPr>
    </w:p>
    <w:p>
      <w:pPr>
        <w:jc w:val="both"/>
        <w:ind w:left="648" w:right="20" w:hanging="324"/>
        <w:spacing w:after="0" w:line="259" w:lineRule="auto"/>
        <w:tabs>
          <w:tab w:leader="none" w:pos="71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6" w:lineRule="exact"/>
        <w:rPr>
          <w:rFonts w:ascii="Arial" w:cs="Arial" w:eastAsia="Arial" w:hAnsi="Arial"/>
          <w:sz w:val="18"/>
          <w:szCs w:val="18"/>
          <w:color w:val="auto"/>
        </w:rPr>
      </w:pPr>
    </w:p>
    <w:p>
      <w:pPr>
        <w:ind w:left="968" w:right="40" w:hanging="320"/>
        <w:spacing w:after="0" w:line="277" w:lineRule="auto"/>
        <w:tabs>
          <w:tab w:leader="none" w:pos="1081" w:val="left"/>
        </w:tabs>
        <w:numPr>
          <w:ilvl w:val="2"/>
          <w:numId w:val="156"/>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70" w:lineRule="exact"/>
        <w:rPr>
          <w:rFonts w:ascii="Arial" w:cs="Arial" w:eastAsia="Arial" w:hAnsi="Arial"/>
          <w:sz w:val="18"/>
          <w:szCs w:val="18"/>
          <w:color w:val="auto"/>
        </w:rPr>
      </w:pPr>
    </w:p>
    <w:p>
      <w:pPr>
        <w:ind w:left="968" w:right="40" w:hanging="320"/>
        <w:spacing w:after="0" w:line="277" w:lineRule="auto"/>
        <w:tabs>
          <w:tab w:leader="none" w:pos="97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70" w:lineRule="exact"/>
        <w:rPr>
          <w:rFonts w:ascii="Arial" w:cs="Arial" w:eastAsia="Arial" w:hAnsi="Arial"/>
          <w:sz w:val="18"/>
          <w:szCs w:val="18"/>
          <w:color w:val="auto"/>
        </w:rPr>
      </w:pPr>
    </w:p>
    <w:p>
      <w:pPr>
        <w:jc w:val="both"/>
        <w:ind w:left="648" w:right="40" w:hanging="324"/>
        <w:spacing w:after="0" w:line="291" w:lineRule="auto"/>
        <w:tabs>
          <w:tab w:leader="none" w:pos="65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269240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5" w:space="292"/>
            <w:col w:w="5468"/>
          </w:cols>
          <w:pgMar w:left="355" w:top="122" w:right="339" w:bottom="1440" w:gutter="0" w:footer="0" w:header="0"/>
          <w:type w:val="continuous"/>
        </w:sectPr>
      </w:pPr>
    </w:p>
    <w:bookmarkStart w:id="212" w:name="page213"/>
    <w:bookmarkEnd w:id="212"/>
    <w:p>
      <w:pPr>
        <w:ind w:left="111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114935</wp:posOffset>
            </wp:positionV>
            <wp:extent cx="7132320" cy="33261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sectPr>
          <w:pgSz w:w="11900" w:h="16838" w:orient="portrait"/>
          <w:cols w:equalWidth="0" w:num="1">
            <w:col w:w="11200"/>
          </w:cols>
          <w:pgMar w:left="360" w:top="122" w:right="339" w:bottom="1440" w:gutter="0" w:footer="0" w:header="0"/>
        </w:sectPr>
      </w:pPr>
    </w:p>
    <w:p>
      <w:pPr>
        <w:spacing w:after="0" w:line="194" w:lineRule="exact"/>
        <w:rPr>
          <w:sz w:val="20"/>
          <w:szCs w:val="20"/>
          <w:color w:val="auto"/>
        </w:rPr>
      </w:pPr>
    </w:p>
    <w:p>
      <w:pPr>
        <w:jc w:val="both"/>
        <w:ind w:left="640" w:hanging="321"/>
        <w:spacing w:after="0" w:line="286" w:lineRule="auto"/>
        <w:tabs>
          <w:tab w:leader="none" w:pos="64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person shall be deemed to be the beneficial owner of shares if that person has the right to acquire beneficial ownership of such shares within 60 days, including but not limited to any right acquired: (A) through the exercise of any option, warrant or right;</w:t>
      </w:r>
    </w:p>
    <w:p>
      <w:pPr>
        <w:spacing w:after="0" w:line="1" w:lineRule="exact"/>
        <w:rPr>
          <w:rFonts w:ascii="Arial" w:cs="Arial" w:eastAsia="Arial" w:hAnsi="Arial"/>
          <w:sz w:val="16"/>
          <w:szCs w:val="16"/>
          <w:color w:val="auto"/>
        </w:rPr>
      </w:pPr>
    </w:p>
    <w:p>
      <w:pPr>
        <w:jc w:val="both"/>
        <w:ind w:left="640" w:firstLine="3"/>
        <w:spacing w:after="0" w:line="253" w:lineRule="auto"/>
        <w:tabs>
          <w:tab w:leader="none" w:pos="97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through the conversion of a security; (C) pursuant to the power to revoke a trust, discretionary account, or similar arrangement; or (D) pursuant to the automatic termination of a trust, discretionary account or similar arrangement.</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The limit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shall be entered in the share register as shares without voting rights.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556895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left="640" w:right="20" w:hanging="324"/>
        <w:spacing w:after="0" w:line="253" w:lineRule="auto"/>
        <w:tabs>
          <w:tab w:leader="none" w:pos="6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w:t>
      </w:r>
    </w:p>
    <w:p>
      <w:pPr>
        <w:spacing w:after="0" w:line="53"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 xml:space="preserve">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 du capital-actions nominatif s'applique 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 sont inscrites dans le registre des actions comme des actions sans droit de vote.</w:t>
      </w:r>
    </w:p>
    <w:p>
      <w:pPr>
        <w:spacing w:after="0" w:line="19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ectPr>
          <w:pgSz w:w="11900" w:h="16838" w:orient="portrait"/>
          <w:cols w:equalWidth="0" w:num="2">
            <w:col w:w="5440" w:space="300"/>
            <w:col w:w="5460"/>
          </w:cols>
          <w:pgMar w:left="360" w:top="122" w:right="339" w:bottom="1440" w:gutter="0" w:footer="0" w:header="0"/>
          <w:type w:val="continuous"/>
        </w:sectPr>
      </w:pPr>
    </w:p>
    <w:bookmarkStart w:id="213" w:name="page214"/>
    <w:bookmarkEnd w:id="213"/>
    <w:tbl>
      <w:tblPr>
        <w:tblLayout w:type="fixed"/>
        <w:tblInd w:w="1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20" w:type="dxa"/>
            <w:vAlign w:val="bottom"/>
          </w:tcPr>
          <w:p>
            <w:pPr>
              <w:ind w:left="4840"/>
              <w:spacing w:after="0"/>
              <w:rPr>
                <w:sz w:val="20"/>
                <w:szCs w:val="20"/>
                <w:color w:val="auto"/>
              </w:rPr>
            </w:pPr>
            <w:r>
              <w:rPr>
                <w:rFonts w:ascii="Arial" w:cs="Arial" w:eastAsia="Arial" w:hAnsi="Arial"/>
                <w:sz w:val="10"/>
                <w:szCs w:val="10"/>
                <w:color w:val="auto"/>
                <w:w w:val="71"/>
              </w:rPr>
              <w:t>8</w:t>
            </w:r>
          </w:p>
        </w:tc>
      </w:tr>
      <w:tr>
        <w:trPr>
          <w:trHeight w:val="168"/>
        </w:trPr>
        <w:tc>
          <w:tcPr>
            <w:tcW w:w="58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tcPr>
          <w:p>
            <w:pPr>
              <w:spacing w:after="0"/>
              <w:rPr>
                <w:sz w:val="14"/>
                <w:szCs w:val="14"/>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5</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Share Certificates and Intermediated Securities</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Art. 5</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Certificats d'actions et titres intermédiés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The Company may issue registered shares in the form of single certificates,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La société peut émettre des actions nominatives sous forme de certificats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global certificates and uncertificated securities. Under the conditions set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individuels, de certificats globaux et de titres dématérialisés. Dans les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forth by statutory law, the Company may convert its registered shares from</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conditions  prévues  par  la  loi,  la  société  peut  convertir  ses  actions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one form into another form at any time and without the approval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nominatives d'une forme en une autre forme, à tout moment et sans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l'approbation des actionnaires.</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6"/>
              </w:rPr>
              <w:t>The shareholder has no right to demand a conversion of the registered</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L'actionnaire n'a pas le droit d'exiger une conversion d'actions nominatives.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shares. Each shareholder may, however, at any time request a written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Chaque  actionnaire  peut  toutefois,  à  tout  moment,  demander  une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confirmation from the Company of the registered shares held by such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confirmation  écrite  de  la  société  du  nombres  d'actions  nominatives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shareholder, as reflected in the share register.</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détenues par cet actionnaire telles qu'inscrites au registre du commerce.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6"/>
              </w:rPr>
              <w:t>The  transfer  of  intermediated  securities  and  the  pledging  of  these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Le transfert des titres intermédiés et la mise en gage de ces titres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intermediated securities shall be based on the provisions of the Swiss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Federal Intermediated Securities Act. Transfer of propriety as collateral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intermédiés. Le transfert de propriété à titre de sûreté par cession écrite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means of written assignment are not permitted.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n'est pas autorisé.</w:t>
            </w: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6</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Exercise of Shareholders Rights</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Art. 6</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Exercice des droits des actionnaires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The shares are indivisible and the Company recognizes only one single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Les  actions  sont  indivisibles  et  la  société  ne  reconnaît  qu'un  seul</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representative per share.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représentant par action.</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2"/>
              </w:rPr>
              <w:t>The right to vote and the other rights pertaining to a registered share may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Le droit de vote et les autres droits relatifs à une action nominative ne peut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only be exercised by a shareholder, a usufructuary or a nominee who is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être exercé que par un actionnaire, un usufruitier ou un candidat qui est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registered with the right to vote in the share register and by persons who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inscrit avec le droit de vote dans le registre des actions et par des personnes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are entitled by law to the voting rights of a share.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autorisées par la loi à exercer les droits de vote d'une action.</w:t>
            </w:r>
          </w:p>
        </w:tc>
      </w:tr>
      <w:tr>
        <w:trPr>
          <w:trHeight w:val="223"/>
        </w:trPr>
        <w:tc>
          <w:tcPr>
            <w:tcW w:w="580" w:type="dxa"/>
            <w:vAlign w:val="bottom"/>
            <w:tcBorders>
              <w:left w:val="single" w:sz="8" w:color="auto"/>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920" w:type="dxa"/>
            <w:vAlign w:val="bottom"/>
            <w:tcBorders>
              <w:bottom w:val="single" w:sz="8" w:color="auto"/>
              <w:right w:val="single" w:sz="8" w:color="auto"/>
            </w:tcBorders>
          </w:tcPr>
          <w:p>
            <w:pPr>
              <w:spacing w:after="0"/>
              <w:rPr>
                <w:sz w:val="19"/>
                <w:szCs w:val="19"/>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III.</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CORPORATE STRUCTURE</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STRUCTURE DE LA SOCIÉTÉ</w:t>
            </w:r>
          </w:p>
        </w:tc>
      </w:tr>
      <w:tr>
        <w:trPr>
          <w:trHeight w:val="205"/>
        </w:trPr>
        <w:tc>
          <w:tcPr>
            <w:tcW w:w="580" w:type="dxa"/>
            <w:vAlign w:val="bottom"/>
            <w:tcBorders>
              <w:left w:val="single" w:sz="8" w:color="auto"/>
              <w:bottom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7</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Organization</w:t>
            </w:r>
          </w:p>
        </w:tc>
        <w:tc>
          <w:tcPr>
            <w:tcW w:w="28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Art. 7</w:t>
            </w:r>
          </w:p>
        </w:tc>
        <w:tc>
          <w:tcPr>
            <w:tcW w:w="49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Organisation</w:t>
            </w:r>
          </w:p>
        </w:tc>
      </w:tr>
      <w:tr>
        <w:trPr>
          <w:trHeight w:val="41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corporate bodies are: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organes de la société sont:</w:t>
            </w:r>
          </w:p>
        </w:tc>
      </w:tr>
      <w:tr>
        <w:trPr>
          <w:trHeight w:val="432"/>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General Meeting;</w:t>
            </w:r>
          </w:p>
        </w:tc>
        <w:tc>
          <w:tcPr>
            <w:tcW w:w="280" w:type="dxa"/>
            <w:vAlign w:val="bottom"/>
            <w:tcBorders>
              <w:right w:val="single" w:sz="8" w:color="auto"/>
            </w:tcBorders>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A.</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L'assemblé générale;</w:t>
            </w:r>
          </w:p>
        </w:tc>
      </w:tr>
      <w:tr>
        <w:trPr>
          <w:trHeight w:val="432"/>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Board of Directors;</w:t>
            </w:r>
          </w:p>
        </w:tc>
        <w:tc>
          <w:tcPr>
            <w:tcW w:w="280" w:type="dxa"/>
            <w:vAlign w:val="bottom"/>
            <w:tcBorders>
              <w:right w:val="single" w:sz="8" w:color="auto"/>
            </w:tcBorders>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w:t>
            </w:r>
          </w:p>
        </w:tc>
        <w:tc>
          <w:tcPr>
            <w:tcW w:w="49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Le conseil d'administration;</w:t>
            </w:r>
          </w:p>
        </w:tc>
      </w:tr>
      <w:tr>
        <w:trPr>
          <w:trHeight w:val="439"/>
        </w:trPr>
        <w:tc>
          <w:tcPr>
            <w:tcW w:w="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Auditors.</w:t>
            </w:r>
          </w:p>
        </w:tc>
        <w:tc>
          <w:tcPr>
            <w:tcW w:w="2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w:t>
            </w:r>
          </w:p>
        </w:tc>
        <w:tc>
          <w:tcPr>
            <w:tcW w:w="49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l'organe de révision.</w:t>
            </w:r>
          </w:p>
        </w:tc>
      </w:tr>
      <w:tr>
        <w:trPr>
          <w:trHeight w:val="439"/>
        </w:trPr>
        <w:tc>
          <w:tcPr>
            <w:tcW w:w="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8"/>
        </w:trPr>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234"/>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IV.</w:t>
            </w:r>
          </w:p>
        </w:tc>
        <w:tc>
          <w:tcPr>
            <w:tcW w:w="320" w:type="dxa"/>
            <w:vAlign w:val="bottom"/>
          </w:tcPr>
          <w:p>
            <w:pPr>
              <w:spacing w:after="0"/>
              <w:rPr>
                <w:sz w:val="20"/>
                <w:szCs w:val="20"/>
                <w:color w:val="auto"/>
              </w:rPr>
            </w:pPr>
          </w:p>
        </w:tc>
        <w:tc>
          <w:tcPr>
            <w:tcW w:w="4880" w:type="dxa"/>
            <w:vAlign w:val="bottom"/>
            <w:tcBorders>
              <w:right w:val="single" w:sz="8" w:color="auto"/>
            </w:tcBorders>
          </w:tcPr>
          <w:p>
            <w:pPr>
              <w:jc w:val="right"/>
              <w:ind w:right="2510"/>
              <w:spacing w:after="0"/>
              <w:rPr>
                <w:sz w:val="20"/>
                <w:szCs w:val="20"/>
                <w:color w:val="auto"/>
              </w:rPr>
            </w:pPr>
            <w:r>
              <w:rPr>
                <w:rFonts w:ascii="Arial" w:cs="Arial" w:eastAsia="Arial" w:hAnsi="Arial"/>
                <w:sz w:val="18"/>
                <w:szCs w:val="18"/>
                <w:b w:val="1"/>
                <w:bCs w:val="1"/>
                <w:color w:val="auto"/>
              </w:rPr>
              <w:t>THE GENERAL MEETING</w:t>
            </w:r>
          </w:p>
        </w:tc>
        <w:tc>
          <w:tcPr>
            <w:tcW w:w="28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IV.</w:t>
            </w:r>
          </w:p>
        </w:tc>
        <w:tc>
          <w:tcPr>
            <w:tcW w:w="5020" w:type="dxa"/>
            <w:vAlign w:val="bottom"/>
            <w:tcBorders>
              <w:right w:val="single" w:sz="8" w:color="auto"/>
            </w:tcBorders>
          </w:tcPr>
          <w:p>
            <w:pPr>
              <w:jc w:val="right"/>
              <w:ind w:right="2393"/>
              <w:spacing w:after="0"/>
              <w:rPr>
                <w:sz w:val="20"/>
                <w:szCs w:val="20"/>
                <w:color w:val="auto"/>
              </w:rPr>
            </w:pPr>
            <w:r>
              <w:rPr>
                <w:rFonts w:ascii="Arial" w:cs="Arial" w:eastAsia="Arial" w:hAnsi="Arial"/>
                <w:sz w:val="18"/>
                <w:szCs w:val="18"/>
                <w:b w:val="1"/>
                <w:bCs w:val="1"/>
                <w:color w:val="auto"/>
              </w:rPr>
              <w:t>L'ASSEMBLÉE GÉNÉRALE</w:t>
            </w:r>
          </w:p>
        </w:tc>
      </w:tr>
      <w:tr>
        <w:trPr>
          <w:trHeight w:val="205"/>
        </w:trPr>
        <w:tc>
          <w:tcPr>
            <w:tcW w:w="620" w:type="dxa"/>
            <w:vAlign w:val="bottom"/>
            <w:tcBorders>
              <w:left w:val="single" w:sz="8" w:color="auto"/>
              <w:bottom w:val="single" w:sz="8" w:color="auto"/>
            </w:tcBorders>
            <w:gridSpan w:val="2"/>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020" w:type="dxa"/>
            <w:vAlign w:val="bottom"/>
            <w:tcBorders>
              <w:bottom w:val="single" w:sz="8" w:color="auto"/>
              <w:right w:val="single" w:sz="8" w:color="auto"/>
            </w:tcBorders>
          </w:tcPr>
          <w:p>
            <w:pPr>
              <w:spacing w:after="0"/>
              <w:rPr>
                <w:sz w:val="17"/>
                <w:szCs w:val="17"/>
                <w:color w:val="auto"/>
              </w:rPr>
            </w:pPr>
          </w:p>
        </w:tc>
      </w:tr>
      <w:tr>
        <w:trPr>
          <w:trHeight w:val="234"/>
        </w:trPr>
        <w:tc>
          <w:tcPr>
            <w:tcW w:w="6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8</w:t>
            </w:r>
          </w:p>
        </w:tc>
        <w:tc>
          <w:tcPr>
            <w:tcW w:w="4880" w:type="dxa"/>
            <w:vAlign w:val="bottom"/>
            <w:tcBorders>
              <w:right w:val="single" w:sz="8" w:color="auto"/>
            </w:tcBorders>
          </w:tcPr>
          <w:p>
            <w:pPr>
              <w:jc w:val="right"/>
              <w:ind w:right="4150"/>
              <w:spacing w:after="0"/>
              <w:rPr>
                <w:sz w:val="20"/>
                <w:szCs w:val="20"/>
                <w:color w:val="auto"/>
              </w:rPr>
            </w:pPr>
            <w:r>
              <w:rPr>
                <w:rFonts w:ascii="Arial" w:cs="Arial" w:eastAsia="Arial" w:hAnsi="Arial"/>
                <w:sz w:val="18"/>
                <w:szCs w:val="18"/>
                <w:b w:val="1"/>
                <w:bCs w:val="1"/>
                <w:color w:val="auto"/>
                <w:w w:val="96"/>
              </w:rPr>
              <w:t>Powers</w:t>
            </w:r>
          </w:p>
        </w:tc>
        <w:tc>
          <w:tcPr>
            <w:tcW w:w="28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w w:val="91"/>
              </w:rPr>
              <w:t>Art. 8</w:t>
            </w:r>
          </w:p>
        </w:tc>
        <w:tc>
          <w:tcPr>
            <w:tcW w:w="5020" w:type="dxa"/>
            <w:vAlign w:val="bottom"/>
            <w:tcBorders>
              <w:right w:val="single" w:sz="8" w:color="auto"/>
            </w:tcBorders>
          </w:tcPr>
          <w:p>
            <w:pPr>
              <w:jc w:val="right"/>
              <w:ind w:right="4073"/>
              <w:spacing w:after="0"/>
              <w:rPr>
                <w:sz w:val="20"/>
                <w:szCs w:val="20"/>
                <w:color w:val="auto"/>
              </w:rPr>
            </w:pPr>
            <w:r>
              <w:rPr>
                <w:rFonts w:ascii="Arial" w:cs="Arial" w:eastAsia="Arial" w:hAnsi="Arial"/>
                <w:sz w:val="18"/>
                <w:szCs w:val="18"/>
                <w:b w:val="1"/>
                <w:bCs w:val="1"/>
                <w:color w:val="auto"/>
              </w:rPr>
              <w:t>Pouvoirs</w:t>
            </w:r>
          </w:p>
        </w:tc>
      </w:tr>
      <w:tr>
        <w:trPr>
          <w:trHeight w:val="399"/>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The General Meeting is the supreme body of the Company. It has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L'assemblée générale des actionnaires est le pouvoir suprême de la société.</w:t>
            </w:r>
          </w:p>
        </w:tc>
      </w:tr>
      <w:tr>
        <w:trPr>
          <w:trHeight w:val="230"/>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following non delegable powers: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Elle a les droits intransmissibles suivants:</w:t>
            </w: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4"/>
              </w:rPr>
              <w:t>a)   to adopt and amend the Articles of Association (Articles 651a, 652g,</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a)  adapter et modifier les statuts (articles 651a, 652g, 653g et 653i CO</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653g und 653i CO remain reserved);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sont réservés);</w:t>
            </w:r>
          </w:p>
        </w:tc>
      </w:tr>
      <w:tr>
        <w:trPr>
          <w:trHeight w:val="223"/>
        </w:trPr>
        <w:tc>
          <w:tcPr>
            <w:tcW w:w="620" w:type="dxa"/>
            <w:vAlign w:val="bottom"/>
            <w:tcBorders>
              <w:left w:val="single" w:sz="8" w:color="auto"/>
              <w:bottom w:val="single" w:sz="8" w:color="auto"/>
            </w:tcBorders>
            <w:gridSpan w:val="2"/>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spacing w:after="0"/>
              <w:rPr>
                <w:sz w:val="19"/>
                <w:szCs w:val="19"/>
                <w:color w:val="auto"/>
              </w:rPr>
            </w:pPr>
          </w:p>
        </w:tc>
      </w:tr>
      <w:tr>
        <w:trPr>
          <w:trHeight w:val="202"/>
        </w:trPr>
        <w:tc>
          <w:tcPr>
            <w:tcW w:w="620" w:type="dxa"/>
            <w:vAlign w:val="bottom"/>
            <w:tcBorders>
              <w:lef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b)   to</w:t>
            </w:r>
          </w:p>
        </w:tc>
        <w:tc>
          <w:tcPr>
            <w:tcW w:w="48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elect and remove the members of the Board of Directors, the</w:t>
            </w:r>
          </w:p>
        </w:tc>
        <w:tc>
          <w:tcPr>
            <w:tcW w:w="280" w:type="dxa"/>
            <w:vAlign w:val="bottom"/>
            <w:tcBorders>
              <w:right w:val="single" w:sz="8" w:color="auto"/>
            </w:tcBorders>
          </w:tcPr>
          <w:p>
            <w:pPr>
              <w:spacing w:after="0"/>
              <w:rPr>
                <w:sz w:val="17"/>
                <w:szCs w:val="17"/>
                <w:color w:val="auto"/>
              </w:rPr>
            </w:pPr>
          </w:p>
        </w:tc>
        <w:tc>
          <w:tcPr>
            <w:tcW w:w="440" w:type="dxa"/>
            <w:vAlign w:val="bottom"/>
          </w:tcPr>
          <w:p>
            <w:pPr>
              <w:spacing w:after="0" w:line="201" w:lineRule="exact"/>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nommer et révoquer les membres du conseil d'administration, le</w:t>
            </w:r>
          </w:p>
        </w:tc>
      </w:tr>
      <w:tr>
        <w:trPr>
          <w:trHeight w:val="216"/>
        </w:trPr>
        <w:tc>
          <w:tcPr>
            <w:tcW w:w="300" w:type="dxa"/>
            <w:vAlign w:val="bottom"/>
            <w:tcBorders>
              <w:left w:val="single" w:sz="8" w:color="auto"/>
            </w:tcBorders>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Chairman  of  the  Board  of  Directors,  the  members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9"/>
              </w:rPr>
              <w:t>président du conseil d'administration, les membres du comité de</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Compensation Committee, the Auditors and the Independent Proxy;</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9"/>
              </w:rPr>
              <w:t>rémunération, l'organe de révision et le mandataire indépendant;</w:t>
            </w: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6"/>
              </w:rPr>
              <w:t>c)   to approve the management report and the annual accounts and to</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c)  approuver le rapport de gestion et les comptes annuels et déterminer la</w:t>
            </w:r>
          </w:p>
        </w:tc>
      </w:tr>
      <w:tr>
        <w:trPr>
          <w:trHeight w:val="216"/>
        </w:trPr>
        <w:tc>
          <w:tcPr>
            <w:tcW w:w="300" w:type="dxa"/>
            <w:vAlign w:val="bottom"/>
            <w:tcBorders>
              <w:left w:val="single" w:sz="8" w:color="auto"/>
            </w:tcBorders>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determine  the  allocation  of  profits,  in  particular  with  regard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4"/>
              </w:rPr>
              <w:t>répartition  des  bénéfices,  en  particulier  en  ce  qui  concerne  les</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dividends and bonus payments;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dividendes et les bonus;</w:t>
            </w: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3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d)</w:t>
            </w:r>
          </w:p>
        </w:tc>
        <w:tc>
          <w:tcPr>
            <w:tcW w:w="520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to discharge the members of the Board of Directors and of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d)  donner décharge aux membres du conseil d'administration et au comité</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Executive Committee;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exécutif;</w:t>
            </w: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spacing w:after="0"/>
              <w:rPr>
                <w:sz w:val="19"/>
                <w:szCs w:val="19"/>
                <w:color w:val="auto"/>
              </w:rPr>
            </w:pPr>
          </w:p>
        </w:tc>
      </w:tr>
      <w:tr>
        <w:trPr>
          <w:trHeight w:val="202"/>
        </w:trPr>
        <w:tc>
          <w:tcPr>
            <w:tcW w:w="3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e)</w:t>
            </w:r>
          </w:p>
        </w:tc>
        <w:tc>
          <w:tcPr>
            <w:tcW w:w="5200" w:type="dxa"/>
            <w:vAlign w:val="bottom"/>
            <w:tcBorders>
              <w:righ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w w:val="93"/>
              </w:rPr>
              <w:t>to approve the aggregate amounts of  compensation of the Board of</w:t>
            </w:r>
          </w:p>
        </w:tc>
        <w:tc>
          <w:tcPr>
            <w:tcW w:w="280" w:type="dxa"/>
            <w:vAlign w:val="bottom"/>
            <w:tcBorders>
              <w:right w:val="single" w:sz="8" w:color="auto"/>
            </w:tcBorders>
          </w:tcPr>
          <w:p>
            <w:pPr>
              <w:spacing w:after="0"/>
              <w:rPr>
                <w:sz w:val="17"/>
                <w:szCs w:val="17"/>
                <w:color w:val="auto"/>
              </w:rPr>
            </w:pPr>
          </w:p>
        </w:tc>
        <w:tc>
          <w:tcPr>
            <w:tcW w:w="440" w:type="dxa"/>
            <w:vAlign w:val="bottom"/>
          </w:tcPr>
          <w:p>
            <w:pPr>
              <w:spacing w:after="0" w:line="201" w:lineRule="exact"/>
              <w:rPr>
                <w:sz w:val="20"/>
                <w:szCs w:val="20"/>
                <w:color w:val="auto"/>
              </w:rPr>
            </w:pPr>
            <w:r>
              <w:rPr>
                <w:rFonts w:ascii="Arial" w:cs="Arial" w:eastAsia="Arial" w:hAnsi="Arial"/>
                <w:sz w:val="18"/>
                <w:szCs w:val="18"/>
                <w:color w:val="auto"/>
              </w:rPr>
              <w:t>e)</w:t>
            </w:r>
          </w:p>
        </w:tc>
        <w:tc>
          <w:tcPr>
            <w:tcW w:w="5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approuver les montants globaux des rémunérations du conseil</w:t>
            </w:r>
          </w:p>
        </w:tc>
      </w:tr>
      <w:tr>
        <w:trPr>
          <w:trHeight w:val="216"/>
        </w:trPr>
        <w:tc>
          <w:tcPr>
            <w:tcW w:w="300" w:type="dxa"/>
            <w:vAlign w:val="bottom"/>
            <w:tcBorders>
              <w:left w:val="single" w:sz="8" w:color="auto"/>
            </w:tcBorders>
          </w:tcPr>
          <w:p>
            <w:pPr>
              <w:spacing w:after="0"/>
              <w:rPr>
                <w:sz w:val="18"/>
                <w:szCs w:val="18"/>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Directors and the Executive Committee in accordance with Article 18</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2"/>
              </w:rPr>
              <w:t>d'administration et du comité exécutif conformément à l'article 18 des</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of the Articles of Association;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statuts;</w:t>
            </w: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spacing w:after="0"/>
              <w:rPr>
                <w:sz w:val="19"/>
                <w:szCs w:val="19"/>
                <w:color w:val="auto"/>
              </w:rPr>
            </w:pPr>
          </w:p>
        </w:tc>
      </w:tr>
      <w:tr>
        <w:trPr>
          <w:trHeight w:val="202"/>
        </w:trPr>
        <w:tc>
          <w:tcPr>
            <w:tcW w:w="3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f)</w:t>
            </w:r>
          </w:p>
        </w:tc>
        <w:tc>
          <w:tcPr>
            <w:tcW w:w="520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to pass resolutions concerning all matters which are reserved to the</w:t>
            </w:r>
          </w:p>
        </w:tc>
        <w:tc>
          <w:tcPr>
            <w:tcW w:w="280" w:type="dxa"/>
            <w:vAlign w:val="bottom"/>
            <w:tcBorders>
              <w:right w:val="single" w:sz="8" w:color="auto"/>
            </w:tcBorders>
          </w:tcPr>
          <w:p>
            <w:pPr>
              <w:spacing w:after="0"/>
              <w:rPr>
                <w:sz w:val="17"/>
                <w:szCs w:val="17"/>
                <w:color w:val="auto"/>
              </w:rPr>
            </w:pPr>
          </w:p>
        </w:tc>
        <w:tc>
          <w:tcPr>
            <w:tcW w:w="440" w:type="dxa"/>
            <w:vAlign w:val="bottom"/>
          </w:tcPr>
          <w:p>
            <w:pPr>
              <w:spacing w:after="0" w:line="201" w:lineRule="exact"/>
              <w:rPr>
                <w:sz w:val="20"/>
                <w:szCs w:val="20"/>
                <w:color w:val="auto"/>
              </w:rPr>
            </w:pPr>
            <w:r>
              <w:rPr>
                <w:rFonts w:ascii="Arial" w:cs="Arial" w:eastAsia="Arial" w:hAnsi="Arial"/>
                <w:sz w:val="18"/>
                <w:szCs w:val="18"/>
                <w:color w:val="auto"/>
              </w:rPr>
              <w:t>f)</w:t>
            </w:r>
          </w:p>
        </w:tc>
        <w:tc>
          <w:tcPr>
            <w:tcW w:w="50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6"/>
              </w:rPr>
              <w:t>prendre les décisions sur toutes les affaires qui sont attribuées à</w:t>
            </w:r>
          </w:p>
        </w:tc>
      </w:tr>
      <w:tr>
        <w:trPr>
          <w:trHeight w:val="216"/>
        </w:trPr>
        <w:tc>
          <w:tcPr>
            <w:tcW w:w="300" w:type="dxa"/>
            <w:vAlign w:val="bottom"/>
            <w:tcBorders>
              <w:left w:val="single" w:sz="8" w:color="auto"/>
            </w:tcBorders>
          </w:tcPr>
          <w:p>
            <w:pPr>
              <w:spacing w:after="0"/>
              <w:rPr>
                <w:sz w:val="18"/>
                <w:szCs w:val="18"/>
                <w:color w:val="auto"/>
              </w:rPr>
            </w:pPr>
          </w:p>
        </w:tc>
        <w:tc>
          <w:tcPr>
            <w:tcW w:w="5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authority of the General Meeting by law or by the Articles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l'assemblée générale par la loi ou les statuts.</w:t>
            </w:r>
          </w:p>
        </w:tc>
      </w:tr>
      <w:tr>
        <w:trPr>
          <w:trHeight w:val="230"/>
        </w:trPr>
        <w:tc>
          <w:tcPr>
            <w:tcW w:w="300" w:type="dxa"/>
            <w:vAlign w:val="bottom"/>
            <w:tcBorders>
              <w:left w:val="single" w:sz="8" w:color="auto"/>
            </w:tcBorders>
          </w:tcPr>
          <w:p>
            <w:pPr>
              <w:spacing w:after="0"/>
              <w:rPr>
                <w:sz w:val="20"/>
                <w:szCs w:val="20"/>
                <w:color w:val="auto"/>
              </w:rPr>
            </w:pPr>
          </w:p>
        </w:tc>
        <w:tc>
          <w:tcPr>
            <w:tcW w:w="52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Association.</w:t>
            </w:r>
          </w:p>
        </w:tc>
        <w:tc>
          <w:tcPr>
            <w:tcW w:w="28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34"/>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Art. 9   Ordinary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9  Assemblée générale ordinaire</w:t>
            </w:r>
          </w:p>
        </w:tc>
      </w:tr>
      <w:tr>
        <w:trPr>
          <w:trHeight w:val="399"/>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The Ordinary General Meeting shall be held annually within six months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L'assemblée générale ordinaire aura lieu chaque année dans les six mois</w:t>
            </w: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after the close of the business year at such time and at such location, which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qui suivent la clôture de l'exercice à la date et à l'endroit, qui peut être en</w:t>
            </w: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may be within or outside Switzerland, as determined by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ou hors de la Suisse, tel que déterminé par le conseil d'administration.</w:t>
            </w:r>
          </w:p>
        </w:tc>
      </w:tr>
      <w:tr>
        <w:trPr>
          <w:trHeight w:val="237"/>
        </w:trPr>
        <w:tc>
          <w:tcPr>
            <w:tcW w:w="55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Directors.</w:t>
            </w:r>
          </w:p>
        </w:tc>
        <w:tc>
          <w:tcPr>
            <w:tcW w:w="2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spacing w:after="0"/>
              <w:rPr>
                <w:sz w:val="20"/>
                <w:szCs w:val="20"/>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5" w:name="page216"/>
    <w:bookmarkEnd w:id="2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7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8"/>
        </w:trPr>
        <w:tc>
          <w:tcPr>
            <w:tcW w:w="84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34"/>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10</w:t>
            </w:r>
          </w:p>
        </w:tc>
        <w:tc>
          <w:tcPr>
            <w:tcW w:w="46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Extraordinary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Extraordinary General Meetings may be called by resolution of the General</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Les assemblées générales extraordinaires peuvent être convoquées par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Meeting, the Auditors or the Board of Directors, or by shareholders with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décision  de  l'assemblée  générale,  l'organe  de  révision  ou  le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voting powers, provided they represent at least 10% of the share capital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d'administration, ou par des actionnaires avec droit de vote, à condition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and who submit (a)(1) a request signed by such shareholder(s) that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qu'ils représentent au moins 10% du capital-actions et qu'ils soumettent (a)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specifies the item(s) to be included on the agenda, (2) the respective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(1) une demande signée par le(s)dit(s) actionnaire(s) qui spécifie les objets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proposals  of  the  shareholders  and  (3)  evidence  of  the  required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à faire figurer sur l'ordre du jour, (2) les propositions respectives de ces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shareholdings recorded in the share register and (b) such other information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actionnaires et (3) la preuve des participations requises inscrites dans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as would be required to be included in a proxy statement pursuant to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registre  des  actions  et  (b)  les  autres  informations  qui  doivent  être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rules of the country where the Company's shares are primarily listed.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mentionnées dans une déclaration (proxy statement) conformément aux</w:t>
            </w:r>
          </w:p>
        </w:tc>
      </w:tr>
      <w:tr>
        <w:trPr>
          <w:trHeight w:val="230"/>
        </w:trPr>
        <w:tc>
          <w:tcPr>
            <w:tcW w:w="840" w:type="dxa"/>
            <w:vAlign w:val="bottom"/>
            <w:tcBorders>
              <w:left w:val="single" w:sz="8" w:color="auto"/>
            </w:tcBorders>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règles du pays où les actions de la société sont principalement cotées.</w:t>
            </w: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spacing w:after="0"/>
              <w:rPr>
                <w:sz w:val="19"/>
                <w:szCs w:val="19"/>
                <w:color w:val="auto"/>
              </w:rPr>
            </w:pPr>
          </w:p>
        </w:tc>
      </w:tr>
      <w:tr>
        <w:trPr>
          <w:trHeight w:val="234"/>
        </w:trPr>
        <w:tc>
          <w:tcPr>
            <w:tcW w:w="8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11</w:t>
            </w:r>
          </w:p>
        </w:tc>
        <w:tc>
          <w:tcPr>
            <w:tcW w:w="46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Notice and Agenda of Shareholders' Meetings</w:t>
            </w:r>
          </w:p>
        </w:tc>
        <w:tc>
          <w:tcPr>
            <w:tcW w:w="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rPr>
              <w:t>Art. 11</w:t>
            </w:r>
          </w:p>
        </w:tc>
        <w:tc>
          <w:tcPr>
            <w:tcW w:w="4720" w:type="dxa"/>
            <w:vAlign w:val="bottom"/>
            <w:tcBorders>
              <w:right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0"/>
              </w:rPr>
              <w:t>Convocations et ordres du jour des assemblées générales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Notice of a General Meeting of Shareholders shall be given by the Board</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L'assemblée générale est convoquée par le conseil d'administration ou, si</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of Directors or, if necessary, by the Auditor, not later than twenty calendar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nécessaire, par l'organe de révision, au moins 20 jours avant la tenue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days prior to the date of the General Meeting of Shareholders. Notice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l'assemblée générale des actionnaires. La convocation à l'assemblée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the General Meeting of Shareholders shall be given by way of a one-time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générale des actionnaires doit être faite au moyen d'une seule publication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announcement in the official means of publication of the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conformément à l'article 46 de ces statuts. La période de préavis sera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pursuant to Article 46 of these Articles of Association. The notice period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réputée avoir été respectée si la convocation à l'assemblée générale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shall be deemed to have been observed if notice of the General Meeting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actionnaires est publiée conformément à l'article 46 de ces statuts, étant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Shareholders is published in such official means of publication, it being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entendu que la date de publication ne doit pas être calculée dans la période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understood that the date of publication shall not be computed in the notice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de préavis. Les actionnaires inscrits peuvent en outre être informés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period. Shareholders of record may in addition be informed of the General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l'assemblée générale des actionnaires par courrier ordinaire ou par e-mail.</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Meeting of Shareholders by ordinary mail or e-mail.</w:t>
            </w:r>
          </w:p>
        </w:tc>
        <w:tc>
          <w:tcPr>
            <w:tcW w:w="28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1"/>
              </w:rPr>
              <w:t>The notice of a General Meeting of Shareholders shall specify the items on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La convocation à l'assemblée générale des actionnaires doit préciser les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the  agenda  and  the  proposals  of  the  Board  of  Directors  and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objets de l'ordre du jour et les propositions du conseil d'administration et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shareholder(s) who requested that a General Meeting of Shareholders be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l'/les actionnaire(s) qui a/ont demandé que l'assemblée générale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held or an item be included on the agenda, and, in the event of elections,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actionnaires ait lieu ou qu'un objet soit inscrit à l'ordre du jour, et, dans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name(s) of the candidate(s) that has or have been put on the ballot for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cas d'élections, le/les nom(s) du/des candidat(s) qui a ou ont été mis sur le</w:t>
            </w:r>
          </w:p>
        </w:tc>
      </w:tr>
      <w:tr>
        <w:trPr>
          <w:trHeight w:val="237"/>
        </w:trPr>
        <w:tc>
          <w:tcPr>
            <w:tcW w:w="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election.</w:t>
            </w:r>
          </w:p>
        </w:tc>
        <w:tc>
          <w:tcPr>
            <w:tcW w:w="466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bulletin de vote pour l'élection.</w:t>
            </w:r>
          </w:p>
        </w:tc>
      </w:tr>
      <w:tr>
        <w:trPr>
          <w:trHeight w:val="439"/>
        </w:trPr>
        <w:tc>
          <w:tcPr>
            <w:tcW w:w="8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20"/>
              <w:spacing w:after="0"/>
              <w:rPr>
                <w:sz w:val="20"/>
                <w:szCs w:val="20"/>
                <w:color w:val="auto"/>
              </w:rPr>
            </w:pPr>
            <w:r>
              <w:rPr>
                <w:rFonts w:ascii="Arial" w:cs="Arial" w:eastAsia="Arial" w:hAnsi="Arial"/>
                <w:sz w:val="12"/>
                <w:szCs w:val="12"/>
                <w:color w:val="auto"/>
                <w:w w:val="74"/>
              </w:rPr>
              <w:t>11</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Board of Directors shall state the matters on the agenda.</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 conseil d'administration doit indiquer les objets de l'ordre du jour.</w:t>
            </w:r>
          </w:p>
        </w:tc>
      </w:tr>
      <w:tr>
        <w:trPr>
          <w:trHeight w:val="209"/>
        </w:trPr>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Shareholders who represent an aggregate of at least 10 percent of the share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Les actionnaires qui représentent un total d'au moins 10 pour cent du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capital or together representing shares with a nominal value of 1 million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capital-actions ou qui représentent ensemble une valeur nominale de CHF</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Swiss francs may demand that an item be placed on the agenda of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 million d'actions peuvent exiger qu'un objet soit inscrit à l'ordre du jour</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General Meeting of Shareholders. A request for inclusion of an item on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d'une assemblée générale des actionnaires. Une demande d'inscription d'un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agenda must be requested in writing delivered to or mailed and received at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objet à l'ordre du jour doit être faite par écrit et remise ou envoyée et reçue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the registered office of the Company at least 120 calendar days before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au siège de la société au moins 120 jours avant le premier anniversaire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first anniversary of the date that the Company's proxy statement was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la date à laquelle la déclaration (proxy statement) de la Société a été</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released to shareholders in connection with the previous year's ordinary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communiquée aux actionnaires lors de l'assemblée générale ordinaire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General  Meeting  of  Shareholders.  However,  if  no  ordinary  General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7"/>
              </w:rPr>
              <w:t>actionnaires de l'année précédente. Toutefois, si aucune assemblée générale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Meeting of Shareholders was held in the previous year or if the date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ordinaire des actionnaires n'a eu lieu l'année précédente ou si la date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ordinary General Meeting of Shareholders has been changed by more than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l'assemblée générale ordinaire des actionnaires a été modifiée de plus de 30</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30 calendar days from the date contemplated at the time of the previous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jours calendaires à compter de la date prévue au moment de la déclaration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year's proxy statement, request for inclusion of an item on the agenda must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(proxy statement) de l'année précédente, une demande d'inscription d'un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be requested not fewer than the later of (i) 150 calendar days prior to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objet à l'ordre du jour doit être demandée au moins à la date la plus tardive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date of the contemplated annual General Meeting or (ii) the date which is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entre (i) 150 jours calendaires avant la date de l'assemblée générale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ten calendar days after the date of the first public announcement or other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ordinaire envisagée ou (ii) la date qui est dix jours calendaires plus tard</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notification to the shareholders of the date of the contemplated annual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que la date de la première annonce publique ou autre notification aux</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General Meeting. To be timely for an extraordinary General Meeting,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actionnaires de la date envisagée de l'assemblée générale ordinaire. Pour</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shareholder's notice to the Secretary must be delivered to or mailed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être dans les délais pour une assemblée générale extraordinaire, l'avis d'un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received at the registered office of the Company not fewer than the later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actionnaire au secrétaire doit être livré ou envoyé et reçu au siège de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(i) 120 calendar days before the date of the extraordinary General Meeting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société au moins à la date la plus tardive entre (i) 120 jours calendaires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of Shareholders or (ii) the date which is ten calendar days after the date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avant la date de l'assemblée générale extraordinaire des actionnaires ou (ii)</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the first public announcement or other notification to the shareholders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la date qui est dix jours calendaires plus tard que la date de la première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date  of  the  contemplated  extraordinary  General  Meeting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annonce  publique  ou  autre  notification  aux  actionnaires  de  la  date</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envisagée de l'assemblée générale extraordinaire des actionnaires.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7" w:name="page218"/>
    <w:bookmarkEnd w:id="2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20"/>
              <w:spacing w:after="0"/>
              <w:rPr>
                <w:sz w:val="20"/>
                <w:szCs w:val="20"/>
                <w:color w:val="auto"/>
              </w:rPr>
            </w:pPr>
            <w:r>
              <w:rPr>
                <w:rFonts w:ascii="Arial" w:cs="Arial" w:eastAsia="Arial" w:hAnsi="Arial"/>
                <w:sz w:val="12"/>
                <w:szCs w:val="12"/>
                <w:color w:val="auto"/>
                <w:w w:val="74"/>
              </w:rPr>
              <w:t>12</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1"/>
              </w:rPr>
              <w:t>Each request for inclusion of an item on the agenda must include (i) a brief</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5"/>
              </w:rPr>
              <w:t>Chaque demande d'inscription d'un objet à l'ordre du jour doit inclure (i)</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description of the business desired to be brought before the meeting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une brève description de l'affaire qui sera soumise à l'assemblée et 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the reasons for conducting such business at the meeting; (ii) the name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raisons pour lesquelles cette affaire est soumise à l'assemblée; (ii) le nom et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address, as they appear on the Company's register of shareholders,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l'adresse, tels qu'ils apparaissent dans le registre des actionnaires de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shareholder proposing such business; (iii) the number of shares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société, de l'/des actionnaire(s) proposant un tel objet; (iii) le nombre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Company which are beneficially owned by such shareholder; (iv) the dates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d'actions de la société effectivement détenues par (un) tel(s) actionnaire(s);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9"/>
              </w:rPr>
              <w:t>upon which the shareholder acquired such shares; (v) documentary support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(iv) les dates auxquelles l'/les actionnaire(s) a/ont acquis ces actions; (v)</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for any claim of beneficial ownership; (vi) any material interest of such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l'appui documentaire pour toute revendication de propriété effective; (vi)</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shareholder in such business; and (vii) a statement in support of the matter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un intérêt important de cet/ces actionnaire(s) par rapport à cet objet; et (vii)</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and, for proposals sought to be included in the Company's proxy statement,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une déclaration à l'appui de cet objet et, pour les propositions devant être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any other information required by Securities and Exchange Commission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incluses dans la déclaration (proxy statement) de la société, toute autre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Rule "14a-8".</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information requise par la Securities and Exchange Commission règle</w:t>
            </w:r>
          </w:p>
        </w:tc>
      </w:tr>
      <w:tr>
        <w:trPr>
          <w:trHeight w:val="230"/>
        </w:trPr>
        <w:tc>
          <w:tcPr>
            <w:tcW w:w="550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"14a-8".</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In  addition,  if  the  shareholder  intends  to  solicit  proxies  from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En outre, si un actionnaire a l'intention de solliciter des procurations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shareholders of the Company, such shareholder shall notify the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actionnaires de la société, cet actionnaire doit en informer la société</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of this intent in accordance with Securities and Exchange Commission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conformément aux dispositions de la Securities and Exchange Commission</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Rule "14a-4" and/or Rule "14a-8".</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règle "14a-4" et "14a-8".</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 resolution may be passed at a General Meeting of Shareholders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Aucune décision ne peut être adoptée lors d'une assemblée générale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concerning an item in relation to which due notice was not given.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actionnaires si un objet n'a pas été inscrit à l'ordre du jour dans le délai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Proposals made during a General Meeting of Shareholders to (i) convene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préavis. Les propositions faites au cours d'une assemblée générale des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extraordinary General Meeting or (ii) initiate a special investigation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actionnaires pour (i) convoquer une assemblée générale extraordinaire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accordance with article 697a of the Swiss Code of Obligations are not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(ii) instituer un contrôle spécial au sens de l'article 697a CO ne sont pas</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subject to the due notice requirement set forth herein.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soumises à l'obligation d'inscription prévue dans ces statuts.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2"/>
              </w:rPr>
              <w:t>No advance notice is required to propose motions on duly notified agenda</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3"/>
              </w:rPr>
              <w:t>Aucun préavis n'est nécessaire pour proposer des motions sur les objets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items and to debate items without passing resolutions.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inscrits à l'ordre du jour ou débattre desdits objets sans prendre de</w:t>
            </w:r>
          </w:p>
        </w:tc>
      </w:tr>
      <w:tr>
        <w:trPr>
          <w:trHeight w:val="237"/>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décisions.</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700" w:type="dxa"/>
            <w:vAlign w:val="bottom"/>
          </w:tcPr>
          <w:p>
            <w:pPr>
              <w:ind w:left="4560"/>
              <w:spacing w:after="0"/>
              <w:rPr>
                <w:sz w:val="20"/>
                <w:szCs w:val="20"/>
                <w:color w:val="auto"/>
              </w:rPr>
            </w:pPr>
            <w:r>
              <w:rPr>
                <w:rFonts w:ascii="Arial" w:cs="Arial" w:eastAsia="Arial" w:hAnsi="Arial"/>
                <w:sz w:val="12"/>
                <w:szCs w:val="12"/>
                <w:color w:val="auto"/>
                <w:w w:val="74"/>
              </w:rPr>
              <w:t>13</w:t>
            </w:r>
          </w:p>
        </w:tc>
      </w:tr>
      <w:tr>
        <w:trPr>
          <w:trHeight w:val="168"/>
        </w:trPr>
        <w:tc>
          <w:tcPr>
            <w:tcW w:w="88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r>
      <w:tr>
        <w:trPr>
          <w:trHeight w:val="234"/>
        </w:trPr>
        <w:tc>
          <w:tcPr>
            <w:tcW w:w="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12</w:t>
            </w:r>
          </w:p>
        </w:tc>
        <w:tc>
          <w:tcPr>
            <w:tcW w:w="46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Documentation</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12</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Documents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The annual business report, the compensation report and the Auditor's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Le rapport de gestion annuel, le rapport de rémunération et le rapport du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report must be submitted for examination by the shareholders at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réviseur doivent être présentés aux actionnaires pour examen au siège de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registered office of the Company at least 20 days prior to the date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société au moins 20 jours avant la date de l'assemblée générale ordinaire.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Ordinary General Meeting. Each shareholder may request that a copy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Chaque actionnaire peut demander une copie de ces documents qui doivent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this documentation be sent to him promptly by e-mail. Such right shall be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lui être envoyés promptement par e-mail. Ce droit doit être mentionné dans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included in the invitation to the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l'invitation à l'assemblée générale.</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13</w:t>
            </w:r>
          </w:p>
        </w:tc>
        <w:tc>
          <w:tcPr>
            <w:tcW w:w="46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Meeting of All Shareholders</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13</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Assemblée universelle</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Shareholders or their proxies representing all shares issued may hold a</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Les propriétaires ou les représentants de la totalité des actions peuvent, s'il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General Meeting without observing the formalities required for calling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n'y a pas d'opposition, tenir une assemblée générale sans observer les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meeting, unless objection is raised. At such a meeting, discussions may be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formes prévues pour sa convocation. Aussi longtemps que les propriétaires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held and resolutions passed on all matters within the scope of the powers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ou les représentants de la totalité des actions sont présents, cette assemblée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of  a  General  Meeting  for  so  long  as  the  shareholders  or  proxies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a le droit de délibérer et de statuer valablement sur tous les objets qui sont</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representing all shares issued are present.</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du ressort de l'assemblée générale.</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14</w:t>
            </w:r>
          </w:p>
        </w:tc>
        <w:tc>
          <w:tcPr>
            <w:tcW w:w="46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Chairman and Scrutineers</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14</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Président et scrutateurs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The Chairman of the Board of Directors shall preside over the General</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Meeting. In his absence, a member of the Board of Directors or another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d'administration. En cas d'empêchement, un autre membre du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Chairman of the Meeting designated by the General Meeting shall preside.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d'administration ou un président ad hoc nommé par l'assemblée générale</w:t>
            </w:r>
          </w:p>
        </w:tc>
      </w:tr>
      <w:tr>
        <w:trPr>
          <w:trHeight w:val="230"/>
        </w:trPr>
        <w:tc>
          <w:tcPr>
            <w:tcW w:w="880" w:type="dxa"/>
            <w:vAlign w:val="bottom"/>
            <w:tcBorders>
              <w:left w:val="single" w:sz="8" w:color="auto"/>
            </w:tcBorders>
          </w:tcPr>
          <w:p>
            <w:pPr>
              <w:spacing w:after="0"/>
              <w:rPr>
                <w:sz w:val="20"/>
                <w:szCs w:val="20"/>
                <w:color w:val="auto"/>
              </w:rPr>
            </w:pPr>
          </w:p>
        </w:tc>
        <w:tc>
          <w:tcPr>
            <w:tcW w:w="46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préside celle-ci.</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5"/>
              </w:rPr>
              <w:t>The  Chairman  of  the  Meeting  shall  designate  a  Secretary  and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87"/>
              </w:rPr>
              <w:t>Le président de l'assemblée générale désigne un secrétaire et les scrutateurs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scrutineers who need not be shareholders.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qui ne doivent pas nécessairement être actionnaires.</w:t>
            </w:r>
          </w:p>
        </w:tc>
      </w:tr>
      <w:tr>
        <w:trPr>
          <w:trHeight w:val="223"/>
        </w:trPr>
        <w:tc>
          <w:tcPr>
            <w:tcW w:w="880" w:type="dxa"/>
            <w:vAlign w:val="bottom"/>
            <w:tcBorders>
              <w:left w:val="single" w:sz="8" w:color="auto"/>
              <w:bottom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8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15</w:t>
            </w:r>
          </w:p>
        </w:tc>
        <w:tc>
          <w:tcPr>
            <w:tcW w:w="46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Minutes</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15</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Procès-verbal</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Board of Directors is responsible for the keeping of the minutes of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Le conseil d'administration est responsable de la tenue du procès-verbal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Meeting, which shall state the number, kind, nominal value of shares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l'assemblée, qui doit indiquer le nombre, le type, la valeur nominale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represented by the shareholders, by the corporate bodies and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actions représentées par les actionnaires, par les organes sociaux et par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independent proxy and gives information on resolutions passed, elections,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représentant indépendant et donne des informations sur les décisions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requests for information and information as well as declarations given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adoptées, les élections, les demandes de renseignements et les informations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the shareholders. The minutes shall be signed by the Chairman and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ainsi que les déclarations faites par les actionnaires. Le procès-verbal est</w:t>
            </w:r>
          </w:p>
        </w:tc>
      </w:tr>
      <w:tr>
        <w:trPr>
          <w:trHeight w:val="237"/>
        </w:trPr>
        <w:tc>
          <w:tcPr>
            <w:tcW w:w="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Secretary.</w:t>
            </w:r>
          </w:p>
        </w:tc>
        <w:tc>
          <w:tcPr>
            <w:tcW w:w="462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signé par le président et le secrétaire.</w:t>
            </w:r>
          </w:p>
        </w:tc>
      </w:tr>
      <w:tr>
        <w:trPr>
          <w:trHeight w:val="439"/>
        </w:trPr>
        <w:tc>
          <w:tcPr>
            <w:tcW w:w="8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shareholders are entitled to inspect the minutes.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209"/>
        </w:trPr>
        <w:tc>
          <w:tcPr>
            <w:tcW w:w="660" w:type="dxa"/>
            <w:vAlign w:val="bottom"/>
            <w:tcBorders>
              <w:left w:val="single" w:sz="8" w:color="auto"/>
              <w:bottom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700" w:type="dxa"/>
            <w:vAlign w:val="bottom"/>
            <w:tcBorders>
              <w:bottom w:val="single" w:sz="8" w:color="auto"/>
              <w:right w:val="single" w:sz="8" w:color="auto"/>
            </w:tcBorders>
          </w:tcPr>
          <w:p>
            <w:pPr>
              <w:spacing w:after="0"/>
              <w:rPr>
                <w:sz w:val="18"/>
                <w:szCs w:val="18"/>
                <w:color w:val="auto"/>
              </w:rPr>
            </w:pPr>
          </w:p>
        </w:tc>
      </w:tr>
      <w:tr>
        <w:trPr>
          <w:trHeight w:val="234"/>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16</w:t>
            </w:r>
          </w:p>
        </w:tc>
        <w:tc>
          <w:tcPr>
            <w:tcW w:w="484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Right to Vote</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16</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Droit de vote</w:t>
            </w:r>
          </w:p>
        </w:tc>
      </w:tr>
      <w:tr>
        <w:trPr>
          <w:trHeight w:val="41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Each share entitles to one vote.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Chaque action donne droit à une voix.</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0"/>
              </w:rPr>
              <w:t>Each shareholder may be represented at a General Meeting by any person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Chaque actionnaire peut se faire représenter à l'assemblée générale par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who  is  so  authorized  by  a  written  proxy.  A  proxy  need  not  be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toute personne qui est autorisée par une procuration écrite. Le représentant</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shareholder.</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 doit pas nécessairement être un actionnaire.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7"/>
              </w:rPr>
              <w:t>Each shareholder may be represented by the Independent Proxy.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Chaque  actionnaire  peut  se  faire  représenter  par  le  représentant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requirements regarding proxies and instructions are determined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indépendant. Les exigences en matière de procurations et les instructions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Board of Directors.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sont déterminées par le conseil d'administration.</w:t>
            </w:r>
          </w:p>
        </w:tc>
      </w:tr>
      <w:tr>
        <w:trPr>
          <w:trHeight w:val="223"/>
        </w:trPr>
        <w:tc>
          <w:tcPr>
            <w:tcW w:w="660" w:type="dxa"/>
            <w:vAlign w:val="bottom"/>
            <w:tcBorders>
              <w:left w:val="single" w:sz="8" w:color="auto"/>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6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17</w:t>
            </w:r>
          </w:p>
        </w:tc>
        <w:tc>
          <w:tcPr>
            <w:tcW w:w="484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Resolutions and Elections</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17</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Décisions and élections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All voting and elections are held openly or electronically. A written voting</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Tous votes et élections sont tenus ouvertement ou par voie électronique.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or election shall be held if instructed so by the Chairman or if decided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Sur instruction du président ou de l'assemblée générale, un vote ou une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élection doit être tenu par écrit.</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3"/>
              </w:rPr>
              <w:t>The General Meeting shall pass its resolutions and carry out its elections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4"/>
              </w:rPr>
              <w:t>Sous  réserve  des  dispositions  impératives  de  la  loi  ou  des  statuts,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with the simple majority of the votes cast regardless of abstentions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l'assemblée générale prend ses décisions et procède aux élections à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empty or invalid votes, unless statutory law or articles of association state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majorité simple des voix émises. En cas de partage égal des voix,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otherwise. In the event of tie votes, the request shall be refused.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requête sera refusée. Le président n'a pas voix prépondérante.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Chairman shall not have a casting vote.</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5"/>
              </w:rPr>
              <w:t>A resolution of the General Meeting passed by at least two thirds of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Une décision de l'assemblée générale recueillant au moins les deux tiers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8"/>
              </w:rPr>
              <w:t>represented share votes and the absolute majority of the represented shares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des voix attribuées aux actions représentées et la majorité absolue des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par value is required for:</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valeurs nominales représentées est nécessaire pour:</w:t>
            </w:r>
          </w:p>
        </w:tc>
      </w:tr>
      <w:tr>
        <w:trPr>
          <w:trHeight w:val="432"/>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  The cases listed in art. 704 para. 1 CO, i.e.: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  les cas énumérés dans l'art. 704 al. 1 CO, i.e.:</w:t>
            </w:r>
          </w:p>
        </w:tc>
      </w:tr>
      <w:tr>
        <w:trPr>
          <w:trHeight w:val="432"/>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(i)  the change of the company purpose;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(i)   la modification du but social;</w:t>
            </w:r>
          </w:p>
        </w:tc>
      </w:tr>
      <w:tr>
        <w:trPr>
          <w:trHeight w:val="432"/>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(ii)  the creation of shares with privileged voting rights;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(ii)  l'introduction d'actions à droit de vote privilégié;</w:t>
            </w:r>
          </w:p>
        </w:tc>
      </w:tr>
      <w:tr>
        <w:trPr>
          <w:trHeight w:val="432"/>
        </w:trPr>
        <w:tc>
          <w:tcPr>
            <w:tcW w:w="66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(iii)</w:t>
            </w:r>
          </w:p>
        </w:tc>
        <w:tc>
          <w:tcPr>
            <w:tcW w:w="4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restriction of the transferability of registered shares;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(iii)  la restriction de la transmissibilité des actions nominatives;</w:t>
            </w:r>
          </w:p>
        </w:tc>
      </w:tr>
      <w:tr>
        <w:trPr>
          <w:trHeight w:val="439"/>
        </w:trPr>
        <w:tc>
          <w:tcPr>
            <w:tcW w:w="66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(iv)</w:t>
            </w:r>
          </w:p>
        </w:tc>
        <w:tc>
          <w:tcPr>
            <w:tcW w:w="4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 increase of capital, authorized or subject to a condition;</w:t>
            </w:r>
          </w:p>
        </w:tc>
        <w:tc>
          <w:tcPr>
            <w:tcW w:w="28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gridSpan w:val="2"/>
          </w:tcPr>
          <w:p>
            <w:pPr>
              <w:ind w:left="320"/>
              <w:spacing w:after="0"/>
              <w:rPr>
                <w:sz w:val="20"/>
                <w:szCs w:val="20"/>
                <w:color w:val="auto"/>
              </w:rPr>
            </w:pPr>
            <w:r>
              <w:rPr>
                <w:rFonts w:ascii="Arial" w:cs="Arial" w:eastAsia="Arial" w:hAnsi="Arial"/>
                <w:sz w:val="18"/>
                <w:szCs w:val="18"/>
                <w:color w:val="auto"/>
                <w:w w:val="97"/>
              </w:rPr>
              <w:t>(iv)  l'augmentation autorisée ou conditionnelle du capital-actions;</w:t>
            </w:r>
          </w:p>
        </w:tc>
      </w:tr>
      <w:tr>
        <w:trPr>
          <w:trHeight w:val="439"/>
        </w:trPr>
        <w:tc>
          <w:tcPr>
            <w:tcW w:w="6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8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rPr>
                <w:sz w:val="14"/>
                <w:szCs w:val="14"/>
                <w:color w:val="auto"/>
              </w:rPr>
            </w:pPr>
          </w:p>
        </w:tc>
        <w:tc>
          <w:tcPr>
            <w:tcW w:w="54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80" w:type="dxa"/>
            <w:vAlign w:val="bottom"/>
            <w:tcBorders>
              <w:top w:val="single" w:sz="8" w:color="auto"/>
            </w:tcBorders>
            <w:gridSpan w:val="2"/>
          </w:tcPr>
          <w:p>
            <w:pPr>
              <w:ind w:left="360"/>
              <w:spacing w:after="0" w:line="201" w:lineRule="exact"/>
              <w:rPr>
                <w:sz w:val="20"/>
                <w:szCs w:val="20"/>
                <w:color w:val="auto"/>
              </w:rPr>
            </w:pPr>
            <w:r>
              <w:rPr>
                <w:rFonts w:ascii="Arial" w:cs="Arial" w:eastAsia="Arial" w:hAnsi="Arial"/>
                <w:sz w:val="18"/>
                <w:szCs w:val="18"/>
                <w:color w:val="auto"/>
                <w:w w:val="98"/>
              </w:rPr>
              <w:t>(v) an increase of capital out of equity, against contribution in kind, or</w:t>
            </w:r>
          </w:p>
        </w:tc>
        <w:tc>
          <w:tcPr>
            <w:tcW w:w="5460" w:type="dxa"/>
            <w:vAlign w:val="bottom"/>
            <w:tcBorders>
              <w:top w:val="single" w:sz="8" w:color="auto"/>
            </w:tcBorders>
            <w:gridSpan w:val="2"/>
          </w:tcPr>
          <w:p>
            <w:pPr>
              <w:ind w:left="320"/>
              <w:spacing w:after="0" w:line="201" w:lineRule="exact"/>
              <w:rPr>
                <w:sz w:val="20"/>
                <w:szCs w:val="20"/>
                <w:color w:val="auto"/>
              </w:rPr>
            </w:pPr>
            <w:r>
              <w:rPr>
                <w:rFonts w:ascii="Arial" w:cs="Arial" w:eastAsia="Arial" w:hAnsi="Arial"/>
                <w:sz w:val="18"/>
                <w:szCs w:val="18"/>
                <w:color w:val="auto"/>
                <w:w w:val="96"/>
              </w:rPr>
              <w:t>(v)  l'augmentation du capital-actions au moyen des fonds propres,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680"/>
              <w:spacing w:after="0"/>
              <w:rPr>
                <w:sz w:val="20"/>
                <w:szCs w:val="20"/>
                <w:color w:val="auto"/>
              </w:rPr>
            </w:pPr>
            <w:r>
              <w:rPr>
                <w:rFonts w:ascii="Arial" w:cs="Arial" w:eastAsia="Arial" w:hAnsi="Arial"/>
                <w:sz w:val="18"/>
                <w:szCs w:val="18"/>
                <w:color w:val="auto"/>
                <w:w w:val="96"/>
              </w:rPr>
              <w:t>for the purpose of acquisition of assets and the granting of special</w:t>
            </w:r>
          </w:p>
        </w:tc>
        <w:tc>
          <w:tcPr>
            <w:tcW w:w="600" w:type="dxa"/>
            <w:vAlign w:val="bottom"/>
          </w:tcPr>
          <w:p>
            <w:pPr>
              <w:spacing w:after="0"/>
              <w:rPr>
                <w:sz w:val="18"/>
                <w:szCs w:val="18"/>
                <w:color w:val="auto"/>
              </w:rPr>
            </w:pPr>
          </w:p>
        </w:tc>
        <w:tc>
          <w:tcPr>
            <w:tcW w:w="4880" w:type="dxa"/>
            <w:vAlign w:val="bottom"/>
            <w:gridSpan w:val="2"/>
          </w:tcPr>
          <w:p>
            <w:pPr>
              <w:ind w:left="40"/>
              <w:spacing w:after="0"/>
              <w:rPr>
                <w:sz w:val="20"/>
                <w:szCs w:val="20"/>
                <w:color w:val="auto"/>
              </w:rPr>
            </w:pPr>
            <w:r>
              <w:rPr>
                <w:rFonts w:ascii="Arial" w:cs="Arial" w:eastAsia="Arial" w:hAnsi="Arial"/>
                <w:sz w:val="18"/>
                <w:szCs w:val="18"/>
                <w:color w:val="auto"/>
                <w:w w:val="91"/>
              </w:rPr>
              <w:t>contre apport en nature ou en vue d'une reprise de biens et l'octroi</w:t>
            </w:r>
          </w:p>
        </w:tc>
        <w:tc>
          <w:tcPr>
            <w:tcW w:w="0" w:type="dxa"/>
            <w:vAlign w:val="bottom"/>
          </w:tcPr>
          <w:p>
            <w:pPr>
              <w:spacing w:after="0"/>
              <w:rPr>
                <w:sz w:val="1"/>
                <w:szCs w:val="1"/>
                <w:color w:val="auto"/>
              </w:rPr>
            </w:pPr>
          </w:p>
        </w:tc>
      </w:tr>
      <w:tr>
        <w:trPr>
          <w:trHeight w:val="230"/>
        </w:trPr>
        <w:tc>
          <w:tcPr>
            <w:tcW w:w="5780" w:type="dxa"/>
            <w:vAlign w:val="bottom"/>
            <w:gridSpan w:val="2"/>
          </w:tcPr>
          <w:p>
            <w:pPr>
              <w:ind w:left="680"/>
              <w:spacing w:after="0"/>
              <w:rPr>
                <w:sz w:val="20"/>
                <w:szCs w:val="20"/>
                <w:color w:val="auto"/>
              </w:rPr>
            </w:pPr>
            <w:r>
              <w:rPr>
                <w:rFonts w:ascii="Arial" w:cs="Arial" w:eastAsia="Arial" w:hAnsi="Arial"/>
                <w:sz w:val="18"/>
                <w:szCs w:val="18"/>
                <w:color w:val="auto"/>
              </w:rPr>
              <w:t>benefits;</w:t>
            </w:r>
          </w:p>
        </w:tc>
        <w:tc>
          <w:tcPr>
            <w:tcW w:w="600" w:type="dxa"/>
            <w:vAlign w:val="bottom"/>
          </w:tcPr>
          <w:p>
            <w:pPr>
              <w:spacing w:after="0"/>
              <w:rPr>
                <w:sz w:val="20"/>
                <w:szCs w:val="20"/>
                <w:color w:val="auto"/>
              </w:rPr>
            </w:pP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d'avantages particuliers;</w:t>
            </w:r>
          </w:p>
        </w:tc>
        <w:tc>
          <w:tcPr>
            <w:tcW w:w="0" w:type="dxa"/>
            <w:vAlign w:val="bottom"/>
          </w:tcPr>
          <w:p>
            <w:pPr>
              <w:spacing w:after="0"/>
              <w:rPr>
                <w:sz w:val="1"/>
                <w:szCs w:val="1"/>
                <w:color w:val="auto"/>
              </w:rPr>
            </w:pPr>
          </w:p>
        </w:tc>
      </w:tr>
      <w:tr>
        <w:trPr>
          <w:trHeight w:val="418"/>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(vi)  the limitation or withdrawal of subscription rights;</w:t>
            </w:r>
          </w:p>
        </w:tc>
        <w:tc>
          <w:tcPr>
            <w:tcW w:w="600" w:type="dxa"/>
            <w:vAlign w:val="bottom"/>
          </w:tcPr>
          <w:p>
            <w:pPr>
              <w:ind w:left="320"/>
              <w:spacing w:after="0"/>
              <w:rPr>
                <w:sz w:val="20"/>
                <w:szCs w:val="20"/>
                <w:color w:val="auto"/>
              </w:rPr>
            </w:pPr>
            <w:r>
              <w:rPr>
                <w:rFonts w:ascii="Arial" w:cs="Arial" w:eastAsia="Arial" w:hAnsi="Arial"/>
                <w:sz w:val="18"/>
                <w:szCs w:val="18"/>
                <w:color w:val="auto"/>
              </w:rPr>
              <w:t>(vi)</w:t>
            </w:r>
          </w:p>
        </w:tc>
        <w:tc>
          <w:tcPr>
            <w:tcW w:w="4880" w:type="dxa"/>
            <w:vAlign w:val="bottom"/>
            <w:gridSpan w:val="2"/>
          </w:tcPr>
          <w:p>
            <w:pPr>
              <w:ind w:left="320"/>
              <w:spacing w:after="0"/>
              <w:rPr>
                <w:sz w:val="20"/>
                <w:szCs w:val="20"/>
                <w:color w:val="auto"/>
              </w:rPr>
            </w:pPr>
            <w:r>
              <w:rPr>
                <w:rFonts w:ascii="Arial" w:cs="Arial" w:eastAsia="Arial" w:hAnsi="Arial"/>
                <w:sz w:val="18"/>
                <w:szCs w:val="18"/>
                <w:color w:val="auto"/>
                <w:w w:val="97"/>
              </w:rPr>
              <w:t>la  limitation  ou  la  suppression  du  droit  de  souscription</w:t>
            </w:r>
          </w:p>
        </w:tc>
        <w:tc>
          <w:tcPr>
            <w:tcW w:w="0" w:type="dxa"/>
            <w:vAlign w:val="bottom"/>
          </w:tcPr>
          <w:p>
            <w:pPr>
              <w:spacing w:after="0"/>
              <w:rPr>
                <w:sz w:val="1"/>
                <w:szCs w:val="1"/>
                <w:color w:val="auto"/>
              </w:rPr>
            </w:pPr>
          </w:p>
        </w:tc>
      </w:tr>
      <w:tr>
        <w:trPr>
          <w:trHeight w:val="230"/>
        </w:trPr>
        <w:tc>
          <w:tcPr>
            <w:tcW w:w="740" w:type="dxa"/>
            <w:vAlign w:val="bottom"/>
            <w:vMerge w:val="restart"/>
          </w:tcPr>
          <w:p>
            <w:pPr>
              <w:ind w:left="360"/>
              <w:spacing w:after="0"/>
              <w:rPr>
                <w:sz w:val="20"/>
                <w:szCs w:val="20"/>
                <w:color w:val="auto"/>
              </w:rPr>
            </w:pPr>
            <w:r>
              <w:rPr>
                <w:rFonts w:ascii="Arial" w:cs="Arial" w:eastAsia="Arial" w:hAnsi="Arial"/>
                <w:sz w:val="18"/>
                <w:szCs w:val="18"/>
                <w:color w:val="auto"/>
              </w:rPr>
              <w:t>(vii)</w:t>
            </w:r>
          </w:p>
        </w:tc>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the change of the domicile of the Company; and</w:t>
            </w:r>
          </w:p>
        </w:tc>
        <w:tc>
          <w:tcPr>
            <w:tcW w:w="600" w:type="dxa"/>
            <w:vAlign w:val="bottom"/>
          </w:tcPr>
          <w:p>
            <w:pPr>
              <w:spacing w:after="0"/>
              <w:rPr>
                <w:sz w:val="20"/>
                <w:szCs w:val="20"/>
                <w:color w:val="auto"/>
              </w:rPr>
            </w:pP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216"/>
        </w:trPr>
        <w:tc>
          <w:tcPr>
            <w:tcW w:w="74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5480" w:type="dxa"/>
            <w:vAlign w:val="bottom"/>
            <w:gridSpan w:val="3"/>
            <w:vMerge w:val="restart"/>
          </w:tcPr>
          <w:p>
            <w:pPr>
              <w:ind w:left="320"/>
              <w:spacing w:after="0"/>
              <w:rPr>
                <w:sz w:val="20"/>
                <w:szCs w:val="20"/>
                <w:color w:val="auto"/>
              </w:rPr>
            </w:pPr>
            <w:r>
              <w:rPr>
                <w:rFonts w:ascii="Arial" w:cs="Arial" w:eastAsia="Arial" w:hAnsi="Arial"/>
                <w:sz w:val="18"/>
                <w:szCs w:val="18"/>
                <w:color w:val="auto"/>
              </w:rPr>
              <w:t>(vii) le transfert du siège de la société; et</w:t>
            </w:r>
          </w:p>
        </w:tc>
        <w:tc>
          <w:tcPr>
            <w:tcW w:w="0" w:type="dxa"/>
            <w:vAlign w:val="bottom"/>
          </w:tcPr>
          <w:p>
            <w:pPr>
              <w:spacing w:after="0"/>
              <w:rPr>
                <w:sz w:val="1"/>
                <w:szCs w:val="1"/>
                <w:color w:val="auto"/>
              </w:rPr>
            </w:pPr>
          </w:p>
        </w:tc>
      </w:tr>
      <w:tr>
        <w:trPr>
          <w:trHeight w:val="216"/>
        </w:trPr>
        <w:tc>
          <w:tcPr>
            <w:tcW w:w="740" w:type="dxa"/>
            <w:vAlign w:val="bottom"/>
            <w:vMerge w:val="restart"/>
          </w:tcPr>
          <w:p>
            <w:pPr>
              <w:ind w:left="360"/>
              <w:spacing w:after="0"/>
              <w:rPr>
                <w:sz w:val="20"/>
                <w:szCs w:val="20"/>
                <w:color w:val="auto"/>
              </w:rPr>
            </w:pPr>
            <w:r>
              <w:rPr>
                <w:rFonts w:ascii="Arial" w:cs="Arial" w:eastAsia="Arial" w:hAnsi="Arial"/>
                <w:sz w:val="18"/>
                <w:szCs w:val="18"/>
                <w:color w:val="auto"/>
              </w:rPr>
              <w:t>(viii)</w:t>
            </w:r>
          </w:p>
        </w:tc>
        <w:tc>
          <w:tcPr>
            <w:tcW w:w="5040" w:type="dxa"/>
            <w:vAlign w:val="bottom"/>
            <w:vMerge w:val="restart"/>
          </w:tcPr>
          <w:p>
            <w:pPr>
              <w:ind w:left="60"/>
              <w:spacing w:after="0"/>
              <w:rPr>
                <w:sz w:val="20"/>
                <w:szCs w:val="20"/>
                <w:color w:val="auto"/>
              </w:rPr>
            </w:pPr>
            <w:r>
              <w:rPr>
                <w:rFonts w:ascii="Arial" w:cs="Arial" w:eastAsia="Arial" w:hAnsi="Arial"/>
                <w:sz w:val="18"/>
                <w:szCs w:val="18"/>
                <w:color w:val="auto"/>
              </w:rPr>
              <w:t>the liquidation of the Company;</w:t>
            </w:r>
          </w:p>
        </w:tc>
        <w:tc>
          <w:tcPr>
            <w:tcW w:w="5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vMerge w:val="continue"/>
          </w:tcPr>
          <w:p>
            <w:pPr>
              <w:spacing w:after="0"/>
              <w:rPr>
                <w:sz w:val="18"/>
                <w:szCs w:val="18"/>
                <w:color w:val="auto"/>
              </w:rPr>
            </w:pPr>
          </w:p>
        </w:tc>
        <w:tc>
          <w:tcPr>
            <w:tcW w:w="50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5143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32320" cy="514350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(viii) la dissolution de la société;</w:t>
      </w:r>
    </w:p>
    <w:p>
      <w:pPr>
        <w:spacing w:after="0" w:line="9" w:lineRule="exact"/>
        <w:rPr>
          <w:sz w:val="20"/>
          <w:szCs w:val="20"/>
          <w:color w:val="auto"/>
        </w:rPr>
      </w:pPr>
    </w:p>
    <w:p>
      <w:pPr>
        <w:ind w:left="460" w:hanging="425"/>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merger, de-merger or conversion of the Company (subject to</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mandatory law);</w:t>
            </w:r>
          </w:p>
        </w:tc>
        <w:tc>
          <w:tcPr>
            <w:tcW w:w="7560" w:type="dxa"/>
            <w:vAlign w:val="bottom"/>
          </w:tcPr>
          <w:p>
            <w:pPr>
              <w:ind w:left="2120"/>
              <w:spacing w:after="0"/>
              <w:rPr>
                <w:sz w:val="20"/>
                <w:szCs w:val="20"/>
                <w:color w:val="auto"/>
              </w:rPr>
            </w:pPr>
            <w:r>
              <w:rPr>
                <w:rFonts w:ascii="Arial" w:cs="Arial" w:eastAsia="Arial" w:hAnsi="Arial"/>
                <w:sz w:val="18"/>
                <w:szCs w:val="18"/>
                <w:color w:val="auto"/>
                <w:w w:val="94"/>
              </w:rPr>
              <w:t>b)  la fusion, la scission ou la conversion de la société (sous réserve des</w:t>
            </w:r>
          </w:p>
        </w:tc>
      </w:tr>
      <w:tr>
        <w:trPr>
          <w:trHeight w:val="230"/>
        </w:trPr>
        <w:tc>
          <w:tcPr>
            <w:tcW w:w="3300" w:type="dxa"/>
            <w:vAlign w:val="bottom"/>
          </w:tcPr>
          <w:p>
            <w:pPr>
              <w:spacing w:after="0"/>
              <w:rPr>
                <w:sz w:val="20"/>
                <w:szCs w:val="20"/>
                <w:color w:val="auto"/>
              </w:rPr>
            </w:pPr>
          </w:p>
        </w:tc>
        <w:tc>
          <w:tcPr>
            <w:tcW w:w="7560" w:type="dxa"/>
            <w:vAlign w:val="bottom"/>
          </w:tcPr>
          <w:p>
            <w:pPr>
              <w:ind w:left="2440"/>
              <w:spacing w:after="0"/>
              <w:rPr>
                <w:sz w:val="20"/>
                <w:szCs w:val="20"/>
                <w:color w:val="auto"/>
              </w:rPr>
            </w:pPr>
            <w:r>
              <w:rPr>
                <w:rFonts w:ascii="Arial" w:cs="Arial" w:eastAsia="Arial" w:hAnsi="Arial"/>
                <w:sz w:val="18"/>
                <w:szCs w:val="18"/>
                <w:color w:val="auto"/>
              </w:rPr>
              <w:t>dispositions impératives);</w:t>
            </w:r>
          </w:p>
        </w:tc>
      </w:tr>
    </w:tbl>
    <w:p>
      <w:pPr>
        <w:ind w:left="520" w:hanging="485"/>
        <w:spacing w:after="0"/>
        <w:tabs>
          <w:tab w:leader="none" w:pos="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alleviating or withdrawal of restrictions upon the transfer of</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color w:val="auto"/>
              </w:rPr>
              <w:t>registered shares;</w:t>
            </w:r>
          </w:p>
        </w:tc>
        <w:tc>
          <w:tcPr>
            <w:tcW w:w="2460" w:type="dxa"/>
            <w:vAlign w:val="bottom"/>
          </w:tcPr>
          <w:p>
            <w:pPr>
              <w:ind w:left="2240"/>
              <w:spacing w:after="0"/>
              <w:rPr>
                <w:sz w:val="20"/>
                <w:szCs w:val="20"/>
                <w:color w:val="auto"/>
              </w:rPr>
            </w:pPr>
            <w:r>
              <w:rPr>
                <w:rFonts w:ascii="Arial" w:cs="Arial" w:eastAsia="Arial" w:hAnsi="Arial"/>
                <w:sz w:val="18"/>
                <w:szCs w:val="18"/>
                <w:color w:val="auto"/>
              </w:rPr>
              <w:t>c)</w:t>
            </w:r>
          </w:p>
        </w:tc>
        <w:tc>
          <w:tcPr>
            <w:tcW w:w="5200" w:type="dxa"/>
            <w:vAlign w:val="bottom"/>
          </w:tcPr>
          <w:p>
            <w:pPr>
              <w:ind w:left="160"/>
              <w:spacing w:after="0"/>
              <w:rPr>
                <w:sz w:val="20"/>
                <w:szCs w:val="20"/>
                <w:color w:val="auto"/>
              </w:rPr>
            </w:pPr>
            <w:r>
              <w:rPr>
                <w:rFonts w:ascii="Arial" w:cs="Arial" w:eastAsia="Arial" w:hAnsi="Arial"/>
                <w:sz w:val="18"/>
                <w:szCs w:val="18"/>
                <w:color w:val="auto"/>
                <w:w w:val="96"/>
              </w:rPr>
              <w:t>l'atténuation ou la suppression des restrictions sur le transfert des</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actions nominatives;</w:t>
            </w:r>
          </w:p>
        </w:tc>
      </w:tr>
    </w:tbl>
    <w:p>
      <w:pPr>
        <w:ind w:left="360" w:hanging="325"/>
        <w:spacing w:after="0"/>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conversion of registered shares into bearer shares and vice versa;</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color w:val="auto"/>
              </w:rPr>
              <w:t>and</w:t>
            </w:r>
          </w:p>
        </w:tc>
        <w:tc>
          <w:tcPr>
            <w:tcW w:w="2800" w:type="dxa"/>
            <w:vAlign w:val="bottom"/>
          </w:tcPr>
          <w:p>
            <w:pPr>
              <w:ind w:left="2580"/>
              <w:spacing w:after="0"/>
              <w:rPr>
                <w:sz w:val="20"/>
                <w:szCs w:val="20"/>
                <w:color w:val="auto"/>
              </w:rPr>
            </w:pPr>
            <w:r>
              <w:rPr>
                <w:rFonts w:ascii="Arial" w:cs="Arial" w:eastAsia="Arial" w:hAnsi="Arial"/>
                <w:sz w:val="18"/>
                <w:szCs w:val="18"/>
                <w:color w:val="auto"/>
              </w:rPr>
              <w:t>d)</w:t>
            </w:r>
          </w:p>
        </w:tc>
        <w:tc>
          <w:tcPr>
            <w:tcW w:w="5200" w:type="dxa"/>
            <w:vAlign w:val="bottom"/>
          </w:tcPr>
          <w:p>
            <w:pPr>
              <w:ind w:left="300"/>
              <w:spacing w:after="0"/>
              <w:rPr>
                <w:sz w:val="20"/>
                <w:szCs w:val="20"/>
                <w:color w:val="auto"/>
              </w:rPr>
            </w:pPr>
            <w:r>
              <w:rPr>
                <w:rFonts w:ascii="Arial" w:cs="Arial" w:eastAsia="Arial" w:hAnsi="Arial"/>
                <w:sz w:val="18"/>
                <w:szCs w:val="18"/>
                <w:color w:val="auto"/>
                <w:w w:val="94"/>
              </w:rPr>
              <w:t>la conversion d'actions nominatives en actions au porteur et vice</w:t>
            </w:r>
          </w:p>
        </w:tc>
      </w:tr>
      <w:tr>
        <w:trPr>
          <w:trHeight w:val="230"/>
        </w:trPr>
        <w:tc>
          <w:tcPr>
            <w:tcW w:w="28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versa; et</w:t>
            </w:r>
          </w:p>
        </w:tc>
      </w:tr>
    </w:tbl>
    <w:p>
      <w:pPr>
        <w:ind w:left="380" w:hanging="345"/>
        <w:spacing w:after="0"/>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amendment or elimination of the provisions of Article 4 and 29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360"/>
              <w:spacing w:after="0"/>
              <w:rPr>
                <w:sz w:val="20"/>
                <w:szCs w:val="20"/>
                <w:color w:val="auto"/>
              </w:rPr>
            </w:pPr>
            <w:r>
              <w:rPr>
                <w:rFonts w:ascii="Arial" w:cs="Arial" w:eastAsia="Arial" w:hAnsi="Arial"/>
                <w:sz w:val="18"/>
                <w:szCs w:val="18"/>
                <w:color w:val="auto"/>
                <w:w w:val="99"/>
              </w:rPr>
              <w:t>the Articles of Association as well as those contained in this Article</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3"/>
              </w:rPr>
              <w:t>e)   la modification ou la suppression des dispositions des articles 4 et 29</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17.</w:t>
            </w:r>
          </w:p>
        </w:tc>
        <w:tc>
          <w:tcPr>
            <w:tcW w:w="4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des statuts ainsi que ceux contenues dans le présent article 17.</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Art. 18</w:t>
            </w: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Votes on Compensation</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Art. 18</w:t>
            </w:r>
          </w:p>
        </w:tc>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Votes sur la rémunération</w:t>
            </w:r>
          </w:p>
        </w:tc>
        <w:tc>
          <w:tcPr>
            <w:tcW w:w="0" w:type="dxa"/>
            <w:vAlign w:val="bottom"/>
          </w:tcPr>
          <w:p>
            <w:pPr>
              <w:spacing w:after="0"/>
              <w:rPr>
                <w:sz w:val="1"/>
                <w:szCs w:val="1"/>
                <w:color w:val="auto"/>
              </w:rPr>
            </w:pPr>
          </w:p>
        </w:tc>
      </w:tr>
      <w:tr>
        <w:trPr>
          <w:trHeight w:val="39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The General Meeting shall approve annually and separately the proposals</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8"/>
              </w:rPr>
              <w:t>L'assemblée  générale  approuve  annuellement  et  séparé-ment  les</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of the Board of Directors in relation to the maximum aggregate amount of:</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5"/>
              </w:rPr>
              <w:t>propositions  du  conseil  d’administration  relatives  au  montant  global</w:t>
            </w:r>
          </w:p>
        </w:tc>
        <w:tc>
          <w:tcPr>
            <w:tcW w:w="0" w:type="dxa"/>
            <w:vAlign w:val="bottom"/>
          </w:tcPr>
          <w:p>
            <w:pPr>
              <w:spacing w:after="0"/>
              <w:rPr>
                <w:sz w:val="1"/>
                <w:szCs w:val="1"/>
                <w:color w:val="auto"/>
              </w:rPr>
            </w:pPr>
          </w:p>
        </w:tc>
      </w:tr>
      <w:tr>
        <w:trPr>
          <w:trHeight w:val="23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a)  compensation of the Board of Directors for the period until the next</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4"/>
              </w:rPr>
              <w:t>maximal de:</w:t>
            </w: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Ordinary General Meeting;</w:t>
            </w:r>
          </w:p>
        </w:tc>
        <w:tc>
          <w:tcPr>
            <w:tcW w:w="380" w:type="dxa"/>
            <w:vAlign w:val="bottom"/>
          </w:tcPr>
          <w:p>
            <w:pPr>
              <w:ind w:left="160"/>
              <w:spacing w:after="0"/>
              <w:rPr>
                <w:sz w:val="20"/>
                <w:szCs w:val="20"/>
                <w:color w:val="auto"/>
              </w:rPr>
            </w:pPr>
            <w:r>
              <w:rPr>
                <w:rFonts w:ascii="Arial" w:cs="Arial" w:eastAsia="Arial" w:hAnsi="Arial"/>
                <w:sz w:val="18"/>
                <w:szCs w:val="18"/>
                <w:color w:val="auto"/>
              </w:rPr>
              <w:t>a)</w:t>
            </w: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w w:val="96"/>
              </w:rPr>
              <w:t>la rémunération du conseil d'administration pour la période allant</w:t>
            </w:r>
          </w:p>
        </w:tc>
        <w:tc>
          <w:tcPr>
            <w:tcW w:w="0" w:type="dxa"/>
            <w:vAlign w:val="bottom"/>
          </w:tcPr>
          <w:p>
            <w:pPr>
              <w:spacing w:after="0"/>
              <w:rPr>
                <w:sz w:val="1"/>
                <w:szCs w:val="1"/>
                <w:color w:val="auto"/>
              </w:rPr>
            </w:pPr>
          </w:p>
        </w:tc>
      </w:tr>
      <w:tr>
        <w:trPr>
          <w:trHeight w:val="23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b)   compensation of the Executive Committee for the following financial</w:t>
            </w:r>
          </w:p>
        </w:tc>
        <w:tc>
          <w:tcPr>
            <w:tcW w:w="38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jusqu'à l'assemblée générale ordinaire suivante;</w:t>
            </w: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year.</w:t>
            </w:r>
          </w:p>
        </w:tc>
        <w:tc>
          <w:tcPr>
            <w:tcW w:w="476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9"/>
              </w:rPr>
              <w:t>b)  la rémunération du comité exécutif pour l’exercice annuel suivant.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gridSpan w:val="2"/>
          </w:tcPr>
          <w:p>
            <w:pPr>
              <w:spacing w:after="0"/>
              <w:rPr>
                <w:sz w:val="19"/>
                <w:szCs w:val="19"/>
                <w:color w:val="auto"/>
              </w:rPr>
            </w:pPr>
          </w:p>
        </w:tc>
        <w:tc>
          <w:tcPr>
            <w:tcW w:w="5620" w:type="dxa"/>
            <w:vAlign w:val="bottom"/>
            <w:tcBorders>
              <w:bottom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8"/>
              </w:rPr>
              <w:t>The respective total compensation amounts include social security and</w:t>
            </w:r>
          </w:p>
        </w:tc>
        <w:tc>
          <w:tcPr>
            <w:tcW w:w="56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4"/>
              </w:rPr>
              <w:t>Les montants totaux de rémunération respectifs comprennent la sécurité</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7"/>
              </w:rPr>
              <w:t>occupational pension contributions for the benefit of the members of the</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sociale et les cotisations de retraite professionnelle au profit des membres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Board of Directors, the Executive Committee and the Company.</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du conseil d'administration, du comité exécutif et de la société.</w:t>
            </w:r>
          </w:p>
        </w:tc>
        <w:tc>
          <w:tcPr>
            <w:tcW w:w="0" w:type="dxa"/>
            <w:vAlign w:val="bottom"/>
          </w:tcPr>
          <w:p>
            <w:pPr>
              <w:spacing w:after="0"/>
              <w:rPr>
                <w:sz w:val="1"/>
                <w:szCs w:val="1"/>
                <w:color w:val="auto"/>
              </w:rPr>
            </w:pPr>
          </w:p>
        </w:tc>
      </w:tr>
      <w:tr>
        <w:trPr>
          <w:trHeight w:val="466"/>
        </w:trPr>
        <w:tc>
          <w:tcPr>
            <w:tcW w:w="8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21" w:name="page222"/>
    <w:bookmarkEnd w:id="2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0"/>
              </w:rPr>
              <w:t>If the General Meeting refuses to approve a respective motion by the Board</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6"/>
              </w:rPr>
              <w:t>Si l'assemblée générale refuse d'approuver une motion soumise par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of Directors, the Board of Directors may either submit a new motion at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conseil d'administration, le conseil d'administration peut, soit présenter une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same meeting or determine a maximum total remuneration or several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nouvelle motion à la même séance ou déterminer une rémunération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maximum partial remunerations, subject to the relevant principles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maximale totale ou plusieurs rémunérations maximales partielles, sous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compensation, or submit a new motion to the next General Meeting for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réserve des principes concernant la rémunération, soit soumettre une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approval. The Company may pay remunerations within the framework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nouvelle motion à la prochaine assemblée générale pour approbation.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the maximum total or partial remuneration and subject to the approval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société peut verser des rémunérations dans le cadre de la rémunération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General Meeting.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maximale  totale  ou  partielle  et  sous  réserve  de  l'approbation  par</w:t>
            </w:r>
          </w:p>
        </w:tc>
      </w:tr>
      <w:tr>
        <w:trPr>
          <w:trHeight w:val="230"/>
        </w:trPr>
        <w:tc>
          <w:tcPr>
            <w:tcW w:w="60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The Board of Directors shall submit the compensation report to an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Le conseil d'administration soumet le rapport de rémunéra-tion à un vote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advisory vote of the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consultatif de l'assemblée générale.</w:t>
            </w: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r>
      <w:tr>
        <w:trPr>
          <w:trHeight w:val="234"/>
        </w:trPr>
        <w:tc>
          <w:tcPr>
            <w:tcW w:w="6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Art. 19</w:t>
            </w:r>
          </w:p>
        </w:tc>
        <w:tc>
          <w:tcPr>
            <w:tcW w:w="490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Independent Proxy</w:t>
            </w:r>
          </w:p>
        </w:tc>
        <w:tc>
          <w:tcPr>
            <w:tcW w:w="28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w w:val="96"/>
              </w:rPr>
              <w:t>Art. 19</w:t>
            </w:r>
          </w:p>
        </w:tc>
        <w:tc>
          <w:tcPr>
            <w:tcW w:w="4900" w:type="dxa"/>
            <w:vAlign w:val="bottom"/>
            <w:tcBorders>
              <w:right w:val="single" w:sz="8" w:color="auto"/>
            </w:tcBorders>
          </w:tcPr>
          <w:p>
            <w:pPr>
              <w:jc w:val="right"/>
              <w:ind w:right="2356"/>
              <w:spacing w:after="0"/>
              <w:rPr>
                <w:sz w:val="20"/>
                <w:szCs w:val="20"/>
                <w:color w:val="auto"/>
              </w:rPr>
            </w:pPr>
            <w:r>
              <w:rPr>
                <w:rFonts w:ascii="Arial" w:cs="Arial" w:eastAsia="Arial" w:hAnsi="Arial"/>
                <w:sz w:val="18"/>
                <w:szCs w:val="18"/>
                <w:b w:val="1"/>
                <w:bCs w:val="1"/>
                <w:color w:val="auto"/>
              </w:rPr>
              <w:t>Représentant indépendant</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Independent Proxy shall be elected by the Ordinary General Meeting</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Le représentant indépendant est élu par l'assemblée générale ordinaire pour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for a term of one year until the end of the next Ordinary General Meeting.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une durée d'un an jusqu'à la fin de la prochaine assemblée générale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Re-election is permitted. The Independent Proxy informs the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ordinaire. Une réélection est possible. Le représentant indépendant informe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about number, type, par value and category of the represented shares.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la société sur le nombre, le type, la valeur nominale et la catégorie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Chairman of the Board discloses the information to the General Meeting.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actions représentées. Le président du conseil d'administration communique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The other duties of the Independent Proxy are determined by the applicable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ces  informations  à  l'assemblée  générale.  Les  autres  fonctions  du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statutory provisions.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représentant indépendant sont déterminées par les dispositions statutaires</w:t>
            </w:r>
          </w:p>
        </w:tc>
      </w:tr>
      <w:tr>
        <w:trPr>
          <w:trHeight w:val="230"/>
        </w:trPr>
        <w:tc>
          <w:tcPr>
            <w:tcW w:w="60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applicables.</w:t>
            </w:r>
          </w:p>
        </w:tc>
      </w:tr>
      <w:tr>
        <w:trPr>
          <w:trHeight w:val="223"/>
        </w:trPr>
        <w:tc>
          <w:tcPr>
            <w:tcW w:w="600" w:type="dxa"/>
            <w:vAlign w:val="bottom"/>
            <w:tcBorders>
              <w:left w:val="single" w:sz="8" w:color="auto"/>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900" w:type="dxa"/>
            <w:vAlign w:val="bottom"/>
            <w:tcBorders>
              <w:bottom w:val="single" w:sz="8" w:color="auto"/>
              <w:right w:val="single" w:sz="8" w:color="auto"/>
            </w:tcBorders>
          </w:tcPr>
          <w:p>
            <w:pPr>
              <w:spacing w:after="0"/>
              <w:rPr>
                <w:sz w:val="19"/>
                <w:szCs w:val="19"/>
                <w:color w:val="auto"/>
              </w:rPr>
            </w:pPr>
          </w:p>
        </w:tc>
      </w:tr>
      <w:tr>
        <w:trPr>
          <w:trHeight w:val="223"/>
        </w:trPr>
        <w:tc>
          <w:tcPr>
            <w:tcW w:w="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V.</w:t>
            </w:r>
          </w:p>
        </w:tc>
        <w:tc>
          <w:tcPr>
            <w:tcW w:w="4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BOARD OF DIRECTORS</w:t>
            </w:r>
          </w:p>
        </w:tc>
        <w:tc>
          <w:tcPr>
            <w:tcW w:w="2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w:t>
            </w:r>
          </w:p>
        </w:tc>
        <w:tc>
          <w:tcPr>
            <w:tcW w:w="4900" w:type="dxa"/>
            <w:vAlign w:val="bottom"/>
            <w:tcBorders>
              <w:bottom w:val="single" w:sz="8" w:color="auto"/>
              <w:right w:val="single" w:sz="8" w:color="auto"/>
            </w:tcBorders>
          </w:tcPr>
          <w:p>
            <w:pPr>
              <w:jc w:val="right"/>
              <w:ind w:right="2116"/>
              <w:spacing w:after="0"/>
              <w:rPr>
                <w:sz w:val="20"/>
                <w:szCs w:val="20"/>
                <w:color w:val="auto"/>
              </w:rPr>
            </w:pPr>
            <w:r>
              <w:rPr>
                <w:rFonts w:ascii="Arial" w:cs="Arial" w:eastAsia="Arial" w:hAnsi="Arial"/>
                <w:sz w:val="18"/>
                <w:szCs w:val="18"/>
                <w:b w:val="1"/>
                <w:bCs w:val="1"/>
                <w:color w:val="auto"/>
              </w:rPr>
              <w:t>CONSEIL D'ADMINISTRATION</w:t>
            </w:r>
          </w:p>
        </w:tc>
      </w:tr>
      <w:tr>
        <w:trPr>
          <w:trHeight w:val="439"/>
        </w:trPr>
        <w:tc>
          <w:tcPr>
            <w:tcW w:w="6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2" w:name="page223"/>
    <w:bookmarkEnd w:id="2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7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8"/>
        </w:trPr>
        <w:tc>
          <w:tcPr>
            <w:tcW w:w="96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r>
      <w:tr>
        <w:trPr>
          <w:trHeight w:val="234"/>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20</w:t>
            </w:r>
          </w:p>
        </w:tc>
        <w:tc>
          <w:tcPr>
            <w:tcW w:w="4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Number of Members, Term of Office</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20</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Nombre de membres, durée de la fonction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The Board of Directors shall consist of at least 3 and not more than 9</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Le conseil d'administration se compose d'au minimum 3 et au maximum 9</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members. This maximum number may be exceeded if it is necessary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membres. Ce nombre maximum pourra être dépassé s’il est nécessaire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satisfy nationality, residency and/or gender requirements under Swiss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satisfaire à des conditions de nationalités, de résidences ou de genres selon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foreign laws. The chairman and the members of the Board of Directors are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 droit suisse ou étranger. Le président et les membres du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individually elected by the General Meeting for a term of one year until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d'administration sont élus individuellement par l'assemblée générale pour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end of the next Ordinary General Meeting, provided that he/she does not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un mandat d'un an jusqu'à la fin de la prochaine assemblée générale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resign or is not replaced during his/her term.</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ordinaire,  à  condition  qu'il/elle  ne  démissionne  pas  ou  ne  soit  pas</w:t>
            </w:r>
          </w:p>
        </w:tc>
      </w:tr>
      <w:tr>
        <w:trPr>
          <w:trHeight w:val="230"/>
        </w:trPr>
        <w:tc>
          <w:tcPr>
            <w:tcW w:w="960" w:type="dxa"/>
            <w:vAlign w:val="bottom"/>
            <w:tcBorders>
              <w:left w:val="single" w:sz="8" w:color="auto"/>
            </w:tcBorders>
          </w:tcPr>
          <w:p>
            <w:pPr>
              <w:spacing w:after="0"/>
              <w:rPr>
                <w:sz w:val="20"/>
                <w:szCs w:val="20"/>
                <w:color w:val="auto"/>
              </w:rPr>
            </w:pPr>
          </w:p>
        </w:tc>
        <w:tc>
          <w:tcPr>
            <w:tcW w:w="45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remplacé(e) durant son mandat.</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The members of the Board of Directors may be re-elected without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Les  membres  du  conseil  d'administration  peuvent  être  réélus  sans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limitation. The maximum age limit of members of the Board shall be 75</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limitation. La limite d’âge des membres du conseil d'administration est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years. When a member of the Board of Directors reaches this age limit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fixée à 75 ans. Lorsqu'un membre du conseil d'administration atteint cette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during his term of office, such term shall automatically extend to the next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limite  d'âge  durant  son  mandat,  ledit  mandat  sera  automatiquement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ordinary shareholders' meeting. The shareholders' meeting may resolve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prolongé jusqu'à la prochaine assemblée générale ordinaire. L'assemblée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grant an exception to the age limit.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générale des actionnaires peut décider d'accorder une dérogation à la limite</w:t>
            </w:r>
          </w:p>
        </w:tc>
      </w:tr>
      <w:tr>
        <w:trPr>
          <w:trHeight w:val="230"/>
        </w:trPr>
        <w:tc>
          <w:tcPr>
            <w:tcW w:w="960" w:type="dxa"/>
            <w:vAlign w:val="bottom"/>
            <w:tcBorders>
              <w:left w:val="single" w:sz="8" w:color="auto"/>
            </w:tcBorders>
          </w:tcPr>
          <w:p>
            <w:pPr>
              <w:spacing w:after="0"/>
              <w:rPr>
                <w:sz w:val="20"/>
                <w:szCs w:val="20"/>
                <w:color w:val="auto"/>
              </w:rPr>
            </w:pPr>
          </w:p>
        </w:tc>
        <w:tc>
          <w:tcPr>
            <w:tcW w:w="45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d'âge.</w:t>
            </w:r>
          </w:p>
        </w:tc>
        <w:tc>
          <w:tcPr>
            <w:tcW w:w="4700" w:type="dxa"/>
            <w:vAlign w:val="bottom"/>
            <w:tcBorders>
              <w:right w:val="single" w:sz="8" w:color="auto"/>
            </w:tcBorders>
          </w:tcPr>
          <w:p>
            <w:pPr>
              <w:spacing w:after="0"/>
              <w:rPr>
                <w:sz w:val="20"/>
                <w:szCs w:val="20"/>
                <w:color w:val="auto"/>
              </w:rPr>
            </w:pPr>
          </w:p>
        </w:tc>
      </w:tr>
      <w:tr>
        <w:trPr>
          <w:trHeight w:val="223"/>
        </w:trPr>
        <w:tc>
          <w:tcPr>
            <w:tcW w:w="960" w:type="dxa"/>
            <w:vAlign w:val="bottom"/>
            <w:tcBorders>
              <w:left w:val="single" w:sz="8" w:color="auto"/>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21</w:t>
            </w:r>
          </w:p>
        </w:tc>
        <w:tc>
          <w:tcPr>
            <w:tcW w:w="4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Constitution</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21</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Constitution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Subject to the powers of the General Meeting, the Board of Directors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determines its own organization. It appoints a Secretary who needs not be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d'administration détermine sa propre organisation. Il nomme un secrétaire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member of the Board of Directors.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qui ne doit pas nécessairement être un membre du conseil d'administration.</w:t>
            </w:r>
          </w:p>
        </w:tc>
      </w:tr>
      <w:tr>
        <w:trPr>
          <w:trHeight w:val="223"/>
        </w:trPr>
        <w:tc>
          <w:tcPr>
            <w:tcW w:w="960" w:type="dxa"/>
            <w:vAlign w:val="bottom"/>
            <w:tcBorders>
              <w:left w:val="single" w:sz="8" w:color="auto"/>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22</w:t>
            </w:r>
          </w:p>
        </w:tc>
        <w:tc>
          <w:tcPr>
            <w:tcW w:w="4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Function, Organization</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22</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Fonction, organisation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It is the Board of Director's duty to lead the Company and to supervise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Le conseil d'administration exerce la direction de la société et en supervise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management. The Board of Director represents the Company and may take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la gestion. Le conseil d'administration représente la société et peut prendre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decisions on all affairs which are not assigned to any other body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les décisions sur toutes les affaires qui ne sont pas attribuées à un autre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Company  by  law,  the  Articles  of  Association  or  the  organizational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organe de la société par la loi, les statuts ou le règlement d'organisation.</w:t>
            </w:r>
          </w:p>
        </w:tc>
      </w:tr>
      <w:tr>
        <w:trPr>
          <w:trHeight w:val="230"/>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6"/>
              </w:rPr>
              <w:t>regulations.</w:t>
            </w:r>
          </w:p>
        </w:tc>
        <w:tc>
          <w:tcPr>
            <w:tcW w:w="45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9"/>
              </w:rPr>
              <w:t>The Board of Directors shall enact the organizational regulations and</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Le conseil d'administration édicte le règlement d'organisation et s'occupe</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arrange for the appropriate contractual relationships.</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des relations contractuelles appropriées.</w:t>
            </w:r>
          </w:p>
        </w:tc>
      </w:tr>
      <w:tr>
        <w:trPr>
          <w:trHeight w:val="439"/>
        </w:trPr>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2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8"/>
        </w:trPr>
        <w:tc>
          <w:tcPr>
            <w:tcW w:w="800" w:type="dxa"/>
            <w:vAlign w:val="bottom"/>
            <w:gridSpan w:val="2"/>
          </w:tcPr>
          <w:p>
            <w:pPr>
              <w:spacing w:after="0"/>
              <w:rPr>
                <w:sz w:val="14"/>
                <w:szCs w:val="14"/>
                <w:color w:val="auto"/>
              </w:rPr>
            </w:pPr>
          </w:p>
        </w:tc>
        <w:tc>
          <w:tcPr>
            <w:tcW w:w="4820" w:type="dxa"/>
            <w:vAlign w:val="bottom"/>
          </w:tcPr>
          <w:p>
            <w:pPr>
              <w:spacing w:after="0"/>
              <w:rPr>
                <w:sz w:val="14"/>
                <w:szCs w:val="14"/>
                <w:color w:val="auto"/>
              </w:rPr>
            </w:pPr>
          </w:p>
        </w:tc>
        <w:tc>
          <w:tcPr>
            <w:tcW w:w="920" w:type="dxa"/>
            <w:vAlign w:val="bottom"/>
            <w:gridSpan w:val="2"/>
          </w:tcPr>
          <w:p>
            <w:pPr>
              <w:spacing w:after="0"/>
              <w:rPr>
                <w:sz w:val="14"/>
                <w:szCs w:val="14"/>
                <w:color w:val="auto"/>
              </w:rPr>
            </w:pPr>
          </w:p>
        </w:tc>
        <w:tc>
          <w:tcPr>
            <w:tcW w:w="4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23</w:t>
            </w:r>
          </w:p>
        </w:tc>
        <w:tc>
          <w:tcPr>
            <w:tcW w:w="4820" w:type="dxa"/>
            <w:vAlign w:val="bottom"/>
            <w:tcBorders>
              <w:top w:val="single" w:sz="8" w:color="auto"/>
            </w:tcBorders>
          </w:tcPr>
          <w:p>
            <w:pPr>
              <w:jc w:val="right"/>
              <w:ind w:right="3950"/>
              <w:spacing w:after="0"/>
              <w:rPr>
                <w:sz w:val="20"/>
                <w:szCs w:val="20"/>
                <w:color w:val="auto"/>
              </w:rPr>
            </w:pPr>
            <w:r>
              <w:rPr>
                <w:rFonts w:ascii="Arial" w:cs="Arial" w:eastAsia="Arial" w:hAnsi="Arial"/>
                <w:sz w:val="18"/>
                <w:szCs w:val="18"/>
                <w:b w:val="1"/>
                <w:bCs w:val="1"/>
                <w:color w:val="auto"/>
              </w:rPr>
              <w:t>Powers</w:t>
            </w:r>
          </w:p>
        </w:tc>
        <w:tc>
          <w:tcPr>
            <w:tcW w:w="9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Art. 23</w:t>
            </w:r>
          </w:p>
        </w:tc>
        <w:tc>
          <w:tcPr>
            <w:tcW w:w="4700" w:type="dxa"/>
            <w:vAlign w:val="bottom"/>
            <w:tcBorders>
              <w:top w:val="single" w:sz="8" w:color="auto"/>
            </w:tcBorders>
          </w:tcPr>
          <w:p>
            <w:pPr>
              <w:jc w:val="right"/>
              <w:ind w:right="3719"/>
              <w:spacing w:after="0"/>
              <w:rPr>
                <w:sz w:val="20"/>
                <w:szCs w:val="20"/>
                <w:color w:val="auto"/>
              </w:rPr>
            </w:pPr>
            <w:r>
              <w:rPr>
                <w:rFonts w:ascii="Arial" w:cs="Arial" w:eastAsia="Arial" w:hAnsi="Arial"/>
                <w:sz w:val="18"/>
                <w:szCs w:val="18"/>
                <w:b w:val="1"/>
                <w:bCs w:val="1"/>
                <w:color w:val="auto"/>
              </w:rPr>
              <w:t>Pouvoirs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8"/>
              </w:rPr>
              <w:t>The Board of Directors has the following non-delegable and inalienable</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Le  conseil  d'administration  a  les  attributions  intransmissibles  et</w:t>
            </w:r>
          </w:p>
        </w:tc>
        <w:tc>
          <w:tcPr>
            <w:tcW w:w="0" w:type="dxa"/>
            <w:vAlign w:val="bottom"/>
          </w:tcPr>
          <w:p>
            <w:pPr>
              <w:spacing w:after="0"/>
              <w:rPr>
                <w:sz w:val="1"/>
                <w:szCs w:val="1"/>
                <w:color w:val="auto"/>
              </w:rPr>
            </w:pPr>
          </w:p>
        </w:tc>
      </w:tr>
      <w:tr>
        <w:trPr>
          <w:trHeight w:val="230"/>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duties:</w:t>
            </w:r>
          </w:p>
        </w:tc>
        <w:tc>
          <w:tcPr>
            <w:tcW w:w="4820" w:type="dxa"/>
            <w:vAlign w:val="bottom"/>
          </w:tcPr>
          <w:p>
            <w:pPr>
              <w:spacing w:after="0"/>
              <w:rPr>
                <w:sz w:val="20"/>
                <w:szCs w:val="20"/>
                <w:color w:val="auto"/>
              </w:rPr>
            </w:pP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inaliénables suivantes:</w:t>
            </w:r>
          </w:p>
        </w:tc>
        <w:tc>
          <w:tcPr>
            <w:tcW w:w="0" w:type="dxa"/>
            <w:vAlign w:val="bottom"/>
          </w:tcPr>
          <w:p>
            <w:pPr>
              <w:spacing w:after="0"/>
              <w:rPr>
                <w:sz w:val="1"/>
                <w:szCs w:val="1"/>
                <w:color w:val="auto"/>
              </w:rPr>
            </w:pPr>
          </w:p>
        </w:tc>
      </w:tr>
      <w:tr>
        <w:trPr>
          <w:trHeight w:val="418"/>
        </w:trPr>
        <w:tc>
          <w:tcPr>
            <w:tcW w:w="260" w:type="dxa"/>
            <w:vAlign w:val="bottom"/>
          </w:tcPr>
          <w:p>
            <w:pPr>
              <w:ind w:left="40"/>
              <w:spacing w:after="0"/>
              <w:rPr>
                <w:sz w:val="20"/>
                <w:szCs w:val="20"/>
                <w:color w:val="auto"/>
              </w:rPr>
            </w:pPr>
            <w:r>
              <w:rPr>
                <w:rFonts w:ascii="Arial" w:cs="Arial" w:eastAsia="Arial" w:hAnsi="Arial"/>
                <w:sz w:val="18"/>
                <w:szCs w:val="18"/>
                <w:color w:val="auto"/>
              </w:rPr>
              <w:t>a)</w:t>
            </w:r>
          </w:p>
        </w:tc>
        <w:tc>
          <w:tcPr>
            <w:tcW w:w="5360" w:type="dxa"/>
            <w:vAlign w:val="bottom"/>
            <w:gridSpan w:val="2"/>
          </w:tcPr>
          <w:p>
            <w:pPr>
              <w:jc w:val="right"/>
              <w:ind w:right="70"/>
              <w:spacing w:after="0"/>
              <w:rPr>
                <w:sz w:val="20"/>
                <w:szCs w:val="20"/>
                <w:color w:val="auto"/>
              </w:rPr>
            </w:pPr>
            <w:r>
              <w:rPr>
                <w:rFonts w:ascii="Arial" w:cs="Arial" w:eastAsia="Arial" w:hAnsi="Arial"/>
                <w:sz w:val="18"/>
                <w:szCs w:val="18"/>
                <w:color w:val="auto"/>
              </w:rPr>
              <w:t>the overall management of the company and the issuing of all</w:t>
            </w:r>
          </w:p>
        </w:tc>
        <w:tc>
          <w:tcPr>
            <w:tcW w:w="380" w:type="dxa"/>
            <w:vAlign w:val="bottom"/>
          </w:tcPr>
          <w:p>
            <w:pPr>
              <w:ind w:left="160"/>
              <w:spacing w:after="0"/>
              <w:rPr>
                <w:sz w:val="20"/>
                <w:szCs w:val="20"/>
                <w:color w:val="auto"/>
              </w:rPr>
            </w:pPr>
            <w:r>
              <w:rPr>
                <w:rFonts w:ascii="Arial" w:cs="Arial" w:eastAsia="Arial" w:hAnsi="Arial"/>
                <w:sz w:val="18"/>
                <w:szCs w:val="18"/>
                <w:color w:val="auto"/>
              </w:rPr>
              <w:t>a)</w:t>
            </w:r>
          </w:p>
        </w:tc>
        <w:tc>
          <w:tcPr>
            <w:tcW w:w="5260" w:type="dxa"/>
            <w:vAlign w:val="bottom"/>
            <w:gridSpan w:val="3"/>
          </w:tcPr>
          <w:p>
            <w:pPr>
              <w:ind w:left="260"/>
              <w:spacing w:after="0"/>
              <w:rPr>
                <w:sz w:val="20"/>
                <w:szCs w:val="20"/>
                <w:color w:val="auto"/>
              </w:rPr>
            </w:pPr>
            <w:r>
              <w:rPr>
                <w:rFonts w:ascii="Arial" w:cs="Arial" w:eastAsia="Arial" w:hAnsi="Arial"/>
                <w:sz w:val="18"/>
                <w:szCs w:val="18"/>
                <w:color w:val="auto"/>
                <w:w w:val="98"/>
              </w:rPr>
              <w:t>exercer la haute direction de la société et établir les instructions</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necessary directives;</w:t>
            </w:r>
          </w:p>
        </w:tc>
        <w:tc>
          <w:tcPr>
            <w:tcW w:w="380" w:type="dxa"/>
            <w:vAlign w:val="bottom"/>
          </w:tcPr>
          <w:p>
            <w:pPr>
              <w:spacing w:after="0"/>
              <w:rPr>
                <w:sz w:val="20"/>
                <w:szCs w:val="20"/>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nécessaires;</w:t>
            </w:r>
          </w:p>
        </w:tc>
        <w:tc>
          <w:tcPr>
            <w:tcW w:w="0" w:type="dxa"/>
            <w:vAlign w:val="bottom"/>
          </w:tcPr>
          <w:p>
            <w:pPr>
              <w:spacing w:after="0"/>
              <w:rPr>
                <w:sz w:val="1"/>
                <w:szCs w:val="1"/>
                <w:color w:val="auto"/>
              </w:rPr>
            </w:pPr>
          </w:p>
        </w:tc>
      </w:tr>
      <w:tr>
        <w:trPr>
          <w:trHeight w:val="432"/>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b)  determination of the company's organisation;</w:t>
            </w:r>
          </w:p>
        </w:tc>
        <w:tc>
          <w:tcPr>
            <w:tcW w:w="380" w:type="dxa"/>
            <w:vAlign w:val="bottom"/>
          </w:tcPr>
          <w:p>
            <w:pPr>
              <w:ind w:left="160"/>
              <w:spacing w:after="0"/>
              <w:rPr>
                <w:sz w:val="20"/>
                <w:szCs w:val="20"/>
                <w:color w:val="auto"/>
              </w:rPr>
            </w:pPr>
            <w:r>
              <w:rPr>
                <w:rFonts w:ascii="Arial" w:cs="Arial" w:eastAsia="Arial" w:hAnsi="Arial"/>
                <w:sz w:val="18"/>
                <w:szCs w:val="18"/>
                <w:color w:val="auto"/>
              </w:rPr>
              <w:t>b)</w:t>
            </w: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fixer l'organisation;</w:t>
            </w:r>
          </w:p>
        </w:tc>
        <w:tc>
          <w:tcPr>
            <w:tcW w:w="0" w:type="dxa"/>
            <w:vAlign w:val="bottom"/>
          </w:tcPr>
          <w:p>
            <w:pPr>
              <w:spacing w:after="0"/>
              <w:rPr>
                <w:sz w:val="1"/>
                <w:szCs w:val="1"/>
                <w:color w:val="auto"/>
              </w:rPr>
            </w:pPr>
          </w:p>
        </w:tc>
      </w:tr>
      <w:tr>
        <w:trPr>
          <w:trHeight w:val="418"/>
        </w:trPr>
        <w:tc>
          <w:tcPr>
            <w:tcW w:w="260" w:type="dxa"/>
            <w:vAlign w:val="bottom"/>
          </w:tcPr>
          <w:p>
            <w:pPr>
              <w:ind w:left="40"/>
              <w:spacing w:after="0"/>
              <w:rPr>
                <w:sz w:val="20"/>
                <w:szCs w:val="20"/>
                <w:color w:val="auto"/>
              </w:rPr>
            </w:pPr>
            <w:r>
              <w:rPr>
                <w:rFonts w:ascii="Arial" w:cs="Arial" w:eastAsia="Arial" w:hAnsi="Arial"/>
                <w:sz w:val="18"/>
                <w:szCs w:val="18"/>
                <w:color w:val="auto"/>
              </w:rPr>
              <w:t>c)</w:t>
            </w:r>
          </w:p>
        </w:tc>
        <w:tc>
          <w:tcPr>
            <w:tcW w:w="5360" w:type="dxa"/>
            <w:vAlign w:val="bottom"/>
            <w:gridSpan w:val="2"/>
          </w:tcPr>
          <w:p>
            <w:pPr>
              <w:jc w:val="right"/>
              <w:ind w:right="50"/>
              <w:spacing w:after="0"/>
              <w:rPr>
                <w:sz w:val="20"/>
                <w:szCs w:val="20"/>
                <w:color w:val="auto"/>
              </w:rPr>
            </w:pPr>
            <w:r>
              <w:rPr>
                <w:rFonts w:ascii="Arial" w:cs="Arial" w:eastAsia="Arial" w:hAnsi="Arial"/>
                <w:sz w:val="18"/>
                <w:szCs w:val="18"/>
                <w:color w:val="auto"/>
              </w:rPr>
              <w:t>the organisation of the accounting, financial control and financial</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w w:val="95"/>
              </w:rPr>
              <w:t>c)  fixer les principes de la comptabilité et du contrôle financier ainsi que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planning systems as required for management of the company;</w:t>
            </w:r>
          </w:p>
        </w:tc>
        <w:tc>
          <w:tcPr>
            <w:tcW w:w="380" w:type="dxa"/>
            <w:vAlign w:val="bottom"/>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w w:val="90"/>
              </w:rPr>
              <w:t>le plan financier pour autant que celui-ci soit nécessaire à la gestion de</w:t>
            </w: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w w:val="93"/>
              </w:rPr>
              <w:t>d)  the appointment and dismissal of persons entrusted with managing and</w:t>
            </w:r>
          </w:p>
        </w:tc>
        <w:tc>
          <w:tcPr>
            <w:tcW w:w="380" w:type="dxa"/>
            <w:vAlign w:val="bottom"/>
          </w:tcPr>
          <w:p>
            <w:pPr>
              <w:spacing w:after="0"/>
              <w:rPr>
                <w:sz w:val="20"/>
                <w:szCs w:val="20"/>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la société;</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representing the company;</w:t>
            </w:r>
          </w:p>
        </w:tc>
        <w:tc>
          <w:tcPr>
            <w:tcW w:w="380" w:type="dxa"/>
            <w:vAlign w:val="bottom"/>
          </w:tcPr>
          <w:p>
            <w:pPr>
              <w:ind w:left="160"/>
              <w:spacing w:after="0"/>
              <w:rPr>
                <w:sz w:val="20"/>
                <w:szCs w:val="20"/>
                <w:color w:val="auto"/>
              </w:rPr>
            </w:pPr>
            <w:r>
              <w:rPr>
                <w:rFonts w:ascii="Arial" w:cs="Arial" w:eastAsia="Arial" w:hAnsi="Arial"/>
                <w:sz w:val="18"/>
                <w:szCs w:val="18"/>
                <w:color w:val="auto"/>
              </w:rPr>
              <w:t>d)</w:t>
            </w:r>
          </w:p>
        </w:tc>
        <w:tc>
          <w:tcPr>
            <w:tcW w:w="5260" w:type="dxa"/>
            <w:vAlign w:val="bottom"/>
            <w:gridSpan w:val="3"/>
          </w:tcPr>
          <w:p>
            <w:pPr>
              <w:ind w:left="280"/>
              <w:spacing w:after="0"/>
              <w:rPr>
                <w:sz w:val="20"/>
                <w:szCs w:val="20"/>
                <w:color w:val="auto"/>
              </w:rPr>
            </w:pPr>
            <w:r>
              <w:rPr>
                <w:rFonts w:ascii="Arial" w:cs="Arial" w:eastAsia="Arial" w:hAnsi="Arial"/>
                <w:sz w:val="18"/>
                <w:szCs w:val="18"/>
                <w:color w:val="auto"/>
                <w:w w:val="93"/>
              </w:rPr>
              <w:t>nommer et révoquer les personnes chargées de la gestion et de la</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représentation;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54178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32320" cy="5417820"/>
                    </a:xfrm>
                    <a:prstGeom prst="rect">
                      <a:avLst/>
                    </a:prstGeom>
                    <a:noFill/>
                  </pic:spPr>
                </pic:pic>
              </a:graphicData>
            </a:graphic>
          </wp:anchor>
        </w:drawing>
      </w:r>
    </w:p>
    <w:p>
      <w:pPr>
        <w:ind w:left="480" w:hanging="445"/>
        <w:spacing w:after="0"/>
        <w:tabs>
          <w:tab w:leader="none" w:pos="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w w:val="94"/>
              </w:rPr>
              <w:t>company, in particular with regard to compliance with the law, articles</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1"/>
              </w:rPr>
              <w:t>e)   exercer la haute surveillance sur les personnes chargées de la gestion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of association, operational regulations and directives;</w:t>
            </w: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w w:val="97"/>
              </w:rPr>
              <w:t>pour s'assurer notamment qu'elles observent la loi, les statuts, les</w:t>
            </w:r>
          </w:p>
        </w:tc>
        <w:tc>
          <w:tcPr>
            <w:tcW w:w="0" w:type="dxa"/>
            <w:vAlign w:val="bottom"/>
          </w:tcPr>
          <w:p>
            <w:pPr>
              <w:spacing w:after="0"/>
              <w:rPr>
                <w:sz w:val="1"/>
                <w:szCs w:val="1"/>
                <w:color w:val="auto"/>
              </w:rPr>
            </w:pPr>
          </w:p>
        </w:tc>
      </w:tr>
      <w:tr>
        <w:trPr>
          <w:trHeight w:val="230"/>
        </w:trPr>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f)</w:t>
            </w:r>
          </w:p>
        </w:tc>
        <w:tc>
          <w:tcPr>
            <w:tcW w:w="5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96"/>
              </w:rPr>
              <w:t>compilation of the annual report, preparation for the general meeting</w:t>
            </w: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règlements et les instructions données;</w:t>
            </w:r>
          </w:p>
        </w:tc>
        <w:tc>
          <w:tcPr>
            <w:tcW w:w="0" w:type="dxa"/>
            <w:vAlign w:val="bottom"/>
          </w:tcPr>
          <w:p>
            <w:pPr>
              <w:spacing w:after="0"/>
              <w:rPr>
                <w:sz w:val="1"/>
                <w:szCs w:val="1"/>
                <w:color w:val="auto"/>
              </w:rPr>
            </w:pPr>
          </w:p>
        </w:tc>
      </w:tr>
      <w:tr>
        <w:trPr>
          <w:trHeight w:val="202"/>
        </w:trPr>
        <w:tc>
          <w:tcPr>
            <w:tcW w:w="240" w:type="dxa"/>
            <w:vAlign w:val="bottom"/>
            <w:vMerge w:val="continue"/>
          </w:tcPr>
          <w:p>
            <w:pPr>
              <w:spacing w:after="0"/>
              <w:rPr>
                <w:sz w:val="17"/>
                <w:szCs w:val="17"/>
                <w:color w:val="auto"/>
              </w:rPr>
            </w:pPr>
          </w:p>
        </w:tc>
        <w:tc>
          <w:tcPr>
            <w:tcW w:w="53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and implementation of its resolutions;</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2"/>
              </w:rPr>
              <w:t>f)   établir le rapport de gestion, préparer l'assemblée générale et exécuter</w:t>
            </w: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w w:val="95"/>
              </w:rPr>
              <w:t>g)  the preparation of the compensation report and to request approval by</w:t>
            </w: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ses décisions;</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w w:val="93"/>
              </w:rPr>
              <w:t>the General Meeting regarding compensation of the Board of Directors</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1"/>
              </w:rPr>
              <w:t>g) la préparation du rapport de rémunération et de demander l'approbation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and the Executive Committee; and</w:t>
            </w: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w w:val="89"/>
              </w:rPr>
              <w:t>par l'assemblée générale en ce qui concerne la rémunération du conseil</w:t>
            </w:r>
          </w:p>
        </w:tc>
        <w:tc>
          <w:tcPr>
            <w:tcW w:w="0" w:type="dxa"/>
            <w:vAlign w:val="bottom"/>
          </w:tcPr>
          <w:p>
            <w:pPr>
              <w:spacing w:after="0"/>
              <w:rPr>
                <w:sz w:val="1"/>
                <w:szCs w:val="1"/>
                <w:color w:val="auto"/>
              </w:rPr>
            </w:pPr>
          </w:p>
        </w:tc>
      </w:tr>
      <w:tr>
        <w:trPr>
          <w:trHeight w:val="230"/>
        </w:trPr>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h)</w:t>
            </w:r>
          </w:p>
        </w:tc>
        <w:tc>
          <w:tcPr>
            <w:tcW w:w="420" w:type="dxa"/>
            <w:vAlign w:val="bottom"/>
          </w:tcPr>
          <w:p>
            <w:pPr>
              <w:spacing w:after="0"/>
              <w:rPr>
                <w:sz w:val="20"/>
                <w:szCs w:val="20"/>
                <w:color w:val="auto"/>
              </w:rPr>
            </w:pPr>
          </w:p>
        </w:tc>
        <w:tc>
          <w:tcPr>
            <w:tcW w:w="4960" w:type="dxa"/>
            <w:vAlign w:val="bottom"/>
            <w:vMerge w:val="restart"/>
          </w:tcPr>
          <w:p>
            <w:pPr>
              <w:jc w:val="right"/>
              <w:ind w:right="50"/>
              <w:spacing w:after="0"/>
              <w:rPr>
                <w:sz w:val="20"/>
                <w:szCs w:val="20"/>
                <w:color w:val="auto"/>
              </w:rPr>
            </w:pPr>
            <w:r>
              <w:rPr>
                <w:rFonts w:ascii="Arial" w:cs="Arial" w:eastAsia="Arial" w:hAnsi="Arial"/>
                <w:sz w:val="18"/>
                <w:szCs w:val="18"/>
                <w:color w:val="auto"/>
              </w:rPr>
              <w:t>notification of the court in the event that the company is</w:t>
            </w: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d'administration et du comité exécutif; et</w:t>
            </w:r>
          </w:p>
        </w:tc>
        <w:tc>
          <w:tcPr>
            <w:tcW w:w="0" w:type="dxa"/>
            <w:vAlign w:val="bottom"/>
          </w:tcPr>
          <w:p>
            <w:pPr>
              <w:spacing w:after="0"/>
              <w:rPr>
                <w:sz w:val="1"/>
                <w:szCs w:val="1"/>
                <w:color w:val="auto"/>
              </w:rPr>
            </w:pPr>
          </w:p>
        </w:tc>
      </w:tr>
      <w:tr>
        <w:trPr>
          <w:trHeight w:val="202"/>
        </w:trPr>
        <w:tc>
          <w:tcPr>
            <w:tcW w:w="2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9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overindebted.</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gridSpan w:val="3"/>
          </w:tcPr>
          <w:p>
            <w:pPr>
              <w:spacing w:after="0"/>
              <w:rPr>
                <w:sz w:val="19"/>
                <w:szCs w:val="19"/>
                <w:color w:val="auto"/>
              </w:rPr>
            </w:pPr>
          </w:p>
        </w:tc>
        <w:tc>
          <w:tcPr>
            <w:tcW w:w="56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7"/>
              </w:rPr>
              <w:t>The  board  of  directors  may  assign  responsibility  for  preparing  and</w:t>
            </w:r>
          </w:p>
        </w:tc>
        <w:tc>
          <w:tcPr>
            <w:tcW w:w="5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Le conseil d'administration peut déléguer à un ou plusieurs membres,</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7"/>
              </w:rPr>
              <w:t>implementing its resolutions or monitoring transactions to committees or</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0"/>
              </w:rPr>
              <w:t>regroupés en comités, la charge de préparer et d'exécuter ses décisions ou</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5"/>
              </w:rPr>
              <w:t>individual members. It must ensure appropriate reporting to its members.</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9"/>
              </w:rPr>
              <w:t>de surveiller certaines affaires. Il veille à ce que ses membres soient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convenablement informés.</w:t>
            </w:r>
          </w:p>
        </w:tc>
        <w:tc>
          <w:tcPr>
            <w:tcW w:w="0" w:type="dxa"/>
            <w:vAlign w:val="bottom"/>
          </w:tcPr>
          <w:p>
            <w:pPr>
              <w:spacing w:after="0"/>
              <w:rPr>
                <w:sz w:val="1"/>
                <w:szCs w:val="1"/>
                <w:color w:val="auto"/>
              </w:rPr>
            </w:pPr>
          </w:p>
        </w:tc>
      </w:tr>
      <w:tr>
        <w:trPr>
          <w:trHeight w:val="223"/>
        </w:trPr>
        <w:tc>
          <w:tcPr>
            <w:tcW w:w="660" w:type="dxa"/>
            <w:vAlign w:val="bottom"/>
            <w:tcBorders>
              <w:bottom w:val="single" w:sz="8" w:color="auto"/>
            </w:tcBorders>
            <w:gridSpan w:val="2"/>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gridSpan w:val="2"/>
          </w:tcPr>
          <w:p>
            <w:pPr>
              <w:ind w:left="40"/>
              <w:spacing w:after="0"/>
              <w:rPr>
                <w:sz w:val="20"/>
                <w:szCs w:val="20"/>
                <w:color w:val="auto"/>
              </w:rPr>
            </w:pPr>
            <w:r>
              <w:rPr>
                <w:rFonts w:ascii="Arial" w:cs="Arial" w:eastAsia="Arial" w:hAnsi="Arial"/>
                <w:sz w:val="18"/>
                <w:szCs w:val="18"/>
                <w:b w:val="1"/>
                <w:bCs w:val="1"/>
                <w:color w:val="auto"/>
              </w:rPr>
              <w:t>Art. 24</w:t>
            </w:r>
          </w:p>
        </w:tc>
        <w:tc>
          <w:tcPr>
            <w:tcW w:w="4960" w:type="dxa"/>
            <w:vAlign w:val="bottom"/>
          </w:tcPr>
          <w:p>
            <w:pPr>
              <w:jc w:val="right"/>
              <w:ind w:right="2070"/>
              <w:spacing w:after="0"/>
              <w:rPr>
                <w:sz w:val="20"/>
                <w:szCs w:val="20"/>
                <w:color w:val="auto"/>
              </w:rPr>
            </w:pPr>
            <w:r>
              <w:rPr>
                <w:rFonts w:ascii="Arial" w:cs="Arial" w:eastAsia="Arial" w:hAnsi="Arial"/>
                <w:sz w:val="18"/>
                <w:szCs w:val="18"/>
                <w:b w:val="1"/>
                <w:bCs w:val="1"/>
                <w:color w:val="auto"/>
              </w:rPr>
              <w:t>Representation of the Company</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Art. 24</w:t>
            </w:r>
          </w:p>
        </w:tc>
        <w:tc>
          <w:tcPr>
            <w:tcW w:w="4700" w:type="dxa"/>
            <w:vAlign w:val="bottom"/>
          </w:tcPr>
          <w:p>
            <w:pPr>
              <w:ind w:left="220"/>
              <w:spacing w:after="0"/>
              <w:rPr>
                <w:sz w:val="20"/>
                <w:szCs w:val="20"/>
                <w:color w:val="auto"/>
              </w:rPr>
            </w:pPr>
            <w:r>
              <w:rPr>
                <w:rFonts w:ascii="Arial" w:cs="Arial" w:eastAsia="Arial" w:hAnsi="Arial"/>
                <w:sz w:val="18"/>
                <w:szCs w:val="18"/>
                <w:b w:val="1"/>
                <w:bCs w:val="1"/>
                <w:color w:val="auto"/>
              </w:rPr>
              <w:t>Représentation de la société</w:t>
            </w:r>
          </w:p>
        </w:tc>
        <w:tc>
          <w:tcPr>
            <w:tcW w:w="0" w:type="dxa"/>
            <w:vAlign w:val="bottom"/>
          </w:tcPr>
          <w:p>
            <w:pPr>
              <w:spacing w:after="0"/>
              <w:rPr>
                <w:sz w:val="1"/>
                <w:szCs w:val="1"/>
                <w:color w:val="auto"/>
              </w:rPr>
            </w:pPr>
          </w:p>
        </w:tc>
      </w:tr>
      <w:tr>
        <w:trPr>
          <w:trHeight w:val="39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6"/>
              </w:rPr>
              <w:t>The Board of Directors shall assign the persons with signatory power for</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3"/>
              </w:rPr>
              <w:t>Le conseil d'administration nomme les personnes pouvant représenter la</w:t>
            </w:r>
          </w:p>
        </w:tc>
        <w:tc>
          <w:tcPr>
            <w:tcW w:w="0" w:type="dxa"/>
            <w:vAlign w:val="bottom"/>
          </w:tcPr>
          <w:p>
            <w:pPr>
              <w:spacing w:after="0"/>
              <w:rPr>
                <w:sz w:val="1"/>
                <w:szCs w:val="1"/>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the company and the kind of signatory power.</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société ainsi que le mode de signature.</w:t>
            </w:r>
          </w:p>
        </w:tc>
        <w:tc>
          <w:tcPr>
            <w:tcW w:w="0" w:type="dxa"/>
            <w:vAlign w:val="bottom"/>
          </w:tcPr>
          <w:p>
            <w:pPr>
              <w:spacing w:after="0"/>
              <w:rPr>
                <w:sz w:val="1"/>
                <w:szCs w:val="1"/>
                <w:color w:val="auto"/>
              </w:rPr>
            </w:pPr>
          </w:p>
        </w:tc>
      </w:tr>
      <w:tr>
        <w:trPr>
          <w:trHeight w:val="466"/>
        </w:trPr>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24" w:name="page225"/>
    <w:bookmarkEnd w:id="2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5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8"/>
        </w:trPr>
        <w:tc>
          <w:tcPr>
            <w:tcW w:w="98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r>
      <w:tr>
        <w:trPr>
          <w:trHeight w:val="234"/>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25</w:t>
            </w: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Delegation</w:t>
            </w:r>
          </w:p>
        </w:tc>
        <w:tc>
          <w:tcPr>
            <w:tcW w:w="2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Art. 25</w:t>
            </w: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Délégation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Moreover, the Board of Directors is authorized to delegate, in part or</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entirely, the management and the representation of the Company, within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déléguer, en partie ou entièrement, la gestion et la représentation de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the limits of the law, to one or more individual directors (Delegates) or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société  à  un  ou  plusieurs  administrateurs  (délégués)  ou  à  des  tiers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third parties pursuant to organizational regulations.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conformément au règlement d'organisation.</w:t>
            </w:r>
          </w:p>
        </w:tc>
      </w:tr>
      <w:tr>
        <w:trPr>
          <w:trHeight w:val="223"/>
        </w:trPr>
        <w:tc>
          <w:tcPr>
            <w:tcW w:w="980" w:type="dxa"/>
            <w:vAlign w:val="bottom"/>
            <w:tcBorders>
              <w:left w:val="single" w:sz="8" w:color="auto"/>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34"/>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26</w:t>
            </w: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Meetings, Resolutions and Minutes</w:t>
            </w:r>
          </w:p>
        </w:tc>
        <w:tc>
          <w:tcPr>
            <w:tcW w:w="2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Art. 26</w:t>
            </w:r>
          </w:p>
        </w:tc>
        <w:tc>
          <w:tcPr>
            <w:tcW w:w="45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Réunions, décisions et procès-verbal</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The organization of the meetings, the presence quorum and the passing of</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L'organisation des réunions, le quorum de présence et l'adoption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resolutions of the Board of Directors is determined by the organizational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décisions  du  conseil  d'administration  sont  prévus  dans  le  règlement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regulations. No presence quorum is required for the approval of the capital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d'organisation.  Aucun  quorum  de  présence  n'est  nécessaire  pour</w:t>
            </w:r>
          </w:p>
        </w:tc>
      </w:tr>
      <w:tr>
        <w:trPr>
          <w:trHeight w:val="230"/>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increase.</w:t>
            </w:r>
          </w:p>
        </w:tc>
        <w:tc>
          <w:tcPr>
            <w:tcW w:w="45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l'approbation d'un rapport d'augmentation de capital.</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1"/>
              </w:rPr>
              <w:t>Resolutions may be passed via telephone or videoconference. Resolutions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Les décisions peuvent être prises par téléphone ou par vidéoconférence.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may also be passed by way of circulation, provided that no member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Les décisions peuvent également être prises par voie de circulation, à</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requests oral deliberation.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condition qu'aucun membre ne demande une délibération orale.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2"/>
              </w:rPr>
              <w:t>Minutes are kept of the board's discussions and resolutions and signed by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Les délibérations et les décisions du conseil d'administration sont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chairman and the minute-taker.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consignées dans un procès-verbal signé par le président et le rédacteur du</w:t>
            </w:r>
          </w:p>
        </w:tc>
      </w:tr>
      <w:tr>
        <w:trPr>
          <w:trHeight w:val="230"/>
        </w:trPr>
        <w:tc>
          <w:tcPr>
            <w:tcW w:w="980" w:type="dxa"/>
            <w:vAlign w:val="bottom"/>
            <w:tcBorders>
              <w:left w:val="single" w:sz="8" w:color="auto"/>
            </w:tcBorders>
          </w:tcPr>
          <w:p>
            <w:pPr>
              <w:spacing w:after="0"/>
              <w:rPr>
                <w:sz w:val="20"/>
                <w:szCs w:val="20"/>
                <w:color w:val="auto"/>
              </w:rPr>
            </w:pPr>
          </w:p>
        </w:tc>
        <w:tc>
          <w:tcPr>
            <w:tcW w:w="45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procès-verbal.</w:t>
            </w:r>
          </w:p>
        </w:tc>
      </w:tr>
      <w:tr>
        <w:trPr>
          <w:trHeight w:val="223"/>
        </w:trPr>
        <w:tc>
          <w:tcPr>
            <w:tcW w:w="980" w:type="dxa"/>
            <w:vAlign w:val="bottom"/>
            <w:tcBorders>
              <w:left w:val="single" w:sz="8" w:color="auto"/>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spacing w:after="0"/>
              <w:rPr>
                <w:sz w:val="19"/>
                <w:szCs w:val="19"/>
                <w:color w:val="auto"/>
              </w:rPr>
            </w:pPr>
          </w:p>
        </w:tc>
      </w:tr>
      <w:tr>
        <w:trPr>
          <w:trHeight w:val="202"/>
        </w:trPr>
        <w:tc>
          <w:tcPr>
            <w:tcW w:w="9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Art. 27</w:t>
            </w:r>
          </w:p>
        </w:tc>
        <w:tc>
          <w:tcPr>
            <w:tcW w:w="452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Right to information and inspection</w:t>
            </w:r>
          </w:p>
        </w:tc>
        <w:tc>
          <w:tcPr>
            <w:tcW w:w="280" w:type="dxa"/>
            <w:vAlign w:val="bottom"/>
            <w:tcBorders>
              <w:right w:val="single" w:sz="8" w:color="auto"/>
            </w:tcBorders>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b w:val="1"/>
                <w:bCs w:val="1"/>
                <w:color w:val="auto"/>
              </w:rPr>
              <w:t>Art. 27</w:t>
            </w:r>
          </w:p>
        </w:tc>
        <w:tc>
          <w:tcPr>
            <w:tcW w:w="452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Droit aux renseignements et à la consultation</w:t>
            </w:r>
          </w:p>
        </w:tc>
      </w:tr>
      <w:tr>
        <w:trPr>
          <w:trHeight w:val="216"/>
        </w:trPr>
        <w:tc>
          <w:tcPr>
            <w:tcW w:w="980" w:type="dxa"/>
            <w:vAlign w:val="bottom"/>
            <w:tcBorders>
              <w:left w:val="single" w:sz="8" w:color="auto"/>
            </w:tcBorders>
          </w:tcPr>
          <w:p>
            <w:pPr>
              <w:spacing w:after="0"/>
              <w:rPr>
                <w:sz w:val="18"/>
                <w:szCs w:val="18"/>
                <w:color w:val="auto"/>
              </w:rPr>
            </w:pPr>
          </w:p>
        </w:tc>
        <w:tc>
          <w:tcPr>
            <w:tcW w:w="45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Chaque membre du conseil d'administration a le droit d'obtenir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Any member of the board of directors may request information on 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renseignements sur toutes les affaires de la société.</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company business.</w:t>
            </w:r>
          </w:p>
        </w:tc>
        <w:tc>
          <w:tcPr>
            <w:tcW w:w="2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452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2"/>
              </w:rPr>
              <w:t>Outside meetings, any member may request information from the persons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2"/>
              </w:rPr>
              <w:t>En dehors des séances, chaque membre du conseil d'administration peut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entrusted with managing the company's business concerning the company's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exiger des personnes chargées de la gestion des renseignements sur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business performance and, with the chairman's authorisation, specific</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marche de l'entreprise et, avec l'autorisation du président, sur des affaires</w:t>
            </w:r>
          </w:p>
        </w:tc>
      </w:tr>
      <w:tr>
        <w:trPr>
          <w:trHeight w:val="230"/>
        </w:trPr>
        <w:tc>
          <w:tcPr>
            <w:tcW w:w="9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0"/>
              </w:rPr>
              <w:t>transactions.</w:t>
            </w:r>
          </w:p>
        </w:tc>
        <w:tc>
          <w:tcPr>
            <w:tcW w:w="45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88"/>
              </w:rPr>
              <w:t>déterminées.</w:t>
            </w:r>
          </w:p>
        </w:tc>
        <w:tc>
          <w:tcPr>
            <w:tcW w:w="452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0"/>
              </w:rPr>
              <w:t>Where required for the performance of his duties, any member may request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Dans la mesure où cela est nécessaire à l'accomplissement de ses tâches,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chairman to have books of account and documents made available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chaque membre du conseil d'administration peut demander au président la</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him for inspection.</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production des livres ou des dossiers.</w:t>
            </w:r>
          </w:p>
        </w:tc>
      </w:tr>
      <w:tr>
        <w:trPr>
          <w:trHeight w:val="439"/>
        </w:trPr>
        <w:tc>
          <w:tcPr>
            <w:tcW w:w="9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72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8"/>
        </w:trPr>
        <w:tc>
          <w:tcPr>
            <w:tcW w:w="5620" w:type="dxa"/>
            <w:vAlign w:val="bottom"/>
            <w:gridSpan w:val="3"/>
          </w:tcPr>
          <w:p>
            <w:pPr>
              <w:spacing w:after="0"/>
              <w:rPr>
                <w:sz w:val="14"/>
                <w:szCs w:val="14"/>
                <w:color w:val="auto"/>
              </w:rPr>
            </w:pPr>
          </w:p>
        </w:tc>
        <w:tc>
          <w:tcPr>
            <w:tcW w:w="56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2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4"/>
              </w:rPr>
              <w:t>If the chairman refuses a request for information, a request to be heard or</w:t>
            </w:r>
          </w:p>
        </w:tc>
        <w:tc>
          <w:tcPr>
            <w:tcW w:w="5620" w:type="dxa"/>
            <w:vAlign w:val="bottom"/>
            <w:tcBorders>
              <w:top w:val="single" w:sz="8" w:color="auto"/>
            </w:tcBorders>
            <w:gridSpan w:val="3"/>
          </w:tcPr>
          <w:p>
            <w:pPr>
              <w:ind w:left="160"/>
              <w:spacing w:after="0" w:line="201" w:lineRule="exact"/>
              <w:rPr>
                <w:sz w:val="20"/>
                <w:szCs w:val="20"/>
                <w:color w:val="auto"/>
              </w:rPr>
            </w:pPr>
            <w:r>
              <w:rPr>
                <w:rFonts w:ascii="Arial" w:cs="Arial" w:eastAsia="Arial" w:hAnsi="Arial"/>
                <w:sz w:val="18"/>
                <w:szCs w:val="18"/>
                <w:color w:val="auto"/>
                <w:w w:val="95"/>
              </w:rPr>
              <w:t>Si le président rejette une demande de renseignement, d'audition ou 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8"/>
              </w:rPr>
              <w:t>an application to inspect documents, the board of directors rules on the</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consultation, le conseil d'administration tranche.</w:t>
            </w:r>
          </w:p>
        </w:tc>
        <w:tc>
          <w:tcPr>
            <w:tcW w:w="0" w:type="dxa"/>
            <w:vAlign w:val="bottom"/>
          </w:tcPr>
          <w:p>
            <w:pPr>
              <w:spacing w:after="0"/>
              <w:rPr>
                <w:sz w:val="1"/>
                <w:szCs w:val="1"/>
                <w:color w:val="auto"/>
              </w:rPr>
            </w:pPr>
          </w:p>
        </w:tc>
      </w:tr>
      <w:tr>
        <w:trPr>
          <w:trHeight w:val="230"/>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matter.</w:t>
            </w: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gridSpan w:val="2"/>
          </w:tcPr>
          <w:p>
            <w:pPr>
              <w:spacing w:after="0"/>
              <w:rPr>
                <w:sz w:val="19"/>
                <w:szCs w:val="19"/>
                <w:color w:val="auto"/>
              </w:rPr>
            </w:pPr>
          </w:p>
        </w:tc>
        <w:tc>
          <w:tcPr>
            <w:tcW w:w="48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47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28</w:t>
            </w:r>
          </w:p>
        </w:tc>
        <w:tc>
          <w:tcPr>
            <w:tcW w:w="4820" w:type="dxa"/>
            <w:vAlign w:val="bottom"/>
            <w:tcBorders>
              <w:top w:val="single" w:sz="8" w:color="auto"/>
            </w:tcBorders>
          </w:tcPr>
          <w:p>
            <w:pPr>
              <w:jc w:val="right"/>
              <w:ind w:right="2510"/>
              <w:spacing w:after="0"/>
              <w:rPr>
                <w:sz w:val="20"/>
                <w:szCs w:val="20"/>
                <w:color w:val="auto"/>
              </w:rPr>
            </w:pPr>
            <w:r>
              <w:rPr>
                <w:rFonts w:ascii="Arial" w:cs="Arial" w:eastAsia="Arial" w:hAnsi="Arial"/>
                <w:sz w:val="18"/>
                <w:szCs w:val="18"/>
                <w:b w:val="1"/>
                <w:bCs w:val="1"/>
                <w:color w:val="auto"/>
                <w:w w:val="98"/>
              </w:rPr>
              <w:t>Compensation Committee</w:t>
            </w:r>
          </w:p>
        </w:tc>
        <w:tc>
          <w:tcPr>
            <w:tcW w:w="9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Art. 28</w:t>
            </w:r>
          </w:p>
        </w:tc>
        <w:tc>
          <w:tcPr>
            <w:tcW w:w="4700" w:type="dxa"/>
            <w:vAlign w:val="bottom"/>
            <w:tcBorders>
              <w:top w:val="single" w:sz="8" w:color="auto"/>
            </w:tcBorders>
          </w:tcPr>
          <w:p>
            <w:pPr>
              <w:jc w:val="right"/>
              <w:ind w:right="2499"/>
              <w:spacing w:after="0"/>
              <w:rPr>
                <w:sz w:val="20"/>
                <w:szCs w:val="20"/>
                <w:color w:val="auto"/>
              </w:rPr>
            </w:pPr>
            <w:r>
              <w:rPr>
                <w:rFonts w:ascii="Arial" w:cs="Arial" w:eastAsia="Arial" w:hAnsi="Arial"/>
                <w:sz w:val="18"/>
                <w:szCs w:val="18"/>
                <w:b w:val="1"/>
                <w:bCs w:val="1"/>
                <w:color w:val="auto"/>
              </w:rPr>
              <w:t>Comité de rémunération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8"/>
              </w:rPr>
              <w:t>The Compensation Committee shall comprise at least 2 members. The</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Le comité de rémunération se compose d'au moins 2 membres. Les</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4"/>
              </w:rPr>
              <w:t>members of the Compensation Committee shall be individually elected by</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w w:val="94"/>
              </w:rPr>
              <w:t>membres du comité de rémunération sont élus par l'assemblée générale</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7"/>
              </w:rPr>
              <w:t>the Ordinary General Meeting from among the members of the Board of</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w w:val="94"/>
              </w:rPr>
              <w:t>ordinaire parmi les membres du conseil d'administration pour un mandat</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6"/>
              </w:rPr>
              <w:t>Directors for a term of one year until the next Ordinary General Meeting.</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w w:val="92"/>
              </w:rPr>
              <w:t>d'un an jusqu'à la prochaine assemblée générale ordinaire. Une réélection</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5"/>
              </w:rPr>
              <w:t>Re-election is permitted. The Compensation Committee has the following</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rPr>
              <w:t>est possible. Le comité de rémunération a les fonctions suivantes:</w:t>
            </w:r>
          </w:p>
        </w:tc>
        <w:tc>
          <w:tcPr>
            <w:tcW w:w="0" w:type="dxa"/>
            <w:vAlign w:val="bottom"/>
          </w:tcPr>
          <w:p>
            <w:pPr>
              <w:spacing w:after="0"/>
              <w:rPr>
                <w:sz w:val="1"/>
                <w:szCs w:val="1"/>
                <w:color w:val="auto"/>
              </w:rPr>
            </w:pPr>
          </w:p>
        </w:tc>
      </w:tr>
      <w:tr>
        <w:trPr>
          <w:trHeight w:val="230"/>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duties:</w:t>
            </w:r>
          </w:p>
        </w:tc>
        <w:tc>
          <w:tcPr>
            <w:tcW w:w="4820" w:type="dxa"/>
            <w:vAlign w:val="bottom"/>
          </w:tcPr>
          <w:p>
            <w:pPr>
              <w:spacing w:after="0"/>
              <w:rPr>
                <w:sz w:val="20"/>
                <w:szCs w:val="20"/>
                <w:color w:val="auto"/>
              </w:rPr>
            </w:pPr>
          </w:p>
        </w:tc>
        <w:tc>
          <w:tcPr>
            <w:tcW w:w="340" w:type="dxa"/>
            <w:vAlign w:val="bottom"/>
            <w:vMerge w:val="restart"/>
          </w:tcPr>
          <w:p>
            <w:pPr>
              <w:ind w:left="160"/>
              <w:spacing w:after="0"/>
              <w:rPr>
                <w:sz w:val="20"/>
                <w:szCs w:val="20"/>
                <w:color w:val="auto"/>
              </w:rPr>
            </w:pPr>
            <w:r>
              <w:rPr>
                <w:rFonts w:ascii="Arial" w:cs="Arial" w:eastAsia="Arial" w:hAnsi="Arial"/>
                <w:sz w:val="18"/>
                <w:szCs w:val="18"/>
                <w:color w:val="auto"/>
                <w:w w:val="99"/>
              </w:rPr>
              <w:t>a)</w:t>
            </w:r>
          </w:p>
        </w:tc>
        <w:tc>
          <w:tcPr>
            <w:tcW w:w="53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élaborer des principes de rémunération des membres du conseil</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8"/>
              </w:rPr>
              <w:t>a)   to draw up principles for compensation of members of the Board of</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w w:val="95"/>
              </w:rPr>
              <w:t>d'administration et du comité exécutif et de les soumettre au conseil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Directors and the Executive Committee and to submit them to the</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d'administration pour approbation;</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Board of Directors for approval;</w:t>
            </w:r>
          </w:p>
        </w:tc>
        <w:tc>
          <w:tcPr>
            <w:tcW w:w="340" w:type="dxa"/>
            <w:vAlign w:val="bottom"/>
            <w:vMerge w:val="restart"/>
          </w:tcPr>
          <w:p>
            <w:pPr>
              <w:ind w:left="160"/>
              <w:spacing w:after="0"/>
              <w:rPr>
                <w:sz w:val="20"/>
                <w:szCs w:val="20"/>
                <w:color w:val="auto"/>
              </w:rPr>
            </w:pPr>
            <w:r>
              <w:rPr>
                <w:rFonts w:ascii="Arial" w:cs="Arial" w:eastAsia="Arial" w:hAnsi="Arial"/>
                <w:sz w:val="18"/>
                <w:szCs w:val="18"/>
                <w:color w:val="auto"/>
                <w:w w:val="99"/>
              </w:rPr>
              <w:t>b)</w:t>
            </w:r>
          </w:p>
        </w:tc>
        <w:tc>
          <w:tcPr>
            <w:tcW w:w="53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proposer au conseil d'administration la décision sera soumise à</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6"/>
              </w:rPr>
              <w:t>b)   to propose to the Board of Directors the resolution to be submitted to</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w w:val="94"/>
              </w:rPr>
              <w:t>l'assemblée générale ordinaire pour la rémunération totale maximale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w w:val="94"/>
              </w:rPr>
              <w:t>the Ordinary General Meeting for the maximum total compensation of</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du conseil d'administration et du comité exécutif;</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the Board of Directors and Executive Committee;</w:t>
            </w:r>
          </w:p>
        </w:tc>
        <w:tc>
          <w:tcPr>
            <w:tcW w:w="340" w:type="dxa"/>
            <w:vAlign w:val="bottom"/>
            <w:vMerge w:val="restart"/>
          </w:tcPr>
          <w:p>
            <w:pPr>
              <w:ind w:left="160"/>
              <w:spacing w:after="0"/>
              <w:rPr>
                <w:sz w:val="20"/>
                <w:szCs w:val="20"/>
                <w:color w:val="auto"/>
              </w:rPr>
            </w:pPr>
            <w:r>
              <w:rPr>
                <w:rFonts w:ascii="Arial" w:cs="Arial" w:eastAsia="Arial" w:hAnsi="Arial"/>
                <w:sz w:val="18"/>
                <w:szCs w:val="18"/>
                <w:color w:val="auto"/>
              </w:rPr>
              <w:t>c)</w:t>
            </w:r>
          </w:p>
        </w:tc>
        <w:tc>
          <w:tcPr>
            <w:tcW w:w="53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w w:val="90"/>
              </w:rPr>
              <w:t>sous réserve et dans les limites de la rémunération maximale approuvée</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ind w:left="40"/>
              <w:spacing w:after="0"/>
              <w:rPr>
                <w:sz w:val="20"/>
                <w:szCs w:val="20"/>
                <w:color w:val="auto"/>
              </w:rPr>
            </w:pPr>
            <w:r>
              <w:rPr>
                <w:rFonts w:ascii="Arial" w:cs="Arial" w:eastAsia="Arial" w:hAnsi="Arial"/>
                <w:sz w:val="18"/>
                <w:szCs w:val="18"/>
                <w:color w:val="auto"/>
              </w:rPr>
              <w:t>c)</w:t>
            </w:r>
          </w:p>
        </w:tc>
        <w:tc>
          <w:tcPr>
            <w:tcW w:w="5340" w:type="dxa"/>
            <w:vAlign w:val="bottom"/>
            <w:gridSpan w:val="2"/>
          </w:tcPr>
          <w:p>
            <w:pPr>
              <w:jc w:val="right"/>
              <w:ind w:right="50"/>
              <w:spacing w:after="0"/>
              <w:rPr>
                <w:sz w:val="20"/>
                <w:szCs w:val="20"/>
                <w:color w:val="auto"/>
              </w:rPr>
            </w:pPr>
            <w:r>
              <w:rPr>
                <w:rFonts w:ascii="Arial" w:cs="Arial" w:eastAsia="Arial" w:hAnsi="Arial"/>
                <w:sz w:val="18"/>
                <w:szCs w:val="18"/>
                <w:color w:val="auto"/>
              </w:rPr>
              <w:t>subject to and within the bounds of the maximum compensation</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w w:val="91"/>
              </w:rPr>
              <w:t>par l'assemblée générale ordinaire, demander l'approbation du conseil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w w:val="93"/>
              </w:rPr>
              <w:t>approved by the Ordinary General Meeting, to request approval by the</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w w:val="91"/>
              </w:rPr>
              <w:t>d'administration quant aux paquets de rémunération individuels devant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w w:val="94"/>
              </w:rPr>
              <w:t>Board of Directors of the individual remuneration packages to be paid</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w w:val="92"/>
              </w:rPr>
              <w:t>être versés aux membres du conseil d'administration et aux membres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w w:val="96"/>
              </w:rPr>
              <w:t>to members of the Board of Directors and members of the Executive</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du comité exécutif;</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Committee;</w:t>
            </w:r>
          </w:p>
        </w:tc>
        <w:tc>
          <w:tcPr>
            <w:tcW w:w="340" w:type="dxa"/>
            <w:vAlign w:val="bottom"/>
            <w:vMerge w:val="restart"/>
          </w:tcPr>
          <w:p>
            <w:pPr>
              <w:ind w:left="160"/>
              <w:spacing w:after="0"/>
              <w:rPr>
                <w:sz w:val="20"/>
                <w:szCs w:val="20"/>
                <w:color w:val="auto"/>
              </w:rPr>
            </w:pPr>
            <w:r>
              <w:rPr>
                <w:rFonts w:ascii="Arial" w:cs="Arial" w:eastAsia="Arial" w:hAnsi="Arial"/>
                <w:sz w:val="18"/>
                <w:szCs w:val="18"/>
                <w:color w:val="auto"/>
                <w:w w:val="99"/>
              </w:rPr>
              <w:t>d)</w:t>
            </w:r>
          </w:p>
        </w:tc>
        <w:tc>
          <w:tcPr>
            <w:tcW w:w="53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requérir l'approbation du conseil d'administration sur la fixation</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ind w:left="40"/>
              <w:spacing w:after="0"/>
              <w:rPr>
                <w:sz w:val="20"/>
                <w:szCs w:val="20"/>
                <w:color w:val="auto"/>
              </w:rPr>
            </w:pPr>
            <w:r>
              <w:rPr>
                <w:rFonts w:ascii="Arial" w:cs="Arial" w:eastAsia="Arial" w:hAnsi="Arial"/>
                <w:sz w:val="18"/>
                <w:szCs w:val="18"/>
                <w:color w:val="auto"/>
              </w:rPr>
              <w:t>d)</w:t>
            </w:r>
          </w:p>
        </w:tc>
        <w:tc>
          <w:tcPr>
            <w:tcW w:w="5340" w:type="dxa"/>
            <w:vAlign w:val="bottom"/>
            <w:gridSpan w:val="2"/>
          </w:tcPr>
          <w:p>
            <w:pPr>
              <w:jc w:val="right"/>
              <w:ind w:right="50"/>
              <w:spacing w:after="0"/>
              <w:rPr>
                <w:sz w:val="20"/>
                <w:szCs w:val="20"/>
                <w:color w:val="auto"/>
              </w:rPr>
            </w:pPr>
            <w:r>
              <w:rPr>
                <w:rFonts w:ascii="Arial" w:cs="Arial" w:eastAsia="Arial" w:hAnsi="Arial"/>
                <w:sz w:val="18"/>
                <w:szCs w:val="18"/>
                <w:color w:val="auto"/>
              </w:rPr>
              <w:t>to  request  approval  by  the  Board  of  Directors  regarding  the</w:t>
            </w:r>
          </w:p>
        </w:tc>
        <w:tc>
          <w:tcPr>
            <w:tcW w:w="340" w:type="dxa"/>
            <w:vAlign w:val="bottom"/>
          </w:tcPr>
          <w:p>
            <w:pPr>
              <w:spacing w:after="0"/>
              <w:rPr>
                <w:sz w:val="18"/>
                <w:szCs w:val="18"/>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d'objectifs liés à la rémunération pour le comité exécutif;</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w w:val="97"/>
              </w:rPr>
              <w:t>determination of the compensation-related targets for the Executive</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Committee;</w:t>
            </w:r>
          </w:p>
        </w:tc>
        <w:tc>
          <w:tcPr>
            <w:tcW w:w="5640" w:type="dxa"/>
            <w:vAlign w:val="bottom"/>
            <w:gridSpan w:val="4"/>
          </w:tcPr>
          <w:p>
            <w:pPr>
              <w:ind w:left="160"/>
              <w:spacing w:after="0"/>
              <w:rPr>
                <w:sz w:val="20"/>
                <w:szCs w:val="20"/>
                <w:color w:val="auto"/>
              </w:rPr>
            </w:pPr>
            <w:r>
              <w:rPr>
                <w:rFonts w:ascii="Arial" w:cs="Arial" w:eastAsia="Arial" w:hAnsi="Arial"/>
                <w:sz w:val="18"/>
                <w:szCs w:val="18"/>
                <w:color w:val="auto"/>
                <w:w w:val="95"/>
              </w:rPr>
              <w:t>e)   requérir l'approbation du conseil d'administration sur les adaptations</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des statuts relatives à la rémunération; 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-4285615</wp:posOffset>
            </wp:positionV>
            <wp:extent cx="7132320" cy="51263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32320" cy="5126355"/>
                    </a:xfrm>
                    <a:prstGeom prst="rect">
                      <a:avLst/>
                    </a:prstGeom>
                    <a:noFill/>
                  </pic:spPr>
                </pic:pic>
              </a:graphicData>
            </a:graphic>
          </wp:anchor>
        </w:drawing>
      </w:r>
    </w:p>
    <w:p>
      <w:pPr>
        <w:ind w:left="540" w:hanging="505"/>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260" w:type="dxa"/>
            <w:vAlign w:val="bottom"/>
          </w:tcPr>
          <w:p>
            <w:pPr>
              <w:spacing w:after="0"/>
              <w:rPr>
                <w:sz w:val="20"/>
                <w:szCs w:val="20"/>
                <w:color w:val="auto"/>
              </w:rPr>
            </w:pPr>
            <w:r>
              <w:rPr>
                <w:rFonts w:ascii="Arial" w:cs="Arial" w:eastAsia="Arial" w:hAnsi="Arial"/>
                <w:sz w:val="18"/>
                <w:szCs w:val="18"/>
                <w:color w:val="auto"/>
                <w:w w:val="99"/>
              </w:rPr>
              <w:t>adjustments to the Articles of Association relating to remuneration;</w:t>
            </w:r>
          </w:p>
        </w:tc>
        <w:tc>
          <w:tcPr>
            <w:tcW w:w="440" w:type="dxa"/>
            <w:vAlign w:val="bottom"/>
          </w:tcPr>
          <w:p>
            <w:pPr>
              <w:ind w:left="160"/>
              <w:spacing w:after="0"/>
              <w:rPr>
                <w:sz w:val="20"/>
                <w:szCs w:val="20"/>
                <w:color w:val="auto"/>
              </w:rPr>
            </w:pPr>
            <w:r>
              <w:rPr>
                <w:rFonts w:ascii="Arial" w:cs="Arial" w:eastAsia="Arial" w:hAnsi="Arial"/>
                <w:sz w:val="18"/>
                <w:szCs w:val="18"/>
                <w:color w:val="auto"/>
              </w:rPr>
              <w:t>f)</w:t>
            </w:r>
          </w:p>
        </w:tc>
        <w:tc>
          <w:tcPr>
            <w:tcW w:w="5140" w:type="dxa"/>
            <w:vAlign w:val="bottom"/>
          </w:tcPr>
          <w:p>
            <w:pPr>
              <w:ind w:left="200"/>
              <w:spacing w:after="0"/>
              <w:rPr>
                <w:sz w:val="20"/>
                <w:szCs w:val="20"/>
                <w:color w:val="auto"/>
              </w:rPr>
            </w:pPr>
            <w:r>
              <w:rPr>
                <w:rFonts w:ascii="Arial" w:cs="Arial" w:eastAsia="Arial" w:hAnsi="Arial"/>
                <w:sz w:val="18"/>
                <w:szCs w:val="18"/>
                <w:color w:val="auto"/>
                <w:w w:val="94"/>
              </w:rPr>
              <w:t>préparer le rapport de rémunération et de le soumettre au conseil</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and</w:t>
            </w:r>
          </w:p>
        </w:tc>
        <w:tc>
          <w:tcPr>
            <w:tcW w:w="44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d'administration.</w:t>
            </w:r>
          </w:p>
        </w:tc>
      </w:tr>
    </w:tbl>
    <w:p>
      <w:pPr>
        <w:spacing w:after="0" w:line="202" w:lineRule="exact"/>
        <w:rPr>
          <w:sz w:val="20"/>
          <w:szCs w:val="20"/>
          <w:color w:val="auto"/>
        </w:rPr>
      </w:pPr>
    </w:p>
    <w:p>
      <w:pPr>
        <w:ind w:left="360" w:right="5780" w:hanging="325"/>
        <w:spacing w:after="0" w:line="277" w:lineRule="auto"/>
        <w:tabs>
          <w:tab w:leader="none" w:pos="4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6" w:name="page227"/>
    <w:bookmarkEnd w:id="226"/>
    <w:tbl>
      <w:tblPr>
        <w:tblLayout w:type="fixed"/>
        <w:tblInd w:w="1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7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2"/>
              </w:rPr>
              <w:t>The Board of Directors shall set out any further duties and responsibilities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Le conseil d'administration fixe toutes les autres fonctions et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vested on the Compensation Committee in the Company's Organizational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responsabilités dévolues au comité de rémunération dans le règlement</w:t>
            </w:r>
          </w:p>
        </w:tc>
      </w:tr>
      <w:tr>
        <w:trPr>
          <w:trHeight w:val="230"/>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Rules.</w:t>
            </w:r>
          </w:p>
        </w:tc>
        <w:tc>
          <w:tcPr>
            <w:tcW w:w="45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d'organisation de la société.</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8"/>
              </w:rPr>
              <w:t>If there are vacancies on the Compensation Committee, the Board of</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S'il y a des postes vacants au sein du comité de rémunération, le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Directors may appoint substitutes from amongst its members for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d'administration peut désigner des substituts parmi ses membres pour la</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remaining term of office.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durée restante du terme de fonction.</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The Board of Directors shall elect a chairman of the Compensation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5"/>
              </w:rPr>
              <w:t>Le conseil d'administration élit un président du comité de rémunération.</w:t>
            </w:r>
          </w:p>
        </w:tc>
      </w:tr>
      <w:tr>
        <w:trPr>
          <w:trHeight w:val="230"/>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7"/>
              </w:rPr>
              <w:t>Committee.</w:t>
            </w:r>
          </w:p>
        </w:tc>
        <w:tc>
          <w:tcPr>
            <w:tcW w:w="45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r>
      <w:tr>
        <w:trPr>
          <w:trHeight w:val="223"/>
        </w:trPr>
        <w:tc>
          <w:tcPr>
            <w:tcW w:w="960" w:type="dxa"/>
            <w:vAlign w:val="bottom"/>
            <w:tcBorders>
              <w:left w:val="single" w:sz="8" w:color="auto"/>
              <w:bottom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29</w:t>
            </w:r>
          </w:p>
        </w:tc>
        <w:tc>
          <w:tcPr>
            <w:tcW w:w="45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Indemnification</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29</w:t>
            </w:r>
          </w:p>
        </w:tc>
        <w:tc>
          <w:tcPr>
            <w:tcW w:w="4700" w:type="dxa"/>
            <w:vAlign w:val="bottom"/>
            <w:tcBorders>
              <w:right w:val="single" w:sz="8" w:color="auto"/>
            </w:tcBorders>
          </w:tcPr>
          <w:p>
            <w:pPr>
              <w:jc w:val="right"/>
              <w:ind w:right="3279"/>
              <w:spacing w:after="0"/>
              <w:rPr>
                <w:sz w:val="20"/>
                <w:szCs w:val="20"/>
                <w:color w:val="auto"/>
              </w:rPr>
            </w:pPr>
            <w:r>
              <w:rPr>
                <w:rFonts w:ascii="Arial" w:cs="Arial" w:eastAsia="Arial" w:hAnsi="Arial"/>
                <w:sz w:val="18"/>
                <w:szCs w:val="18"/>
                <w:b w:val="1"/>
                <w:bCs w:val="1"/>
                <w:color w:val="auto"/>
              </w:rPr>
              <w:t>Indemnisation</w:t>
            </w:r>
          </w:p>
        </w:tc>
      </w:tr>
      <w:tr>
        <w:trPr>
          <w:trHeight w:val="205"/>
        </w:trPr>
        <w:tc>
          <w:tcPr>
            <w:tcW w:w="5500" w:type="dxa"/>
            <w:vAlign w:val="bottom"/>
            <w:tcBorders>
              <w:left w:val="single" w:sz="8" w:color="auto"/>
              <w:bottom w:val="single" w:sz="8" w:color="auto"/>
              <w:right w:val="single" w:sz="8" w:color="auto"/>
            </w:tcBorders>
            <w:gridSpan w:val="2"/>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460" w:type="dxa"/>
            <w:vAlign w:val="bottom"/>
            <w:tcBorders>
              <w:bottom w:val="single" w:sz="8" w:color="auto"/>
              <w:right w:val="single" w:sz="8" w:color="auto"/>
            </w:tcBorders>
            <w:gridSpan w:val="2"/>
          </w:tcPr>
          <w:p>
            <w:pPr>
              <w:spacing w:after="0"/>
              <w:rPr>
                <w:sz w:val="17"/>
                <w:szCs w:val="17"/>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1"/>
              </w:rPr>
              <w:t>As far as is permissible under applicable law, the Company shall indemnify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Dans la mesure permise par la loi applicable, la société indemnisera tout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any current or former member of the Board of Directors, former members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membre actuel ou ancien du conseil d'administration, les anciens membres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of the Executive Committee, or any person who is serving or has served at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du comité exécutif, ou toute personne qui sert ou a servi à la demande de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the request of the Company as a member of the Board of Directors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société en tant que membre du conseil d'administration ou membre du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member of the Executive Committee (each individually, a "Covered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comité exécutif (chacun individuellement, une "Personne Couverte"), pour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Person"), against any expenses, including attorneys' fees, judgments, fines,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toutes  les  dépenses,  y  compris  les  honoraires  d'avocat,  jugements,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and amounts paid in settlement actually and reasonably incurred by him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amendes, et montants versés effectivement et raisonnablement à titre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her in connection with any threatened, pending, or completed action, suit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règlement dans le cadre de toute action, poursuite ou procédure imminente,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or proceeding, whether civil, criminal or administrative, to which he or she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pendante ou terminée, qu'elle soit civile, pénale ou administrative, à</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was, is, or is threatened to be made a party, or is otherwise involved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laquelle il ou elle a été, est, ou est menacé d'être partie, ou est impliqué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"Proceeding"). This provision shall not indemnify any Covered Person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toute autre manière (une "Procédure"). Cette disposition ne doit pas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against any liability arising out of (a) any fraud or dishonesty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indemniser une Personne Couverte contre une responsabilité découlant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performance of such Covered Person's duty to the Company, or (b) such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(a) une fraude ou une malhonnêteté de cette Personne Couverte dans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Covered Party's conscious, intentional or willful or grossly negligent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l'exercice de ses fonctions vis-à-vis de la société, ou (b) une violation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breach of the obligation to act honestly and in good faith with a view to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consciente,  intentionnelle  ou  volontaire  ou  gravement  négligente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best interests of the Company. Notwithstanding the preceding sentence,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l'obligation de cette Personne Couverte d'agir avec honnêteté en tenant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this section shall not extend to any person holding the office of auditor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compte du meilleur intérêt de la société. Nonobstant ce qui précède, cette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special auditor of the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disposition ne s'étend pas aux personnes qui occupent le poste de réviseur</w:t>
            </w: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ou de réviseur spécial de la société.</w:t>
            </w:r>
          </w:p>
        </w:tc>
      </w:tr>
      <w:tr>
        <w:trPr>
          <w:trHeight w:val="439"/>
        </w:trPr>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7" w:name="page228"/>
    <w:bookmarkEnd w:id="2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20"/>
              <w:spacing w:after="0"/>
              <w:rPr>
                <w:sz w:val="20"/>
                <w:szCs w:val="20"/>
                <w:color w:val="auto"/>
              </w:rPr>
            </w:pPr>
            <w:r>
              <w:rPr>
                <w:rFonts w:ascii="Arial" w:cs="Arial" w:eastAsia="Arial" w:hAnsi="Arial"/>
                <w:sz w:val="12"/>
                <w:szCs w:val="12"/>
                <w:color w:val="auto"/>
                <w:w w:val="74"/>
              </w:rPr>
              <w:t>22</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In the case of any Proceeding by or in the name of the Company,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Dans le cas de toute Procédure intentée par ou au nom de la société,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Company  shall  indemnify  each  Covered  Person  against  expenses,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société doit indemniser chaque Personne Couverte pour les dépenses, y</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including attorneys' fees, actually and reasonably incurred in connection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compris  les  honoraires  d'avocat,  effectivement  et  raisonnablement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with the defense or settlement thereof, except no indemnification shall be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encourus dans le cadre de la défense ou du règlement dans le cadre de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9"/>
              </w:rPr>
              <w:t>made in respect of any claim, issue or matter as to which a Covered Person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Procédure. Aucune indemnisation ne sera octroyée pour une réclamation,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shall have been adjudged to be liable for fraud or dishonesty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problème  ou  affaire  pour  laquelle  une  Personne  Couverte  est  tenue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performance of his or her duty  to  the  Company,  or  for  conscious,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responsable à la suite de fraude ou de malhonnêteté dans l'exercice de ses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intentional or willful or grossly negligent breach of his or her obligation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fonctions vis-à-vis de la société, ou à cause d'une violation consciente,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 honestly and in good faith with a view to the best interests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intentionnelle ou volontaire ou gravement négligente de l'obligation de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Company, unless and only to the extent that a court in which such action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Personne Couverte d'agir avec honnêteté en tenant compte du meilleur</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suit  was  brought  shall  determine  upon  application  that  despite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intérêt de la société, sauf et uniquement si un tribunal auquel une telle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adjudication of liability, but in view of all the circumstances of the case,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action ou poursuite a été porté détermine que, malgré la reconnaissance de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such Covered Person is fairly and reasonably entitled to indemnity for such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la responsabilité, mais compte tenu de toutes les circonstances du cas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expenses as the court shall deem proper. Notwithstanding the preceding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d'espèce, cette Personne Couverte a équitablement et raisonnablement droit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sentence, this section shall not extend to any person holding the office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à une indemnisation de ces dépenses, mais uniquement à hauteur du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auditor or special auditor of the Company.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montant  que  le  tribunal  jugera  convenable.  Nonobstant  la  phrase</w:t>
            </w:r>
          </w:p>
        </w:tc>
      </w:tr>
      <w:tr>
        <w:trPr>
          <w:trHeight w:val="216"/>
        </w:trPr>
        <w:tc>
          <w:tcPr>
            <w:tcW w:w="550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précédente, cette disposition ne s'étend pas aux personnes qui occupent le</w:t>
            </w:r>
          </w:p>
        </w:tc>
      </w:tr>
      <w:tr>
        <w:trPr>
          <w:trHeight w:val="230"/>
        </w:trPr>
        <w:tc>
          <w:tcPr>
            <w:tcW w:w="5500" w:type="dxa"/>
            <w:vAlign w:val="bottom"/>
            <w:tcBorders>
              <w:left w:val="single" w:sz="8" w:color="auto"/>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poste de réviseur ou de réviseur spécial de la société.</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3"/>
              </w:rPr>
              <w:t>Any indemnification under this Article 29 (unless ordered by a court) shall</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0"/>
              </w:rPr>
              <w:t>Toute indemnisation en vertu du présent article 29 (sauf si ordonnée par 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be made by the Company only as authorized in the specific case upon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tribunal) doit être octroyée par la société dans chaque cas dans les limites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determination that indemnification of the Covered Person is proper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de l'autorisation sur la base d'une détermination que l'indemnisation de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circumstances because such person has met the applicable Standard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Personne Couverte est appropriée dans les circonstances parce que cette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conduct set forth in this Article 29. Such determination shall be made, with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personne a satisfait au standard de conduite applicable énoncé dans 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respect to a Covered Person (a) by a majority vote of the members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présent article 29. Une telle décision concernant une Personne Couverte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Board of Directors who are not parties to such proceeding, even though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doit être prise (a) par la majorité des votes des membres du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less than a quorum; (b) by a committee of such members of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d'administration qui ne sont pas parties à cette procédure, même si 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Directors designated by a majority vote of such the Board of Directors,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quorum requis n'est pas réuni; (b) par un comité de membres du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even though less than a quorum; (c) if there are no such member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d'administration  désignés  par  une  majorité  des  votes  du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Board of Directors, or if such member of the Board of Directors so direct,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d'administration, même si le quorum requis n'est pas réuni; (c) s'il n'y a pas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by independent legal counsel in a written opinion; or (d) by the General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de tel membre du conseil d'administration, ou si ce membre du conseil</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Meeting of Shareholders. Such determination shall be made, with respect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d'administration l'ordonne, par un conseiller juridique indépendant dans 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9"/>
              </w:rPr>
              <w:t>to any other Covered Person, by any person or persons having the authority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avis écrit; ou (d) par l'assemblée générale des actionnaires. Une telle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to act on the matter on behalf of the Company. To the extent, however, that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décision  concernant  une  Personne  Couverte  doit  être  prise  par  une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any Covered Person has been successful on the merits or otherwise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personne ou des personnes ayant le pouvoir d'agir dans cet affaire au nom</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defense of any proceeding, or in defense of any claim, issue or matter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de la société. Dans la mesure, cependant, où une Personne Couverte 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therein,  such  Covered  Person  shall  be  indemnified  against  expenses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gagné sur le fond ou autrement dans la défense d'une procédure, ou dans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(including attorneys' fees) actually and reasonably incurred by such person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défense de toute réclamation, problème ou affaire dans cette procédure,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connection therewith, without the necessity of authorization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cette Personne Couverte doit être indemnisée pour les dépenses (y compris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specific case.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les honoraires d'avocat) effectivement et raisonnablement encourus dans le</w:t>
            </w:r>
          </w:p>
        </w:tc>
      </w:tr>
      <w:tr>
        <w:trPr>
          <w:trHeight w:val="216"/>
        </w:trPr>
        <w:tc>
          <w:tcPr>
            <w:tcW w:w="5500" w:type="dxa"/>
            <w:vAlign w:val="bottom"/>
            <w:tcBorders>
              <w:left w:val="single" w:sz="8" w:color="auto"/>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cadre  de  l'affaire  en  question  sans  qu'il  soit  nécessaire  d'avoir  une</w:t>
            </w:r>
          </w:p>
        </w:tc>
      </w:tr>
      <w:tr>
        <w:trPr>
          <w:trHeight w:val="237"/>
        </w:trPr>
        <w:tc>
          <w:tcPr>
            <w:tcW w:w="550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autorisation dans le cas spécifique.</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8" w:name="page229"/>
    <w:bookmarkEnd w:id="2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60" w:type="dxa"/>
            <w:vAlign w:val="bottom"/>
          </w:tcPr>
          <w:p>
            <w:pPr>
              <w:ind w:left="5320"/>
              <w:spacing w:after="0"/>
              <w:rPr>
                <w:sz w:val="20"/>
                <w:szCs w:val="20"/>
                <w:color w:val="auto"/>
              </w:rPr>
            </w:pPr>
            <w:r>
              <w:rPr>
                <w:rFonts w:ascii="Arial" w:cs="Arial" w:eastAsia="Arial" w:hAnsi="Arial"/>
                <w:sz w:val="12"/>
                <w:szCs w:val="12"/>
                <w:color w:val="auto"/>
                <w:w w:val="74"/>
              </w:rPr>
              <w:t>23</w:t>
            </w:r>
          </w:p>
        </w:tc>
      </w:tr>
      <w:tr>
        <w:trPr>
          <w:trHeight w:val="168"/>
        </w:trPr>
        <w:tc>
          <w:tcPr>
            <w:tcW w:w="5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5"/>
              </w:rPr>
              <w:t>As  far  as  is  permissible  under  applicable  law,  expenses,  including</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Dans la mesure permise par la loi applicable, les dépenses, y compris les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attorneys'  fees,  incurred  in  defending  any  proceeding  for  which</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honoraires d'avocats, encourus dans la défense de toute procédure pour</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indemnification is permitted pursuant to this Article 29 shall be paid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laquelle l'indemnisation est permise en vertu du présent article 29, doivent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Company in advance of the final disposition of such proceeding upon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être payées par la société avant la décision finale dans cette procédure à</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receipt by the Board of Directors of an undertaking by or on behalf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réception par le conseil d'administration d'une promesse faite par ou au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Covered Person to repay such amount if it shall ultimately be determined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nom de la Personne Couverte de rembourser ce montant s'il s'avère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that he or she is not entitled to be indemnified by the Company under these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finalement que cette Personne Couverte n'a pas droit à l'indemnisation par</w:t>
            </w:r>
          </w:p>
        </w:tc>
      </w:tr>
      <w:tr>
        <w:trPr>
          <w:trHeight w:val="230"/>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Articles of Association.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 société en vertu de ces statuts.</w:t>
            </w:r>
          </w:p>
        </w:tc>
      </w:tr>
      <w:tr>
        <w:trPr>
          <w:trHeight w:val="223"/>
        </w:trPr>
        <w:tc>
          <w:tcPr>
            <w:tcW w:w="5500" w:type="dxa"/>
            <w:vAlign w:val="bottom"/>
            <w:tcBorders>
              <w:left w:val="single" w:sz="8" w:color="auto"/>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tcPr>
          <w:p>
            <w:pPr>
              <w:spacing w:after="0"/>
              <w:rPr>
                <w:sz w:val="19"/>
                <w:szCs w:val="19"/>
                <w:color w:val="auto"/>
              </w:rPr>
            </w:pPr>
          </w:p>
        </w:tc>
      </w:tr>
      <w:tr>
        <w:trPr>
          <w:trHeight w:val="202"/>
        </w:trPr>
        <w:tc>
          <w:tcPr>
            <w:tcW w:w="55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It being the policy of the Company that indemnification of the persons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1"/>
              </w:rPr>
              <w:t>La politique de la société prévoit que l'indemnisation des personnes visées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specified in this Article 29 shall be made to the fullest extent permitted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au présent article 29 doit être payée dans toute la mesure autorisée par la</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law and the indemnification provided by this Article 29 shall not be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loi et l'indemnisation prévue par cet article 29 ne sera pas considérée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deemed  exclusive  (a)  of  any  other  rights  to  which  those  seeking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comme exclusive (a) d'autres droits auxquels les personnes demandant une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indemnification or advancement of expenses may be entitled under these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indemnisation ou une avance des dépenses ont droit en vertu de ces statuts,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Articles of Association, any agreement, any insurance purchased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d'un  accord,  d'une  assurance  souscrite  par  la  société,  d'un  vote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Company, vote of shareholders or disinterested members of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d'actionnaires ou de membres du conseil d'administration n'ayant pas</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Directors,  or  pursuant  to  the  decision  of  any  court  of  competent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d'intérêt direct, ou en vertu d'une décision d'un tribunal compétent,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jurisdiction, or otherwise, both as to action in his or her official capacity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autrement, soit à l'égard d'actions faites en sa capacité officielle, soit à</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and as to action in another capacity while holding such office, or (b)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l'égard d'actions faites à un autre titre tout en ayant une telle fonction, ou</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power of the Company to indemnify any person who is or was an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(b) du pouvoir de la société d'indemniser toute personne qui est ou était un</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employee or agent of the Company or of another corporation, joint venture,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employé ou un mandataire de la société ou d'une autre société, d'une joint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trust or other enterprise which he or she is serving or has served at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venture, d'une fiducie ou d'une autre entreprise pour laquelle il ou elle</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request of the Company, to the same extent and in the same situations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0"/>
              </w:rPr>
              <w:t>travaille ou a travaillé à la demande de la société, dans la même mesure et</w:t>
            </w:r>
          </w:p>
        </w:tc>
      </w:tr>
      <w:tr>
        <w:trPr>
          <w:trHeight w:val="216"/>
        </w:trPr>
        <w:tc>
          <w:tcPr>
            <w:tcW w:w="5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88"/>
              </w:rPr>
              <w:t>subject to the same determinations as are hereinabove set forth with respect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8"/>
              </w:rPr>
              <w:t>dans les mêmes situations et sous réserve des mêmes principes concernant</w:t>
            </w:r>
          </w:p>
        </w:tc>
      </w:tr>
      <w:tr>
        <w:trPr>
          <w:trHeight w:val="237"/>
        </w:trPr>
        <w:tc>
          <w:tcPr>
            <w:tcW w:w="5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a Covered Person.</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une Personne Couverte évoquées ci-dessus.</w:t>
            </w:r>
          </w:p>
        </w:tc>
      </w:tr>
      <w:tr>
        <w:trPr>
          <w:trHeight w:val="439"/>
        </w:trPr>
        <w:tc>
          <w:tcPr>
            <w:tcW w:w="5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29" w:name="page230"/>
    <w:bookmarkEnd w:id="2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As used in this Article 29, references to the "Company" include all</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Tel qu'utilisé dans le présent article 29, les références à la "société"</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constituent  corporations  in  a  consolidation  or  merger  in  which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comprennent toutes les sociétés ayant fait l'objet d'un regroupement ou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Company or a predecessor to the Company by consolidation or merger was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d'une fusion dans laquelle la société ou un prédécesseur à la société a été</w:t>
            </w:r>
          </w:p>
        </w:tc>
      </w:tr>
      <w:tr>
        <w:trPr>
          <w:trHeight w:val="216"/>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2"/>
              </w:rPr>
              <w:t>involved.</w:t>
            </w:r>
          </w:p>
        </w:tc>
        <w:tc>
          <w:tcPr>
            <w:tcW w:w="478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1"/>
              </w:rPr>
              <w:t>impliqué.</w:t>
            </w:r>
          </w:p>
        </w:tc>
        <w:tc>
          <w:tcPr>
            <w:tcW w:w="4780" w:type="dxa"/>
            <w:vAlign w:val="bottom"/>
            <w:tcBorders>
              <w:right w:val="single" w:sz="8" w:color="auto"/>
            </w:tcBorders>
          </w:tcPr>
          <w:p>
            <w:pPr>
              <w:spacing w:after="0"/>
              <w:rPr>
                <w:sz w:val="18"/>
                <w:szCs w:val="18"/>
                <w:color w:val="auto"/>
              </w:rPr>
            </w:pP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indemnification provided by this Article 29 shall continue as to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L'indemnisation prévue par cet article 29 est maintenue à l'égard d'une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person who has ceased to be a member of the Board of Directors or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personne qui a cessé d'être un membre du conseil d'administration ou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Executive  Committee  and  shall  inure  to  the  benefit  of  their  heirs,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comité exécutif et sera en vigueur au bénéfice de ses héritiers, exécuteurs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executors, and administrators.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et administrateurs.</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VI.</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AUDITORS</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VI.</w:t>
            </w:r>
          </w:p>
        </w:tc>
        <w:tc>
          <w:tcPr>
            <w:tcW w:w="47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ORGANE DE RÉVISION</w:t>
            </w:r>
          </w:p>
        </w:tc>
      </w:tr>
      <w:tr>
        <w:trPr>
          <w:trHeight w:val="205"/>
        </w:trPr>
        <w:tc>
          <w:tcPr>
            <w:tcW w:w="720" w:type="dxa"/>
            <w:vAlign w:val="bottom"/>
            <w:tcBorders>
              <w:left w:val="single" w:sz="8" w:color="auto"/>
              <w:bottom w:val="single" w:sz="8" w:color="auto"/>
            </w:tcBorders>
          </w:tcPr>
          <w:p>
            <w:pPr>
              <w:spacing w:after="0"/>
              <w:rPr>
                <w:sz w:val="17"/>
                <w:szCs w:val="17"/>
                <w:color w:val="auto"/>
              </w:rPr>
            </w:pPr>
          </w:p>
        </w:tc>
        <w:tc>
          <w:tcPr>
            <w:tcW w:w="47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780" w:type="dxa"/>
            <w:vAlign w:val="bottom"/>
            <w:tcBorders>
              <w:bottom w:val="single" w:sz="8" w:color="auto"/>
              <w:right w:val="single" w:sz="8" w:color="auto"/>
            </w:tcBorders>
          </w:tcPr>
          <w:p>
            <w:pPr>
              <w:spacing w:after="0"/>
              <w:rPr>
                <w:sz w:val="17"/>
                <w:szCs w:val="17"/>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30</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Election, Term</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Art. 30</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Élection, durée</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The General Meeting shall elect one or more accountants as its Auditors in</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L'assemblée générale nomme chaque année un ou plusieurs réviseurs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 xml:space="preserve">terms of Articles 727 </w:t>
            </w:r>
            <w:r>
              <w:rPr>
                <w:rFonts w:ascii="Arial" w:cs="Arial" w:eastAsia="Arial" w:hAnsi="Arial"/>
                <w:sz w:val="18"/>
                <w:szCs w:val="18"/>
                <w:i w:val="1"/>
                <w:iCs w:val="1"/>
                <w:color w:val="auto"/>
                <w:w w:val="98"/>
              </w:rPr>
              <w:t>et seq.</w:t>
            </w:r>
            <w:r>
              <w:rPr>
                <w:rFonts w:ascii="Arial" w:cs="Arial" w:eastAsia="Arial" w:hAnsi="Arial"/>
                <w:sz w:val="18"/>
                <w:szCs w:val="18"/>
                <w:color w:val="auto"/>
                <w:w w:val="98"/>
              </w:rPr>
              <w:t xml:space="preserve"> CO every year with the rights and duties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comme organe de révision selon les articles 727 ss. CO avec les droits et</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determined by law.</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 devoirs déterminés par la loi.</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7"/>
              </w:rPr>
              <w:t>The General Meeting may appoint Special Auditors for a term of up to</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L'assemblée générale peut nommer des réviseurs spéciaux pour une durée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three years who provide the attestations required for capital increases.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de trois ans au maximum qui fournissent les attestations requises pour les</w:t>
            </w:r>
          </w:p>
        </w:tc>
      </w:tr>
      <w:tr>
        <w:trPr>
          <w:trHeight w:val="230"/>
        </w:trPr>
        <w:tc>
          <w:tcPr>
            <w:tcW w:w="720" w:type="dxa"/>
            <w:vAlign w:val="bottom"/>
            <w:tcBorders>
              <w:lef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augmentations de capital.</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31</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Duties</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Art. 31</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Fonctions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The Auditors shall perform their duties to audit and report whether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L'organe de révision vérifie et rapporte si la comptabilité, les comptes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accounting, the annual accounts and the proposal regarding allocation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annuels et la proposition relative à la répartition des bénéfices sont en</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profits are in accordance with law and the Articles of Association.</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conformité avec la loi et les statuts.</w:t>
            </w:r>
          </w:p>
        </w:tc>
      </w:tr>
      <w:tr>
        <w:trPr>
          <w:trHeight w:val="439"/>
        </w:trPr>
        <w:tc>
          <w:tcPr>
            <w:tcW w:w="7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0" w:name="page231"/>
    <w:bookmarkEnd w:id="2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8"/>
        </w:trPr>
        <w:tc>
          <w:tcPr>
            <w:tcW w:w="58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VII.</w:t>
            </w:r>
          </w:p>
        </w:tc>
        <w:tc>
          <w:tcPr>
            <w:tcW w:w="49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COMPENSATION AND RELATED PROVISIONS</w:t>
            </w: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320" w:type="dxa"/>
            <w:vAlign w:val="bottom"/>
          </w:tcPr>
          <w:p>
            <w:pPr>
              <w:spacing w:after="0"/>
              <w:rPr>
                <w:sz w:val="20"/>
                <w:szCs w:val="20"/>
                <w:color w:val="auto"/>
              </w:rPr>
            </w:pPr>
          </w:p>
        </w:tc>
        <w:tc>
          <w:tcPr>
            <w:tcW w:w="4820" w:type="dxa"/>
            <w:vAlign w:val="bottom"/>
            <w:tcBorders>
              <w:right w:val="single" w:sz="8" w:color="auto"/>
            </w:tcBorders>
          </w:tcPr>
          <w:p>
            <w:pPr>
              <w:jc w:val="center"/>
              <w:ind w:right="196"/>
              <w:spacing w:after="0"/>
              <w:rPr>
                <w:sz w:val="20"/>
                <w:szCs w:val="20"/>
                <w:color w:val="auto"/>
              </w:rPr>
            </w:pPr>
            <w:r>
              <w:rPr>
                <w:rFonts w:ascii="Arial" w:cs="Arial" w:eastAsia="Arial" w:hAnsi="Arial"/>
                <w:sz w:val="18"/>
                <w:szCs w:val="18"/>
                <w:b w:val="1"/>
                <w:bCs w:val="1"/>
                <w:color w:val="auto"/>
              </w:rPr>
              <w:t>RÉMUNÉRATION ET DISPOSITIONS ANALOGUES</w:t>
            </w:r>
          </w:p>
        </w:tc>
      </w:tr>
      <w:tr>
        <w:trPr>
          <w:trHeight w:val="205"/>
        </w:trPr>
        <w:tc>
          <w:tcPr>
            <w:tcW w:w="580" w:type="dxa"/>
            <w:vAlign w:val="bottom"/>
            <w:tcBorders>
              <w:left w:val="single" w:sz="8" w:color="auto"/>
              <w:bottom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r>
      <w:tr>
        <w:trPr>
          <w:trHeight w:val="234"/>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Art. 32</w:t>
            </w:r>
          </w:p>
        </w:tc>
        <w:tc>
          <w:tcPr>
            <w:tcW w:w="492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w w:val="91"/>
              </w:rPr>
              <w:t>Principles of the Compensation of the Board of Directors</w:t>
            </w:r>
          </w:p>
        </w:tc>
        <w:tc>
          <w:tcPr>
            <w:tcW w:w="280" w:type="dxa"/>
            <w:vAlign w:val="bottom"/>
            <w:tcBorders>
              <w:right w:val="single" w:sz="8" w:color="auto"/>
            </w:tcBorders>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Art. 32</w:t>
            </w:r>
          </w:p>
        </w:tc>
        <w:tc>
          <w:tcPr>
            <w:tcW w:w="4820" w:type="dxa"/>
            <w:vAlign w:val="bottom"/>
            <w:tcBorders>
              <w:right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7"/>
              </w:rPr>
              <w:t>Principes de rémunération du conseil d'administration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The compensation payable to the members of the Board of Directors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La rémunération des membres du conseil d'administration comprend, sous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comprises, subject to and within the bounds of the approval by the General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réserve et dans les limites de l'approbation de la rémunération totale par</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Meeting of the total compensation, the following elements: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l'assemblée générale, les éléments suivants:</w:t>
            </w:r>
          </w:p>
        </w:tc>
      </w:tr>
      <w:tr>
        <w:trPr>
          <w:trHeight w:val="432"/>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  a fixed basic remuneration;</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   une rémunération fixe de base;</w:t>
            </w:r>
          </w:p>
        </w:tc>
      </w:tr>
      <w:tr>
        <w:trPr>
          <w:trHeight w:val="418"/>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4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fixed committee fee for work in a committee of the Board of</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b) des frais de commission fixes pour le travail dans un comité du conseil</w:t>
            </w:r>
          </w:p>
        </w:tc>
      </w:tr>
      <w:tr>
        <w:trPr>
          <w:trHeight w:val="230"/>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Directors;</w:t>
            </w: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d'administration;</w:t>
            </w:r>
          </w:p>
        </w:tc>
      </w:tr>
      <w:tr>
        <w:trPr>
          <w:trHeight w:val="432"/>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  a lump sum compensation for expenses;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   une compensation forfaitaire pour les dépenses;</w:t>
            </w:r>
          </w:p>
        </w:tc>
      </w:tr>
      <w:tr>
        <w:trPr>
          <w:trHeight w:val="418"/>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d)   a number of options or shares in the Company, as further outlined in</w:t>
            </w:r>
          </w:p>
        </w:tc>
        <w:tc>
          <w:tcPr>
            <w:tcW w:w="280" w:type="dxa"/>
            <w:vAlign w:val="bottom"/>
            <w:tcBorders>
              <w:right w:val="single" w:sz="8" w:color="auto"/>
            </w:tcBorders>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5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un nombre d'actions ou d'options dans la société, comme détaillée à</w:t>
            </w:r>
          </w:p>
        </w:tc>
      </w:tr>
      <w:tr>
        <w:trPr>
          <w:trHeight w:val="230"/>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Art. 41.</w:t>
            </w:r>
          </w:p>
        </w:tc>
        <w:tc>
          <w:tcPr>
            <w:tcW w:w="2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l'art. 41.</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4"/>
              </w:rPr>
              <w:t>The compensation is paid in cash and in form of options or shares in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89"/>
              </w:rPr>
              <w:t>La rémunération est versée en espèces et sous forme d'options ou d'actions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Company. The board of directors or, to the extent delegated to it,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de la société. Le conseil d'administration ou, en cas de délégation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compensation committee shall determine grant, exercise and forfeiture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fonctions, le comité de rémunération doit fixer les conditions de l'octroi,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conditions. In particular, they may provide for continuation, acceleration 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l'exercice et de la péremption. En particulier, il peut prévoir la poursuite,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removal of vesting, exercise and forfeiture conditions, for payment or grant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l'accélération ou la suppression des conditions d'acquisition, d'exercice et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of compensation based upon assumed target achievement, or for forfeiture,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de péremption, pour le paiement ou l'octroi d'une rémunération basée sur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in each case in the event of pre-determined events such as a change-of-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réalisation des objectifs supposés, ou pour la péremption, dans chaque cas,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control or termination of an employment or mandate agreement.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dans le cas d'événements prédéterminés tels qu'un changement de contrôle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Company may procure the required shares through purchases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ou la résiliation d'un contrat de travail ou d'un mandat. La société peut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market, from treasury shares or by using contingent or authorized share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8"/>
              </w:rPr>
              <w:t>fournir les actions nécessaires par des achats sur le marché, par ses actions</w:t>
            </w:r>
          </w:p>
        </w:tc>
      </w:tr>
      <w:tr>
        <w:trPr>
          <w:trHeight w:val="230"/>
        </w:trPr>
        <w:tc>
          <w:tcPr>
            <w:tcW w:w="5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1"/>
              </w:rPr>
              <w:t>capital.</w:t>
            </w:r>
          </w:p>
        </w:tc>
        <w:tc>
          <w:tcPr>
            <w:tcW w:w="492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propres ou en utilisant du capital conditionnel ou autorisé.</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1"/>
              </w:rPr>
              <w:t>Subject to the approval by the General Meeting, the members of the Board</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3"/>
              </w:rPr>
              <w:t>Sous réserve de l'approbation par l'assemblée générale, les membres du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of Directors may receive remuneration in cash at customary conditions for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conseil d'administration peuvent recevoir une rémunération en espèces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advisory services rendered outside their capacity as Board member for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dans les conditions habituelles pour des services consultatifs rendus en-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benefit of the Company or companies under its control. The General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dehors de leur qualité de membre du conseil pour le bénéfice de la société</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Meeting may approve an additional bonus for the members of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ou des sociétés sous son contrôle. L'assemblée générale peut approuver un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Directors in exceptional cases.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bonus supplémentaire pour les membres du conseil d'administration dans</w:t>
            </w:r>
          </w:p>
        </w:tc>
      </w:tr>
      <w:tr>
        <w:trPr>
          <w:trHeight w:val="237"/>
        </w:trPr>
        <w:tc>
          <w:tcPr>
            <w:tcW w:w="580" w:type="dxa"/>
            <w:vAlign w:val="bottom"/>
            <w:tcBorders>
              <w:left w:val="single" w:sz="8" w:color="auto"/>
              <w:bottom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des cas exceptionnels.</w:t>
            </w:r>
          </w:p>
        </w:tc>
      </w:tr>
      <w:tr>
        <w:trPr>
          <w:trHeight w:val="439"/>
        </w:trPr>
        <w:tc>
          <w:tcPr>
            <w:tcW w:w="5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1" w:name="page232"/>
    <w:bookmarkEnd w:id="2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8"/>
        </w:trPr>
        <w:tc>
          <w:tcPr>
            <w:tcW w:w="5500" w:type="dxa"/>
            <w:vAlign w:val="bottom"/>
            <w:tcBorders>
              <w:bottom w:val="single" w:sz="8" w:color="auto"/>
            </w:tcBorders>
            <w:gridSpan w:val="3"/>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5"/>
              </w:rPr>
              <w:t>The compensation may also be paid for activities in companies that are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La rémunération peut également être accordée pour des activités dans des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directly or indirectly controlled by the Company and may be paid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entreprises qui sont contrôlées directement ou indirectement par la société</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Company or by a company controlled by it.</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et peuvent être versées par la société ou par une société contrôlée par elle.</w:t>
            </w:r>
          </w:p>
        </w:tc>
        <w:tc>
          <w:tcPr>
            <w:tcW w:w="0" w:type="dxa"/>
            <w:vAlign w:val="bottom"/>
          </w:tcPr>
          <w:p>
            <w:pPr>
              <w:spacing w:after="0"/>
              <w:rPr>
                <w:sz w:val="1"/>
                <w:szCs w:val="1"/>
                <w:color w:val="auto"/>
              </w:rPr>
            </w:pPr>
          </w:p>
        </w:tc>
      </w:tr>
      <w:tr>
        <w:trPr>
          <w:trHeight w:val="223"/>
        </w:trPr>
        <w:tc>
          <w:tcPr>
            <w:tcW w:w="920" w:type="dxa"/>
            <w:vAlign w:val="bottom"/>
            <w:tcBorders>
              <w:left w:val="single" w:sz="8" w:color="auto"/>
              <w:bottom w:val="single" w:sz="8" w:color="auto"/>
            </w:tcBorders>
            <w:gridSpan w:val="2"/>
          </w:tcPr>
          <w:p>
            <w:pPr>
              <w:spacing w:after="0"/>
              <w:rPr>
                <w:sz w:val="19"/>
                <w:szCs w:val="19"/>
                <w:color w:val="auto"/>
              </w:rPr>
            </w:pPr>
          </w:p>
        </w:tc>
        <w:tc>
          <w:tcPr>
            <w:tcW w:w="45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gridSpan w:val="2"/>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Art. 33</w:t>
            </w:r>
          </w:p>
        </w:tc>
        <w:tc>
          <w:tcPr>
            <w:tcW w:w="45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Principles of the Compensation of the Executive</w:t>
            </w:r>
          </w:p>
        </w:tc>
        <w:tc>
          <w:tcPr>
            <w:tcW w:w="280" w:type="dxa"/>
            <w:vAlign w:val="bottom"/>
            <w:tcBorders>
              <w:right w:val="single" w:sz="8" w:color="auto"/>
            </w:tcBorders>
          </w:tcPr>
          <w:p>
            <w:pPr>
              <w:spacing w:after="0"/>
              <w:rPr>
                <w:sz w:val="17"/>
                <w:szCs w:val="17"/>
                <w:color w:val="auto"/>
              </w:rPr>
            </w:pPr>
          </w:p>
        </w:tc>
        <w:tc>
          <w:tcPr>
            <w:tcW w:w="7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Art. 33</w:t>
            </w:r>
          </w:p>
        </w:tc>
        <w:tc>
          <w:tcPr>
            <w:tcW w:w="4700" w:type="dxa"/>
            <w:vAlign w:val="bottom"/>
            <w:tcBorders>
              <w:right w:val="single" w:sz="8" w:color="auto"/>
            </w:tcBorders>
          </w:tcPr>
          <w:p>
            <w:pPr>
              <w:jc w:val="right"/>
              <w:ind w:right="979"/>
              <w:spacing w:after="0" w:line="198" w:lineRule="exact"/>
              <w:rPr>
                <w:sz w:val="20"/>
                <w:szCs w:val="20"/>
                <w:color w:val="auto"/>
              </w:rPr>
            </w:pPr>
            <w:r>
              <w:rPr>
                <w:rFonts w:ascii="Arial" w:cs="Arial" w:eastAsia="Arial" w:hAnsi="Arial"/>
                <w:sz w:val="18"/>
                <w:szCs w:val="18"/>
                <w:b w:val="1"/>
                <w:bCs w:val="1"/>
                <w:color w:val="auto"/>
                <w:w w:val="95"/>
              </w:rPr>
              <w:t>Principe de rémunération du comité exécutif</w:t>
            </w:r>
          </w:p>
        </w:tc>
        <w:tc>
          <w:tcPr>
            <w:tcW w:w="0" w:type="dxa"/>
            <w:vAlign w:val="bottom"/>
          </w:tcPr>
          <w:p>
            <w:pPr>
              <w:spacing w:after="0"/>
              <w:rPr>
                <w:sz w:val="1"/>
                <w:szCs w:val="1"/>
                <w:color w:val="auto"/>
              </w:rPr>
            </w:pPr>
          </w:p>
        </w:tc>
      </w:tr>
      <w:tr>
        <w:trPr>
          <w:trHeight w:val="234"/>
        </w:trPr>
        <w:tc>
          <w:tcPr>
            <w:tcW w:w="26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Committee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9"/>
              </w:rPr>
              <w:t>La  rémunération  des  membres  du  comité  exécutif  est  soumis  à</w:t>
            </w:r>
          </w:p>
        </w:tc>
        <w:tc>
          <w:tcPr>
            <w:tcW w:w="0" w:type="dxa"/>
            <w:vAlign w:val="bottom"/>
          </w:tcPr>
          <w:p>
            <w:pPr>
              <w:spacing w:after="0"/>
              <w:rPr>
                <w:sz w:val="1"/>
                <w:szCs w:val="1"/>
                <w:color w:val="auto"/>
              </w:rPr>
            </w:pPr>
          </w:p>
        </w:tc>
      </w:tr>
      <w:tr>
        <w:trPr>
          <w:trHeight w:val="202"/>
        </w:trPr>
        <w:tc>
          <w:tcPr>
            <w:tcW w:w="260" w:type="dxa"/>
            <w:vAlign w:val="bottom"/>
            <w:tcBorders>
              <w:lef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458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The compensation payable to the members of the Executive Committee is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l'approbation l'assemblée générale et comprend les éléments suivants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subject  to  the  approval  by  the  General  Meeting  and  comprises  the</w:t>
            </w: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following elements: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432"/>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   a fixed remuneration payable in cash;</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b)  une rémunération liée à la performance payable en espèces (variable);</w:t>
            </w:r>
          </w:p>
        </w:tc>
        <w:tc>
          <w:tcPr>
            <w:tcW w:w="0" w:type="dxa"/>
            <w:vAlign w:val="bottom"/>
          </w:tcPr>
          <w:p>
            <w:pPr>
              <w:spacing w:after="0"/>
              <w:rPr>
                <w:sz w:val="1"/>
                <w:szCs w:val="1"/>
                <w:color w:val="auto"/>
              </w:rPr>
            </w:pPr>
          </w:p>
        </w:tc>
      </w:tr>
      <w:tr>
        <w:trPr>
          <w:trHeight w:val="418"/>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   a performance-related remuneration payable in cash (variable);</w:t>
            </w:r>
          </w:p>
        </w:tc>
        <w:tc>
          <w:tcPr>
            <w:tcW w:w="280" w:type="dxa"/>
            <w:vAlign w:val="bottom"/>
            <w:tcBorders>
              <w:right w:val="single" w:sz="8" w:color="auto"/>
            </w:tcBorders>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4"/>
              </w:rPr>
              <w:t>un nombre d'actions ou d'options dans la société, comme détaillée à</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w w:val="92"/>
              </w:rPr>
              <w:t>a number of options or shares in the Company, as further outlined in</w:t>
            </w: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180" w:type="dxa"/>
            <w:vAlign w:val="bottom"/>
            <w:tcBorders>
              <w:right w:val="single" w:sz="8" w:color="auto"/>
            </w:tcBorders>
            <w:gridSpan w:val="2"/>
          </w:tcPr>
          <w:p>
            <w:pPr>
              <w:jc w:val="right"/>
              <w:ind w:right="4339"/>
              <w:spacing w:after="0"/>
              <w:rPr>
                <w:sz w:val="20"/>
                <w:szCs w:val="20"/>
                <w:color w:val="auto"/>
              </w:rPr>
            </w:pPr>
            <w:r>
              <w:rPr>
                <w:rFonts w:ascii="Arial" w:cs="Arial" w:eastAsia="Arial" w:hAnsi="Arial"/>
                <w:sz w:val="18"/>
                <w:szCs w:val="18"/>
                <w:color w:val="auto"/>
              </w:rPr>
              <w:t>l'art. 41.</w:t>
            </w:r>
          </w:p>
        </w:tc>
        <w:tc>
          <w:tcPr>
            <w:tcW w:w="0" w:type="dxa"/>
            <w:vAlign w:val="bottom"/>
          </w:tcPr>
          <w:p>
            <w:pPr>
              <w:spacing w:after="0"/>
              <w:rPr>
                <w:sz w:val="1"/>
                <w:szCs w:val="1"/>
                <w:color w:val="auto"/>
              </w:rPr>
            </w:pPr>
          </w:p>
        </w:tc>
      </w:tr>
      <w:tr>
        <w:trPr>
          <w:trHeight w:val="202"/>
        </w:trPr>
        <w:tc>
          <w:tcPr>
            <w:tcW w:w="260" w:type="dxa"/>
            <w:vAlign w:val="bottom"/>
            <w:tcBorders>
              <w:left w:val="single" w:sz="8" w:color="auto"/>
            </w:tcBorders>
            <w:vMerge w:val="continue"/>
          </w:tcPr>
          <w:p>
            <w:pPr>
              <w:spacing w:after="0"/>
              <w:rPr>
                <w:sz w:val="17"/>
                <w:szCs w:val="17"/>
                <w:color w:val="auto"/>
              </w:rPr>
            </w:pPr>
          </w:p>
        </w:tc>
        <w:tc>
          <w:tcPr>
            <w:tcW w:w="5240" w:type="dxa"/>
            <w:vAlign w:val="bottom"/>
            <w:tcBorders>
              <w:right w:val="single" w:sz="8" w:color="auto"/>
            </w:tcBorders>
            <w:gridSpan w:val="2"/>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2"/>
              </w:rPr>
              <w:t>Art. 41.</w:t>
            </w:r>
          </w:p>
        </w:tc>
        <w:tc>
          <w:tcPr>
            <w:tcW w:w="45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89"/>
              </w:rPr>
              <w:t>The performance-related remuneration depends on the Company's business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88"/>
              </w:rPr>
              <w:t>La rémunération liée à la performance dépend de la réussite économique de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success and the individual performance of the member of the Executive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la société et de la performance individuelle du membre du comité exécutif</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Committee based on the achievement of pre-determined targets during a</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sur la base de la réalisation des objectifs prédéterminés au cours d'une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business year. The Board of Directors determines annually at the beginning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année d'activité. Le conseil d'administration détermine au début de chaque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of each relevant business year the decisive targets and their weighting upon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exercice les objectifs décisifs et leur pondération sur proposition du comité</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proposal  by  the  Compensation  Committee.  The  amount  of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de rémunération. Le montant de la rémunération liée à la performance pour</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performance-related remuneration for  each  member  of  the  Executive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chaque  membre  du  comité  exécutif  est  déterminé  par  le  conseil</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Committee is determined by the Board of Directors and may not exceed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d'administration et ne peut dépasser 100 pour cent de la rémunération fixe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100 percent of the respective individual fixed remuneration for the same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individuelle respective pour la même année.</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year.</w:t>
            </w:r>
          </w:p>
        </w:tc>
        <w:tc>
          <w:tcPr>
            <w:tcW w:w="458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5"/>
              </w:rPr>
              <w:t>The compensation may also be paid for activities in companies that are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9"/>
              </w:rPr>
              <w:t>La rémunération peut également être versée pour activités dans des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directly or indirectly controlled by the Company and may be paid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entreprises qui sont contrôlées directement ou indirectement par la société</w:t>
            </w: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Company or by a company controlled by it.</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w w:val="96"/>
              </w:rPr>
              <w:t>et peut être versée par la société ou par une société contrôlée par elle.</w:t>
            </w:r>
          </w:p>
        </w:tc>
        <w:tc>
          <w:tcPr>
            <w:tcW w:w="0" w:type="dxa"/>
            <w:vAlign w:val="bottom"/>
          </w:tcPr>
          <w:p>
            <w:pPr>
              <w:spacing w:after="0"/>
              <w:rPr>
                <w:sz w:val="1"/>
                <w:szCs w:val="1"/>
                <w:color w:val="auto"/>
              </w:rPr>
            </w:pPr>
          </w:p>
        </w:tc>
      </w:tr>
      <w:tr>
        <w:trPr>
          <w:trHeight w:val="439"/>
        </w:trPr>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32" w:name="page233"/>
    <w:bookmarkEnd w:id="2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80" w:type="dxa"/>
            <w:vAlign w:val="bottom"/>
          </w:tcPr>
          <w:p>
            <w:pPr>
              <w:ind w:left="4640"/>
              <w:spacing w:after="0"/>
              <w:rPr>
                <w:sz w:val="20"/>
                <w:szCs w:val="20"/>
                <w:color w:val="auto"/>
              </w:rPr>
            </w:pPr>
            <w:r>
              <w:rPr>
                <w:rFonts w:ascii="Arial" w:cs="Arial" w:eastAsia="Arial" w:hAnsi="Arial"/>
                <w:sz w:val="12"/>
                <w:szCs w:val="12"/>
                <w:color w:val="auto"/>
                <w:w w:val="74"/>
              </w:rPr>
              <w:t>27</w:t>
            </w:r>
          </w:p>
        </w:tc>
      </w:tr>
      <w:tr>
        <w:trPr>
          <w:trHeight w:val="168"/>
        </w:trPr>
        <w:tc>
          <w:tcPr>
            <w:tcW w:w="76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r>
      <w:tr>
        <w:trPr>
          <w:trHeight w:val="198"/>
        </w:trPr>
        <w:tc>
          <w:tcPr>
            <w:tcW w:w="760" w:type="dxa"/>
            <w:vAlign w:val="bottom"/>
            <w:tcBorders>
              <w:lef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Art. 34</w:t>
            </w:r>
          </w:p>
        </w:tc>
        <w:tc>
          <w:tcPr>
            <w:tcW w:w="4740" w:type="dxa"/>
            <w:vAlign w:val="bottom"/>
            <w:tcBorders>
              <w:right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Compensation for new Members of the Executive</w:t>
            </w:r>
          </w:p>
        </w:tc>
        <w:tc>
          <w:tcPr>
            <w:tcW w:w="280" w:type="dxa"/>
            <w:vAlign w:val="bottom"/>
            <w:tcBorders>
              <w:right w:val="single" w:sz="8" w:color="auto"/>
            </w:tcBorders>
          </w:tcPr>
          <w:p>
            <w:pPr>
              <w:spacing w:after="0"/>
              <w:rPr>
                <w:sz w:val="17"/>
                <w:szCs w:val="17"/>
                <w:color w:val="auto"/>
              </w:rPr>
            </w:pPr>
          </w:p>
        </w:tc>
        <w:tc>
          <w:tcPr>
            <w:tcW w:w="680" w:type="dxa"/>
            <w:vAlign w:val="bottom"/>
          </w:tcPr>
          <w:p>
            <w:pPr>
              <w:spacing w:after="0" w:line="198" w:lineRule="exact"/>
              <w:rPr>
                <w:sz w:val="20"/>
                <w:szCs w:val="20"/>
                <w:color w:val="auto"/>
              </w:rPr>
            </w:pPr>
            <w:r>
              <w:rPr>
                <w:rFonts w:ascii="Arial" w:cs="Arial" w:eastAsia="Arial" w:hAnsi="Arial"/>
                <w:sz w:val="18"/>
                <w:szCs w:val="18"/>
                <w:b w:val="1"/>
                <w:bCs w:val="1"/>
                <w:color w:val="auto"/>
              </w:rPr>
              <w:t>Art. 34</w:t>
            </w:r>
          </w:p>
        </w:tc>
        <w:tc>
          <w:tcPr>
            <w:tcW w:w="4780" w:type="dxa"/>
            <w:vAlign w:val="bottom"/>
            <w:tcBorders>
              <w:right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w w:val="96"/>
              </w:rPr>
              <w:t>Rémunération pour les nouveaux membres du comité</w:t>
            </w:r>
          </w:p>
        </w:tc>
      </w:tr>
      <w:tr>
        <w:trPr>
          <w:trHeight w:val="234"/>
        </w:trPr>
        <w:tc>
          <w:tcPr>
            <w:tcW w:w="760" w:type="dxa"/>
            <w:vAlign w:val="bottom"/>
            <w:tcBorders>
              <w:left w:val="single" w:sz="8" w:color="auto"/>
            </w:tcBorders>
          </w:tcPr>
          <w:p>
            <w:pPr>
              <w:spacing w:after="0"/>
              <w:rPr>
                <w:sz w:val="20"/>
                <w:szCs w:val="20"/>
                <w:color w:val="auto"/>
              </w:rPr>
            </w:pP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Committee</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exécutif</w:t>
            </w:r>
          </w:p>
        </w:tc>
      </w:tr>
      <w:tr>
        <w:trPr>
          <w:trHeight w:val="418"/>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If new members of the Executive Committee are appointed and take up</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Si de nouveaux membres du comité exécutif sont nommés et prennent leur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their position in the Company after the General Meeting has approved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position dans la société après que l'assemblée générale a approuvé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maximum total compensation for members of the Executive Committee for</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rémunération totale maximale pour les membres du comité exécutif pour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year in question, the new members may be paid an additional amount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l'année en question, les nouveaux membres peuvent être payés au moyen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for the period until the next Ordinary Meeting of Shareholder.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d'un montant additionnel pour la période allant jusqu'à la prochaine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additional amount payable to all new members of the Executive Committee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assemblée ordinaire des actionnaires. Le montant additionnel payable à</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may not exceed 50 percent of the respective total compensation already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tous les nouveaux membres du comité exécutif ne peut pas dépasser 50</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approved by the General Meeting. The additional compensation may only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pour  cent  de  la  rémunération  totale  respective  déjà  approuvé  par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be paid if the total compensation amount that has been approved by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l'assemblée générale. La rémunération additionnelle ne peut être versée que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General Meeting for the compensation of the members of the Executive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si le montant total de la rémunération qui a été approuvé par l'assemblée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Committee is insufficient to compensate the newly appointed members.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générale  pour  la  rémunération  des  membres  du  comité  exécutif  est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The General Meeting is not required to vote on this additional amount.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insuffisant  pour  rémunérer  les  membres  nouvellement  nommés.</w:t>
            </w:r>
          </w:p>
        </w:tc>
      </w:tr>
      <w:tr>
        <w:trPr>
          <w:trHeight w:val="216"/>
        </w:trPr>
        <w:tc>
          <w:tcPr>
            <w:tcW w:w="760" w:type="dxa"/>
            <w:vAlign w:val="bottom"/>
            <w:tcBorders>
              <w:left w:val="single" w:sz="8" w:color="auto"/>
            </w:tcBorders>
          </w:tcPr>
          <w:p>
            <w:pPr>
              <w:spacing w:after="0"/>
              <w:rPr>
                <w:sz w:val="18"/>
                <w:szCs w:val="18"/>
                <w:color w:val="auto"/>
              </w:rPr>
            </w:pPr>
          </w:p>
        </w:tc>
        <w:tc>
          <w:tcPr>
            <w:tcW w:w="474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L'assemblée  générale  n'a  pas  à  se  prononcer  sur  ce  montant</w:t>
            </w:r>
          </w:p>
        </w:tc>
      </w:tr>
      <w:tr>
        <w:trPr>
          <w:trHeight w:val="230"/>
        </w:trPr>
        <w:tc>
          <w:tcPr>
            <w:tcW w:w="760" w:type="dxa"/>
            <w:vAlign w:val="bottom"/>
            <w:tcBorders>
              <w:left w:val="single" w:sz="8" w:color="auto"/>
            </w:tcBorders>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supplémentaire.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6"/>
              </w:rPr>
              <w:t>This  additional  overall  compensation  is  understood  to  include  any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2"/>
              </w:rPr>
              <w:t>Cette rémunération additionnelle globale est sensée comprendre tous les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settlements for any disadvantage suffered as a result of the change of job.</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règlements pour tout inconvénient subi à la suite du changement de travail.</w:t>
            </w:r>
          </w:p>
        </w:tc>
      </w:tr>
      <w:tr>
        <w:trPr>
          <w:trHeight w:val="223"/>
        </w:trPr>
        <w:tc>
          <w:tcPr>
            <w:tcW w:w="76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35</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Art. 35</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Dépenses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Expenses which are not covered by the lump sum compensation pursuant</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Les  dépenses  qui  ne  sont  pas  couvertes  par  l'indemnité  forfaitaire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to the Company's expense regulations shall be reimbursed following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conformément aux règlements de frais de la société sont remboursées à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presentation of the supporting receipts. This additional remuneration is not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suite de la présentation des reçus correspondants. Cette rémunération</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subject to a separate vote by the General Meeting.</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additionnelle n'est pas soumise à un vote séparé par l'assemblée générale.</w:t>
            </w:r>
          </w:p>
        </w:tc>
      </w:tr>
      <w:tr>
        <w:trPr>
          <w:trHeight w:val="223"/>
        </w:trPr>
        <w:tc>
          <w:tcPr>
            <w:tcW w:w="760" w:type="dxa"/>
            <w:vAlign w:val="bottom"/>
            <w:tcBorders>
              <w:left w:val="single" w:sz="8" w:color="auto"/>
              <w:bottom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36</w:t>
            </w:r>
          </w:p>
        </w:tc>
        <w:tc>
          <w:tcPr>
            <w:tcW w:w="474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Compensation Agreements</w:t>
            </w:r>
          </w:p>
        </w:tc>
        <w:tc>
          <w:tcPr>
            <w:tcW w:w="2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Art. 36</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Accords sur la rémunération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Agreements on compensation with members of the Board of Directors may</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Les accords sur la rémunération des membres du conseil d'administration</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not exceed the term of maximal one year.</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 peuvent pas excéder la durée maximale d'une année.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2"/>
              </w:rPr>
              <w:t>Employment agreements of the members of the Executive Committee are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Les contrats de travail des membres du comité exécutif sont principalement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principally concluded for an indefinite period of time whereas a notice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conclus pour une durée indéterminée. Un délai de préavis ne peut pas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period may not exceed 12 months. If an employment agreement is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excéder 12 mois. Si un accord de travail est conclu pour une durée</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concluded for a fixed term such term may not exceed one year.</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déterminée, telle durée ne peut pas excéder un an.</w:t>
            </w:r>
          </w:p>
        </w:tc>
      </w:tr>
      <w:tr>
        <w:trPr>
          <w:trHeight w:val="439"/>
        </w:trPr>
        <w:tc>
          <w:tcPr>
            <w:tcW w:w="7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3" w:name="page234"/>
    <w:bookmarkEnd w:id="2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80" w:type="dxa"/>
            <w:vAlign w:val="bottom"/>
          </w:tcPr>
          <w:p>
            <w:pPr>
              <w:ind w:left="4640"/>
              <w:spacing w:after="0"/>
              <w:rPr>
                <w:sz w:val="20"/>
                <w:szCs w:val="20"/>
                <w:color w:val="auto"/>
              </w:rPr>
            </w:pPr>
            <w:r>
              <w:rPr>
                <w:rFonts w:ascii="Arial" w:cs="Arial" w:eastAsia="Arial" w:hAnsi="Arial"/>
                <w:sz w:val="12"/>
                <w:szCs w:val="12"/>
                <w:color w:val="auto"/>
                <w:w w:val="74"/>
              </w:rPr>
              <w:t>28</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gridSpan w:val="2"/>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00" w:type="dxa"/>
            <w:vAlign w:val="bottom"/>
            <w:tcBorders>
              <w:left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Art. 37</w:t>
            </w:r>
          </w:p>
        </w:tc>
        <w:tc>
          <w:tcPr>
            <w:tcW w:w="4700" w:type="dxa"/>
            <w:vAlign w:val="bottom"/>
            <w:tcBorders>
              <w:right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6"/>
              </w:rPr>
              <w:t>Mandates of a Member of the Board of Directors outside</w:t>
            </w:r>
          </w:p>
        </w:tc>
        <w:tc>
          <w:tcPr>
            <w:tcW w:w="280" w:type="dxa"/>
            <w:vAlign w:val="bottom"/>
            <w:tcBorders>
              <w:right w:val="single" w:sz="8" w:color="auto"/>
            </w:tcBorders>
          </w:tcPr>
          <w:p>
            <w:pPr>
              <w:spacing w:after="0"/>
              <w:rPr>
                <w:sz w:val="17"/>
                <w:szCs w:val="17"/>
                <w:color w:val="auto"/>
              </w:rPr>
            </w:pPr>
          </w:p>
        </w:tc>
        <w:tc>
          <w:tcPr>
            <w:tcW w:w="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Art. 37</w:t>
            </w:r>
          </w:p>
        </w:tc>
        <w:tc>
          <w:tcPr>
            <w:tcW w:w="4780" w:type="dxa"/>
            <w:vAlign w:val="bottom"/>
            <w:tcBorders>
              <w:right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w w:val="93"/>
              </w:rPr>
              <w:t>Mandats d'un membre du conseil d'administration de la</w:t>
            </w:r>
          </w:p>
        </w:tc>
        <w:tc>
          <w:tcPr>
            <w:tcW w:w="0" w:type="dxa"/>
            <w:vAlign w:val="bottom"/>
          </w:tcPr>
          <w:p>
            <w:pPr>
              <w:spacing w:after="0"/>
              <w:rPr>
                <w:sz w:val="1"/>
                <w:szCs w:val="1"/>
                <w:color w:val="auto"/>
              </w:rPr>
            </w:pPr>
          </w:p>
        </w:tc>
      </w:tr>
      <w:tr>
        <w:trPr>
          <w:trHeight w:val="220"/>
        </w:trPr>
        <w:tc>
          <w:tcPr>
            <w:tcW w:w="26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700" w:type="dxa"/>
            <w:vAlign w:val="bottom"/>
            <w:tcBorders>
              <w:right w:val="single" w:sz="8" w:color="auto"/>
            </w:tcBorders>
          </w:tcPr>
          <w:p>
            <w:pPr>
              <w:jc w:val="right"/>
              <w:ind w:right="3430"/>
              <w:spacing w:after="0"/>
              <w:rPr>
                <w:sz w:val="20"/>
                <w:szCs w:val="20"/>
                <w:color w:val="auto"/>
              </w:rPr>
            </w:pPr>
            <w:r>
              <w:rPr>
                <w:rFonts w:ascii="Arial" w:cs="Arial" w:eastAsia="Arial" w:hAnsi="Arial"/>
                <w:sz w:val="18"/>
                <w:szCs w:val="18"/>
                <w:b w:val="1"/>
                <w:bCs w:val="1"/>
                <w:color w:val="auto"/>
              </w:rPr>
              <w:t>the Company</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société</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Un membre du conseil d'administration ne peut pas cumuler plus que le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A member of the Board of Directors may cumulatively assume not more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nombre suivant de mandats dans un conseil d'administration, une direction</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than the following number of mandates in the board of directors,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supérieure ou un organisme administratif d'une personne morale qui est</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superior management or an administrative body of a legal entity which is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obligée d'être inscrite au registre du commerce suisse ou un registre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obliged to be registered in the Swiss commercial register or an equivalent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étranger équivalent:</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foreign register:</w:t>
            </w:r>
          </w:p>
        </w:tc>
        <w:tc>
          <w:tcPr>
            <w:tcW w:w="280" w:type="dxa"/>
            <w:vAlign w:val="bottom"/>
            <w:tcBorders>
              <w:right w:val="single" w:sz="8" w:color="auto"/>
            </w:tcBorders>
          </w:tcPr>
          <w:p>
            <w:pPr>
              <w:spacing w:after="0"/>
              <w:rPr>
                <w:sz w:val="20"/>
                <w:szCs w:val="20"/>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w w:val="90"/>
              </w:rPr>
              <w:t>7 mandats pour les entreprises cotées en bourse selon l'art. 727 al. 1</w:t>
            </w:r>
          </w:p>
        </w:tc>
        <w:tc>
          <w:tcPr>
            <w:tcW w:w="0" w:type="dxa"/>
            <w:vAlign w:val="bottom"/>
          </w:tcPr>
          <w:p>
            <w:pPr>
              <w:spacing w:after="0"/>
              <w:rPr>
                <w:sz w:val="1"/>
                <w:szCs w:val="1"/>
                <w:color w:val="auto"/>
              </w:rPr>
            </w:pPr>
          </w:p>
        </w:tc>
      </w:tr>
      <w:tr>
        <w:trPr>
          <w:trHeight w:val="202"/>
        </w:trPr>
        <w:tc>
          <w:tcPr>
            <w:tcW w:w="26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vMerge w:val="continue"/>
          </w:tcPr>
          <w:p>
            <w:pPr>
              <w:spacing w:after="0"/>
              <w:rPr>
                <w:sz w:val="17"/>
                <w:szCs w:val="17"/>
                <w:color w:val="auto"/>
              </w:rPr>
            </w:pPr>
          </w:p>
        </w:tc>
        <w:tc>
          <w:tcPr>
            <w:tcW w:w="52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a)   7 mandates for publicly traded companies pursuant to art. 727 para. 1</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chiffre 1 CO; et</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number 1 CO; and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5"/>
              </w:rPr>
              <w:t>b)  8 mandats pour des entreprises selon l'art. 727 al. 1 chiffre 2 CO; et</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w w:val="92"/>
              </w:rPr>
              <w:t>b)   8 mandates for companies pursuant to art. 727 para. 1 number 2 CO;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and</w:t>
            </w:r>
          </w:p>
        </w:tc>
        <w:tc>
          <w:tcPr>
            <w:tcW w:w="47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c)  5 mandats pour les entreprises qui ne remplissent pas les critères sous</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w w:val="93"/>
              </w:rPr>
              <w:t>c)   5 mandates for companies which do not fulfil the criteria under a) and</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 et b) ci-dessus.</w:t>
            </w: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vMerge w:val="continue"/>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0" w:type="dxa"/>
            <w:vAlign w:val="bottom"/>
            <w:tcBorders>
              <w:left w:val="single" w:sz="8" w:color="auto"/>
              <w:bottom w:val="single" w:sz="8" w:color="auto"/>
            </w:tcBorders>
          </w:tcPr>
          <w:p>
            <w:pPr>
              <w:spacing w:after="0"/>
              <w:rPr>
                <w:sz w:val="20"/>
                <w:szCs w:val="20"/>
                <w:color w:val="auto"/>
              </w:rPr>
            </w:pPr>
          </w:p>
        </w:tc>
        <w:tc>
          <w:tcPr>
            <w:tcW w:w="52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above.</w:t>
            </w:r>
          </w:p>
        </w:tc>
        <w:tc>
          <w:tcPr>
            <w:tcW w:w="2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6"/>
              </w:rPr>
              <w:t>Mandates held in several legal entities each operating under the same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88"/>
              </w:rPr>
              <w:t>Les mandats exercés dans plusieurs entités juridiques opérant chacune sous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management or same beneficial owner (group) are deemed to be a single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4"/>
              </w:rPr>
              <w:t>la même direction ou le même bénéficiaire effectif (groupe) sont réputés</w:t>
            </w:r>
          </w:p>
        </w:tc>
        <w:tc>
          <w:tcPr>
            <w:tcW w:w="0" w:type="dxa"/>
            <w:vAlign w:val="bottom"/>
          </w:tcPr>
          <w:p>
            <w:pPr>
              <w:spacing w:after="0"/>
              <w:rPr>
                <w:sz w:val="1"/>
                <w:szCs w:val="1"/>
                <w:color w:val="auto"/>
              </w:rPr>
            </w:pPr>
          </w:p>
        </w:tc>
      </w:tr>
      <w:tr>
        <w:trPr>
          <w:trHeight w:val="230"/>
        </w:trPr>
        <w:tc>
          <w:tcPr>
            <w:tcW w:w="8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w w:val="98"/>
              </w:rPr>
              <w:t>mandate.</w:t>
            </w:r>
          </w:p>
        </w:tc>
        <w:tc>
          <w:tcPr>
            <w:tcW w:w="4700" w:type="dxa"/>
            <w:vAlign w:val="bottom"/>
            <w:tcBorders>
              <w:righ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être un seul mandat.</w:t>
            </w: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right w:val="single" w:sz="8" w:color="auto"/>
            </w:tcBorders>
            <w:gridSpan w:val="3"/>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500" w:type="dxa"/>
            <w:vAlign w:val="bottom"/>
            <w:tcBorders>
              <w:left w:val="single" w:sz="8" w:color="auto"/>
              <w:right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w w:val="96"/>
              </w:rPr>
              <w:t>If a legal entity fulfills several of the above mentioned criteria, it can be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1"/>
              </w:rPr>
              <w:t>Si une entité juridique remplit plusieurs des critères mentionnés ci-dessus,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freely counted towards any category. The following mandates are excepted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elle peut être librement placée dans une catégorie. Les mandats suivants</w:t>
            </w:r>
          </w:p>
        </w:tc>
        <w:tc>
          <w:tcPr>
            <w:tcW w:w="0" w:type="dxa"/>
            <w:vAlign w:val="bottom"/>
          </w:tcPr>
          <w:p>
            <w:pPr>
              <w:spacing w:after="0"/>
              <w:rPr>
                <w:sz w:val="1"/>
                <w:szCs w:val="1"/>
                <w:color w:val="auto"/>
              </w:rPr>
            </w:pPr>
          </w:p>
        </w:tc>
      </w:tr>
      <w:tr>
        <w:trPr>
          <w:trHeight w:val="230"/>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from these restrictions: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sont exceptés de ces restrictions:</w:t>
            </w:r>
          </w:p>
        </w:tc>
        <w:tc>
          <w:tcPr>
            <w:tcW w:w="0" w:type="dxa"/>
            <w:vAlign w:val="bottom"/>
          </w:tcPr>
          <w:p>
            <w:pPr>
              <w:spacing w:after="0"/>
              <w:rPr>
                <w:sz w:val="1"/>
                <w:szCs w:val="1"/>
                <w:color w:val="auto"/>
              </w:rPr>
            </w:pPr>
          </w:p>
        </w:tc>
      </w:tr>
      <w:tr>
        <w:trPr>
          <w:trHeight w:val="418"/>
        </w:trPr>
        <w:tc>
          <w:tcPr>
            <w:tcW w:w="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8"/>
              </w:rPr>
              <w:t>mandates in legal entities which are controlled by the Company or</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a)   les mandats dans des entités juridiques qui sont contrôlées par la</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which control the Company;</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société ou qui contrôlent la société;</w:t>
            </w:r>
          </w:p>
        </w:tc>
        <w:tc>
          <w:tcPr>
            <w:tcW w:w="0" w:type="dxa"/>
            <w:vAlign w:val="bottom"/>
          </w:tcPr>
          <w:p>
            <w:pPr>
              <w:spacing w:after="0"/>
              <w:rPr>
                <w:sz w:val="1"/>
                <w:szCs w:val="1"/>
                <w:color w:val="auto"/>
              </w:rPr>
            </w:pPr>
          </w:p>
        </w:tc>
      </w:tr>
      <w:tr>
        <w:trPr>
          <w:trHeight w:val="432"/>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  honorary mandates in charitable legal entities.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b)   des mandats d'honneur à des personnes morales de bienfaisance.</w:t>
            </w:r>
          </w:p>
        </w:tc>
        <w:tc>
          <w:tcPr>
            <w:tcW w:w="0" w:type="dxa"/>
            <w:vAlign w:val="bottom"/>
          </w:tcPr>
          <w:p>
            <w:pPr>
              <w:spacing w:after="0"/>
              <w:rPr>
                <w:sz w:val="1"/>
                <w:szCs w:val="1"/>
                <w:color w:val="auto"/>
              </w:rPr>
            </w:pPr>
          </w:p>
        </w:tc>
      </w:tr>
      <w:tr>
        <w:trPr>
          <w:trHeight w:val="223"/>
        </w:trPr>
        <w:tc>
          <w:tcPr>
            <w:tcW w:w="800" w:type="dxa"/>
            <w:vAlign w:val="bottom"/>
            <w:tcBorders>
              <w:left w:val="single" w:sz="8" w:color="auto"/>
              <w:bottom w:val="single" w:sz="8" w:color="auto"/>
            </w:tcBorders>
            <w:gridSpan w:val="2"/>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0" w:type="dxa"/>
            <w:vAlign w:val="bottom"/>
            <w:tcBorders>
              <w:left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Art. 38</w:t>
            </w:r>
          </w:p>
        </w:tc>
        <w:tc>
          <w:tcPr>
            <w:tcW w:w="4700" w:type="dxa"/>
            <w:vAlign w:val="bottom"/>
            <w:tcBorders>
              <w:right w:val="single" w:sz="8" w:color="auto"/>
            </w:tcBorders>
          </w:tcPr>
          <w:p>
            <w:pPr>
              <w:jc w:val="right"/>
              <w:ind w:right="430"/>
              <w:spacing w:after="0" w:line="198" w:lineRule="exact"/>
              <w:rPr>
                <w:sz w:val="20"/>
                <w:szCs w:val="20"/>
                <w:color w:val="auto"/>
              </w:rPr>
            </w:pPr>
            <w:r>
              <w:rPr>
                <w:rFonts w:ascii="Arial" w:cs="Arial" w:eastAsia="Arial" w:hAnsi="Arial"/>
                <w:sz w:val="18"/>
                <w:szCs w:val="18"/>
                <w:b w:val="1"/>
                <w:bCs w:val="1"/>
                <w:color w:val="auto"/>
                <w:w w:val="95"/>
              </w:rPr>
              <w:t>Mandates of a Member of the Executive Committee</w:t>
            </w:r>
          </w:p>
        </w:tc>
        <w:tc>
          <w:tcPr>
            <w:tcW w:w="280" w:type="dxa"/>
            <w:vAlign w:val="bottom"/>
            <w:tcBorders>
              <w:right w:val="single" w:sz="8" w:color="auto"/>
            </w:tcBorders>
          </w:tcPr>
          <w:p>
            <w:pPr>
              <w:spacing w:after="0"/>
              <w:rPr>
                <w:sz w:val="17"/>
                <w:szCs w:val="17"/>
                <w:color w:val="auto"/>
              </w:rPr>
            </w:pPr>
          </w:p>
        </w:tc>
        <w:tc>
          <w:tcPr>
            <w:tcW w:w="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Art. 38</w:t>
            </w:r>
          </w:p>
        </w:tc>
        <w:tc>
          <w:tcPr>
            <w:tcW w:w="4780" w:type="dxa"/>
            <w:vAlign w:val="bottom"/>
            <w:tcBorders>
              <w:right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w w:val="90"/>
              </w:rPr>
              <w:t>Mandats d'un membre du comité exécutif en-dehors de la</w:t>
            </w:r>
          </w:p>
        </w:tc>
        <w:tc>
          <w:tcPr>
            <w:tcW w:w="0" w:type="dxa"/>
            <w:vAlign w:val="bottom"/>
          </w:tcPr>
          <w:p>
            <w:pPr>
              <w:spacing w:after="0"/>
              <w:rPr>
                <w:sz w:val="1"/>
                <w:szCs w:val="1"/>
                <w:color w:val="auto"/>
              </w:rPr>
            </w:pPr>
          </w:p>
        </w:tc>
      </w:tr>
      <w:tr>
        <w:trPr>
          <w:trHeight w:val="234"/>
        </w:trPr>
        <w:tc>
          <w:tcPr>
            <w:tcW w:w="26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tcBorders>
              <w:right w:val="single" w:sz="8" w:color="auto"/>
            </w:tcBorders>
          </w:tcPr>
          <w:p>
            <w:pPr>
              <w:jc w:val="right"/>
              <w:ind w:right="2850"/>
              <w:spacing w:after="0"/>
              <w:rPr>
                <w:sz w:val="20"/>
                <w:szCs w:val="20"/>
                <w:color w:val="auto"/>
              </w:rPr>
            </w:pPr>
            <w:r>
              <w:rPr>
                <w:rFonts w:ascii="Arial" w:cs="Arial" w:eastAsia="Arial" w:hAnsi="Arial"/>
                <w:sz w:val="18"/>
                <w:szCs w:val="18"/>
                <w:b w:val="1"/>
                <w:bCs w:val="1"/>
                <w:color w:val="auto"/>
                <w:w w:val="95"/>
              </w:rPr>
              <w:t>outside the Company</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société</w:t>
            </w:r>
          </w:p>
        </w:tc>
        <w:tc>
          <w:tcPr>
            <w:tcW w:w="0" w:type="dxa"/>
            <w:vAlign w:val="bottom"/>
          </w:tcPr>
          <w:p>
            <w:pPr>
              <w:spacing w:after="0"/>
              <w:rPr>
                <w:sz w:val="1"/>
                <w:szCs w:val="1"/>
                <w:color w:val="auto"/>
              </w:rPr>
            </w:pPr>
          </w:p>
        </w:tc>
      </w:tr>
      <w:tr>
        <w:trPr>
          <w:trHeight w:val="418"/>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Each member of the Executive Committee may, with approval of the Board</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Chaque membre du comité exécutif peut, avec l'approbation du conseil</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of Directors, cumulatively assume not more than the following number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d'administration, cumuler pas plus que le nombre suivant de mandats dans</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mandates in the board of directors, the superior management or an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un conseil d'administration, une direction supérieure ou un organisme</w:t>
            </w:r>
          </w:p>
        </w:tc>
        <w:tc>
          <w:tcPr>
            <w:tcW w:w="0" w:type="dxa"/>
            <w:vAlign w:val="bottom"/>
          </w:tcPr>
          <w:p>
            <w:pPr>
              <w:spacing w:after="0"/>
              <w:rPr>
                <w:sz w:val="1"/>
                <w:szCs w:val="1"/>
                <w:color w:val="auto"/>
              </w:rPr>
            </w:pPr>
          </w:p>
        </w:tc>
      </w:tr>
      <w:tr>
        <w:trPr>
          <w:trHeight w:val="216"/>
        </w:trPr>
        <w:tc>
          <w:tcPr>
            <w:tcW w:w="55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administrative body of a legal entity which is obliged to be registered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administratif d'une personne morale qui est obligée d'être inscrite dans le</w:t>
            </w:r>
          </w:p>
        </w:tc>
        <w:tc>
          <w:tcPr>
            <w:tcW w:w="0" w:type="dxa"/>
            <w:vAlign w:val="bottom"/>
          </w:tcPr>
          <w:p>
            <w:pPr>
              <w:spacing w:after="0"/>
              <w:rPr>
                <w:sz w:val="1"/>
                <w:szCs w:val="1"/>
                <w:color w:val="auto"/>
              </w:rPr>
            </w:pPr>
          </w:p>
        </w:tc>
      </w:tr>
      <w:tr>
        <w:trPr>
          <w:trHeight w:val="237"/>
        </w:trPr>
        <w:tc>
          <w:tcPr>
            <w:tcW w:w="55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the Swiss commercial register or an equivalent foreign register:</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registre du commerce suisse ou un registre étranger équivalent:</w:t>
            </w:r>
          </w:p>
        </w:tc>
        <w:tc>
          <w:tcPr>
            <w:tcW w:w="0" w:type="dxa"/>
            <w:vAlign w:val="bottom"/>
          </w:tcPr>
          <w:p>
            <w:pPr>
              <w:spacing w:after="0"/>
              <w:rPr>
                <w:sz w:val="1"/>
                <w:szCs w:val="1"/>
                <w:color w:val="auto"/>
              </w:rPr>
            </w:pPr>
          </w:p>
        </w:tc>
      </w:tr>
      <w:tr>
        <w:trPr>
          <w:trHeight w:val="439"/>
        </w:trPr>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60" w:type="dxa"/>
            <w:vAlign w:val="bottom"/>
            <w:gridSpan w:val="2"/>
          </w:tcPr>
          <w:p>
            <w:pPr>
              <w:ind w:left="5100"/>
              <w:spacing w:after="0"/>
              <w:rPr>
                <w:sz w:val="20"/>
                <w:szCs w:val="20"/>
                <w:color w:val="auto"/>
              </w:rPr>
            </w:pPr>
            <w:r>
              <w:rPr>
                <w:rFonts w:ascii="Arial" w:cs="Arial" w:eastAsia="Arial" w:hAnsi="Arial"/>
                <w:sz w:val="14"/>
                <w:szCs w:val="14"/>
                <w:color w:val="auto"/>
                <w:w w:val="89"/>
              </w:rPr>
              <w:t>29</w:t>
            </w:r>
          </w:p>
        </w:tc>
        <w:tc>
          <w:tcPr>
            <w:tcW w:w="0" w:type="dxa"/>
            <w:vAlign w:val="bottom"/>
          </w:tcPr>
          <w:p>
            <w:pPr>
              <w:spacing w:after="0"/>
              <w:rPr>
                <w:sz w:val="1"/>
                <w:szCs w:val="1"/>
                <w:color w:val="auto"/>
              </w:rPr>
            </w:pPr>
          </w:p>
        </w:tc>
      </w:tr>
      <w:tr>
        <w:trPr>
          <w:trHeight w:val="168"/>
        </w:trPr>
        <w:tc>
          <w:tcPr>
            <w:tcW w:w="56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2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5"/>
              </w:rPr>
              <w:t>a)  2 mandates for publicly traded companies pursuant to Art. 727 para. 1</w:t>
            </w:r>
          </w:p>
        </w:tc>
        <w:tc>
          <w:tcPr>
            <w:tcW w:w="38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a)</w:t>
            </w:r>
          </w:p>
        </w:tc>
        <w:tc>
          <w:tcPr>
            <w:tcW w:w="5240" w:type="dxa"/>
            <w:vAlign w:val="bottom"/>
            <w:tcBorders>
              <w:top w:val="single" w:sz="8" w:color="auto"/>
            </w:tcBorders>
          </w:tcPr>
          <w:p>
            <w:pPr>
              <w:ind w:left="200"/>
              <w:spacing w:after="0" w:line="201" w:lineRule="exact"/>
              <w:rPr>
                <w:sz w:val="20"/>
                <w:szCs w:val="20"/>
                <w:color w:val="auto"/>
              </w:rPr>
            </w:pPr>
            <w:r>
              <w:rPr>
                <w:rFonts w:ascii="Arial" w:cs="Arial" w:eastAsia="Arial" w:hAnsi="Arial"/>
                <w:sz w:val="18"/>
                <w:szCs w:val="18"/>
                <w:color w:val="auto"/>
                <w:w w:val="91"/>
              </w:rPr>
              <w:t>2 mandats pour les entreprises cotées en bourse selon l'art. 727 al.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number 1 CO; and</w:t>
            </w:r>
          </w:p>
        </w:tc>
        <w:tc>
          <w:tcPr>
            <w:tcW w:w="38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chiffre 1 CO; et</w:t>
            </w:r>
          </w:p>
        </w:tc>
        <w:tc>
          <w:tcPr>
            <w:tcW w:w="0" w:type="dxa"/>
            <w:vAlign w:val="bottom"/>
          </w:tcPr>
          <w:p>
            <w:pPr>
              <w:spacing w:after="0"/>
              <w:rPr>
                <w:sz w:val="1"/>
                <w:szCs w:val="1"/>
                <w:color w:val="auto"/>
              </w:rPr>
            </w:pPr>
          </w:p>
        </w:tc>
      </w:tr>
      <w:tr>
        <w:trPr>
          <w:trHeight w:val="418"/>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b)   3 mandates for companies pursuant to Art. 727 para. 1 number 2 CO;</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6"/>
              </w:rPr>
              <w:t>b)  3 mandats pour des entreprises selon l'art. 727 al. 1 chiffre 2 CO; et</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and</w:t>
            </w:r>
          </w:p>
        </w:tc>
        <w:tc>
          <w:tcPr>
            <w:tcW w:w="5640" w:type="dxa"/>
            <w:vAlign w:val="bottom"/>
            <w:gridSpan w:val="3"/>
            <w:vMerge w:val="restart"/>
          </w:tcPr>
          <w:p>
            <w:pPr>
              <w:ind w:left="160"/>
              <w:spacing w:after="0"/>
              <w:rPr>
                <w:sz w:val="20"/>
                <w:szCs w:val="20"/>
                <w:color w:val="auto"/>
              </w:rPr>
            </w:pPr>
            <w:r>
              <w:rPr>
                <w:rFonts w:ascii="Arial" w:cs="Arial" w:eastAsia="Arial" w:hAnsi="Arial"/>
                <w:sz w:val="18"/>
                <w:szCs w:val="18"/>
                <w:color w:val="auto"/>
                <w:w w:val="92"/>
              </w:rPr>
              <w:t>c)  5 mandats pour les entreprises qui ne remplissent pas les critères sous</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7"/>
              </w:rPr>
              <w:t>c)   5 mandates for companies which do not fulfil the criteria under litera</w:t>
            </w:r>
          </w:p>
        </w:tc>
        <w:tc>
          <w:tcPr>
            <w:tcW w:w="38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a) et b) ci-dessus.</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 and b) above.</w:t>
            </w:r>
          </w:p>
        </w:tc>
        <w:tc>
          <w:tcPr>
            <w:tcW w:w="5640" w:type="dxa"/>
            <w:vAlign w:val="bottom"/>
            <w:gridSpan w:val="3"/>
            <w:vMerge w:val="restart"/>
          </w:tcPr>
          <w:p>
            <w:pPr>
              <w:ind w:left="160"/>
              <w:spacing w:after="0"/>
              <w:rPr>
                <w:sz w:val="20"/>
                <w:szCs w:val="20"/>
                <w:color w:val="auto"/>
              </w:rPr>
            </w:pPr>
            <w:r>
              <w:rPr>
                <w:rFonts w:ascii="Arial" w:cs="Arial" w:eastAsia="Arial" w:hAnsi="Arial"/>
                <w:sz w:val="18"/>
                <w:szCs w:val="18"/>
                <w:color w:val="auto"/>
                <w:w w:val="90"/>
              </w:rPr>
              <w:t>Les mandats exercés dans plusieurs entités juridiques opérant chacun sous</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9"/>
              </w:rPr>
              <w:t>Mandates held in several legal entities each operating under the same</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la même direction ou même bénéficiaire effectif (groupe) sont réputés être</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management or same beneficial owner (group) are deemed to be a single</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un seul mandat.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mandate.</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2"/>
              </w:rPr>
              <w:t>Si une entité juridique remplit plusieurs des critères mentionnés ci-dessus,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3"/>
              </w:rPr>
              <w:t>elle peut être librement placée dans une catégorie. Les mandats suivants</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9"/>
              </w:rPr>
              <w:t>If a legal entity fulfills several of the above mentioned criteria, it can be</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sont exceptés de ces restrictions:</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2"/>
              </w:rPr>
              <w:t>freely counted towards any category. The following mandates are excepted</w:t>
            </w:r>
          </w:p>
        </w:tc>
        <w:tc>
          <w:tcPr>
            <w:tcW w:w="3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from this restrictions:</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w w:val="98"/>
              </w:rPr>
              <w:t>a)   les mandats dans des entités juridiques qui sont contrôlées par la</w:t>
            </w:r>
          </w:p>
        </w:tc>
        <w:tc>
          <w:tcPr>
            <w:tcW w:w="0" w:type="dxa"/>
            <w:vAlign w:val="bottom"/>
          </w:tcPr>
          <w:p>
            <w:pPr>
              <w:spacing w:after="0"/>
              <w:rPr>
                <w:sz w:val="1"/>
                <w:szCs w:val="1"/>
                <w:color w:val="auto"/>
              </w:rPr>
            </w:pPr>
          </w:p>
        </w:tc>
      </w:tr>
      <w:tr>
        <w:trPr>
          <w:trHeight w:val="230"/>
        </w:trPr>
        <w:tc>
          <w:tcPr>
            <w:tcW w:w="260" w:type="dxa"/>
            <w:vAlign w:val="bottom"/>
            <w:vMerge w:val="restart"/>
          </w:tcPr>
          <w:p>
            <w:pPr>
              <w:ind w:left="40"/>
              <w:spacing w:after="0"/>
              <w:rPr>
                <w:sz w:val="20"/>
                <w:szCs w:val="20"/>
                <w:color w:val="auto"/>
              </w:rPr>
            </w:pPr>
            <w:r>
              <w:rPr>
                <w:rFonts w:ascii="Arial" w:cs="Arial" w:eastAsia="Arial" w:hAnsi="Arial"/>
                <w:sz w:val="18"/>
                <w:szCs w:val="18"/>
                <w:color w:val="auto"/>
              </w:rPr>
              <w:t>a)</w:t>
            </w: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w w:val="97"/>
              </w:rPr>
              <w:t>mandates in legal entities which are controlled by the Company or</w:t>
            </w:r>
          </w:p>
        </w:tc>
        <w:tc>
          <w:tcPr>
            <w:tcW w:w="380" w:type="dxa"/>
            <w:vAlign w:val="bottom"/>
          </w:tcPr>
          <w:p>
            <w:pPr>
              <w:spacing w:after="0"/>
              <w:rPr>
                <w:sz w:val="20"/>
                <w:szCs w:val="20"/>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société ou qui contrôlent la société;</w:t>
            </w:r>
          </w:p>
        </w:tc>
        <w:tc>
          <w:tcPr>
            <w:tcW w:w="0" w:type="dxa"/>
            <w:vAlign w:val="bottom"/>
          </w:tcPr>
          <w:p>
            <w:pPr>
              <w:spacing w:after="0"/>
              <w:rPr>
                <w:sz w:val="1"/>
                <w:szCs w:val="1"/>
                <w:color w:val="auto"/>
              </w:rPr>
            </w:pPr>
          </w:p>
        </w:tc>
      </w:tr>
      <w:tr>
        <w:trPr>
          <w:trHeight w:val="202"/>
        </w:trPr>
        <w:tc>
          <w:tcPr>
            <w:tcW w:w="260" w:type="dxa"/>
            <w:vAlign w:val="bottom"/>
            <w:vMerge w:val="continue"/>
          </w:tcPr>
          <w:p>
            <w:pPr>
              <w:spacing w:after="0"/>
              <w:rPr>
                <w:sz w:val="17"/>
                <w:szCs w:val="17"/>
                <w:color w:val="auto"/>
              </w:rPr>
            </w:pPr>
          </w:p>
        </w:tc>
        <w:tc>
          <w:tcPr>
            <w:tcW w:w="5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which control the Company;</w:t>
            </w:r>
          </w:p>
        </w:tc>
        <w:tc>
          <w:tcPr>
            <w:tcW w:w="5640" w:type="dxa"/>
            <w:vAlign w:val="bottom"/>
            <w:gridSpan w:val="3"/>
          </w:tcPr>
          <w:p>
            <w:pPr>
              <w:ind w:left="160"/>
              <w:spacing w:after="0"/>
              <w:rPr>
                <w:sz w:val="20"/>
                <w:szCs w:val="20"/>
                <w:color w:val="auto"/>
              </w:rPr>
            </w:pPr>
            <w:r>
              <w:rPr>
                <w:rFonts w:ascii="Arial" w:cs="Arial" w:eastAsia="Arial" w:hAnsi="Arial"/>
                <w:sz w:val="18"/>
                <w:szCs w:val="18"/>
                <w:color w:val="auto"/>
              </w:rPr>
              <w:t>b)  mandats d'honneur dans des entités juridiques de bienfaisance.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54178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32320" cy="5417820"/>
                    </a:xfrm>
                    <a:prstGeom prst="rect">
                      <a:avLst/>
                    </a:prstGeom>
                    <a:noFill/>
                  </pic:spPr>
                </pic:pic>
              </a:graphicData>
            </a:graphic>
          </wp:anchor>
        </w:drawing>
      </w:r>
    </w:p>
    <w:p>
      <w:pPr>
        <w:spacing w:after="0" w:line="182" w:lineRule="exact"/>
        <w:rPr>
          <w:sz w:val="20"/>
          <w:szCs w:val="20"/>
          <w:color w:val="auto"/>
        </w:rPr>
      </w:pPr>
    </w:p>
    <w:p>
      <w:pPr>
        <w:ind w:left="400" w:hanging="365"/>
        <w:spacing w:after="0"/>
        <w:tabs>
          <w:tab w:leader="none" w:pos="4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honorary mandates in charitable legal entities.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Art. 39</w:t>
            </w:r>
          </w:p>
        </w:tc>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Loans and Credits</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Art. 39</w:t>
            </w:r>
          </w:p>
        </w:tc>
        <w:tc>
          <w:tcPr>
            <w:tcW w:w="4660" w:type="dxa"/>
            <w:vAlign w:val="bottom"/>
          </w:tcPr>
          <w:p>
            <w:pPr>
              <w:ind w:left="220"/>
              <w:spacing w:after="0"/>
              <w:rPr>
                <w:sz w:val="20"/>
                <w:szCs w:val="20"/>
                <w:color w:val="auto"/>
              </w:rPr>
            </w:pPr>
            <w:r>
              <w:rPr>
                <w:rFonts w:ascii="Arial" w:cs="Arial" w:eastAsia="Arial" w:hAnsi="Arial"/>
                <w:sz w:val="18"/>
                <w:szCs w:val="18"/>
                <w:b w:val="1"/>
                <w:bCs w:val="1"/>
                <w:color w:val="auto"/>
              </w:rPr>
              <w:t>Prêts et crédits</w:t>
            </w:r>
          </w:p>
        </w:tc>
      </w:tr>
      <w:tr>
        <w:trPr>
          <w:trHeight w:val="418"/>
        </w:trPr>
        <w:tc>
          <w:tcPr>
            <w:tcW w:w="5580" w:type="dxa"/>
            <w:vAlign w:val="bottom"/>
            <w:gridSpan w:val="2"/>
          </w:tcPr>
          <w:p>
            <w:pPr>
              <w:spacing w:after="0"/>
              <w:rPr>
                <w:sz w:val="20"/>
                <w:szCs w:val="20"/>
                <w:color w:val="auto"/>
              </w:rPr>
            </w:pPr>
            <w:r>
              <w:rPr>
                <w:rFonts w:ascii="Arial" w:cs="Arial" w:eastAsia="Arial" w:hAnsi="Arial"/>
                <w:sz w:val="18"/>
                <w:szCs w:val="18"/>
                <w:color w:val="auto"/>
                <w:w w:val="94"/>
              </w:rPr>
              <w:t>The members of the Board of Directors and the Executive Committee may</w:t>
            </w: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w w:val="91"/>
              </w:rPr>
              <w:t>Les membres du conseil d'administration et du comité exécutif ne peuvent</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w w:val="91"/>
              </w:rPr>
              <w:t>not be granted any loans, credits or securities. Excepted from the above are</w:t>
            </w: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w w:val="87"/>
              </w:rPr>
              <w:t>pas souscrire des prêts, des crédits ou des titres. Sont exceptées les avances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w w:val="97"/>
              </w:rPr>
              <w:t>advances  in  the  maximum  amount  of  CHF  500'000  per  person  for</w:t>
            </w: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w w:val="99"/>
              </w:rPr>
              <w:t>d'un montant maximum de CHF 500'000 par personne pour les frais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w w:val="97"/>
              </w:rPr>
              <w:t>attorneys' fees, court and other similar costs required for the defence of</w:t>
            </w: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w w:val="88"/>
              </w:rPr>
              <w:t>d'avocat, des coûts de tribunaux et d'autres coûts similaires nécessaires à la</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third-party liability claims permitted by Article 29.</w:t>
            </w: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w w:val="89"/>
              </w:rPr>
              <w:t>défense contre des actions en responsabilité civile autorisés par l'article 29.</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40</w:t>
            </w:r>
          </w:p>
        </w:tc>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Pension Funds</w:t>
            </w: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Art. 40</w:t>
            </w:r>
          </w:p>
        </w:tc>
        <w:tc>
          <w:tcPr>
            <w:tcW w:w="4660" w:type="dxa"/>
            <w:vAlign w:val="bottom"/>
          </w:tcPr>
          <w:p>
            <w:pPr>
              <w:ind w:left="180"/>
              <w:spacing w:after="0"/>
              <w:rPr>
                <w:sz w:val="20"/>
                <w:szCs w:val="20"/>
                <w:color w:val="auto"/>
              </w:rPr>
            </w:pPr>
            <w:r>
              <w:rPr>
                <w:rFonts w:ascii="Arial" w:cs="Arial" w:eastAsia="Arial" w:hAnsi="Arial"/>
                <w:sz w:val="18"/>
                <w:szCs w:val="18"/>
                <w:b w:val="1"/>
                <w:bCs w:val="1"/>
                <w:color w:val="auto"/>
              </w:rPr>
              <w:t>Fonds de pension</w:t>
            </w:r>
          </w:p>
        </w:tc>
      </w:tr>
      <w:tr>
        <w:trPr>
          <w:trHeight w:val="418"/>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The Company shall remunerate members of the Board of Directors only in</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2"/>
              </w:rPr>
              <w:t>La société ne doit rémunérer les membres du conseil d'administration que</w:t>
            </w: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9"/>
              </w:rPr>
              <w:t>respect of the employer's mandatory contributions to social insurance.</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du montant dû au titre de contributions obligatoire de l'employeur à</w:t>
            </w: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5"/>
              </w:rPr>
              <w:t>Above and beyond this, the Company shall not make any contributions to</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0"/>
              </w:rPr>
              <w:t>l'assurance sociale. Au-delà de ce montant, la société ne doit pas verser de</w:t>
            </w: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9"/>
              </w:rPr>
              <w:t>pension  funds  or  other  such  pension  plans.  In  exceptional  cases,</w:t>
            </w:r>
          </w:p>
        </w:tc>
        <w:tc>
          <w:tcPr>
            <w:tcW w:w="960" w:type="dxa"/>
            <w:vAlign w:val="bottom"/>
          </w:tcPr>
          <w:p>
            <w:pPr>
              <w:ind w:left="160"/>
              <w:spacing w:after="0"/>
              <w:rPr>
                <w:sz w:val="20"/>
                <w:szCs w:val="20"/>
                <w:color w:val="auto"/>
              </w:rPr>
            </w:pPr>
            <w:r>
              <w:rPr>
                <w:rFonts w:ascii="Arial" w:cs="Arial" w:eastAsia="Arial" w:hAnsi="Arial"/>
                <w:sz w:val="18"/>
                <w:szCs w:val="18"/>
                <w:color w:val="auto"/>
                <w:w w:val="91"/>
              </w:rPr>
              <w:t>cotisations</w:t>
            </w:r>
          </w:p>
        </w:tc>
        <w:tc>
          <w:tcPr>
            <w:tcW w:w="4660" w:type="dxa"/>
            <w:vAlign w:val="bottom"/>
          </w:tcPr>
          <w:p>
            <w:pPr>
              <w:ind w:left="60"/>
              <w:spacing w:after="0"/>
              <w:rPr>
                <w:sz w:val="20"/>
                <w:szCs w:val="20"/>
                <w:color w:val="auto"/>
              </w:rPr>
            </w:pPr>
            <w:r>
              <w:rPr>
                <w:rFonts w:ascii="Arial" w:cs="Arial" w:eastAsia="Arial" w:hAnsi="Arial"/>
                <w:sz w:val="18"/>
                <w:szCs w:val="18"/>
                <w:color w:val="auto"/>
                <w:w w:val="98"/>
              </w:rPr>
              <w:t>à des institutions de prévoyance  ou à d'autres régimes de</w:t>
            </w: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contributions such as these may be made subject to a request by the</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95"/>
              </w:rPr>
              <w:t>retraite. Dans des cas exceptionnels, des contributions comme celles-ci</w:t>
            </w: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Compensation Committee and the approval of the General Meeting.</w:t>
            </w: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w w:val="89"/>
              </w:rPr>
              <w:t>peuvent être faites sur demande au comité de rémunération et sous réserve</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de l'approbation de l'assemblée générale.</w:t>
            </w:r>
          </w:p>
        </w:tc>
      </w:tr>
      <w:tr>
        <w:trPr>
          <w:trHeight w:val="466"/>
        </w:trPr>
        <w:tc>
          <w:tcPr>
            <w:tcW w:w="8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5" w:name="page236"/>
    <w:bookmarkEnd w:id="2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8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7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4"/>
              </w:rPr>
              <w:t>Members  of  the  Executive  Committee  participate  in  the  Company's</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Les membres du comité exécutif participent aux régimes de retraite de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pension plans (the Company's pension fund and the management pension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société (le fond de pension de la société et le régime de retraite du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plan). The pension plans conform to the legal requirements. For members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management). Les régimes de retraite sont conformes aux exigences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of the Executive Committee, the insured income is defined as the fixed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légales (LPP). Pour les membres du comité exécutif, le revenu assuré est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remuneration  plus  50  percent  of  the  target  performance-related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défini comme la rémunération fixe plus les 50 pour cent de la rémunération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remuneration, up to the legal maximum. Equity-linked income components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liée à la performance, jusqu'au maximum légal. Les composantes du</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are not included.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revenu liées au capital propre ne sont pas inclus.</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6"/>
              </w:rPr>
              <w:t>Within the overall compensation approved by the General Meeting, the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Dans la rémunération globale approuvée par l'assemblée générale,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Company may make additional payments into the Company's pension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8"/>
              </w:rPr>
              <w:t>société pourra effectuer des paiements supplémentaires dans les caisses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funds for the benefit of members of the Executive Committee in order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retraite de la société pour le bénéfice des membres du comité exécutif afin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cover any disadvantage suffered as a result of the change of jobs or to</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de couvrir tout désavantage subi par suite de la modification de l'emploi ou</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purchase additional pension entitlements. In this context the Company may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pour acheter des droits de pension supplémentaires. Dans ce contexte,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conclude life insurance policies on behalf of members of the Executive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89"/>
              </w:rPr>
              <w:t>société peut conclure des contrats d'assurance-vie au nom des membres du</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Committee and pay the insurance premiums either fully or in part.</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comité exécutif et payer en totalité ou en partie les primes d'assurance.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3"/>
              </w:rPr>
              <w:t>Upon retirement, the Company may also grant members of the Executive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À la retraite, la société peut également accorder aux membres du comité</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Committee a bridging pension to cover the period between early retirement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exécutif, une pension de transition pour couvrir la période entre la retraite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at 62 and the ordinary age of retirement, if such bridging pension does not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anticipée à 62 ans et l'âge ordinaire de la retraite, si cette rente transitoire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exceed 100 percent of the total annual compensation of the respective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ne dépasse pas 100 pour cent du dernier montant de la rémunération</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member last paid.</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annuelle totale payée au membre respectif.</w:t>
            </w:r>
          </w:p>
        </w:tc>
      </w:tr>
      <w:tr>
        <w:trPr>
          <w:trHeight w:val="223"/>
        </w:trPr>
        <w:tc>
          <w:tcPr>
            <w:tcW w:w="800" w:type="dxa"/>
            <w:vAlign w:val="bottom"/>
            <w:tcBorders>
              <w:left w:val="single" w:sz="8" w:color="auto"/>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spacing w:after="0"/>
              <w:rPr>
                <w:sz w:val="19"/>
                <w:szCs w:val="19"/>
                <w:color w:val="auto"/>
              </w:rPr>
            </w:pPr>
          </w:p>
        </w:tc>
      </w:tr>
      <w:tr>
        <w:trPr>
          <w:trHeight w:val="234"/>
        </w:trPr>
        <w:tc>
          <w:tcPr>
            <w:tcW w:w="8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41</w:t>
            </w:r>
          </w:p>
        </w:tc>
        <w:tc>
          <w:tcPr>
            <w:tcW w:w="47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Option and Share Plans</w:t>
            </w:r>
          </w:p>
        </w:tc>
        <w:tc>
          <w:tcPr>
            <w:tcW w:w="28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rPr>
              <w:t>Art. 41</w:t>
            </w:r>
          </w:p>
        </w:tc>
        <w:tc>
          <w:tcPr>
            <w:tcW w:w="4700" w:type="dxa"/>
            <w:vAlign w:val="bottom"/>
            <w:tcBorders>
              <w:right w:val="single" w:sz="8" w:color="auto"/>
            </w:tcBorders>
          </w:tcPr>
          <w:p>
            <w:pPr>
              <w:jc w:val="right"/>
              <w:ind w:right="2479"/>
              <w:spacing w:after="0"/>
              <w:rPr>
                <w:sz w:val="20"/>
                <w:szCs w:val="20"/>
                <w:color w:val="auto"/>
              </w:rPr>
            </w:pPr>
            <w:r>
              <w:rPr>
                <w:rFonts w:ascii="Arial" w:cs="Arial" w:eastAsia="Arial" w:hAnsi="Arial"/>
                <w:sz w:val="18"/>
                <w:szCs w:val="18"/>
                <w:b w:val="1"/>
                <w:bCs w:val="1"/>
                <w:color w:val="auto"/>
                <w:w w:val="98"/>
              </w:rPr>
              <w:t>Options et plan d'actions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Under the Company's Long Term Incentive Plan, the Board of Directors,</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En vertu du plan d’intéressement à long terme de la société, le conseil</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upon proposal of the Compensation Committee, allocates the participating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d'administration, sur proposition du comité de rémunération, attribue aux</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members of the Executive Committee and the Board of Directors a fixed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membres participants du comité exécutif et du conseil d'administration un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number of options or shares with a vesting or a blocking period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nombre fixe d'options ou d'actions avec une période de vesting ou de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vesting period). At the end of the vesting period, participants in the Long</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blocage (la "Période de Vesting "). À la fin de la Période de Vesting, les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Term Incentive Plan are entitled to exercise the options granted against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participants au plan d’intéressement à long terme sont habilités à exercer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payment of the strike price. These options to acquire shares in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les options attribuées contre paiement du prix d'exercice. Ces options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Company or allocated shares are subject to the basic principles set out in</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d'achat d'actions de la société ou d'actions attribuées sont soumises aux</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following:</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principes de base suivants:</w:t>
            </w:r>
          </w:p>
        </w:tc>
      </w:tr>
      <w:tr>
        <w:trPr>
          <w:trHeight w:val="439"/>
        </w:trPr>
        <w:tc>
          <w:tcPr>
            <w:tcW w:w="8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6" w:name="page237"/>
    <w:bookmarkEnd w:id="236"/>
    <w:p>
      <w:pPr>
        <w:ind w:left="11065"/>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129540</wp:posOffset>
            </wp:positionV>
            <wp:extent cx="7132320" cy="37376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32320" cy="3737610"/>
                    </a:xfrm>
                    <a:prstGeom prst="rect">
                      <a:avLst/>
                    </a:prstGeom>
                    <a:noFill/>
                  </pic:spPr>
                </pic:pic>
              </a:graphicData>
            </a:graphic>
          </wp:anchor>
        </w:drawing>
      </w:r>
    </w:p>
    <w:p>
      <w:pPr>
        <w:sectPr>
          <w:pgSz w:w="11900" w:h="16838" w:orient="portrait"/>
          <w:cols w:equalWidth="0" w:num="1">
            <w:col w:w="11205"/>
          </w:cols>
          <w:pgMar w:left="355" w:top="122" w:right="339" w:bottom="1440" w:gutter="0" w:footer="0" w:header="0"/>
        </w:sectPr>
      </w:pPr>
    </w:p>
    <w:p>
      <w:pPr>
        <w:spacing w:after="0" w:line="217" w:lineRule="exact"/>
        <w:rPr>
          <w:sz w:val="20"/>
          <w:szCs w:val="20"/>
          <w:color w:val="auto"/>
        </w:rPr>
      </w:pPr>
    </w:p>
    <w:p>
      <w:pPr>
        <w:jc w:val="both"/>
        <w:ind w:left="325" w:right="20" w:hanging="325"/>
        <w:spacing w:after="0" w:line="301" w:lineRule="auto"/>
        <w:tabs>
          <w:tab w:leader="none" w:pos="30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spacing w:after="0" w:line="157" w:lineRule="exact"/>
        <w:rPr>
          <w:rFonts w:ascii="Arial" w:cs="Arial" w:eastAsia="Arial" w:hAnsi="Arial"/>
          <w:sz w:val="16"/>
          <w:szCs w:val="16"/>
          <w:color w:val="auto"/>
        </w:rPr>
      </w:pPr>
    </w:p>
    <w:p>
      <w:pPr>
        <w:jc w:val="both"/>
        <w:ind w:left="325" w:hanging="325"/>
        <w:spacing w:after="0" w:line="286" w:lineRule="auto"/>
        <w:tabs>
          <w:tab w:leader="none" w:pos="26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year, the Board of Directors, upon proposal of the Compensation Committee, stipulates the number of options and shares to be allocated, the date of allocation and the strike price;</w:t>
      </w:r>
    </w:p>
    <w:p>
      <w:pPr>
        <w:spacing w:after="0" w:line="165" w:lineRule="exact"/>
        <w:rPr>
          <w:rFonts w:ascii="Arial" w:cs="Arial" w:eastAsia="Arial" w:hAnsi="Arial"/>
          <w:sz w:val="17"/>
          <w:szCs w:val="17"/>
          <w:color w:val="auto"/>
        </w:rPr>
      </w:pPr>
    </w:p>
    <w:p>
      <w:pPr>
        <w:ind w:left="325" w:right="20" w:hanging="325"/>
        <w:spacing w:after="0" w:line="308" w:lineRule="auto"/>
        <w:tabs>
          <w:tab w:leader="none" w:pos="51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option incorporates a non-transferable, pre-emptive, and contingent right to acquire a certain number of Company's shares;</w:t>
      </w:r>
    </w:p>
    <w:p>
      <w:pPr>
        <w:spacing w:after="0" w:line="146" w:lineRule="exact"/>
        <w:rPr>
          <w:rFonts w:ascii="Arial" w:cs="Arial" w:eastAsia="Arial" w:hAnsi="Arial"/>
          <w:sz w:val="17"/>
          <w:szCs w:val="17"/>
          <w:color w:val="auto"/>
        </w:rPr>
      </w:pPr>
    </w:p>
    <w:p>
      <w:pPr>
        <w:jc w:val="both"/>
        <w:ind w:left="325" w:hanging="325"/>
        <w:spacing w:after="0" w:line="271" w:lineRule="auto"/>
        <w:tabs>
          <w:tab w:leader="none" w:pos="46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the case of a change of control (as defined in the Long Term Incentive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178" w:lineRule="exact"/>
        <w:rPr>
          <w:rFonts w:ascii="Arial" w:cs="Arial" w:eastAsia="Arial" w:hAnsi="Arial"/>
          <w:sz w:val="17"/>
          <w:szCs w:val="17"/>
          <w:color w:val="auto"/>
        </w:rPr>
      </w:pPr>
    </w:p>
    <w:p>
      <w:pPr>
        <w:jc w:val="both"/>
        <w:ind w:left="325" w:hanging="325"/>
        <w:spacing w:after="0" w:line="279" w:lineRule="auto"/>
        <w:tabs>
          <w:tab w:leader="none" w:pos="33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individual members of the Executive Committee or the Board of Directors participating in the Long Term Incentive Plan are responsible for paying any taxes or social security contributions and for declaring income correctly to the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left="328" w:right="40" w:hanging="328"/>
        <w:spacing w:after="0" w:line="257" w:lineRule="auto"/>
        <w:tabs>
          <w:tab w:leader="none" w:pos="3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spacing w:after="0" w:line="187" w:lineRule="exact"/>
        <w:rPr>
          <w:rFonts w:ascii="Arial" w:cs="Arial" w:eastAsia="Arial" w:hAnsi="Arial"/>
          <w:sz w:val="18"/>
          <w:szCs w:val="18"/>
          <w:color w:val="auto"/>
        </w:rPr>
      </w:pPr>
    </w:p>
    <w:p>
      <w:pPr>
        <w:jc w:val="both"/>
        <w:ind w:left="328" w:right="40" w:hanging="328"/>
        <w:spacing w:after="0" w:line="263" w:lineRule="auto"/>
        <w:tabs>
          <w:tab w:leader="none" w:pos="29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 à attribuer, la date d'attribution et le prix d'exercice;</w:t>
      </w:r>
    </w:p>
    <w:p>
      <w:pPr>
        <w:spacing w:after="0" w:line="183" w:lineRule="exact"/>
        <w:rPr>
          <w:rFonts w:ascii="Arial" w:cs="Arial" w:eastAsia="Arial" w:hAnsi="Arial"/>
          <w:sz w:val="18"/>
          <w:szCs w:val="18"/>
          <w:color w:val="auto"/>
        </w:rPr>
      </w:pPr>
    </w:p>
    <w:p>
      <w:pPr>
        <w:jc w:val="both"/>
        <w:ind w:left="328" w:right="20" w:hanging="328"/>
        <w:spacing w:after="0" w:line="263" w:lineRule="auto"/>
        <w:tabs>
          <w:tab w:leader="none" w:pos="4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183" w:lineRule="exact"/>
        <w:rPr>
          <w:rFonts w:ascii="Arial" w:cs="Arial" w:eastAsia="Arial" w:hAnsi="Arial"/>
          <w:sz w:val="18"/>
          <w:szCs w:val="18"/>
          <w:color w:val="auto"/>
        </w:rPr>
      </w:pPr>
    </w:p>
    <w:p>
      <w:pPr>
        <w:jc w:val="both"/>
        <w:ind w:left="328" w:right="20" w:hanging="328"/>
        <w:spacing w:after="0" w:line="290" w:lineRule="auto"/>
        <w:tabs>
          <w:tab w:leader="none" w:pos="39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dans le cas d'un changement de contrôle (tel que défini dans le plan d’intéressement à long terme) ou la radiation des actions de la société, la Période de Vesting prend fin (vesting accéléré)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65" w:lineRule="exact"/>
        <w:rPr>
          <w:rFonts w:ascii="Arial" w:cs="Arial" w:eastAsia="Arial" w:hAnsi="Arial"/>
          <w:sz w:val="16"/>
          <w:szCs w:val="16"/>
          <w:color w:val="auto"/>
        </w:rPr>
      </w:pPr>
    </w:p>
    <w:p>
      <w:pPr>
        <w:jc w:val="both"/>
        <w:ind w:left="328" w:right="20" w:hanging="328"/>
        <w:spacing w:after="0" w:line="301" w:lineRule="auto"/>
        <w:tabs>
          <w:tab w:leader="none" w:pos="55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les membres individuels du comité exécutif ou du conseil d'administration qui participent au plan d’intéressement à long terme sont responsables du paiement de tous les impôts ou cotisations de sécurité sociale et de déclarer correctement le revenu aux autorités;</w:t>
      </w:r>
    </w:p>
    <w:p>
      <w:pPr>
        <w:sectPr>
          <w:pgSz w:w="11900" w:h="16838" w:orient="portrait"/>
          <w:cols w:equalWidth="0" w:num="2">
            <w:col w:w="5445" w:space="292"/>
            <w:col w:w="5468"/>
          </w:cols>
          <w:pgMar w:left="355" w:top="122" w:right="339" w:bottom="1440" w:gutter="0" w:footer="0" w:header="0"/>
          <w:type w:val="continuous"/>
        </w:sectPr>
      </w:pPr>
    </w:p>
    <w:bookmarkStart w:id="237" w:name="page238"/>
    <w:bookmarkEnd w:id="237"/>
    <w:tbl>
      <w:tblPr>
        <w:tblLayout w:type="fixed"/>
        <w:tblInd w:w="10" w:type="dxa"/>
        <w:tblCellMar>
          <w:top w:w="0" w:type="dxa"/>
          <w:left w:w="0" w:type="dxa"/>
          <w:bottom w:w="0" w:type="dxa"/>
          <w:right w:w="0" w:type="dxa"/>
        </w:tblCellMar>
      </w:tblPr>
      <w:tr>
        <w:trPr>
          <w:trHeight w:val="182"/>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5"/>
              </w:rPr>
              <w:t>f)   it is at the sole discretion of the Board of Directors to decide whether</w:t>
            </w:r>
          </w:p>
        </w:tc>
        <w:tc>
          <w:tcPr>
            <w:tcW w:w="280" w:type="dxa"/>
            <w:vAlign w:val="bottom"/>
            <w:tcBorders>
              <w:right w:val="single" w:sz="8" w:color="auto"/>
            </w:tcBorders>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il relève de la libre appréciation du conseil d'administration de</w:t>
            </w:r>
          </w:p>
        </w:tc>
      </w:tr>
      <w:tr>
        <w:trPr>
          <w:trHeight w:val="216"/>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w w:val="93"/>
              </w:rPr>
              <w:t>to supplement the Long Term Incentive Plan within the bounds of the</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6"/>
              </w:rPr>
              <w:t>compléter le plan d’intéressement à long terme dans les limites des</w:t>
            </w:r>
          </w:p>
        </w:tc>
      </w:tr>
      <w:tr>
        <w:trPr>
          <w:trHeight w:val="230"/>
        </w:trPr>
        <w:tc>
          <w:tcPr>
            <w:tcW w:w="5500" w:type="dxa"/>
            <w:vAlign w:val="bottom"/>
            <w:tcBorders>
              <w:left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principles set out above or to discontinue it.</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40" w:type="dxa"/>
            <w:vAlign w:val="bottom"/>
            <w:tcBorders>
              <w:right w:val="single" w:sz="8" w:color="auto"/>
            </w:tcBorders>
            <w:gridSpan w:val="2"/>
          </w:tcPr>
          <w:p>
            <w:pPr>
              <w:jc w:val="right"/>
              <w:ind w:right="1613"/>
              <w:spacing w:after="0"/>
              <w:rPr>
                <w:sz w:val="20"/>
                <w:szCs w:val="20"/>
                <w:color w:val="auto"/>
              </w:rPr>
            </w:pPr>
            <w:r>
              <w:rPr>
                <w:rFonts w:ascii="Arial" w:cs="Arial" w:eastAsia="Arial" w:hAnsi="Arial"/>
                <w:sz w:val="18"/>
                <w:szCs w:val="18"/>
                <w:color w:val="auto"/>
                <w:w w:val="91"/>
              </w:rPr>
              <w:t>principes énoncés ci-dessus ou de l'interrompre.</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3"/>
              </w:rPr>
              <w:t>The Company may periodically offer shares in the Company to important</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1"/>
              </w:rPr>
              <w:t>La société peut périodiquement offrir des actions de la société aux salariés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and long-term employees for a price being at maximum ten percent below</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5"/>
              </w:rPr>
              <w:t>importants et à long terme pour un prix étant au maximum dix pour cent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the average volume-weighted price of the last 30 trading days at the stock</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0"/>
              </w:rPr>
              <w:t>au-dessous du prix moyen pondéré par les volumes des 30 derniers jours à</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exchange.  Members  of  the  Board  of  Directors  and  the  Executive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la bourse. Les membres du conseil d'administration et du comité exécutif</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Committee may be included in this program. The shares acquired thereby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peuvent être inclus dans ce programme. Les actions ainsi acquises seront</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shall be blocked for a period of at least 3 years.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bloquées pour une période d'au moins 3 ans.</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198"/>
        </w:trPr>
        <w:tc>
          <w:tcPr>
            <w:tcW w:w="720" w:type="dxa"/>
            <w:vAlign w:val="bottom"/>
            <w:tcBorders>
              <w:lef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VIII.</w:t>
            </w:r>
          </w:p>
        </w:tc>
        <w:tc>
          <w:tcPr>
            <w:tcW w:w="478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BUSINESS YEAR, ACCOUNTING, ALLOCATION OF</w:t>
            </w:r>
          </w:p>
        </w:tc>
        <w:tc>
          <w:tcPr>
            <w:tcW w:w="280" w:type="dxa"/>
            <w:vAlign w:val="bottom"/>
            <w:tcBorders>
              <w:right w:val="single" w:sz="8" w:color="auto"/>
            </w:tcBorders>
          </w:tcPr>
          <w:p>
            <w:pPr>
              <w:spacing w:after="0"/>
              <w:rPr>
                <w:sz w:val="17"/>
                <w:szCs w:val="17"/>
                <w:color w:val="auto"/>
              </w:rPr>
            </w:pPr>
          </w:p>
        </w:tc>
        <w:tc>
          <w:tcPr>
            <w:tcW w:w="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VIII.</w:t>
            </w:r>
          </w:p>
        </w:tc>
        <w:tc>
          <w:tcPr>
            <w:tcW w:w="478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EXERCICE, COMPTABILITÉ, RÉPARTITION DES</w:t>
            </w:r>
          </w:p>
        </w:tc>
      </w:tr>
      <w:tr>
        <w:trPr>
          <w:trHeight w:val="234"/>
        </w:trPr>
        <w:tc>
          <w:tcPr>
            <w:tcW w:w="720" w:type="dxa"/>
            <w:vAlign w:val="bottom"/>
            <w:tcBorders>
              <w:lef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PROFITS</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BÉNÉFICES</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42</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Business Year</w:t>
            </w:r>
          </w:p>
        </w:tc>
        <w:tc>
          <w:tcPr>
            <w:tcW w:w="280" w:type="dxa"/>
            <w:vAlign w:val="bottom"/>
            <w:tcBorders>
              <w:right w:val="single" w:sz="8" w:color="auto"/>
            </w:tcBorders>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Art. 42</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Exercice</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Le conseil d'administration détermine le début et la fin de l'exercice de la</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Company's business year.</w:t>
            </w:r>
          </w:p>
        </w:tc>
        <w:tc>
          <w:tcPr>
            <w:tcW w:w="280" w:type="dxa"/>
            <w:vAlign w:val="bottom"/>
            <w:tcBorders>
              <w:right w:val="single" w:sz="8" w:color="auto"/>
            </w:tcBorders>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société.</w:t>
            </w:r>
          </w:p>
        </w:tc>
        <w:tc>
          <w:tcPr>
            <w:tcW w:w="4780" w:type="dxa"/>
            <w:vAlign w:val="bottom"/>
            <w:tcBorders>
              <w:right w:val="single" w:sz="8" w:color="auto"/>
            </w:tcBorders>
          </w:tcPr>
          <w:p>
            <w:pPr>
              <w:spacing w:after="0"/>
              <w:rPr>
                <w:sz w:val="20"/>
                <w:szCs w:val="20"/>
                <w:color w:val="auto"/>
              </w:rPr>
            </w:pP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43</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Accounting</w:t>
            </w:r>
          </w:p>
        </w:tc>
        <w:tc>
          <w:tcPr>
            <w:tcW w:w="280" w:type="dxa"/>
            <w:vAlign w:val="bottom"/>
            <w:tcBorders>
              <w:right w:val="single" w:sz="8" w:color="auto"/>
            </w:tcBorders>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Art. 43</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Comptabilité</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The annual accounts consist of the profit and loss statement, the balance</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89"/>
              </w:rPr>
              <w:t>Les comptes annuels se composent du compte de profits et pertes, du bilan,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sheet, the cash flow statement, the annex and the management report,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du tableau des flux de trésorerie, de l'annexe et du rapport de gestion, et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shall be drawn up pursuant to the provisions of the CO, particularly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sont établis conformément aux dispositions du CO, en particulier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 xml:space="preserve">Articles 958 </w:t>
            </w:r>
            <w:r>
              <w:rPr>
                <w:rFonts w:ascii="Arial" w:cs="Arial" w:eastAsia="Arial" w:hAnsi="Arial"/>
                <w:sz w:val="18"/>
                <w:szCs w:val="18"/>
                <w:i w:val="1"/>
                <w:iCs w:val="1"/>
                <w:color w:val="auto"/>
                <w:w w:val="91"/>
              </w:rPr>
              <w:t>et seq.</w:t>
            </w:r>
            <w:r>
              <w:rPr>
                <w:rFonts w:ascii="Arial" w:cs="Arial" w:eastAsia="Arial" w:hAnsi="Arial"/>
                <w:sz w:val="18"/>
                <w:szCs w:val="18"/>
                <w:color w:val="auto"/>
                <w:w w:val="91"/>
              </w:rPr>
              <w:t xml:space="preserve"> CO, and the generally accepted commercial principles</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articles 958 ss. CO, et aux principes commerciaux généralement reconnus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and customary rules in that business area.</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et aux règles coutumières dans ce secteur d'activité.</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3"/>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3"/>
              </w:rPr>
              <w:t>If required by law, the consolidated financial statements shall be drawn in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5"/>
              </w:rPr>
              <w:t>Si  requis  par  la  loi,  les  états  financiers  consolidés  sont  établis  en</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accordance with the provisions of Article 962 CO.</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conformité avec les dispositions de l'article 962 CO.</w:t>
            </w:r>
          </w:p>
        </w:tc>
      </w:tr>
      <w:tr>
        <w:trPr>
          <w:trHeight w:val="223"/>
        </w:trPr>
        <w:tc>
          <w:tcPr>
            <w:tcW w:w="720" w:type="dxa"/>
            <w:vAlign w:val="bottom"/>
            <w:tcBorders>
              <w:left w:val="single" w:sz="8" w:color="auto"/>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r>
      <w:tr>
        <w:trPr>
          <w:trHeight w:val="234"/>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Art. 44</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Allocation of Profits</w:t>
            </w:r>
          </w:p>
        </w:tc>
        <w:tc>
          <w:tcPr>
            <w:tcW w:w="280" w:type="dxa"/>
            <w:vAlign w:val="bottom"/>
            <w:tcBorders>
              <w:right w:val="single" w:sz="8" w:color="auto"/>
            </w:tcBorders>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Art. 44</w:t>
            </w:r>
          </w:p>
        </w:tc>
        <w:tc>
          <w:tcPr>
            <w:tcW w:w="478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Répartition des bénéfices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Subject to the legal provisions regarding distribution of profits, the profit</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Sous  réserve  des  dispositions  légales  en  matière  de  répartition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as shown on the balance sheet shall be allocated by the General Meeting at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1"/>
              </w:rPr>
              <w:t>bénéfices, le bénéfice comme indiqué sur le bilan doit être alloué à la libre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its discretion after receipt of the proposals of the Board of Directors and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appréciation de l'assemblée générale après réception des propositions du</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Auditors.</w:t>
            </w:r>
          </w:p>
        </w:tc>
        <w:tc>
          <w:tcPr>
            <w:tcW w:w="280" w:type="dxa"/>
            <w:vAlign w:val="bottom"/>
            <w:tcBorders>
              <w:bottom w:val="single" w:sz="8" w:color="auto"/>
              <w:right w:val="single" w:sz="8" w:color="auto"/>
            </w:tcBorders>
          </w:tcPr>
          <w:p>
            <w:pPr>
              <w:spacing w:after="0"/>
              <w:rPr>
                <w:sz w:val="20"/>
                <w:szCs w:val="20"/>
                <w:color w:val="auto"/>
              </w:rPr>
            </w:pPr>
          </w:p>
        </w:tc>
        <w:tc>
          <w:tcPr>
            <w:tcW w:w="54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conseil d'administration et de l'organe de révision.</w:t>
            </w:r>
          </w:p>
        </w:tc>
      </w:tr>
      <w:tr>
        <w:trPr>
          <w:trHeight w:val="439"/>
        </w:trPr>
        <w:tc>
          <w:tcPr>
            <w:tcW w:w="7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8" w:name="page239"/>
    <w:bookmarkEnd w:id="2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80" w:type="dxa"/>
            <w:vAlign w:val="bottom"/>
          </w:tcPr>
          <w:p>
            <w:pPr>
              <w:ind w:left="4740"/>
              <w:spacing w:after="0"/>
              <w:rPr>
                <w:sz w:val="20"/>
                <w:szCs w:val="20"/>
                <w:color w:val="auto"/>
              </w:rPr>
            </w:pPr>
            <w:r>
              <w:rPr>
                <w:rFonts w:ascii="Arial" w:cs="Arial" w:eastAsia="Arial" w:hAnsi="Arial"/>
                <w:sz w:val="12"/>
                <w:szCs w:val="12"/>
                <w:color w:val="auto"/>
                <w:w w:val="74"/>
              </w:rPr>
              <w:t>33</w:t>
            </w:r>
          </w:p>
        </w:tc>
      </w:tr>
      <w:tr>
        <w:trPr>
          <w:trHeight w:val="168"/>
        </w:trPr>
        <w:tc>
          <w:tcPr>
            <w:tcW w:w="5500" w:type="dxa"/>
            <w:vAlign w:val="bottom"/>
            <w:tcBorders>
              <w:bottom w:val="single" w:sz="8" w:color="auto"/>
            </w:tcBorders>
            <w:gridSpan w:val="2"/>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2"/>
          </w:tcPr>
          <w:p>
            <w:pPr>
              <w:spacing w:after="0"/>
              <w:rPr>
                <w:sz w:val="14"/>
                <w:szCs w:val="14"/>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5"/>
              </w:rPr>
              <w:t>In  addition  to  the  legal  reserves,  the  General  Meeting  may  create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89"/>
              </w:rPr>
              <w:t>En plus des réserves légales, l'assemblée générale peut créer des réserves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supplemental reserves.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supplémentaires.</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7"/>
              </w:rPr>
              <w:t>Dividends not claimed within five years after the due date shall remain</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3"/>
              </w:rPr>
              <w:t>Les dividendes non réclamés dans les cinq ans après la date d'échéance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with the Company and be allocated to the general reserves.</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restent avec la société et sont attribués aux réserves générales.</w:t>
            </w:r>
          </w:p>
        </w:tc>
      </w:tr>
      <w:tr>
        <w:trPr>
          <w:trHeight w:val="223"/>
        </w:trPr>
        <w:tc>
          <w:tcPr>
            <w:tcW w:w="620" w:type="dxa"/>
            <w:vAlign w:val="bottom"/>
            <w:tcBorders>
              <w:left w:val="single" w:sz="8" w:color="auto"/>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r>
      <w:tr>
        <w:trPr>
          <w:trHeight w:val="23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IX.</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DISSOLUTION AND LIQUIDATION</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IX.</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DISSOLUTION ET LIQUIDATION</w:t>
            </w:r>
          </w:p>
        </w:tc>
      </w:tr>
      <w:tr>
        <w:trPr>
          <w:trHeight w:val="205"/>
        </w:trPr>
        <w:tc>
          <w:tcPr>
            <w:tcW w:w="620" w:type="dxa"/>
            <w:vAlign w:val="bottom"/>
            <w:tcBorders>
              <w:left w:val="single" w:sz="8" w:color="auto"/>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3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Art. 45</w:t>
            </w:r>
          </w:p>
        </w:tc>
        <w:tc>
          <w:tcPr>
            <w:tcW w:w="48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Dissolution and Liquidation</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9"/>
              </w:rPr>
              <w:t>Art. 45</w:t>
            </w:r>
          </w:p>
        </w:tc>
        <w:tc>
          <w:tcPr>
            <w:tcW w:w="48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Dissolution et Liquidation</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La dissolution et la liquidation de la société ont lieu en conformité avec les</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accordance with the provisions of the CO.</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dispositions du CO.</w:t>
            </w:r>
          </w:p>
        </w:tc>
      </w:tr>
      <w:tr>
        <w:trPr>
          <w:trHeight w:val="223"/>
        </w:trPr>
        <w:tc>
          <w:tcPr>
            <w:tcW w:w="620" w:type="dxa"/>
            <w:vAlign w:val="bottom"/>
            <w:tcBorders>
              <w:left w:val="single" w:sz="8" w:color="auto"/>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r>
      <w:tr>
        <w:trPr>
          <w:trHeight w:val="23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X.</w:t>
            </w: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NOTICES AND PUBLICATIONS</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X.</w:t>
            </w:r>
          </w:p>
        </w:tc>
        <w:tc>
          <w:tcPr>
            <w:tcW w:w="48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AVIS ET PUBLICATIONS</w:t>
            </w:r>
          </w:p>
        </w:tc>
      </w:tr>
      <w:tr>
        <w:trPr>
          <w:trHeight w:val="205"/>
        </w:trPr>
        <w:tc>
          <w:tcPr>
            <w:tcW w:w="620" w:type="dxa"/>
            <w:vAlign w:val="bottom"/>
            <w:tcBorders>
              <w:left w:val="single" w:sz="8" w:color="auto"/>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23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Art. 46</w:t>
            </w:r>
          </w:p>
        </w:tc>
        <w:tc>
          <w:tcPr>
            <w:tcW w:w="48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Notices and Publications</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9"/>
              </w:rPr>
              <w:t>Art. 46</w:t>
            </w:r>
          </w:p>
        </w:tc>
        <w:tc>
          <w:tcPr>
            <w:tcW w:w="48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Avis et Publications</w:t>
            </w:r>
          </w:p>
        </w:tc>
      </w:tr>
      <w:tr>
        <w:trPr>
          <w:trHeight w:val="399"/>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L'organe de publication légal est la Feuille officielle suisse du commerce.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medium.</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Borders>
              <w:right w:val="single" w:sz="8" w:color="auto"/>
            </w:tcBorders>
          </w:tcPr>
          <w:p>
            <w:pPr>
              <w:spacing w:after="0"/>
              <w:rPr>
                <w:sz w:val="20"/>
                <w:szCs w:val="20"/>
                <w:color w:val="auto"/>
              </w:rPr>
            </w:pP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89"/>
              </w:rPr>
              <w:t>Shareholder communications and notices to the shareholders shall be made</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Les communications et avis aux actionnaires sont effectués par publication</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by publication in the Swiss Official Gazette of Commerce or sent by mail</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dans la Feuille officielle suisse du commerce ou envoyés par courrier ou e-</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or e-mail to the addresses registered in the share register.</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mail aux adresses enregistrées dans le registre des actions.</w:t>
            </w:r>
          </w:p>
        </w:tc>
      </w:tr>
      <w:tr>
        <w:trPr>
          <w:trHeight w:val="223"/>
        </w:trPr>
        <w:tc>
          <w:tcPr>
            <w:tcW w:w="55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460" w:type="dxa"/>
            <w:vAlign w:val="bottom"/>
            <w:tcBorders>
              <w:bottom w:val="single" w:sz="8" w:color="auto"/>
              <w:right w:val="single" w:sz="8" w:color="auto"/>
            </w:tcBorders>
            <w:gridSpan w:val="2"/>
          </w:tcPr>
          <w:p>
            <w:pPr>
              <w:spacing w:after="0"/>
              <w:rPr>
                <w:sz w:val="19"/>
                <w:szCs w:val="19"/>
                <w:color w:val="auto"/>
              </w:rPr>
            </w:pPr>
          </w:p>
        </w:tc>
      </w:tr>
      <w:tr>
        <w:trPr>
          <w:trHeight w:val="202"/>
        </w:trPr>
        <w:tc>
          <w:tcPr>
            <w:tcW w:w="550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w w:val="94"/>
              </w:rPr>
              <w:t>Unless the law provides otherwise, notices shall be given to creditors by</w:t>
            </w:r>
          </w:p>
        </w:tc>
        <w:tc>
          <w:tcPr>
            <w:tcW w:w="28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1"/>
              </w:rPr>
              <w:t>Sauf si la loi en dispose autrement, les avis seront envoyés aux créanciers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publication in the Swiss Official Gazette of Commerce. The Board of</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par publication dans la Feuille officielle suisse du commerce. Le conseil</w:t>
            </w:r>
          </w:p>
        </w:tc>
      </w:tr>
      <w:tr>
        <w:trPr>
          <w:trHeight w:val="230"/>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Directors may assign further means of communication.</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d'administration peut prévoir d'autres moyens de communication.</w:t>
            </w:r>
          </w:p>
        </w:tc>
      </w:tr>
      <w:tr>
        <w:trPr>
          <w:trHeight w:val="223"/>
        </w:trPr>
        <w:tc>
          <w:tcPr>
            <w:tcW w:w="620" w:type="dxa"/>
            <w:vAlign w:val="bottom"/>
            <w:tcBorders>
              <w:left w:val="single" w:sz="8" w:color="auto"/>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19"/>
                <w:szCs w:val="19"/>
                <w:color w:val="auto"/>
              </w:rPr>
            </w:pPr>
          </w:p>
        </w:tc>
      </w:tr>
      <w:tr>
        <w:trPr>
          <w:trHeight w:val="234"/>
        </w:trPr>
        <w:tc>
          <w:tcPr>
            <w:tcW w:w="6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XI.</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TRANSITIONAL PROVISIONS</w:t>
            </w:r>
          </w:p>
        </w:tc>
        <w:tc>
          <w:tcPr>
            <w:tcW w:w="2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XI.</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DISPOSITIONS TRANSITOIRES</w:t>
            </w:r>
          </w:p>
        </w:tc>
      </w:tr>
      <w:tr>
        <w:trPr>
          <w:trHeight w:val="205"/>
        </w:trPr>
        <w:tc>
          <w:tcPr>
            <w:tcW w:w="620" w:type="dxa"/>
            <w:vAlign w:val="bottom"/>
            <w:tcBorders>
              <w:left w:val="single" w:sz="8" w:color="auto"/>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rPr>
                <w:sz w:val="17"/>
                <w:szCs w:val="17"/>
                <w:color w:val="auto"/>
              </w:rPr>
            </w:pPr>
          </w:p>
        </w:tc>
      </w:tr>
      <w:tr>
        <w:trPr>
          <w:trHeight w:val="198"/>
        </w:trPr>
        <w:tc>
          <w:tcPr>
            <w:tcW w:w="620" w:type="dxa"/>
            <w:vAlign w:val="bottom"/>
            <w:tcBorders>
              <w:lef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w w:val="99"/>
              </w:rPr>
              <w:t>Art. 47</w:t>
            </w:r>
          </w:p>
        </w:tc>
        <w:tc>
          <w:tcPr>
            <w:tcW w:w="4880" w:type="dxa"/>
            <w:vAlign w:val="bottom"/>
            <w:tcBorders>
              <w:right w:val="single" w:sz="8" w:color="auto"/>
            </w:tcBorders>
          </w:tcPr>
          <w:p>
            <w:pPr>
              <w:ind w:left="400"/>
              <w:spacing w:after="0" w:line="198" w:lineRule="exact"/>
              <w:rPr>
                <w:sz w:val="20"/>
                <w:szCs w:val="20"/>
                <w:color w:val="auto"/>
              </w:rPr>
            </w:pPr>
            <w:r>
              <w:rPr>
                <w:rFonts w:ascii="Arial" w:cs="Arial" w:eastAsia="Arial" w:hAnsi="Arial"/>
                <w:sz w:val="18"/>
                <w:szCs w:val="18"/>
                <w:b w:val="1"/>
                <w:bCs w:val="1"/>
                <w:color w:val="auto"/>
                <w:w w:val="91"/>
              </w:rPr>
              <w:t>Transitional Provisions concerning the Compensation of</w:t>
            </w:r>
          </w:p>
        </w:tc>
        <w:tc>
          <w:tcPr>
            <w:tcW w:w="280" w:type="dxa"/>
            <w:vAlign w:val="bottom"/>
            <w:tcBorders>
              <w:right w:val="single" w:sz="8" w:color="auto"/>
            </w:tcBorders>
          </w:tcPr>
          <w:p>
            <w:pPr>
              <w:spacing w:after="0"/>
              <w:rPr>
                <w:sz w:val="17"/>
                <w:szCs w:val="17"/>
                <w:color w:val="auto"/>
              </w:rPr>
            </w:pPr>
          </w:p>
        </w:tc>
        <w:tc>
          <w:tcPr>
            <w:tcW w:w="58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Art. 47</w:t>
            </w:r>
          </w:p>
        </w:tc>
        <w:tc>
          <w:tcPr>
            <w:tcW w:w="4880" w:type="dxa"/>
            <w:vAlign w:val="bottom"/>
            <w:tcBorders>
              <w:right w:val="single" w:sz="8" w:color="auto"/>
            </w:tcBorders>
          </w:tcPr>
          <w:p>
            <w:pPr>
              <w:ind w:left="400"/>
              <w:spacing w:after="0" w:line="198" w:lineRule="exact"/>
              <w:rPr>
                <w:sz w:val="20"/>
                <w:szCs w:val="20"/>
                <w:color w:val="auto"/>
              </w:rPr>
            </w:pPr>
            <w:r>
              <w:rPr>
                <w:rFonts w:ascii="Arial" w:cs="Arial" w:eastAsia="Arial" w:hAnsi="Arial"/>
                <w:sz w:val="18"/>
                <w:szCs w:val="18"/>
                <w:b w:val="1"/>
                <w:bCs w:val="1"/>
                <w:color w:val="auto"/>
                <w:w w:val="92"/>
              </w:rPr>
              <w:t>Dispositions transitoires concernant la rémunération du</w:t>
            </w:r>
          </w:p>
        </w:tc>
      </w:tr>
      <w:tr>
        <w:trPr>
          <w:trHeight w:val="234"/>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the Executive Committee</w:t>
            </w:r>
          </w:p>
        </w:tc>
        <w:tc>
          <w:tcPr>
            <w:tcW w:w="28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comité exécutif</w:t>
            </w:r>
          </w:p>
        </w:tc>
      </w:tr>
      <w:tr>
        <w:trPr>
          <w:trHeight w:val="418"/>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In the event that no vote was taken prior to the Ordinary General Meeting</w:t>
            </w:r>
          </w:p>
        </w:tc>
        <w:tc>
          <w:tcPr>
            <w:tcW w:w="28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Dans l’hypothèse où aucun vote n’a eu lieu avant l'assemblée générale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2022 with respect to i) and ii) below, the shareholders shall vote, at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ordinaire 2022 sur les objets (i) et (ii) ci-dessous, les actionnaires voteront</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Ordinary General Meeting 2022, among other things, separately on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lors de l'assemblée générale ordinaire 2022, entre autres, séparément sur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approval of the proposals of the Board of Directors in relation to (i) the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l'approbation des propositions du conseil d'administration concernant (i) le</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maximum aggregate amount of compensation of the Executive Committee</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montant global maximum de la rémunération du comité exécutif pour</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for the following financial year 2023 in accordance with the amended</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l'exercice suivant 2023 conformément aux articles 8, al. 1 let. e) et 18 des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Articles 8 para. 1 lit. e) and 18 of the Articles of Association approved by</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0"/>
              </w:rPr>
              <w:t>statuts approuvés par l'assemblée générale ordinaire du 25 juin 2021 et les</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the Ordinary General Meeting held on 25 June 2021 and the Articles 33</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articles 33 et 35 des statuts, et (ii) le montant total maximum de la</w:t>
            </w:r>
          </w:p>
        </w:tc>
      </w:tr>
      <w:tr>
        <w:trPr>
          <w:trHeight w:val="216"/>
        </w:trPr>
        <w:tc>
          <w:tcPr>
            <w:tcW w:w="55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and 35 of the Articles of Association, and (ii) the total maximum amount</w:t>
            </w:r>
          </w:p>
        </w:tc>
        <w:tc>
          <w:tcPr>
            <w:tcW w:w="28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rémunération du comité exécutif pour</w:t>
            </w:r>
          </w:p>
        </w:tc>
      </w:tr>
      <w:tr>
        <w:trPr>
          <w:trHeight w:val="237"/>
        </w:trPr>
        <w:tc>
          <w:tcPr>
            <w:tcW w:w="55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of compensation of the Executive Committee for</w:t>
            </w:r>
          </w:p>
        </w:tc>
        <w:tc>
          <w:tcPr>
            <w:tcW w:w="28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r>
      <w:tr>
        <w:trPr>
          <w:trHeight w:val="439"/>
        </w:trPr>
        <w:tc>
          <w:tcPr>
            <w:tcW w:w="6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239" w:name="page240"/>
    <w:bookmarkEnd w:id="239"/>
    <w:p>
      <w:pPr>
        <w:ind w:left="1110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543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17" w:lineRule="exact"/>
        <w:rPr>
          <w:sz w:val="20"/>
          <w:szCs w:val="20"/>
          <w:color w:val="auto"/>
        </w:rPr>
      </w:pPr>
    </w:p>
    <w:p>
      <w:pPr>
        <w:ind w:left="360" w:hanging="325"/>
        <w:spacing w:after="0" w:line="342" w:lineRule="auto"/>
        <w:tabs>
          <w:tab w:leader="none" w:pos="27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non-performance-related compensation of the Executive Committee for the 6-month period starting on 1 July 2022 to 31 December 2022;</w:t>
      </w:r>
    </w:p>
    <w:p>
      <w:pPr>
        <w:spacing w:after="0" w:line="123" w:lineRule="exact"/>
        <w:rPr>
          <w:rFonts w:ascii="Arial" w:cs="Arial" w:eastAsia="Arial" w:hAnsi="Arial"/>
          <w:sz w:val="16"/>
          <w:szCs w:val="16"/>
          <w:color w:val="auto"/>
        </w:rPr>
      </w:pPr>
    </w:p>
    <w:p>
      <w:pPr>
        <w:ind w:left="360" w:right="20" w:hanging="325"/>
        <w:spacing w:after="0" w:line="342" w:lineRule="auto"/>
        <w:tabs>
          <w:tab w:leader="none" w:pos="40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variable compensation for the Executive Committee for the 12-month period starting on 1 January 2022 to 31 December 2022; and</w:t>
      </w:r>
    </w:p>
    <w:p>
      <w:pPr>
        <w:spacing w:after="0" w:line="123" w:lineRule="exact"/>
        <w:rPr>
          <w:rFonts w:ascii="Arial" w:cs="Arial" w:eastAsia="Arial" w:hAnsi="Arial"/>
          <w:sz w:val="16"/>
          <w:szCs w:val="16"/>
          <w:color w:val="auto"/>
        </w:rPr>
      </w:pPr>
    </w:p>
    <w:p>
      <w:pPr>
        <w:ind w:left="360" w:right="20" w:hanging="325"/>
        <w:spacing w:after="0" w:line="308" w:lineRule="auto"/>
        <w:tabs>
          <w:tab w:leader="none" w:pos="31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grant of Equity in the Company to the Executive Committee for the 6-month period starting on 1 July 2022 to 31 December 2022,</w:t>
      </w:r>
    </w:p>
    <w:p>
      <w:pPr>
        <w:spacing w:after="0" w:line="14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accordance with Articles 18 para. 2 and 3, 33 as well as 35 of the Articles of Association.</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28" w:right="40" w:hanging="328"/>
        <w:spacing w:after="0" w:line="308" w:lineRule="auto"/>
        <w:tabs>
          <w:tab w:leader="none" w:pos="32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la rémunération non liée à la performance du comité exécutif pour la période de 6 mois du 1er juillet 2022 au 31 décembre 2022;</w:t>
      </w:r>
    </w:p>
    <w:p>
      <w:pPr>
        <w:spacing w:after="0" w:line="146" w:lineRule="exact"/>
        <w:rPr>
          <w:rFonts w:ascii="Arial" w:cs="Arial" w:eastAsia="Arial" w:hAnsi="Arial"/>
          <w:sz w:val="17"/>
          <w:szCs w:val="17"/>
          <w:color w:val="auto"/>
        </w:rPr>
      </w:pPr>
    </w:p>
    <w:p>
      <w:pPr>
        <w:ind w:left="328" w:right="20" w:hanging="328"/>
        <w:spacing w:after="0" w:line="277" w:lineRule="auto"/>
        <w:tabs>
          <w:tab w:leader="none" w:pos="3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la rémunération variable pour le comité exécutif pour la période de 12 mois du 1er janvier 2022 au 31 décembre 2022;</w:t>
      </w:r>
    </w:p>
    <w:p>
      <w:pPr>
        <w:spacing w:after="0" w:line="170" w:lineRule="exact"/>
        <w:rPr>
          <w:rFonts w:ascii="Arial" w:cs="Arial" w:eastAsia="Arial" w:hAnsi="Arial"/>
          <w:sz w:val="18"/>
          <w:szCs w:val="18"/>
          <w:color w:val="auto"/>
        </w:rPr>
      </w:pPr>
    </w:p>
    <w:p>
      <w:pPr>
        <w:ind w:left="328" w:right="40" w:hanging="328"/>
        <w:spacing w:after="0" w:line="308" w:lineRule="auto"/>
        <w:tabs>
          <w:tab w:leader="none" w:pos="42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l'octroi de participations dans la société au comité exécutif pour la période de 6 mois du 1er juillet 2022 au 31 décembre 2022,</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conformément à l'article 18 al. 2 et 3, ainsi que 33 et 35 des statuts.</w:t>
      </w:r>
    </w:p>
    <w:p>
      <w:pPr>
        <w:spacing w:after="0" w:line="470" w:lineRule="exact"/>
        <w:rPr>
          <w:sz w:val="20"/>
          <w:szCs w:val="20"/>
          <w:color w:val="auto"/>
        </w:rPr>
      </w:pPr>
    </w:p>
    <w:p>
      <w:pPr>
        <w:sectPr>
          <w:pgSz w:w="11900" w:h="16838" w:orient="portrait"/>
          <w:cols w:equalWidth="0" w:num="2">
            <w:col w:w="5480" w:space="292"/>
            <w:col w:w="5468"/>
          </w:cols>
          <w:pgMar w:left="320" w:top="122"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Statuts modifiés lors de la séance du conseil d’administration du 7 mars 2022.</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40" w:name="page241"/>
    <w:bookmarkEnd w:id="2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ACT OF 1934</w:t>
      </w:r>
    </w:p>
    <w:p>
      <w:pPr>
        <w:spacing w:after="0" w:line="239"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i w:val="1"/>
          <w:iCs w:val="1"/>
          <w:color w:val="auto"/>
        </w:rPr>
        <w:t>The following is a summary of the material terms of our securities registered under Section 12 of the Securities Exchange Act of 1934, as amended (the “Exchange Act”), as of March 22, 2022.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We are a Swiss stock corporation (</w:t>
      </w:r>
      <w:r>
        <w:rPr>
          <w:rFonts w:ascii="Arial" w:cs="Arial" w:eastAsia="Arial" w:hAnsi="Arial"/>
          <w:sz w:val="21"/>
          <w:szCs w:val="21"/>
          <w:i w:val="1"/>
          <w:iCs w:val="1"/>
          <w:color w:val="auto"/>
        </w:rPr>
        <w:t>société anonyme</w:t>
      </w:r>
      <w:r>
        <w:rPr>
          <w:rFonts w:ascii="Arial" w:cs="Arial" w:eastAsia="Arial" w:hAnsi="Arial"/>
          <w:sz w:val="21"/>
          <w:szCs w:val="21"/>
          <w:color w:val="auto"/>
        </w:rPr>
        <w:t>) organized under the laws of Switzerland. We were formed as a Swiss limited liability company (</w:t>
      </w:r>
      <w:r>
        <w:rPr>
          <w:rFonts w:ascii="Arial" w:cs="Arial" w:eastAsia="Arial" w:hAnsi="Arial"/>
          <w:sz w:val="21"/>
          <w:szCs w:val="21"/>
          <w:i w:val="1"/>
          <w:iCs w:val="1"/>
          <w:color w:val="auto"/>
        </w:rPr>
        <w:t>société à responsabilité limitée</w:t>
      </w:r>
      <w:r>
        <w:rPr>
          <w:rFonts w:ascii="Arial" w:cs="Arial" w:eastAsia="Arial" w:hAnsi="Arial"/>
          <w:sz w:val="21"/>
          <w:szCs w:val="21"/>
          <w:color w:val="auto"/>
        </w:rPr>
        <w:t>) on February 13, 2003 with our registered office and domicile in Basel, Switzerland. We converted to a Swiss stock corporation (</w:t>
      </w:r>
      <w:r>
        <w:rPr>
          <w:rFonts w:ascii="Arial" w:cs="Arial" w:eastAsia="Arial" w:hAnsi="Arial"/>
          <w:sz w:val="21"/>
          <w:szCs w:val="21"/>
          <w:i w:val="1"/>
          <w:iCs w:val="1"/>
          <w:color w:val="auto"/>
        </w:rPr>
        <w:t>société anonyme</w:t>
      </w:r>
      <w:r>
        <w:rPr>
          <w:rFonts w:ascii="Arial" w:cs="Arial" w:eastAsia="Arial" w:hAnsi="Arial"/>
          <w:sz w:val="21"/>
          <w:szCs w:val="21"/>
          <w:color w:val="auto"/>
        </w:rPr>
        <w:t>) under the laws of Switzerland on August 4, 2003. Our domicile and registered office is in Ecublens, near Lausanne, Canton of Vaud, Switzerland. Our head office is currently located at EPFL Innovation Park, Building B, 1015 Lausanne, Switzerland.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As of March 22, 2022, our issued share capital is CHF 1,792,702.30, consisting of 89,635,115 common shares with a nominal value of CHF 0.02 each. We have no dividend rights certificates (</w:t>
      </w:r>
      <w:r>
        <w:rPr>
          <w:rFonts w:ascii="Arial" w:cs="Arial" w:eastAsia="Arial" w:hAnsi="Arial"/>
          <w:sz w:val="22"/>
          <w:szCs w:val="22"/>
          <w:i w:val="1"/>
          <w:iCs w:val="1"/>
          <w:color w:val="auto"/>
        </w:rPr>
        <w:t>bons de jouissance</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Articles of Association</w:t>
      </w:r>
    </w:p>
    <w:p>
      <w:pPr>
        <w:spacing w:after="0" w:line="239" w:lineRule="exact"/>
        <w:rPr>
          <w:sz w:val="20"/>
          <w:szCs w:val="20"/>
          <w:color w:val="auto"/>
        </w:rPr>
      </w:pPr>
    </w:p>
    <w:p>
      <w:pPr>
        <w:ind w:right="480" w:firstLine="324"/>
        <w:spacing w:after="0" w:line="250" w:lineRule="auto"/>
        <w:rPr>
          <w:sz w:val="20"/>
          <w:szCs w:val="20"/>
          <w:color w:val="auto"/>
        </w:rPr>
      </w:pPr>
      <w:r>
        <w:rPr>
          <w:rFonts w:ascii="Arial" w:cs="Arial" w:eastAsia="Arial" w:hAnsi="Arial"/>
          <w:sz w:val="22"/>
          <w:szCs w:val="22"/>
          <w:color w:val="auto"/>
        </w:rPr>
        <w:t>On March 7, 2022, we adopted the articles of association and when we refer to our articles of association, we refer to the articles of association as filed as Exhibit 3.1 to our Annual Report on Form 20-F.</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Purpose</w:t>
      </w:r>
    </w:p>
    <w:p>
      <w:pPr>
        <w:spacing w:after="0" w:line="23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Ordinary Capital Increase, Authorized and Conditional Share Capital</w:t>
      </w:r>
    </w:p>
    <w:p>
      <w:pPr>
        <w:spacing w:after="0" w:line="233"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Under Swiss law, we may increase our share capital (</w:t>
      </w:r>
      <w:r>
        <w:rPr>
          <w:rFonts w:ascii="Arial" w:cs="Arial" w:eastAsia="Arial" w:hAnsi="Arial"/>
          <w:sz w:val="19"/>
          <w:szCs w:val="19"/>
          <w:i w:val="1"/>
          <w:iCs w:val="1"/>
          <w:color w:val="auto"/>
        </w:rPr>
        <w:t>capital-actions</w:t>
      </w:r>
      <w:r>
        <w:rPr>
          <w:rFonts w:ascii="Arial" w:cs="Arial" w:eastAsia="Arial" w:hAnsi="Arial"/>
          <w:sz w:val="19"/>
          <w:szCs w:val="19"/>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184"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Furthermore, under the Swiss Code of Obligations,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41" w:name="page242"/>
    <w:bookmarkEnd w:id="241"/>
    <w:p>
      <w:pPr>
        <w:ind w:left="980" w:right="100" w:hanging="324"/>
        <w:spacing w:after="0" w:line="286" w:lineRule="auto"/>
        <w:tabs>
          <w:tab w:leader="none" w:pos="9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conditional capital (</w:t>
      </w:r>
      <w:r>
        <w:rPr>
          <w:rFonts w:ascii="Arial" w:cs="Arial" w:eastAsia="Arial" w:hAnsi="Arial"/>
          <w:sz w:val="16"/>
          <w:szCs w:val="16"/>
          <w:i w:val="1"/>
          <w:iCs w:val="1"/>
          <w:color w:val="auto"/>
        </w:rPr>
        <w:t>capital conditionnel</w:t>
      </w:r>
      <w:r>
        <w:rPr>
          <w:rFonts w:ascii="Arial" w:cs="Arial" w:eastAsia="Arial" w:hAnsi="Arial"/>
          <w:sz w:val="16"/>
          <w:szCs w:val="16"/>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 w:lineRule="exact"/>
        <w:rPr>
          <w:rFonts w:ascii="Arial" w:cs="Arial" w:eastAsia="Arial" w:hAnsi="Arial"/>
          <w:sz w:val="16"/>
          <w:szCs w:val="16"/>
          <w:color w:val="auto"/>
        </w:rPr>
      </w:pPr>
    </w:p>
    <w:p>
      <w:pPr>
        <w:ind w:left="980" w:right="320" w:hanging="324"/>
        <w:spacing w:after="0" w:line="260" w:lineRule="auto"/>
        <w:tabs>
          <w:tab w:leader="none" w:pos="9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Pre-Emptive Rights</w:t>
      </w:r>
    </w:p>
    <w:p>
      <w:pPr>
        <w:spacing w:after="0" w:line="23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9"/>
          <w:szCs w:val="19"/>
          <w:color w:val="auto"/>
        </w:rPr>
        <w:t>Pursuant to the CO, shareholders have in principle pre-emptive subscription rights (</w:t>
      </w:r>
      <w:r>
        <w:rPr>
          <w:rFonts w:ascii="Arial" w:cs="Arial" w:eastAsia="Arial" w:hAnsi="Arial"/>
          <w:sz w:val="19"/>
          <w:szCs w:val="19"/>
          <w:i w:val="1"/>
          <w:iCs w:val="1"/>
          <w:color w:val="auto"/>
        </w:rPr>
        <w:t>droit préférentiel de souscription</w:t>
      </w:r>
      <w:r>
        <w:rPr>
          <w:rFonts w:ascii="Arial" w:cs="Arial" w:eastAsia="Arial" w:hAnsi="Arial"/>
          <w:sz w:val="19"/>
          <w:szCs w:val="19"/>
          <w:color w:val="auto"/>
        </w:rPr>
        <w:t>). With respect to conditional capital in connection with the issuance of conversion rights, convertible bonds or similar debt instruments, shareholders have in principle advance subscription rights (</w:t>
      </w:r>
      <w:r>
        <w:rPr>
          <w:rFonts w:ascii="Arial" w:cs="Arial" w:eastAsia="Arial" w:hAnsi="Arial"/>
          <w:sz w:val="19"/>
          <w:szCs w:val="19"/>
          <w:i w:val="1"/>
          <w:iCs w:val="1"/>
          <w:color w:val="auto"/>
        </w:rPr>
        <w:t>droit de souscrire préalablement</w:t>
      </w:r>
      <w:r>
        <w:rPr>
          <w:rFonts w:ascii="Arial" w:cs="Arial" w:eastAsia="Arial" w:hAnsi="Arial"/>
          <w:sz w:val="19"/>
          <w:szCs w:val="19"/>
          <w:color w:val="auto"/>
        </w:rPr>
        <w:t>).</w:t>
      </w:r>
    </w:p>
    <w:p>
      <w:pPr>
        <w:spacing w:after="0" w:line="161" w:lineRule="exact"/>
        <w:rPr>
          <w:sz w:val="20"/>
          <w:szCs w:val="20"/>
          <w:color w:val="auto"/>
        </w:rPr>
      </w:pPr>
    </w:p>
    <w:p>
      <w:pPr>
        <w:ind w:right="360" w:firstLine="324"/>
        <w:spacing w:after="0"/>
        <w:rPr>
          <w:sz w:val="20"/>
          <w:szCs w:val="20"/>
          <w:color w:val="auto"/>
        </w:rPr>
      </w:pPr>
      <w:r>
        <w:rPr>
          <w:rFonts w:ascii="Arial" w:cs="Arial" w:eastAsia="Arial" w:hAnsi="Arial"/>
          <w:sz w:val="22"/>
          <w:szCs w:val="22"/>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213" w:lineRule="exact"/>
        <w:rPr>
          <w:sz w:val="20"/>
          <w:szCs w:val="20"/>
          <w:color w:val="auto"/>
        </w:rPr>
      </w:pPr>
    </w:p>
    <w:p>
      <w:pPr>
        <w:ind w:right="300" w:firstLine="324"/>
        <w:spacing w:after="0" w:line="328" w:lineRule="auto"/>
        <w:rPr>
          <w:sz w:val="20"/>
          <w:szCs w:val="20"/>
          <w:color w:val="auto"/>
        </w:rPr>
      </w:pPr>
      <w:r>
        <w:rPr>
          <w:rFonts w:ascii="Arial" w:cs="Arial" w:eastAsia="Arial" w:hAnsi="Arial"/>
          <w:sz w:val="19"/>
          <w:szCs w:val="19"/>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Our Authorized Share Capital</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currently have no authorized share capital.</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Our Conditional Share Capital</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Conditional Share Capital for Bonds and Similar Debt Instruments</w:t>
      </w:r>
    </w:p>
    <w:p>
      <w:pPr>
        <w:spacing w:after="0" w:line="233"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Under Article 3b of our articles of association, our share capital may be increased by a maximum aggregate amount of CHF 31,028.26 through the issue of a maximum of 1,551,413 common shares, payable in full, each with a nominal value of CHF 0.02, through the exercise of conversion and/or option or warrant rights granted in connection with bonds or similar instruments, issued or to be issued by the Company or by one of our subsidiaries, including convertible debt instruments. Shareholders do not have pre-emptive subscription rights in such circumstances.</w:t>
      </w:r>
    </w:p>
    <w:p>
      <w:pPr>
        <w:spacing w:after="0" w:line="205"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Shareholders’ subscription rights are excluded. Shareholders’ advance subscription rights with regards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Conditional Share Capital for Employee Benefit Plans</w:t>
      </w:r>
    </w:p>
    <w:p>
      <w:pPr>
        <w:spacing w:after="0" w:line="233" w:lineRule="exact"/>
        <w:rPr>
          <w:sz w:val="20"/>
          <w:szCs w:val="20"/>
          <w:color w:val="auto"/>
        </w:rPr>
      </w:pPr>
    </w:p>
    <w:p>
      <w:pPr>
        <w:ind w:right="120" w:firstLine="324"/>
        <w:spacing w:after="0" w:line="248" w:lineRule="auto"/>
        <w:rPr>
          <w:sz w:val="20"/>
          <w:szCs w:val="20"/>
          <w:color w:val="auto"/>
        </w:rPr>
      </w:pPr>
      <w:r>
        <w:rPr>
          <w:rFonts w:ascii="Arial" w:cs="Arial" w:eastAsia="Arial" w:hAnsi="Arial"/>
          <w:sz w:val="21"/>
          <w:szCs w:val="21"/>
          <w:color w:val="auto"/>
        </w:rPr>
        <w:t>Under Article 3c of our articles of association, our share capital may, to the exclusion of the pre-emptive subscription rights of shareholders, be increased by a maximum aggregate amount of CHF 61,533.68 through the issue of a maximum of 3,076,684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2" w:name="page243"/>
    <w:bookmarkEnd w:id="242"/>
    <w:p>
      <w:pPr>
        <w:ind w:left="180"/>
        <w:spacing w:after="0"/>
        <w:rPr>
          <w:sz w:val="20"/>
          <w:szCs w:val="20"/>
          <w:color w:val="auto"/>
        </w:rPr>
      </w:pPr>
      <w:r>
        <w:rPr>
          <w:rFonts w:ascii="Arial" w:cs="Arial" w:eastAsia="Arial" w:hAnsi="Arial"/>
          <w:sz w:val="22"/>
          <w:szCs w:val="22"/>
          <w:b w:val="1"/>
          <w:bCs w:val="1"/>
          <w:i w:val="1"/>
          <w:iCs w:val="1"/>
          <w:color w:val="auto"/>
        </w:rPr>
        <w:t>Uncertificated Securities</w:t>
      </w:r>
    </w:p>
    <w:p>
      <w:pPr>
        <w:spacing w:after="0" w:line="234"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Our shares are uncertificated securities (</w:t>
      </w:r>
      <w:r>
        <w:rPr>
          <w:rFonts w:ascii="Arial" w:cs="Arial" w:eastAsia="Arial" w:hAnsi="Arial"/>
          <w:sz w:val="22"/>
          <w:szCs w:val="22"/>
          <w:i w:val="1"/>
          <w:iCs w:val="1"/>
          <w:color w:val="auto"/>
        </w:rPr>
        <w:t>droits-valeurs</w:t>
      </w:r>
      <w:r>
        <w:rPr>
          <w:rFonts w:ascii="Arial" w:cs="Arial" w:eastAsia="Arial" w:hAnsi="Arial"/>
          <w:sz w:val="22"/>
          <w:szCs w:val="22"/>
          <w:color w:val="auto"/>
        </w:rPr>
        <w:t>, within the meaning of Article 973c of the CO) and, when administered by a financial intermediary (</w:t>
      </w:r>
      <w:r>
        <w:rPr>
          <w:rFonts w:ascii="Arial" w:cs="Arial" w:eastAsia="Arial" w:hAnsi="Arial"/>
          <w:sz w:val="22"/>
          <w:szCs w:val="22"/>
          <w:i w:val="1"/>
          <w:iCs w:val="1"/>
          <w:color w:val="auto"/>
        </w:rPr>
        <w:t>dépositaire</w:t>
      </w:r>
      <w:r>
        <w:rPr>
          <w:rFonts w:ascii="Arial" w:cs="Arial" w:eastAsia="Arial" w:hAnsi="Arial"/>
          <w:sz w:val="22"/>
          <w:szCs w:val="22"/>
          <w:color w:val="auto"/>
        </w:rPr>
        <w:t>, within the meaning of the Federal Act on Intermediated Securities, “FISA”), qualify as intermediated securities (</w:t>
      </w:r>
      <w:r>
        <w:rPr>
          <w:rFonts w:ascii="Arial" w:cs="Arial" w:eastAsia="Arial" w:hAnsi="Arial"/>
          <w:sz w:val="22"/>
          <w:szCs w:val="22"/>
          <w:i w:val="1"/>
          <w:iCs w:val="1"/>
          <w:color w:val="auto"/>
        </w:rPr>
        <w:t>titres intermédiés</w:t>
      </w:r>
      <w:r>
        <w:rPr>
          <w:rFonts w:ascii="Arial" w:cs="Arial" w:eastAsia="Arial" w:hAnsi="Arial"/>
          <w:sz w:val="22"/>
          <w:szCs w:val="22"/>
          <w:color w:val="auto"/>
        </w:rPr>
        <w:t>, within the meaning of the FISA). In accordance with Article 973c of the CO, we maintain a non-public register of uncertificated securities (</w:t>
      </w:r>
      <w:r>
        <w:rPr>
          <w:rFonts w:ascii="Arial" w:cs="Arial" w:eastAsia="Arial" w:hAnsi="Arial"/>
          <w:sz w:val="22"/>
          <w:szCs w:val="22"/>
          <w:i w:val="1"/>
          <w:iCs w:val="1"/>
          <w:color w:val="auto"/>
        </w:rPr>
        <w:t>registre des droits-valeurs</w:t>
      </w:r>
      <w:r>
        <w:rPr>
          <w:rFonts w:ascii="Arial" w:cs="Arial" w:eastAsia="Arial" w:hAnsi="Arial"/>
          <w:sz w:val="22"/>
          <w:szCs w:val="22"/>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General Meeting of Shareholders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Ordinary/Extraordinary Meetings, Powers</w:t>
      </w:r>
    </w:p>
    <w:p>
      <w:pPr>
        <w:spacing w:after="0" w:line="233" w:lineRule="exact"/>
        <w:rPr>
          <w:sz w:val="20"/>
          <w:szCs w:val="20"/>
          <w:color w:val="auto"/>
        </w:rPr>
      </w:pPr>
    </w:p>
    <w:p>
      <w:pPr>
        <w:ind w:right="400" w:firstLine="324"/>
        <w:spacing w:after="0" w:line="297" w:lineRule="auto"/>
        <w:rPr>
          <w:sz w:val="20"/>
          <w:szCs w:val="20"/>
          <w:color w:val="auto"/>
        </w:rPr>
      </w:pPr>
      <w:r>
        <w:rPr>
          <w:rFonts w:ascii="Arial" w:cs="Arial" w:eastAsia="Arial" w:hAnsi="Arial"/>
          <w:sz w:val="19"/>
          <w:szCs w:val="19"/>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powers are vested exclusively in the general meeting of shareholders:</w:t>
      </w:r>
    </w:p>
    <w:p>
      <w:pPr>
        <w:spacing w:after="0" w:line="240" w:lineRule="exact"/>
        <w:rPr>
          <w:sz w:val="20"/>
          <w:szCs w:val="20"/>
          <w:color w:val="auto"/>
        </w:rPr>
      </w:pPr>
    </w:p>
    <w:p>
      <w:pPr>
        <w:ind w:left="980" w:hanging="324"/>
        <w:spacing w:after="0"/>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3" w:lineRule="exact"/>
        <w:rPr>
          <w:rFonts w:ascii="Arial" w:cs="Arial" w:eastAsia="Arial" w:hAnsi="Arial"/>
          <w:sz w:val="18"/>
          <w:szCs w:val="18"/>
          <w:color w:val="auto"/>
        </w:rPr>
      </w:pPr>
    </w:p>
    <w:p>
      <w:pPr>
        <w:ind w:left="980" w:right="460" w:hanging="324"/>
        <w:spacing w:after="0" w:line="250"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electing and removal of the members of the board of directors, the chairman of the board of directors, the members of the compensation committee, the auditors and the independent proxy;</w:t>
      </w:r>
    </w:p>
    <w:p>
      <w:pPr>
        <w:ind w:left="980" w:hanging="324"/>
        <w:spacing w:after="0"/>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approving the management report and the consolidated accounts;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approving the annual accounts and resolutions on the allocation of the disposable profits, and in particular setting the dividend and bonus payments;</w:t>
      </w:r>
    </w:p>
    <w:p>
      <w:pPr>
        <w:ind w:left="980" w:hanging="324"/>
        <w:spacing w:after="0"/>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approving the aggregated amounts of compensation of members of the board of directors and executive management;</w:t>
      </w:r>
    </w:p>
    <w:p>
      <w:pPr>
        <w:spacing w:after="0" w:line="9" w:lineRule="exact"/>
        <w:rPr>
          <w:rFonts w:ascii="Arial" w:cs="Arial" w:eastAsia="Arial" w:hAnsi="Arial"/>
          <w:sz w:val="18"/>
          <w:szCs w:val="18"/>
          <w:color w:val="auto"/>
        </w:rPr>
      </w:pPr>
    </w:p>
    <w:p>
      <w:pPr>
        <w:ind w:left="980" w:right="560" w:hanging="324"/>
        <w:spacing w:after="0" w:line="250"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ind w:left="980" w:hanging="324"/>
        <w:spacing w:after="0"/>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9" w:lineRule="exact"/>
        <w:rPr>
          <w:rFonts w:ascii="Arial" w:cs="Arial" w:eastAsia="Arial" w:hAnsi="Arial"/>
          <w:sz w:val="18"/>
          <w:szCs w:val="18"/>
          <w:color w:val="auto"/>
        </w:rPr>
      </w:pPr>
    </w:p>
    <w:p>
      <w:pPr>
        <w:ind w:left="980" w:right="80" w:hanging="324"/>
        <w:spacing w:after="0" w:line="260" w:lineRule="auto"/>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passing resolutions concerning all matters which are reserved to the authority of the general meeting of shareholders by law or by the articles of association.</w:t>
      </w:r>
    </w:p>
    <w:p>
      <w:pPr>
        <w:spacing w:after="0" w:line="205"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An extraordinary general meeting of shareholders may be called by a resolution of the general meeting,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Voting and Quorum Requirements</w:t>
      </w:r>
    </w:p>
    <w:p>
      <w:pPr>
        <w:spacing w:after="0" w:line="233"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3" w:name="page244"/>
    <w:bookmarkEnd w:id="243"/>
    <w:p>
      <w:pPr>
        <w:ind w:right="60" w:firstLine="324"/>
        <w:spacing w:after="0" w:line="251" w:lineRule="auto"/>
        <w:rPr>
          <w:sz w:val="20"/>
          <w:szCs w:val="20"/>
          <w:color w:val="auto"/>
        </w:rPr>
      </w:pPr>
      <w:r>
        <w:rPr>
          <w:rFonts w:ascii="Arial" w:cs="Arial" w:eastAsia="Arial" w:hAnsi="Arial"/>
          <w:sz w:val="22"/>
          <w:szCs w:val="22"/>
          <w:color w:val="auto"/>
        </w:rPr>
        <w:t>A resolution of the general meeting of the shareholders passed by at least two-thirds of the shares represented at the meeting, and the absolute majority of the nominal value of the shares represented is required for:</w:t>
      </w:r>
    </w:p>
    <w:p>
      <w:pPr>
        <w:spacing w:after="0" w:line="208" w:lineRule="exact"/>
        <w:rPr>
          <w:sz w:val="20"/>
          <w:szCs w:val="20"/>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creating shares with privileged voting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restricting the transferability of common shares;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creating authorized or conditional share capital or an increase subject to a condition;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assets and granting of special benefits;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limiting or withdrawing shareholder’s subscription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common shares;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converting common shares into bearer shares and vice versa;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dissolving or liquidating a company;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amending or eliminating article 4, 29 as well as article 17 of the articles of association.</w:t>
      </w:r>
    </w:p>
    <w:p>
      <w:pPr>
        <w:spacing w:after="0" w:line="231" w:lineRule="exact"/>
        <w:rPr>
          <w:sz w:val="20"/>
          <w:szCs w:val="20"/>
          <w:color w:val="auto"/>
        </w:rPr>
      </w:pPr>
    </w:p>
    <w:p>
      <w:pPr>
        <w:ind w:right="420" w:firstLine="324"/>
        <w:spacing w:after="0" w:line="297" w:lineRule="auto"/>
        <w:rPr>
          <w:sz w:val="20"/>
          <w:szCs w:val="20"/>
          <w:color w:val="auto"/>
        </w:rPr>
      </w:pPr>
      <w:r>
        <w:rPr>
          <w:rFonts w:ascii="Arial" w:cs="Arial" w:eastAsia="Arial" w:hAnsi="Arial"/>
          <w:sz w:val="19"/>
          <w:szCs w:val="19"/>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21"/>
          <w:szCs w:val="21"/>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Notice</w:t>
      </w:r>
    </w:p>
    <w:p>
      <w:pPr>
        <w:spacing w:after="0" w:line="2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9"/>
          <w:szCs w:val="19"/>
          <w:color w:val="auto"/>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4" w:lineRule="exact"/>
        <w:rPr>
          <w:sz w:val="20"/>
          <w:szCs w:val="20"/>
          <w:color w:val="auto"/>
        </w:rPr>
      </w:pPr>
    </w:p>
    <w:p>
      <w:pPr>
        <w:ind w:right="380" w:firstLine="324"/>
        <w:spacing w:after="0" w:line="287" w:lineRule="auto"/>
        <w:rPr>
          <w:sz w:val="20"/>
          <w:szCs w:val="20"/>
          <w:color w:val="auto"/>
        </w:rPr>
      </w:pPr>
      <w:r>
        <w:rPr>
          <w:rFonts w:ascii="Arial" w:cs="Arial" w:eastAsia="Arial" w:hAnsi="Arial"/>
          <w:sz w:val="19"/>
          <w:szCs w:val="19"/>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Agenda Requests</w:t>
      </w:r>
    </w:p>
    <w:p>
      <w:pPr>
        <w:spacing w:after="0" w:line="233"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4" w:name="page245"/>
    <w:bookmarkEnd w:id="244"/>
    <w:p>
      <w:pPr>
        <w:ind w:left="980" w:right="220" w:hanging="324"/>
        <w:spacing w:after="0" w:line="258"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name and address, as they appear in our share register, of the shareholder proposing such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 and</w:t>
      </w:r>
    </w:p>
    <w:p>
      <w:pPr>
        <w:spacing w:after="0" w:line="9" w:lineRule="exact"/>
        <w:rPr>
          <w:rFonts w:ascii="Arial" w:cs="Arial" w:eastAsia="Arial" w:hAnsi="Arial"/>
          <w:sz w:val="18"/>
          <w:szCs w:val="18"/>
          <w:color w:val="auto"/>
        </w:rPr>
      </w:pPr>
    </w:p>
    <w:p>
      <w:pPr>
        <w:ind w:left="980" w:right="600" w:hanging="324"/>
        <w:spacing w:after="0" w:line="260"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205" w:lineRule="exact"/>
        <w:rPr>
          <w:sz w:val="20"/>
          <w:szCs w:val="20"/>
          <w:color w:val="auto"/>
        </w:rPr>
      </w:pPr>
    </w:p>
    <w:p>
      <w:pPr>
        <w:ind w:right="180" w:firstLine="324"/>
        <w:spacing w:after="0" w:line="328" w:lineRule="auto"/>
        <w:rPr>
          <w:sz w:val="20"/>
          <w:szCs w:val="20"/>
          <w:color w:val="auto"/>
        </w:rPr>
      </w:pPr>
      <w:r>
        <w:rPr>
          <w:rFonts w:ascii="Arial" w:cs="Arial" w:eastAsia="Arial" w:hAnsi="Arial"/>
          <w:sz w:val="19"/>
          <w:szCs w:val="19"/>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32" w:lineRule="exact"/>
        <w:rPr>
          <w:sz w:val="20"/>
          <w:szCs w:val="20"/>
          <w:color w:val="auto"/>
        </w:rPr>
      </w:pPr>
    </w:p>
    <w:p>
      <w:pPr>
        <w:jc w:val="both"/>
        <w:ind w:right="340" w:firstLine="324"/>
        <w:spacing w:after="0"/>
        <w:rPr>
          <w:sz w:val="20"/>
          <w:szCs w:val="20"/>
          <w:color w:val="auto"/>
        </w:rPr>
      </w:pPr>
      <w:r>
        <w:rPr>
          <w:rFonts w:ascii="Arial" w:cs="Arial" w:eastAsia="Arial" w:hAnsi="Arial"/>
          <w:sz w:val="22"/>
          <w:szCs w:val="22"/>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Voting Rights</w:t>
      </w:r>
    </w:p>
    <w:p>
      <w:pPr>
        <w:spacing w:after="0" w:line="23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9"/>
          <w:szCs w:val="19"/>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requirements regarding proxies and instructions are determined by the board of directors.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Dividends and Other Distributions</w:t>
      </w:r>
    </w:p>
    <w:p>
      <w:pPr>
        <w:spacing w:after="0" w:line="233"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70" w:lineRule="exact"/>
        <w:rPr>
          <w:sz w:val="20"/>
          <w:szCs w:val="20"/>
          <w:color w:val="auto"/>
        </w:rPr>
      </w:pPr>
    </w:p>
    <w:p>
      <w:pPr>
        <w:ind w:right="240" w:firstLine="324"/>
        <w:spacing w:after="0" w:line="238" w:lineRule="auto"/>
        <w:rPr>
          <w:sz w:val="20"/>
          <w:szCs w:val="20"/>
          <w:color w:val="auto"/>
        </w:rPr>
      </w:pPr>
      <w:r>
        <w:rPr>
          <w:rFonts w:ascii="Arial" w:cs="Arial" w:eastAsia="Arial" w:hAnsi="Arial"/>
          <w:sz w:val="22"/>
          <w:szCs w:val="22"/>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212" w:lineRule="exact"/>
        <w:rPr>
          <w:sz w:val="20"/>
          <w:szCs w:val="20"/>
          <w:color w:val="auto"/>
        </w:rPr>
      </w:pPr>
    </w:p>
    <w:p>
      <w:pPr>
        <w:ind w:right="120" w:firstLine="324"/>
        <w:spacing w:after="0" w:line="234" w:lineRule="auto"/>
        <w:rPr>
          <w:sz w:val="20"/>
          <w:szCs w:val="20"/>
          <w:color w:val="auto"/>
        </w:rPr>
      </w:pPr>
      <w:r>
        <w:rPr>
          <w:rFonts w:ascii="Arial" w:cs="Arial" w:eastAsia="Arial" w:hAnsi="Arial"/>
          <w:sz w:val="22"/>
          <w:szCs w:val="22"/>
          <w:color w:val="auto"/>
        </w:rPr>
        <w:t>Distributable reserves are generally booked either as “free reserves” (</w:t>
      </w:r>
      <w:r>
        <w:rPr>
          <w:rFonts w:ascii="Arial" w:cs="Arial" w:eastAsia="Arial" w:hAnsi="Arial"/>
          <w:sz w:val="22"/>
          <w:szCs w:val="22"/>
          <w:i w:val="1"/>
          <w:iCs w:val="1"/>
          <w:color w:val="auto"/>
        </w:rPr>
        <w:t>réserves libres</w:t>
      </w:r>
      <w:r>
        <w:rPr>
          <w:rFonts w:ascii="Arial" w:cs="Arial" w:eastAsia="Arial" w:hAnsi="Arial"/>
          <w:sz w:val="22"/>
          <w:szCs w:val="22"/>
          <w:color w:val="auto"/>
        </w:rPr>
        <w:t>) or as “reserve from capital contributions” (</w:t>
      </w:r>
      <w:r>
        <w:rPr>
          <w:rFonts w:ascii="Arial" w:cs="Arial" w:eastAsia="Arial" w:hAnsi="Arial"/>
          <w:sz w:val="22"/>
          <w:szCs w:val="22"/>
          <w:i w:val="1"/>
          <w:iCs w:val="1"/>
          <w:color w:val="auto"/>
        </w:rPr>
        <w:t>apports de capital</w:t>
      </w:r>
      <w:r>
        <w:rPr>
          <w:rFonts w:ascii="Arial" w:cs="Arial" w:eastAsia="Arial" w:hAnsi="Arial"/>
          <w:sz w:val="22"/>
          <w:szCs w:val="22"/>
          <w:color w:val="auto"/>
        </w:rPr>
        <w:t>). Under the CO, if our general reserves (</w:t>
      </w:r>
      <w:r>
        <w:rPr>
          <w:rFonts w:ascii="Arial" w:cs="Arial" w:eastAsia="Arial" w:hAnsi="Arial"/>
          <w:sz w:val="22"/>
          <w:szCs w:val="22"/>
          <w:i w:val="1"/>
          <w:iCs w:val="1"/>
          <w:color w:val="auto"/>
        </w:rPr>
        <w:t>réserve générale</w:t>
      </w:r>
      <w:r>
        <w:rPr>
          <w:rFonts w:ascii="Arial" w:cs="Arial" w:eastAsia="Arial" w:hAnsi="Arial"/>
          <w:sz w:val="22"/>
          <w:szCs w:val="22"/>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5" w:name="page246"/>
    <w:bookmarkEnd w:id="245"/>
    <w:p>
      <w:pPr>
        <w:ind w:right="60" w:firstLine="324"/>
        <w:spacing w:after="0" w:line="273" w:lineRule="auto"/>
        <w:rPr>
          <w:sz w:val="20"/>
          <w:szCs w:val="20"/>
          <w:color w:val="auto"/>
        </w:rPr>
      </w:pPr>
      <w:r>
        <w:rPr>
          <w:rFonts w:ascii="Arial" w:cs="Arial" w:eastAsia="Arial" w:hAnsi="Arial"/>
          <w:sz w:val="19"/>
          <w:szCs w:val="19"/>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88" w:lineRule="exact"/>
        <w:rPr>
          <w:sz w:val="20"/>
          <w:szCs w:val="20"/>
          <w:color w:val="auto"/>
        </w:rPr>
      </w:pPr>
    </w:p>
    <w:p>
      <w:pPr>
        <w:ind w:right="280" w:firstLine="324"/>
        <w:spacing w:after="0" w:line="257" w:lineRule="auto"/>
        <w:rPr>
          <w:sz w:val="20"/>
          <w:szCs w:val="20"/>
          <w:color w:val="auto"/>
        </w:rPr>
      </w:pPr>
      <w:r>
        <w:rPr>
          <w:rFonts w:ascii="Arial" w:cs="Arial" w:eastAsia="Arial" w:hAnsi="Arial"/>
          <w:sz w:val="21"/>
          <w:szCs w:val="21"/>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Transfer of Shares</w:t>
      </w:r>
    </w:p>
    <w:p>
      <w:pPr>
        <w:spacing w:after="0" w:line="23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9"/>
          <w:szCs w:val="19"/>
          <w:color w:val="auto"/>
        </w:rPr>
        <w:t>Shares in uncertificated form (</w:t>
      </w:r>
      <w:r>
        <w:rPr>
          <w:rFonts w:ascii="Arial" w:cs="Arial" w:eastAsia="Arial" w:hAnsi="Arial"/>
          <w:sz w:val="19"/>
          <w:szCs w:val="19"/>
          <w:i w:val="1"/>
          <w:iCs w:val="1"/>
          <w:color w:val="auto"/>
        </w:rPr>
        <w:t>droits-valeurs</w:t>
      </w:r>
      <w:r>
        <w:rPr>
          <w:rFonts w:ascii="Arial" w:cs="Arial" w:eastAsia="Arial" w:hAnsi="Arial"/>
          <w:sz w:val="19"/>
          <w:szCs w:val="19"/>
          <w:color w:val="auto"/>
        </w:rPr>
        <w:t>) may only be transferred by way of assignment. Shares that constitute intermediated securities (</w:t>
      </w:r>
      <w:r>
        <w:rPr>
          <w:rFonts w:ascii="Arial" w:cs="Arial" w:eastAsia="Arial" w:hAnsi="Arial"/>
          <w:sz w:val="19"/>
          <w:szCs w:val="19"/>
          <w:i w:val="1"/>
          <w:iCs w:val="1"/>
          <w:color w:val="auto"/>
        </w:rPr>
        <w:t>titres intermédiés</w:t>
      </w:r>
      <w:r>
        <w:rPr>
          <w:rFonts w:ascii="Arial" w:cs="Arial" w:eastAsia="Arial" w:hAnsi="Arial"/>
          <w:sz w:val="19"/>
          <w:szCs w:val="19"/>
          <w:color w:val="auto"/>
        </w:rPr>
        <w:t>) may only be transferred when a credit of the relevant intermediated securities to the acquirer’s securities account is made in accordance with 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74"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Voting rights may be exercised only after a shareholder (or usufructuaries) has been entered in our share register (</w:t>
      </w:r>
      <w:r>
        <w:rPr>
          <w:rFonts w:ascii="Arial" w:cs="Arial" w:eastAsia="Arial" w:hAnsi="Arial"/>
          <w:sz w:val="19"/>
          <w:szCs w:val="19"/>
          <w:i w:val="1"/>
          <w:iCs w:val="1"/>
          <w:color w:val="auto"/>
        </w:rPr>
        <w:t>registre des</w:t>
      </w:r>
      <w:r>
        <w:rPr>
          <w:rFonts w:ascii="Arial" w:cs="Arial" w:eastAsia="Arial" w:hAnsi="Arial"/>
          <w:sz w:val="19"/>
          <w:szCs w:val="19"/>
          <w:color w:val="auto"/>
        </w:rPr>
        <w:t xml:space="preserve"> </w:t>
      </w:r>
      <w:r>
        <w:rPr>
          <w:rFonts w:ascii="Arial" w:cs="Arial" w:eastAsia="Arial" w:hAnsi="Arial"/>
          <w:sz w:val="19"/>
          <w:szCs w:val="19"/>
          <w:i w:val="1"/>
          <w:iCs w:val="1"/>
          <w:color w:val="auto"/>
        </w:rPr>
        <w:t>actions</w:t>
      </w:r>
      <w:r>
        <w:rPr>
          <w:rFonts w:ascii="Arial" w:cs="Arial" w:eastAsia="Arial" w:hAnsi="Arial"/>
          <w:sz w:val="19"/>
          <w:szCs w:val="19"/>
          <w:color w:val="auto"/>
        </w:rPr>
        <w:t>) with his or her name, first name and address (in the case of legal entities, the registered office) as a shareholder with</w:t>
      </w:r>
      <w:r>
        <w:rPr>
          <w:rFonts w:ascii="Arial" w:cs="Arial" w:eastAsia="Arial" w:hAnsi="Arial"/>
          <w:sz w:val="19"/>
          <w:szCs w:val="19"/>
          <w:i w:val="1"/>
          <w:iCs w:val="1"/>
          <w:color w:val="auto"/>
        </w:rPr>
        <w:t xml:space="preserve"> </w:t>
      </w:r>
      <w:r>
        <w:rPr>
          <w:rFonts w:ascii="Arial" w:cs="Arial" w:eastAsia="Arial" w:hAnsi="Arial"/>
          <w:sz w:val="19"/>
          <w:szCs w:val="19"/>
          <w:color w:val="auto"/>
        </w:rPr>
        <w:t>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Additional voting caps apply to shareholders acquiring shares for other persons (nominees).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Inspection of Books and Records</w:t>
      </w:r>
    </w:p>
    <w:p>
      <w:pPr>
        <w:spacing w:after="0" w:line="233"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Special Investigation</w:t>
      </w:r>
    </w:p>
    <w:p>
      <w:pPr>
        <w:spacing w:after="0" w:line="233"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ind w:left="180"/>
        <w:spacing w:after="0"/>
        <w:rPr>
          <w:sz w:val="20"/>
          <w:szCs w:val="20"/>
          <w:color w:val="auto"/>
        </w:rPr>
      </w:pPr>
      <w:r>
        <w:rPr>
          <w:rFonts w:ascii="Arial" w:cs="Arial" w:eastAsia="Arial" w:hAnsi="Arial"/>
          <w:sz w:val="22"/>
          <w:szCs w:val="22"/>
          <w:b w:val="1"/>
          <w:bCs w:val="1"/>
          <w:i w:val="1"/>
          <w:iCs w:val="1"/>
          <w:color w:val="auto"/>
        </w:rPr>
        <w:t>Compulsory Acquisitions; Appraisal Rights</w:t>
      </w:r>
    </w:p>
    <w:p>
      <w:pPr>
        <w:spacing w:after="0" w:line="234"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211" w:lineRule="exact"/>
        <w:rPr>
          <w:sz w:val="20"/>
          <w:szCs w:val="20"/>
          <w:color w:val="auto"/>
        </w:rPr>
      </w:pPr>
    </w:p>
    <w:p>
      <w:pPr>
        <w:ind w:right="240" w:firstLine="324"/>
        <w:spacing w:after="0" w:line="282" w:lineRule="auto"/>
        <w:rPr>
          <w:sz w:val="20"/>
          <w:szCs w:val="20"/>
          <w:color w:val="auto"/>
        </w:rPr>
      </w:pPr>
      <w:r>
        <w:rPr>
          <w:rFonts w:ascii="Arial" w:cs="Arial" w:eastAsia="Arial" w:hAnsi="Arial"/>
          <w:sz w:val="19"/>
          <w:szCs w:val="19"/>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74"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219" w:lineRule="exact"/>
        <w:rPr>
          <w:sz w:val="20"/>
          <w:szCs w:val="20"/>
          <w:color w:val="auto"/>
        </w:rPr>
      </w:pPr>
    </w:p>
    <w:p>
      <w:pPr>
        <w:ind w:left="980" w:right="600" w:hanging="324"/>
        <w:spacing w:after="0" w:line="258" w:lineRule="auto"/>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core part of our business is sold without which it is economically impracticable or unreasonable to continue to operate the remaining business;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9" w:lineRule="exact"/>
        <w:rPr>
          <w:rFonts w:ascii="Arial" w:cs="Arial" w:eastAsia="Arial" w:hAnsi="Arial"/>
          <w:sz w:val="18"/>
          <w:szCs w:val="18"/>
          <w:color w:val="auto"/>
        </w:rPr>
      </w:pPr>
    </w:p>
    <w:p>
      <w:pPr>
        <w:ind w:left="980" w:right="420" w:hanging="324"/>
        <w:spacing w:after="0" w:line="260" w:lineRule="auto"/>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205"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articles of association provide that the board of directors shall consist of at least three and not more than nine members.</w:t>
      </w:r>
    </w:p>
    <w:p>
      <w:pPr>
        <w:spacing w:after="0" w:line="268" w:lineRule="exact"/>
        <w:rPr>
          <w:sz w:val="20"/>
          <w:szCs w:val="20"/>
          <w:color w:val="auto"/>
        </w:rPr>
      </w:pPr>
    </w:p>
    <w:p>
      <w:pPr>
        <w:jc w:val="both"/>
        <w:ind w:right="400" w:firstLine="324"/>
        <w:spacing w:after="0"/>
        <w:rPr>
          <w:sz w:val="20"/>
          <w:szCs w:val="20"/>
          <w:color w:val="auto"/>
        </w:rPr>
      </w:pPr>
      <w:r>
        <w:rPr>
          <w:rFonts w:ascii="Arial" w:cs="Arial" w:eastAsia="Arial" w:hAnsi="Arial"/>
          <w:sz w:val="22"/>
          <w:szCs w:val="22"/>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ind w:left="340"/>
        <w:spacing w:after="0"/>
        <w:rPr>
          <w:sz w:val="20"/>
          <w:szCs w:val="20"/>
          <w:color w:val="auto"/>
        </w:rPr>
      </w:pPr>
      <w:r>
        <w:rPr>
          <w:rFonts w:ascii="Arial" w:cs="Arial" w:eastAsia="Arial" w:hAnsi="Arial"/>
          <w:sz w:val="22"/>
          <w:szCs w:val="22"/>
          <w:i w:val="1"/>
          <w:iCs w:val="1"/>
          <w:color w:val="auto"/>
        </w:rPr>
        <w:t>Powers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board of directors has the following non-delegable and inalienable powers and duties:</w:t>
      </w:r>
    </w:p>
    <w:p>
      <w:pPr>
        <w:spacing w:after="0" w:line="240" w:lineRule="exact"/>
        <w:rPr>
          <w:sz w:val="20"/>
          <w:szCs w:val="20"/>
          <w:color w:val="auto"/>
        </w:rPr>
      </w:pPr>
    </w:p>
    <w:p>
      <w:pPr>
        <w:ind w:left="980" w:hanging="324"/>
        <w:spacing w:after="0"/>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determination of the Company’s organization;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organization of the accounting, financial control and financial planning systems are required for management of the Company;</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ind w:left="980" w:hanging="324"/>
        <w:spacing w:after="0"/>
        <w:tabs>
          <w:tab w:leader="none" w:pos="9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compilation of the annual report, and the preparation for the general meeting of shareholders and implementing its resolutions;</w:t>
      </w:r>
    </w:p>
    <w:p>
      <w:pPr>
        <w:spacing w:after="0" w:line="20" w:lineRule="exact"/>
        <w:rPr>
          <w:rFonts w:ascii="Arial" w:cs="Arial" w:eastAsia="Arial" w:hAnsi="Arial"/>
          <w:sz w:val="17"/>
          <w:szCs w:val="17"/>
          <w:color w:val="auto"/>
        </w:rPr>
      </w:pPr>
    </w:p>
    <w:p>
      <w:pPr>
        <w:ind w:left="980" w:right="100" w:hanging="324"/>
        <w:spacing w:after="0" w:line="250"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of shareholders regarding the compensation of the board of directors and the executive committee; and</w:t>
      </w:r>
    </w:p>
    <w:p>
      <w:pPr>
        <w:ind w:left="980" w:hanging="324"/>
        <w:spacing w:after="0"/>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notification of the court in the event that the Company is over-indebted.</w:t>
      </w:r>
    </w:p>
    <w:p>
      <w:pPr>
        <w:spacing w:after="0" w:line="231"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205" w:lineRule="exact"/>
        <w:rPr>
          <w:sz w:val="20"/>
          <w:szCs w:val="20"/>
          <w:color w:val="auto"/>
        </w:rPr>
      </w:pPr>
    </w:p>
    <w:p>
      <w:pPr>
        <w:ind w:right="20" w:firstLine="324"/>
        <w:spacing w:after="0" w:line="274" w:lineRule="auto"/>
        <w:rPr>
          <w:sz w:val="20"/>
          <w:szCs w:val="20"/>
          <w:color w:val="auto"/>
        </w:rPr>
      </w:pPr>
      <w:r>
        <w:rPr>
          <w:rFonts w:ascii="Arial" w:cs="Arial" w:eastAsia="Arial" w:hAnsi="Arial"/>
          <w:sz w:val="21"/>
          <w:szCs w:val="21"/>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board of directors assigns the persons with signatory power for the Company and the kind of signatory power.</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Indemnification of Executive Management and Directors</w:t>
      </w:r>
    </w:p>
    <w:p>
      <w:pPr>
        <w:spacing w:after="0" w:line="233" w:lineRule="exact"/>
        <w:rPr>
          <w:sz w:val="20"/>
          <w:szCs w:val="20"/>
          <w:color w:val="auto"/>
        </w:rPr>
      </w:pPr>
    </w:p>
    <w:p>
      <w:pPr>
        <w:ind w:right="40" w:firstLine="324"/>
        <w:spacing w:after="0" w:line="252" w:lineRule="auto"/>
        <w:rPr>
          <w:sz w:val="20"/>
          <w:szCs w:val="20"/>
          <w:color w:val="auto"/>
        </w:rPr>
      </w:pPr>
      <w:r>
        <w:rPr>
          <w:rFonts w:ascii="Arial" w:cs="Arial" w:eastAsia="Arial" w:hAnsi="Arial"/>
          <w:sz w:val="21"/>
          <w:szCs w:val="21"/>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201"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Conflict of Interest, Management Transactions</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8" w:name="page249"/>
    <w:bookmarkEnd w:id="248"/>
    <w:p>
      <w:pPr>
        <w:ind w:firstLine="324"/>
        <w:spacing w:after="0" w:line="251" w:lineRule="auto"/>
        <w:rPr>
          <w:sz w:val="20"/>
          <w:szCs w:val="20"/>
          <w:color w:val="auto"/>
        </w:rPr>
      </w:pPr>
      <w:r>
        <w:rPr>
          <w:rFonts w:ascii="Arial" w:cs="Arial" w:eastAsia="Arial" w:hAnsi="Arial"/>
          <w:sz w:val="22"/>
          <w:szCs w:val="22"/>
          <w:color w:val="auto"/>
        </w:rPr>
        <w:t>Our board of directors has adopted a Code of Business Conduct and Ethics that covers a broad range of matters, including the handling of conflicts of interest.</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Principles of the Compensation of the Board of Directors and the Executive Management</w:t>
      </w:r>
    </w:p>
    <w:p>
      <w:pPr>
        <w:spacing w:after="0" w:line="233"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207"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Certain forms of compensation are prohibited for members of our board of directors and executive management, such as:</w:t>
      </w:r>
    </w:p>
    <w:p>
      <w:pPr>
        <w:spacing w:after="0" w:line="275" w:lineRule="exact"/>
        <w:rPr>
          <w:sz w:val="20"/>
          <w:szCs w:val="20"/>
          <w:color w:val="auto"/>
        </w:rPr>
      </w:pPr>
    </w:p>
    <w:p>
      <w:pPr>
        <w:ind w:left="980" w:right="60" w:hanging="324"/>
        <w:spacing w:after="0" w:line="258" w:lineRule="auto"/>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ind w:left="980" w:right="260" w:hanging="324"/>
        <w:spacing w:after="0" w:line="250" w:lineRule="auto"/>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31"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general meeting of shareholders annually votes on the proposals of the board of directors with respect to:</w:t>
      </w:r>
    </w:p>
    <w:p>
      <w:pPr>
        <w:spacing w:after="0" w:line="240" w:lineRule="exact"/>
        <w:rPr>
          <w:sz w:val="20"/>
          <w:szCs w:val="20"/>
          <w:color w:val="auto"/>
        </w:rPr>
      </w:pP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board of directors for the next term of office;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maximum aggregate amount of a possible additional compensation of the board of directors for the preceding business year;</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executive management for the 12-month period starting on 1 July following the ordinary general meeting of shareholders;</w:t>
      </w:r>
    </w:p>
    <w:p>
      <w:pPr>
        <w:ind w:left="980" w:hanging="324"/>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maximum aggregate amount of variable compensation for the executive management for the current year;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maximum aggregate amount of options or shares in the Company granted to the board of directors and the executive management.</w:t>
      </w:r>
    </w:p>
    <w:p>
      <w:pPr>
        <w:spacing w:after="0" w:line="242" w:lineRule="exact"/>
        <w:rPr>
          <w:sz w:val="20"/>
          <w:szCs w:val="20"/>
          <w:color w:val="auto"/>
        </w:rPr>
      </w:pPr>
    </w:p>
    <w:p>
      <w:pPr>
        <w:ind w:right="180" w:firstLine="324"/>
        <w:spacing w:after="0" w:line="250" w:lineRule="auto"/>
        <w:rPr>
          <w:sz w:val="20"/>
          <w:szCs w:val="20"/>
          <w:color w:val="auto"/>
        </w:rPr>
      </w:pPr>
      <w:r>
        <w:rPr>
          <w:rFonts w:ascii="Arial" w:cs="Arial" w:eastAsia="Arial" w:hAnsi="Arial"/>
          <w:sz w:val="22"/>
          <w:szCs w:val="22"/>
          <w:color w:val="auto"/>
        </w:rPr>
        <w:t>The respective total compensation amounts include social security and occupational pension contributions for the benefit of the members of the board of directors, the executive management and the Company.</w:t>
      </w:r>
    </w:p>
    <w:p>
      <w:pPr>
        <w:spacing w:after="0" w:line="202"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9" w:name="page250"/>
    <w:bookmarkEnd w:id="249"/>
    <w:p>
      <w:pPr>
        <w:ind w:right="80" w:firstLine="324"/>
        <w:spacing w:after="0" w:line="235" w:lineRule="auto"/>
        <w:rPr>
          <w:sz w:val="20"/>
          <w:szCs w:val="20"/>
          <w:color w:val="auto"/>
        </w:rPr>
      </w:pPr>
      <w:r>
        <w:rPr>
          <w:rFonts w:ascii="Arial" w:cs="Arial" w:eastAsia="Arial" w:hAnsi="Arial"/>
          <w:sz w:val="22"/>
          <w:szCs w:val="22"/>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215" w:lineRule="exact"/>
        <w:rPr>
          <w:sz w:val="20"/>
          <w:szCs w:val="20"/>
          <w:color w:val="auto"/>
        </w:rPr>
      </w:pPr>
    </w:p>
    <w:p>
      <w:pPr>
        <w:ind w:right="240" w:firstLine="324"/>
        <w:spacing w:after="0" w:line="328" w:lineRule="auto"/>
        <w:rPr>
          <w:sz w:val="20"/>
          <w:szCs w:val="20"/>
          <w:color w:val="auto"/>
        </w:rPr>
      </w:pPr>
      <w:r>
        <w:rPr>
          <w:rFonts w:ascii="Arial" w:cs="Arial" w:eastAsia="Arial" w:hAnsi="Arial"/>
          <w:sz w:val="19"/>
          <w:szCs w:val="19"/>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Borrowing Powers</w:t>
      </w:r>
    </w:p>
    <w:p>
      <w:pPr>
        <w:spacing w:after="0" w:line="233" w:lineRule="exact"/>
        <w:rPr>
          <w:sz w:val="20"/>
          <w:szCs w:val="20"/>
          <w:color w:val="auto"/>
        </w:rPr>
      </w:pPr>
    </w:p>
    <w:p>
      <w:pPr>
        <w:ind w:right="440" w:firstLine="324"/>
        <w:spacing w:after="0"/>
        <w:rPr>
          <w:sz w:val="20"/>
          <w:szCs w:val="20"/>
          <w:color w:val="auto"/>
        </w:rPr>
      </w:pPr>
      <w:r>
        <w:rPr>
          <w:rFonts w:ascii="Arial" w:cs="Arial" w:eastAsia="Arial" w:hAnsi="Arial"/>
          <w:sz w:val="22"/>
          <w:szCs w:val="22"/>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Repurchases of Shares and Purchases of Own Shares</w:t>
      </w:r>
    </w:p>
    <w:p>
      <w:pPr>
        <w:spacing w:after="0" w:line="233"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currently hold 6,221,617 fully paid up common shares of par value CHF 0.02 each, as treasury shares.</w:t>
      </w:r>
    </w:p>
    <w:p>
      <w:pPr>
        <w:spacing w:after="0" w:line="233"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213" w:lineRule="exact"/>
        <w:rPr>
          <w:sz w:val="20"/>
          <w:szCs w:val="20"/>
          <w:color w:val="auto"/>
        </w:rPr>
      </w:pPr>
    </w:p>
    <w:p>
      <w:pPr>
        <w:ind w:right="380" w:firstLine="324"/>
        <w:spacing w:after="0" w:line="257" w:lineRule="auto"/>
        <w:rPr>
          <w:sz w:val="20"/>
          <w:szCs w:val="20"/>
          <w:color w:val="auto"/>
        </w:rPr>
      </w:pPr>
      <w:r>
        <w:rPr>
          <w:rFonts w:ascii="Arial" w:cs="Arial" w:eastAsia="Arial" w:hAnsi="Arial"/>
          <w:sz w:val="21"/>
          <w:szCs w:val="21"/>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Notification and Disclosure of Substantial Share Interests</w:t>
      </w:r>
    </w:p>
    <w:p>
      <w:pPr>
        <w:spacing w:after="0" w:line="233" w:lineRule="exact"/>
        <w:rPr>
          <w:sz w:val="20"/>
          <w:szCs w:val="20"/>
          <w:color w:val="auto"/>
        </w:rPr>
      </w:pPr>
    </w:p>
    <w:p>
      <w:pPr>
        <w:ind w:right="580" w:firstLine="324"/>
        <w:spacing w:after="0" w:line="328" w:lineRule="auto"/>
        <w:rPr>
          <w:sz w:val="20"/>
          <w:szCs w:val="20"/>
          <w:color w:val="auto"/>
        </w:rPr>
      </w:pPr>
      <w:r>
        <w:rPr>
          <w:rFonts w:ascii="Arial" w:cs="Arial" w:eastAsia="Arial" w:hAnsi="Arial"/>
          <w:sz w:val="19"/>
          <w:szCs w:val="19"/>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32"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common shares are listed on the NASDAQ Global Market under the symbol “ACIU.”</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 of Shares</w:t>
      </w:r>
    </w:p>
    <w:p>
      <w:pPr>
        <w:spacing w:after="0" w:line="239"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color w:val="auto"/>
        </w:rPr>
        <w:t>Computershare Trust Company, N.A. acts as transfer agent and registrar for our common shares. The share register reflects only record owners of our shares. Swiss law does not recognize fractional share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4"/>
                <w:szCs w:val="24"/>
                <w:color w:val="auto"/>
              </w:rPr>
            </w:pPr>
          </w:p>
        </w:tc>
        <w:tc>
          <w:tcPr>
            <w:tcW w:w="7320" w:type="dxa"/>
            <w:vAlign w:val="bottom"/>
            <w:gridSpan w:val="3"/>
          </w:tcPr>
          <w:p>
            <w:pPr>
              <w:ind w:left="260"/>
              <w:spacing w:after="0"/>
              <w:rPr>
                <w:sz w:val="20"/>
                <w:szCs w:val="20"/>
                <w:color w:val="auto"/>
              </w:rPr>
            </w:pPr>
            <w:r>
              <w:rPr>
                <w:rFonts w:ascii="Arial" w:cs="Arial" w:eastAsia="Arial" w:hAnsi="Arial"/>
                <w:sz w:val="22"/>
                <w:szCs w:val="22"/>
                <w:b w:val="1"/>
                <w:bCs w:val="1"/>
                <w:color w:val="auto"/>
              </w:rPr>
              <w:t>Subsidiaries of AC Immune SA</w:t>
            </w:r>
          </w:p>
        </w:tc>
      </w:tr>
      <w:tr>
        <w:trPr>
          <w:trHeight w:val="408"/>
        </w:trPr>
        <w:tc>
          <w:tcPr>
            <w:tcW w:w="392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Name of Subsidiary</w:t>
            </w:r>
          </w:p>
        </w:tc>
        <w:tc>
          <w:tcPr>
            <w:tcW w:w="3420" w:type="dxa"/>
            <w:vAlign w:val="bottom"/>
          </w:tcPr>
          <w:p>
            <w:pPr>
              <w:spacing w:after="0"/>
              <w:rPr>
                <w:sz w:val="24"/>
                <w:szCs w:val="24"/>
                <w:color w:val="auto"/>
              </w:rPr>
            </w:pPr>
          </w:p>
        </w:tc>
        <w:tc>
          <w:tcPr>
            <w:tcW w:w="390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36"/>
        </w:trPr>
        <w:tc>
          <w:tcPr>
            <w:tcW w:w="3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3920" w:type="dxa"/>
            <w:vAlign w:val="bottom"/>
            <w:shd w:val="clear" w:color="auto" w:fill="CCEEFF"/>
          </w:tcPr>
          <w:p>
            <w:pPr>
              <w:jc w:val="center"/>
              <w:ind w:left="1610"/>
              <w:spacing w:after="0"/>
              <w:rPr>
                <w:sz w:val="20"/>
                <w:szCs w:val="20"/>
                <w:color w:val="auto"/>
              </w:rPr>
            </w:pPr>
            <w:r>
              <w:rPr>
                <w:rFonts w:ascii="Arial" w:cs="Arial" w:eastAsia="Arial" w:hAnsi="Arial"/>
                <w:sz w:val="18"/>
                <w:szCs w:val="18"/>
                <w:color w:val="auto"/>
                <w:w w:val="94"/>
              </w:rPr>
              <w:t>AC Immune USA, Inc.</w:t>
            </w:r>
          </w:p>
        </w:tc>
        <w:tc>
          <w:tcPr>
            <w:tcW w:w="34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88"/>
              </w:rPr>
              <w:t>United States</w:t>
            </w:r>
          </w:p>
        </w:tc>
      </w:tr>
      <w:tr>
        <w:trPr>
          <w:trHeight w:val="601"/>
        </w:trPr>
        <w:tc>
          <w:tcPr>
            <w:tcW w:w="39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Andrea Pfeifer, certify that:</w:t>
      </w:r>
    </w:p>
    <w:p>
      <w:pPr>
        <w:spacing w:after="0" w:line="233" w:lineRule="exact"/>
        <w:rPr>
          <w:sz w:val="20"/>
          <w:szCs w:val="20"/>
          <w:color w:val="auto"/>
        </w:rPr>
      </w:pPr>
    </w:p>
    <w:p>
      <w:pPr>
        <w:ind w:left="220" w:hanging="212"/>
        <w:spacing w:after="0"/>
        <w:tabs>
          <w:tab w:leader="none" w:pos="2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AC Immune SA;</w:t>
      </w:r>
    </w:p>
    <w:p>
      <w:pPr>
        <w:spacing w:after="0" w:line="233" w:lineRule="exact"/>
        <w:rPr>
          <w:rFonts w:ascii="Arial" w:cs="Arial" w:eastAsia="Arial" w:hAnsi="Arial"/>
          <w:sz w:val="22"/>
          <w:szCs w:val="22"/>
          <w:color w:val="auto"/>
        </w:rPr>
      </w:pPr>
    </w:p>
    <w:p>
      <w:pPr>
        <w:jc w:val="both"/>
        <w:ind w:right="360" w:firstLine="8"/>
        <w:spacing w:after="0"/>
        <w:tabs>
          <w:tab w:leader="none" w:pos="21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right="60" w:firstLine="8"/>
        <w:spacing w:after="0"/>
        <w:tabs>
          <w:tab w:leader="none" w:pos="21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16"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3" w:lineRule="exact"/>
        <w:rPr>
          <w:sz w:val="20"/>
          <w:szCs w:val="20"/>
          <w:color w:val="auto"/>
        </w:rPr>
      </w:pPr>
    </w:p>
    <w:p>
      <w:pPr>
        <w:jc w:val="both"/>
        <w:ind w:firstLine="8"/>
        <w:spacing w:after="0" w:line="297" w:lineRule="auto"/>
        <w:tabs>
          <w:tab w:leader="none" w:pos="294" w:val="left"/>
        </w:tabs>
        <w:numPr>
          <w:ilvl w:val="0"/>
          <w:numId w:val="18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right="40" w:firstLine="8"/>
        <w:spacing w:after="0" w:line="257" w:lineRule="auto"/>
        <w:tabs>
          <w:tab w:leader="none" w:pos="306" w:val="left"/>
        </w:tabs>
        <w:numPr>
          <w:ilvl w:val="0"/>
          <w:numId w:val="180"/>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21"/>
          <w:szCs w:val="21"/>
          <w:color w:val="auto"/>
        </w:rPr>
      </w:pPr>
    </w:p>
    <w:p>
      <w:pPr>
        <w:ind w:right="80" w:firstLine="8"/>
        <w:spacing w:after="0"/>
        <w:tabs>
          <w:tab w:leader="none" w:pos="29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right="160" w:firstLine="8"/>
        <w:spacing w:after="0"/>
        <w:tabs>
          <w:tab w:leader="none" w:pos="30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3" w:lineRule="exact"/>
        <w:rPr>
          <w:sz w:val="20"/>
          <w:szCs w:val="20"/>
          <w:color w:val="auto"/>
        </w:rPr>
      </w:pPr>
    </w:p>
    <w:p>
      <w:pPr>
        <w:ind w:right="360" w:firstLine="8"/>
        <w:spacing w:after="0"/>
        <w:tabs>
          <w:tab w:leader="none" w:pos="21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3" w:lineRule="exact"/>
        <w:rPr>
          <w:sz w:val="20"/>
          <w:szCs w:val="20"/>
          <w:color w:val="auto"/>
        </w:rPr>
      </w:pPr>
    </w:p>
    <w:p>
      <w:pPr>
        <w:ind w:right="460" w:firstLine="8"/>
        <w:spacing w:after="0"/>
        <w:tabs>
          <w:tab w:leader="none" w:pos="29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3" w:lineRule="exact"/>
        <w:rPr>
          <w:rFonts w:ascii="Arial" w:cs="Arial" w:eastAsia="Arial" w:hAnsi="Arial"/>
          <w:sz w:val="22"/>
          <w:szCs w:val="22"/>
          <w:color w:val="auto"/>
        </w:rPr>
      </w:pPr>
    </w:p>
    <w:p>
      <w:pPr>
        <w:ind w:right="900" w:firstLine="8"/>
        <w:spacing w:after="0" w:line="250" w:lineRule="auto"/>
        <w:tabs>
          <w:tab w:leader="none" w:pos="306"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22, 2022</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Joerg Hornstein, certify that:</w:t>
      </w:r>
    </w:p>
    <w:p>
      <w:pPr>
        <w:spacing w:after="0" w:line="233" w:lineRule="exact"/>
        <w:rPr>
          <w:sz w:val="20"/>
          <w:szCs w:val="20"/>
          <w:color w:val="auto"/>
        </w:rPr>
      </w:pPr>
    </w:p>
    <w:p>
      <w:pPr>
        <w:ind w:left="220" w:hanging="212"/>
        <w:spacing w:after="0"/>
        <w:tabs>
          <w:tab w:leader="none" w:pos="2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 have reviewed this annual report on Form 20-F of AC Immune SA;</w:t>
      </w:r>
    </w:p>
    <w:p>
      <w:pPr>
        <w:spacing w:after="0" w:line="233" w:lineRule="exact"/>
        <w:rPr>
          <w:rFonts w:ascii="Arial" w:cs="Arial" w:eastAsia="Arial" w:hAnsi="Arial"/>
          <w:sz w:val="22"/>
          <w:szCs w:val="22"/>
          <w:color w:val="auto"/>
        </w:rPr>
      </w:pPr>
    </w:p>
    <w:p>
      <w:pPr>
        <w:jc w:val="both"/>
        <w:ind w:right="360" w:firstLine="8"/>
        <w:spacing w:after="0"/>
        <w:tabs>
          <w:tab w:leader="none" w:pos="2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right="60" w:firstLine="8"/>
        <w:spacing w:after="0"/>
        <w:tabs>
          <w:tab w:leader="none" w:pos="2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3" w:lineRule="exact"/>
        <w:rPr>
          <w:sz w:val="20"/>
          <w:szCs w:val="20"/>
          <w:color w:val="auto"/>
        </w:rPr>
      </w:pPr>
    </w:p>
    <w:p>
      <w:pPr>
        <w:jc w:val="both"/>
        <w:ind w:firstLine="8"/>
        <w:spacing w:after="0" w:line="297" w:lineRule="auto"/>
        <w:tabs>
          <w:tab w:leader="none" w:pos="29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right="40" w:firstLine="8"/>
        <w:spacing w:after="0" w:line="257" w:lineRule="auto"/>
        <w:tabs>
          <w:tab w:leader="none" w:pos="306" w:val="left"/>
        </w:tabs>
        <w:numPr>
          <w:ilvl w:val="0"/>
          <w:numId w:val="184"/>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21"/>
          <w:szCs w:val="21"/>
          <w:color w:val="auto"/>
        </w:rPr>
      </w:pPr>
    </w:p>
    <w:p>
      <w:pPr>
        <w:ind w:right="80" w:firstLine="8"/>
        <w:spacing w:after="0"/>
        <w:tabs>
          <w:tab w:leader="none" w:pos="29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right="160" w:firstLine="8"/>
        <w:spacing w:after="0"/>
        <w:tabs>
          <w:tab w:leader="none" w:pos="30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3" w:lineRule="exact"/>
        <w:rPr>
          <w:sz w:val="20"/>
          <w:szCs w:val="20"/>
          <w:color w:val="auto"/>
        </w:rPr>
      </w:pPr>
    </w:p>
    <w:p>
      <w:pPr>
        <w:ind w:right="360" w:firstLine="8"/>
        <w:spacing w:after="0"/>
        <w:tabs>
          <w:tab w:leader="none" w:pos="21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3" w:lineRule="exact"/>
        <w:rPr>
          <w:sz w:val="20"/>
          <w:szCs w:val="20"/>
          <w:color w:val="auto"/>
        </w:rPr>
      </w:pPr>
    </w:p>
    <w:p>
      <w:pPr>
        <w:ind w:right="460" w:firstLine="8"/>
        <w:spacing w:after="0"/>
        <w:tabs>
          <w:tab w:leader="none" w:pos="29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3" w:lineRule="exact"/>
        <w:rPr>
          <w:rFonts w:ascii="Arial" w:cs="Arial" w:eastAsia="Arial" w:hAnsi="Arial"/>
          <w:sz w:val="22"/>
          <w:szCs w:val="22"/>
          <w:color w:val="auto"/>
        </w:rPr>
      </w:pPr>
    </w:p>
    <w:p>
      <w:pPr>
        <w:ind w:right="900" w:firstLine="8"/>
        <w:spacing w:after="0" w:line="250" w:lineRule="auto"/>
        <w:tabs>
          <w:tab w:leader="none" w:pos="30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22, 2022</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certification set forth below is being submitted in connection with AC Immune SA’s annual report on Form 20-F for the year ended December 31, 2019 (the “Report”) for the purpose of complying with Rule 13a-14(b) or Rule 15d-14(b) of the Securities Exchange Act of 1934 (the “Exchange Act”) and Section 1350 of Chapter 63 of Title 18 of the United States Code.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Andrea Pfeifer, the Chief Executive Officer of AC Immune SA, certifies that, to the best of her knowledge:</w:t>
      </w:r>
    </w:p>
    <w:p>
      <w:pPr>
        <w:spacing w:after="0" w:line="233" w:lineRule="exact"/>
        <w:rPr>
          <w:sz w:val="20"/>
          <w:szCs w:val="20"/>
          <w:color w:val="auto"/>
        </w:rPr>
      </w:pPr>
    </w:p>
    <w:p>
      <w:pPr>
        <w:ind w:left="220" w:hanging="212"/>
        <w:spacing w:after="0"/>
        <w:tabs>
          <w:tab w:leader="none" w:pos="2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Exchange Act; and</w:t>
      </w:r>
    </w:p>
    <w:p>
      <w:pPr>
        <w:spacing w:after="0" w:line="233" w:lineRule="exact"/>
        <w:rPr>
          <w:rFonts w:ascii="Arial" w:cs="Arial" w:eastAsia="Arial" w:hAnsi="Arial"/>
          <w:sz w:val="22"/>
          <w:szCs w:val="22"/>
          <w:color w:val="auto"/>
        </w:rPr>
      </w:pPr>
    </w:p>
    <w:p>
      <w:pPr>
        <w:ind w:right="40" w:firstLine="8"/>
        <w:spacing w:after="0" w:line="250" w:lineRule="auto"/>
        <w:tabs>
          <w:tab w:leader="none" w:pos="21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AC Immune SA.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22, 2022</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Andrea Pfeifer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3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certification set forth below is being submitted in connection with AC Immune SA’s annual report on Form 20-F for the year ended December 31, 2019 (the “Report”) for the purpose of complying with Rule 13a-14(b) or Rule 15d-14(b) of the Securities Exchange Act of 1934 (the “Exchange Act”) and Section 1350 of Chapter 63 of Title 18 of the United States Code.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Joerg Hornstein, the Chief Financial Officer of AC Immune SA, certifies that, to the best of his knowledge:</w:t>
      </w:r>
    </w:p>
    <w:p>
      <w:pPr>
        <w:spacing w:after="0" w:line="233" w:lineRule="exact"/>
        <w:rPr>
          <w:sz w:val="20"/>
          <w:szCs w:val="20"/>
          <w:color w:val="auto"/>
        </w:rPr>
      </w:pPr>
    </w:p>
    <w:p>
      <w:pPr>
        <w:ind w:left="220" w:hanging="212"/>
        <w:spacing w:after="0"/>
        <w:tabs>
          <w:tab w:leader="none" w:pos="22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Exchange Act; and</w:t>
      </w:r>
    </w:p>
    <w:p>
      <w:pPr>
        <w:spacing w:after="0" w:line="233" w:lineRule="exact"/>
        <w:rPr>
          <w:rFonts w:ascii="Arial" w:cs="Arial" w:eastAsia="Arial" w:hAnsi="Arial"/>
          <w:sz w:val="22"/>
          <w:szCs w:val="22"/>
          <w:color w:val="auto"/>
        </w:rPr>
      </w:pPr>
    </w:p>
    <w:p>
      <w:pPr>
        <w:ind w:right="40" w:firstLine="8"/>
        <w:spacing w:after="0" w:line="250" w:lineRule="auto"/>
        <w:tabs>
          <w:tab w:leader="none" w:pos="21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AC Immune SA.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22, 2022</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Joerg Hornstein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15.1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color w:val="auto"/>
        </w:rPr>
        <w:t>We hereby consent to the incorporation by reference in the Registration Statements on Form F-3 (No. 333-249655 and No. 333-255576) and on Form S-8 (No. 333-233019) of AC Immune SA of our report dated March 22, 2022 relating to the consolidated financial statements and the effectiveness of internal control over financial reporting, which appears in this Form 20-F.</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SA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Lausanne, Switzerland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abstractNum>
  <w:abstractNum w:abstractNumId="12">
    <w:nsid w:val="7D5E18F8"/>
    <w:multiLevelType w:val="hybridMultilevel"/>
    <w:lvl w:ilvl="0">
      <w:lvlJc w:val="left"/>
      <w:lvlText w:val="%1."/>
      <w:numFmt w:val="upperLetter"/>
      <w:start w:val="1"/>
    </w:lvl>
  </w:abstractNum>
  <w:abstractNum w:abstractNumId="13">
    <w:nsid w:val="5F3534A4"/>
    <w:multiLevelType w:val="hybridMultilevel"/>
    <w:lvl w:ilvl="0">
      <w:lvlJc w:val="left"/>
      <w:lvlText w:val="%1."/>
      <w:numFmt w:val="upperLetter"/>
      <w:start w:val="1"/>
    </w:lvl>
  </w:abstractNum>
  <w:abstractNum w:abstractNumId="14">
    <w:nsid w:val="73A1821B"/>
    <w:multiLevelType w:val="hybridMultilevel"/>
    <w:lvl w:ilvl="0">
      <w:lvlJc w:val="left"/>
      <w:lvlText w:val="%1."/>
      <w:numFmt w:val="upperLetter"/>
      <w:start w:val="1"/>
    </w:lvl>
  </w:abstractNum>
  <w:abstractNum w:abstractNumId="15">
    <w:nsid w:val="7DE67713"/>
    <w:multiLevelType w:val="hybridMultilevel"/>
    <w:lvl w:ilvl="0">
      <w:lvlJc w:val="left"/>
      <w:lvlText w:val="•"/>
      <w:numFmt w:val="bullet"/>
      <w:start w:val="1"/>
    </w:lvl>
    <w:lvl w:ilvl="1">
      <w:lvlJc w:val="left"/>
      <w:lvlText w:val="%2."/>
      <w:numFmt w:val="lowerLetter"/>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1)"/>
      <w:numFmt w:val="lowerRoman"/>
      <w:start w:val="2"/>
    </w:lvl>
  </w:abstractNum>
  <w:abstractNum w:abstractNumId="43">
    <w:nsid w:val="39B7AAA2"/>
    <w:multiLevelType w:val="hybridMultilevel"/>
    <w:lvl w:ilvl="0">
      <w:lvlJc w:val="left"/>
      <w:lvlText w:val="(%1)"/>
      <w:numFmt w:val="decimal"/>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1)"/>
      <w:numFmt w:val="decimal"/>
      <w:start w:val="1"/>
    </w:lvl>
  </w:abstractNum>
  <w:abstractNum w:abstractNumId="46">
    <w:nsid w:val="379E21B5"/>
    <w:multiLevelType w:val="hybridMultilevel"/>
    <w:lvl w:ilvl="0">
      <w:lvlJc w:val="left"/>
      <w:lvlText w:val="(%1)"/>
      <w:numFmt w:val="decimal"/>
      <w:start w:val="12"/>
    </w:lvl>
  </w:abstractNum>
  <w:abstractNum w:abstractNumId="47">
    <w:nsid w:val="69E373"/>
    <w:multiLevelType w:val="hybridMultilevel"/>
    <w:lvl w:ilvl="0">
      <w:lvlJc w:val="left"/>
      <w:lvlText w:val="%1."/>
      <w:numFmt w:val="decimal"/>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
      <w:numFmt w:val="bullet"/>
      <w:start w:val="1"/>
    </w:lvl>
  </w:abstractNum>
  <w:abstractNum w:abstractNumId="51">
    <w:nsid w:val="1DF029D3"/>
    <w:multiLevelType w:val="hybridMultilevel"/>
    <w:lvl w:ilvl="0">
      <w:lvlJc w:val="left"/>
      <w:lvlText w:val="%1."/>
      <w:numFmt w:val="decimal"/>
      <w:start w:val="2"/>
    </w:lvl>
  </w:abstractNum>
  <w:abstractNum w:abstractNumId="52">
    <w:nsid w:val="5675FF36"/>
    <w:multiLevelType w:val="hybridMultilevel"/>
    <w:lvl w:ilvl="0">
      <w:lvlJc w:val="left"/>
      <w:lvlText w:val="(%1)"/>
      <w:numFmt w:val="decimal"/>
      <w:start w:val="1"/>
    </w:lvl>
  </w:abstractNum>
  <w:abstractNum w:abstractNumId="53">
    <w:nsid w:val="3DD15094"/>
    <w:multiLevelType w:val="hybridMultilevel"/>
    <w:lvl w:ilvl="0">
      <w:lvlJc w:val="left"/>
      <w:lvlText w:val="%1."/>
      <w:numFmt w:val="decimal"/>
      <w:start w:val="3"/>
    </w:lvl>
  </w:abstractNum>
  <w:abstractNum w:abstractNumId="54">
    <w:nsid w:val="3DB012B3"/>
    <w:multiLevelType w:val="hybridMultilevel"/>
    <w:lvl w:ilvl="0">
      <w:lvlJc w:val="left"/>
      <w:lvlText w:val="(%1)"/>
      <w:numFmt w:val="decimal"/>
      <w:start w:val="1"/>
    </w:lvl>
  </w:abstractNum>
  <w:abstractNum w:abstractNumId="55">
    <w:nsid w:val="2708C9AF"/>
    <w:multiLevelType w:val="hybridMultilevel"/>
    <w:lvl w:ilvl="0">
      <w:lvlJc w:val="left"/>
      <w:lvlText w:val="%1."/>
      <w:numFmt w:val="decimal"/>
      <w:start w:val="4"/>
    </w:lvl>
  </w:abstractNum>
  <w:abstractNum w:abstractNumId="56">
    <w:nsid w:val="5B25ACE2"/>
    <w:multiLevelType w:val="hybridMultilevel"/>
    <w:lvl w:ilvl="0">
      <w:lvlJc w:val="left"/>
      <w:lvlText w:val="(%1)"/>
      <w:numFmt w:val="decimal"/>
      <w:start w:val="1"/>
    </w:lvl>
  </w:abstractNum>
  <w:abstractNum w:abstractNumId="57">
    <w:nsid w:val="175DFCF0"/>
    <w:multiLevelType w:val="hybridMultilevel"/>
    <w:lvl w:ilvl="0">
      <w:lvlJc w:val="left"/>
      <w:lvlText w:val="(%1)"/>
      <w:numFmt w:val="decimal"/>
      <w:start w:val="1"/>
    </w:lvl>
  </w:abstractNum>
  <w:abstractNum w:abstractNumId="58">
    <w:nsid w:val="4F97E3E4"/>
    <w:multiLevelType w:val="hybridMultilevel"/>
    <w:lvl w:ilvl="0">
      <w:lvlJc w:val="left"/>
      <w:lvlText w:val="(%1)"/>
      <w:numFmt w:val="decimal"/>
      <w:start w:val="9"/>
    </w:lvl>
  </w:abstractNum>
  <w:abstractNum w:abstractNumId="59">
    <w:nsid w:val="53B0A9E"/>
    <w:multiLevelType w:val="hybridMultilevel"/>
    <w:lvl w:ilvl="0">
      <w:lvlJc w:val="left"/>
      <w:lvlText w:val="•"/>
      <w:numFmt w:val="bullet"/>
      <w:start w:val="1"/>
    </w:lvl>
  </w:abstractNum>
  <w:abstractNum w:abstractNumId="60">
    <w:nsid w:val="34FD6B4F"/>
    <w:multiLevelType w:val="hybridMultilevel"/>
    <w:lvl w:ilvl="0">
      <w:lvlJc w:val="left"/>
      <w:lvlText w:val="•"/>
      <w:numFmt w:val="bullet"/>
      <w:start w:val="1"/>
    </w:lvl>
  </w:abstractNum>
  <w:abstractNum w:abstractNumId="61">
    <w:nsid w:val="5915FF32"/>
    <w:multiLevelType w:val="hybridMultilevel"/>
    <w:lvl w:ilvl="0">
      <w:lvlJc w:val="left"/>
      <w:lvlText w:val="•"/>
      <w:numFmt w:val="bullet"/>
      <w:start w:val="1"/>
    </w:lvl>
  </w:abstractNum>
  <w:abstractNum w:abstractNumId="62">
    <w:nsid w:val="56438D15"/>
    <w:multiLevelType w:val="hybridMultilevel"/>
    <w:lvl w:ilvl="0">
      <w:lvlJc w:val="left"/>
      <w:lvlText w:val="•"/>
      <w:numFmt w:val="bullet"/>
      <w:start w:val="1"/>
    </w:lvl>
  </w:abstractNum>
  <w:abstractNum w:abstractNumId="63">
    <w:nsid w:val="519E3149"/>
    <w:multiLevelType w:val="hybridMultilevel"/>
    <w:lvl w:ilvl="0">
      <w:lvlJc w:val="left"/>
      <w:lvlText w:val="•"/>
      <w:numFmt w:val="bullet"/>
      <w:start w:val="1"/>
    </w:lvl>
  </w:abstractNum>
  <w:abstractNum w:abstractNumId="64">
    <w:nsid w:val="2C6E4AFD"/>
    <w:multiLevelType w:val="hybridMultilevel"/>
    <w:lvl w:ilvl="0">
      <w:lvlJc w:val="left"/>
      <w:lvlText w:val="(%1)"/>
      <w:numFmt w:val="decimal"/>
      <w:start w:val="1"/>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
      <w:numFmt w:val="bullet"/>
      <w:start w:val="1"/>
    </w:lvl>
  </w:abstractNum>
  <w:abstractNum w:abstractNumId="67">
    <w:nsid w:val="5046B5A9"/>
    <w:multiLevelType w:val="hybridMultilevel"/>
    <w:lvl w:ilvl="0">
      <w:lvlJc w:val="left"/>
      <w:lvlText w:val="•"/>
      <w:numFmt w:val="bullet"/>
      <w:start w:val="1"/>
    </w:lvl>
  </w:abstractNum>
  <w:abstractNum w:abstractNumId="68">
    <w:nsid w:val="5D888A08"/>
    <w:multiLevelType w:val="hybridMultilevel"/>
    <w:lvl w:ilvl="0">
      <w:lvlJc w:val="left"/>
      <w:lvlText w:val="•"/>
      <w:numFmt w:val="bullet"/>
      <w:start w:val="1"/>
    </w:lvl>
  </w:abstractNum>
  <w:abstractNum w:abstractNumId="69">
    <w:nsid w:val="2A082C70"/>
    <w:multiLevelType w:val="hybridMultilevel"/>
    <w:lvl w:ilvl="0">
      <w:lvlJc w:val="left"/>
      <w:lvlText w:val="•"/>
      <w:numFmt w:val="bullet"/>
      <w:start w:val="1"/>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
      <w:numFmt w:val="bullet"/>
      <w:start w:val="1"/>
    </w:lvl>
  </w:abstractNum>
  <w:abstractNum w:abstractNumId="72">
    <w:nsid w:val="75E0858A"/>
    <w:multiLevelType w:val="hybridMultilevel"/>
    <w:lvl w:ilvl="0">
      <w:lvlJc w:val="left"/>
      <w:lvlText w:val="•"/>
      <w:numFmt w:val="bullet"/>
      <w:start w:val="1"/>
    </w:lvl>
  </w:abstractNum>
  <w:abstractNum w:abstractNumId="73">
    <w:nsid w:val="57A61A29"/>
    <w:multiLevelType w:val="hybridMultilevel"/>
    <w:lvl w:ilvl="0">
      <w:lvlJc w:val="left"/>
      <w:lvlText w:val="•"/>
      <w:numFmt w:val="bullet"/>
      <w:start w:val="1"/>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1)"/>
      <w:numFmt w:val="decimal"/>
      <w:start w:val="1"/>
    </w:lvl>
  </w:abstractNum>
  <w:abstractNum w:abstractNumId="76">
    <w:nsid w:val="4427069A"/>
    <w:multiLevelType w:val="hybridMultilevel"/>
    <w:lvl w:ilvl="0">
      <w:lvlJc w:val="left"/>
      <w:lvlText w:val="(%1)"/>
      <w:numFmt w:val="decimal"/>
      <w:start w:val="1"/>
    </w:lvl>
  </w:abstractNum>
  <w:abstractNum w:abstractNumId="77">
    <w:nsid w:val="B37E80A"/>
    <w:multiLevelType w:val="hybridMultilevel"/>
    <w:lvl w:ilvl="0">
      <w:lvlJc w:val="left"/>
      <w:lvlText w:val="(%1)"/>
      <w:numFmt w:val="decimal"/>
      <w:start w:val="1"/>
    </w:lvl>
  </w:abstractNum>
  <w:abstractNum w:abstractNumId="78">
    <w:nsid w:val="2157F6BC"/>
    <w:multiLevelType w:val="hybridMultilevel"/>
    <w:lvl w:ilvl="0">
      <w:lvlJc w:val="left"/>
      <w:lvlText w:val="(%1)"/>
      <w:numFmt w:val="decimal"/>
      <w:start w:val="1"/>
    </w:lvl>
  </w:abstractNum>
  <w:abstractNum w:abstractNumId="79">
    <w:nsid w:val="704E1DD5"/>
    <w:multiLevelType w:val="hybridMultilevel"/>
    <w:lvl w:ilvl="0">
      <w:lvlJc w:val="left"/>
      <w:lvlText w:val="(%1)"/>
      <w:numFmt w:val="decimal"/>
      <w:start w:val="1"/>
    </w:lvl>
  </w:abstractNum>
  <w:abstractNum w:abstractNumId="80">
    <w:nsid w:val="57D2F10E"/>
    <w:multiLevelType w:val="hybridMultilevel"/>
    <w:lvl w:ilvl="0">
      <w:lvlJc w:val="left"/>
      <w:lvlText w:val="(%1)"/>
      <w:numFmt w:val="decimal"/>
      <w:start w:val="1"/>
    </w:lvl>
  </w:abstractNum>
  <w:abstractNum w:abstractNumId="81">
    <w:nsid w:val="BFFAE18"/>
    <w:multiLevelType w:val="hybridMultilevel"/>
    <w:lvl w:ilvl="0">
      <w:lvlJc w:val="left"/>
      <w:lvlText w:val="(%1)"/>
      <w:numFmt w:val="decimal"/>
      <w:start w:val="1"/>
    </w:lvl>
  </w:abstractNum>
  <w:abstractNum w:abstractNumId="82">
    <w:nsid w:val="E3E47A8"/>
    <w:multiLevelType w:val="hybridMultilevel"/>
    <w:lvl w:ilvl="0">
      <w:lvlJc w:val="left"/>
      <w:lvlText w:val="(%1)"/>
      <w:numFmt w:val="decimal"/>
      <w:start w:val="1"/>
    </w:lvl>
  </w:abstractNum>
  <w:abstractNum w:abstractNumId="83">
    <w:nsid w:val="2E48F044"/>
    <w:multiLevelType w:val="hybridMultilevel"/>
    <w:lvl w:ilvl="0">
      <w:lvlJc w:val="left"/>
      <w:lvlText w:val="(%1)"/>
      <w:numFmt w:val="decimal"/>
      <w:start w:val="1"/>
    </w:lvl>
  </w:abstractNum>
  <w:abstractNum w:abstractNumId="84">
    <w:nsid w:val="49D0FEAC"/>
    <w:multiLevelType w:val="hybridMultilevel"/>
    <w:lvl w:ilvl="0">
      <w:lvlJc w:val="left"/>
      <w:lvlText w:val="•"/>
      <w:numFmt w:val="bullet"/>
      <w:start w:val="1"/>
    </w:lvl>
  </w:abstractNum>
  <w:abstractNum w:abstractNumId="85">
    <w:nsid w:val="4BEE5A5B"/>
    <w:multiLevelType w:val="hybridMultilevel"/>
    <w:lvl w:ilvl="0">
      <w:lvlJc w:val="left"/>
      <w:lvlText w:val="•"/>
      <w:numFmt w:val="bullet"/>
      <w:start w:val="1"/>
    </w:lvl>
  </w:abstractNum>
  <w:abstractNum w:abstractNumId="86">
    <w:nsid w:val="5551B9F3"/>
    <w:multiLevelType w:val="hybridMultilevel"/>
    <w:lvl w:ilvl="0">
      <w:lvlJc w:val="left"/>
      <w:lvlText w:val="•"/>
      <w:numFmt w:val="bullet"/>
      <w:start w:val="1"/>
    </w:lvl>
  </w:abstractNum>
  <w:abstractNum w:abstractNumId="87">
    <w:nsid w:val="24F6AB8E"/>
    <w:multiLevelType w:val="hybridMultilevel"/>
    <w:lvl w:ilvl="0">
      <w:lvlJc w:val="left"/>
      <w:lvlText w:val="•"/>
      <w:numFmt w:val="bullet"/>
      <w:start w:val="1"/>
    </w:lvl>
  </w:abstractNum>
  <w:abstractNum w:abstractNumId="88">
    <w:nsid w:val="634C574C"/>
    <w:multiLevelType w:val="hybridMultilevel"/>
    <w:lvl w:ilvl="0">
      <w:lvlJc w:val="left"/>
      <w:lvlText w:val="•"/>
      <w:numFmt w:val="bullet"/>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
      <w:numFmt w:val="bullet"/>
      <w:start w:val="1"/>
    </w:lvl>
  </w:abstractNum>
  <w:abstractNum w:abstractNumId="91">
    <w:nsid w:val="1849C29B"/>
    <w:multiLevelType w:val="hybridMultilevel"/>
    <w:lvl w:ilvl="0">
      <w:lvlJc w:val="left"/>
      <w:lvlText w:val="•"/>
      <w:numFmt w:val="bullet"/>
      <w:start w:val="1"/>
    </w:lvl>
  </w:abstractNum>
  <w:abstractNum w:abstractNumId="92">
    <w:nsid w:val="7DFF9D09"/>
    <w:multiLevelType w:val="hybridMultilevel"/>
    <w:lvl w:ilvl="0">
      <w:lvlJc w:val="left"/>
      <w:lvlText w:val="•"/>
      <w:numFmt w:val="bullet"/>
      <w:start w:val="1"/>
    </w:lvl>
  </w:abstractNum>
  <w:abstractNum w:abstractNumId="93">
    <w:nsid w:val="754342"/>
    <w:multiLevelType w:val="hybridMultilevel"/>
    <w:lvl w:ilvl="0">
      <w:lvlJc w:val="left"/>
      <w:lvlText w:val="•"/>
      <w:numFmt w:val="bullet"/>
      <w:start w:val="1"/>
    </w:lvl>
  </w:abstractNum>
  <w:abstractNum w:abstractNumId="94">
    <w:nsid w:val="69E7F3E5"/>
    <w:multiLevelType w:val="hybridMultilevel"/>
    <w:lvl w:ilvl="0">
      <w:lvlJc w:val="left"/>
      <w:lvlText w:val="%1."/>
      <w:numFmt w:val="upperLetter"/>
      <w:start w:val="1"/>
    </w:lvl>
  </w:abstractNum>
  <w:abstractNum w:abstractNumId="95">
    <w:nsid w:val="2A6DE806"/>
    <w:multiLevelType w:val="hybridMultilevel"/>
    <w:lvl w:ilvl="0">
      <w:lvlJc w:val="left"/>
      <w:lvlText w:val="•"/>
      <w:numFmt w:val="bullet"/>
      <w:start w:val="1"/>
    </w:lvl>
  </w:abstractNum>
  <w:abstractNum w:abstractNumId="96">
    <w:nsid w:val="1816F8C4"/>
    <w:multiLevelType w:val="hybridMultilevel"/>
    <w:lvl w:ilvl="0">
      <w:lvlJc w:val="left"/>
      <w:lvlText w:val="•"/>
      <w:numFmt w:val="bullet"/>
      <w:start w:val="1"/>
    </w:lvl>
  </w:abstractNum>
  <w:abstractNum w:abstractNumId="97">
    <w:nsid w:val="37DF2233"/>
    <w:multiLevelType w:val="hybridMultilevel"/>
    <w:lvl w:ilvl="0">
      <w:lvlJc w:val="left"/>
      <w:lvlText w:val="•"/>
      <w:numFmt w:val="bullet"/>
      <w:start w:val="1"/>
    </w:lvl>
  </w:abstractNum>
  <w:abstractNum w:abstractNumId="98">
    <w:nsid w:val="7AB49DAF"/>
    <w:multiLevelType w:val="hybridMultilevel"/>
    <w:lvl w:ilvl="0">
      <w:lvlJc w:val="left"/>
      <w:lvlText w:val="•"/>
      <w:numFmt w:val="bullet"/>
      <w:start w:val="1"/>
    </w:lvl>
  </w:abstractNum>
  <w:abstractNum w:abstractNumId="99">
    <w:nsid w:val="759F82CD"/>
    <w:multiLevelType w:val="hybridMultilevel"/>
    <w:lvl w:ilvl="0">
      <w:lvlJc w:val="left"/>
      <w:lvlText w:val="•"/>
      <w:numFmt w:val="bullet"/>
      <w:start w:val="1"/>
    </w:lvl>
  </w:abstractNum>
  <w:abstractNum w:abstractNumId="100">
    <w:nsid w:val="61E74EA3"/>
    <w:multiLevelType w:val="hybridMultilevel"/>
    <w:lvl w:ilvl="0">
      <w:lvlJc w:val="left"/>
      <w:lvlText w:val="•"/>
      <w:numFmt w:val="bullet"/>
      <w:start w:val="1"/>
    </w:lvl>
  </w:abstractNum>
  <w:abstractNum w:abstractNumId="101">
    <w:nsid w:val="597B4D84"/>
    <w:multiLevelType w:val="hybridMultilevel"/>
    <w:lvl w:ilvl="0">
      <w:lvlJc w:val="left"/>
      <w:lvlText w:val="•"/>
      <w:numFmt w:val="bullet"/>
      <w:start w:val="1"/>
    </w:lvl>
  </w:abstractNum>
  <w:abstractNum w:abstractNumId="102">
    <w:nsid w:val="F819E7F"/>
    <w:multiLevelType w:val="hybridMultilevel"/>
    <w:lvl w:ilvl="0">
      <w:lvlJc w:val="left"/>
      <w:lvlText w:val="•"/>
      <w:numFmt w:val="bullet"/>
      <w:start w:val="1"/>
    </w:lvl>
  </w:abstractNum>
  <w:abstractNum w:abstractNumId="103">
    <w:nsid w:val="57C7D42D"/>
    <w:multiLevelType w:val="hybridMultilevel"/>
    <w:lvl w:ilvl="0">
      <w:lvlJc w:val="left"/>
      <w:lvlText w:val="•"/>
      <w:numFmt w:val="bullet"/>
      <w:start w:val="1"/>
    </w:lvl>
  </w:abstractNum>
  <w:abstractNum w:abstractNumId="104">
    <w:nsid w:val="312167AD"/>
    <w:multiLevelType w:val="hybridMultilevel"/>
    <w:lvl w:ilvl="0">
      <w:lvlJc w:val="left"/>
      <w:lvlText w:val="(%1)"/>
      <w:numFmt w:val="lowerRoman"/>
      <w:start w:val="1"/>
    </w:lvl>
  </w:abstractNum>
  <w:abstractNum w:abstractNumId="105">
    <w:nsid w:val="631B64D4"/>
    <w:multiLevelType w:val="hybridMultilevel"/>
    <w:lvl w:ilvl="0">
      <w:lvlJc w:val="left"/>
      <w:lvlText w:val="•"/>
      <w:numFmt w:val="bullet"/>
      <w:start w:val="1"/>
    </w:lvl>
  </w:abstractNum>
  <w:abstractNum w:abstractNumId="106">
    <w:nsid w:val="78B5E776"/>
    <w:multiLevelType w:val="hybridMultilevel"/>
    <w:lvl w:ilvl="0">
      <w:lvlJc w:val="left"/>
      <w:lvlText w:val="•"/>
      <w:numFmt w:val="bullet"/>
      <w:start w:val="1"/>
    </w:lvl>
  </w:abstractNum>
  <w:abstractNum w:abstractNumId="107">
    <w:nsid w:val="75486E47"/>
    <w:multiLevelType w:val="hybridMultilevel"/>
    <w:lvl w:ilvl="0">
      <w:lvlJc w:val="left"/>
      <w:lvlText w:val="•"/>
      <w:numFmt w:val="bullet"/>
      <w:start w:val="1"/>
    </w:lvl>
  </w:abstractNum>
  <w:abstractNum w:abstractNumId="108">
    <w:nsid w:val="6E534CDE"/>
    <w:multiLevelType w:val="hybridMultilevel"/>
    <w:lvl w:ilvl="0">
      <w:lvlJc w:val="left"/>
      <w:lvlText w:val="•"/>
      <w:numFmt w:val="bullet"/>
      <w:start w:val="1"/>
    </w:lvl>
  </w:abstractNum>
  <w:abstractNum w:abstractNumId="109">
    <w:nsid w:val="1A0DDE32"/>
    <w:multiLevelType w:val="hybridMultilevel"/>
    <w:lvl w:ilvl="0">
      <w:lvlJc w:val="left"/>
      <w:lvlText w:val="•"/>
      <w:numFmt w:val="bullet"/>
      <w:start w:val="1"/>
    </w:lvl>
  </w:abstractNum>
  <w:abstractNum w:abstractNumId="110">
    <w:nsid w:val="65968C1C"/>
    <w:multiLevelType w:val="hybridMultilevel"/>
    <w:lvl w:ilvl="0">
      <w:lvlJc w:val="left"/>
      <w:lvlText w:val="•"/>
      <w:numFmt w:val="bullet"/>
      <w:start w:val="1"/>
    </w:lvl>
  </w:abstractNum>
  <w:abstractNum w:abstractNumId="111">
    <w:nsid w:val="46263DEC"/>
    <w:multiLevelType w:val="hybridMultilevel"/>
    <w:lvl w:ilvl="0">
      <w:lvlJc w:val="left"/>
      <w:lvlText w:val="•"/>
      <w:numFmt w:val="bullet"/>
      <w:start w:val="1"/>
    </w:lvl>
  </w:abstractNum>
  <w:abstractNum w:abstractNumId="112">
    <w:nsid w:val="260D8C4A"/>
    <w:multiLevelType w:val="hybridMultilevel"/>
    <w:lvl w:ilvl="0">
      <w:lvlJc w:val="left"/>
      <w:lvlText w:val="•"/>
      <w:numFmt w:val="bullet"/>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
      <w:numFmt w:val="bullet"/>
      <w:start w:val="1"/>
    </w:lvl>
  </w:abstractNum>
  <w:abstractNum w:abstractNumId="115">
    <w:nsid w:val="6FDE8AF6"/>
    <w:multiLevelType w:val="hybridMultilevel"/>
    <w:lvl w:ilvl="0">
      <w:lvlJc w:val="left"/>
      <w:lvlText w:val="•"/>
      <w:numFmt w:val="bullet"/>
      <w:start w:val="1"/>
    </w:lvl>
  </w:abstractNum>
  <w:abstractNum w:abstractNumId="116">
    <w:nsid w:val="3FC32E20"/>
    <w:multiLevelType w:val="hybridMultilevel"/>
    <w:lvl w:ilvl="0">
      <w:lvlJc w:val="left"/>
      <w:lvlText w:val="•"/>
      <w:numFmt w:val="bullet"/>
      <w:start w:val="1"/>
    </w:lvl>
  </w:abstractNum>
  <w:abstractNum w:abstractNumId="117">
    <w:nsid w:val="49C0E823"/>
    <w:multiLevelType w:val="hybridMultilevel"/>
    <w:lvl w:ilvl="0">
      <w:lvlJc w:val="left"/>
      <w:lvlText w:val="%1."/>
      <w:numFmt w:val="upperLetter"/>
      <w:start w:val="2"/>
    </w:lvl>
  </w:abstractNum>
  <w:abstractNum w:abstractNumId="118">
    <w:nsid w:val="14D53685"/>
    <w:multiLevelType w:val="hybridMultilevel"/>
    <w:lvl w:ilvl="0">
      <w:lvlJc w:val="left"/>
      <w:lvlText w:val="•"/>
      <w:numFmt w:val="bullet"/>
      <w:start w:val="1"/>
    </w:lvl>
  </w:abstractNum>
  <w:abstractNum w:abstractNumId="119">
    <w:nsid w:val="230F856C"/>
    <w:multiLevelType w:val="hybridMultilevel"/>
    <w:lvl w:ilvl="0">
      <w:lvlJc w:val="left"/>
      <w:lvlText w:val="%1."/>
      <w:numFmt w:val="upperLetter"/>
      <w:start w:val="4"/>
    </w:lvl>
  </w:abstractNum>
  <w:abstractNum w:abstractNumId="120">
    <w:nsid w:val="6EAA85FB"/>
    <w:multiLevelType w:val="hybridMultilevel"/>
    <w:lvl w:ilvl="0">
      <w:lvlJc w:val="left"/>
      <w:lvlText w:val="%1."/>
      <w:numFmt w:val="upperLetter"/>
      <w:start w:val="3"/>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1."/>
      <w:numFmt w:val="decimal"/>
      <w:start w:val="139"/>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4"/>
      <w:numFmt w:val="bullet"/>
      <w:start w:val="1"/>
    </w:lvl>
  </w:abstractNum>
  <w:abstractNum w:abstractNumId="127">
    <w:nsid w:val="579328B9"/>
    <w:multiLevelType w:val="hybridMultilevel"/>
    <w:lvl w:ilvl="0">
      <w:lvlJc w:val="left"/>
      <w:lvlText w:val="%1."/>
      <w:numFmt w:val="upperLetter"/>
      <w:start w:val="1"/>
    </w:lvl>
  </w:abstractNum>
  <w:abstractNum w:abstractNumId="128">
    <w:nsid w:val="5D205E20"/>
    <w:multiLevelType w:val="hybridMultilevel"/>
    <w:lvl w:ilvl="0">
      <w:lvlJc w:val="left"/>
      <w:lvlText w:val="%1."/>
      <w:numFmt w:val="upperLetter"/>
      <w:start w:val="1"/>
    </w:lvl>
  </w:abstractNum>
  <w:abstractNum w:abstractNumId="129">
    <w:nsid w:val="11CCA8BA"/>
    <w:multiLevelType w:val="hybridMultilevel"/>
    <w:lvl w:ilvl="0">
      <w:lvlJc w:val="left"/>
      <w:lvlText w:val="%1."/>
      <w:numFmt w:val="upperLetter"/>
      <w:start w:val="6"/>
    </w:lvl>
  </w:abstractNum>
  <w:abstractNum w:abstractNumId="130">
    <w:nsid w:val="4D32AB86"/>
    <w:multiLevelType w:val="hybridMultilevel"/>
    <w:lvl w:ilvl="0">
      <w:lvlJc w:val="left"/>
      <w:lvlText w:val="%1."/>
      <w:numFmt w:val="upperLetter"/>
      <w:start w:val="1"/>
    </w:lvl>
  </w:abstractNum>
  <w:abstractNum w:abstractNumId="131">
    <w:nsid w:val="3F07ACC3"/>
    <w:multiLevelType w:val="hybridMultilevel"/>
    <w:lvl w:ilvl="0">
      <w:lvlJc w:val="left"/>
      <w:lvlText w:val="•"/>
      <w:numFmt w:val="bullet"/>
      <w:start w:val="1"/>
    </w:lvl>
  </w:abstractNum>
  <w:abstractNum w:abstractNumId="132">
    <w:nsid w:val="6B47F63E"/>
    <w:multiLevelType w:val="hybridMultilevel"/>
    <w:lvl w:ilvl="0">
      <w:lvlJc w:val="left"/>
      <w:lvlText w:val="•"/>
      <w:numFmt w:val="bullet"/>
      <w:start w:val="1"/>
    </w:lvl>
  </w:abstractNum>
  <w:abstractNum w:abstractNumId="133">
    <w:nsid w:val="5CB44A05"/>
    <w:multiLevelType w:val="hybridMultilevel"/>
    <w:lvl w:ilvl="0">
      <w:lvlJc w:val="left"/>
      <w:lvlText w:val="•"/>
      <w:numFmt w:val="bullet"/>
      <w:start w:val="1"/>
    </w:lvl>
  </w:abstractNum>
  <w:abstractNum w:abstractNumId="134">
    <w:nsid w:val="16CF80F1"/>
    <w:multiLevelType w:val="hybridMultilevel"/>
    <w:lvl w:ilvl="0">
      <w:lvlJc w:val="left"/>
      <w:lvlText w:val="(%1)"/>
      <w:numFmt w:val="lowerRoman"/>
      <w:start w:val="1"/>
    </w:lvl>
  </w:abstractNum>
  <w:abstractNum w:abstractNumId="135">
    <w:nsid w:val="1C695DEC"/>
    <w:multiLevelType w:val="hybridMultilevel"/>
    <w:lvl w:ilvl="0">
      <w:lvlJc w:val="left"/>
      <w:lvlText w:val="%1."/>
      <w:numFmt w:val="upperLetter"/>
      <w:start w:val="6"/>
    </w:lvl>
  </w:abstractNum>
  <w:abstractNum w:abstractNumId="136">
    <w:nsid w:val="3FCFAED9"/>
    <w:multiLevelType w:val="hybridMultilevel"/>
    <w:lvl w:ilvl="0">
      <w:lvlJc w:val="left"/>
      <w:lvlText w:val="%1."/>
      <w:numFmt w:val="upperLetter"/>
      <w:start w:val="7"/>
    </w:lvl>
  </w:abstractNum>
  <w:abstractNum w:abstractNumId="137">
    <w:nsid w:val="F856867"/>
    <w:multiLevelType w:val="hybridMultilevel"/>
    <w:lvl w:ilvl="0">
      <w:lvlJc w:val="left"/>
      <w:lvlText w:val="%1."/>
      <w:numFmt w:val="upperLetter"/>
      <w:start w:val="9"/>
    </w:lvl>
  </w:abstractNum>
  <w:abstractNum w:abstractNumId="138">
    <w:nsid w:val="11B1CC33"/>
    <w:multiLevelType w:val="hybridMultilevel"/>
    <w:lvl w:ilvl="0">
      <w:lvlJc w:val="left"/>
      <w:lvlText w:val="%1."/>
      <w:numFmt w:val="upperLetter"/>
      <w:start w:val="1"/>
    </w:lvl>
  </w:abstractNum>
  <w:abstractNum w:abstractNumId="139">
    <w:nsid w:val="2E22FBB7"/>
    <w:multiLevelType w:val="hybridMultilevel"/>
    <w:lvl w:ilvl="0">
      <w:lvlJc w:val="left"/>
      <w:lvlText w:val="%1."/>
      <w:numFmt w:val="upperLetter"/>
      <w:start w:val="1"/>
    </w:lvl>
  </w:abstractNum>
  <w:abstractNum w:abstractNumId="140">
    <w:nsid w:val="29934699"/>
    <w:multiLevelType w:val="hybridMultilevel"/>
    <w:lvl w:ilvl="0">
      <w:lvlJc w:val="left"/>
      <w:lvlText w:val="*"/>
      <w:numFmt w:val="bullet"/>
      <w:start w:val="1"/>
    </w:lvl>
  </w:abstractNum>
  <w:abstractNum w:abstractNumId="141">
    <w:nsid w:val="77485850"/>
    <w:multiLevelType w:val="hybridMultilevel"/>
    <w:lvl w:ilvl="0">
      <w:lvlJc w:val="left"/>
      <w:lvlText w:val="%1."/>
      <w:numFmt w:val="decimal"/>
      <w:start w:val="1"/>
    </w:lvl>
  </w:abstractNum>
  <w:abstractNum w:abstractNumId="142">
    <w:nsid w:val="744939A3"/>
    <w:multiLevelType w:val="hybridMultilevel"/>
    <w:lvl w:ilvl="0">
      <w:lvlJc w:val="left"/>
      <w:lvlText w:val="%1."/>
      <w:numFmt w:val="decimal"/>
      <w:start w:val="2"/>
    </w:lvl>
  </w:abstractNum>
  <w:abstractNum w:abstractNumId="143">
    <w:nsid w:val="4FA0D2E3"/>
    <w:multiLevelType w:val="hybridMultilevel"/>
    <w:lvl w:ilvl="0">
      <w:lvlJc w:val="left"/>
      <w:lvlText w:val="%1."/>
      <w:numFmt w:val="decimal"/>
      <w:start w:val="3"/>
    </w:lvl>
  </w:abstractNum>
  <w:abstractNum w:abstractNumId="144">
    <w:nsid w:val="6B1D2C14"/>
    <w:multiLevelType w:val="hybridMultilevel"/>
    <w:lvl w:ilvl="0">
      <w:lvlJc w:val="left"/>
      <w:lvlText w:val="%1."/>
      <w:numFmt w:val="lowerRoman"/>
      <w:start w:val="1"/>
    </w:lvl>
  </w:abstractNum>
  <w:abstractNum w:abstractNumId="145">
    <w:nsid w:val="68B867D3"/>
    <w:multiLevelType w:val="hybridMultilevel"/>
    <w:lvl w:ilvl="0">
      <w:lvlJc w:val="left"/>
      <w:lvlText w:val="●"/>
      <w:numFmt w:val="bullet"/>
      <w:start w:val="1"/>
    </w:lvl>
  </w:abstractNum>
  <w:abstractNum w:abstractNumId="146">
    <w:nsid w:val="3F7F5DD9"/>
    <w:multiLevelType w:val="hybridMultilevel"/>
    <w:lvl w:ilvl="0">
      <w:lvlJc w:val="left"/>
      <w:lvlText w:val="%1."/>
      <w:numFmt w:val="decimal"/>
      <w:start w:val="4"/>
    </w:lvl>
  </w:abstractNum>
  <w:abstractNum w:abstractNumId="147">
    <w:nsid w:val="2AE05A34"/>
    <w:multiLevelType w:val="hybridMultilevel"/>
    <w:lvl w:ilvl="0">
      <w:lvlJc w:val="left"/>
      <w:lvlText w:val="%1."/>
      <w:numFmt w:val="decimal"/>
      <w:start w:val="5"/>
    </w:lvl>
  </w:abstractNum>
  <w:abstractNum w:abstractNumId="148">
    <w:nsid w:val="32794FF7"/>
    <w:multiLevelType w:val="hybridMultilevel"/>
    <w:lvl w:ilvl="0">
      <w:lvlJc w:val="left"/>
      <w:lvlText w:val="%1."/>
      <w:numFmt w:val="decimal"/>
      <w:start w:val="6"/>
    </w:lvl>
  </w:abstractNum>
  <w:abstractNum w:abstractNumId="149">
    <w:nsid w:val="5454945E"/>
    <w:multiLevelType w:val="hybridMultilevel"/>
    <w:lvl w:ilvl="0">
      <w:lvlJc w:val="left"/>
      <w:lvlText w:val="%1."/>
      <w:numFmt w:val="decimal"/>
      <w:start w:val="7"/>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1."/>
      <w:numFmt w:val="decimal"/>
      <w:start w:val="8"/>
    </w:lvl>
  </w:abstractNum>
  <w:abstractNum w:abstractNumId="152">
    <w:nsid w:val="135B8110"/>
    <w:multiLevelType w:val="hybridMultilevel"/>
    <w:lvl w:ilvl="0">
      <w:lvlJc w:val="left"/>
      <w:lvlText w:val="%1."/>
      <w:numFmt w:val="decimal"/>
      <w:start w:val="15"/>
    </w:lvl>
  </w:abstractNum>
  <w:abstractNum w:abstractNumId="153">
    <w:nsid w:val="94927A8"/>
    <w:multiLevelType w:val="hybridMultilevel"/>
    <w:lvl w:ilvl="0">
      <w:lvlJc w:val="left"/>
      <w:lvlText w:val="%1."/>
      <w:numFmt w:val="decimal"/>
      <w:start w:val="18"/>
    </w:lvl>
  </w:abstractNum>
  <w:abstractNum w:abstractNumId="154">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5">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6">
    <w:nsid w:val="2E8A6394"/>
    <w:multiLevelType w:val="hybridMultilevel"/>
    <w:lvl w:ilvl="0">
      <w:lvlJc w:val="left"/>
      <w:lvlText w:val="(%1)"/>
      <w:numFmt w:val="lowerRoman"/>
      <w:start w:val="3"/>
    </w:lvl>
    <w:lvl w:ilvl="1">
      <w:lvlJc w:val="left"/>
      <w:lvlText w:val="(%2)"/>
      <w:numFmt w:val="upperLetter"/>
      <w:start w:val="2"/>
    </w:lvl>
  </w:abstractNum>
  <w:abstractNum w:abstractNumId="157">
    <w:nsid w:val="24E60401"/>
    <w:multiLevelType w:val="hybridMultilevel"/>
    <w:lvl w:ilvl="0">
      <w:lvlJc w:val="left"/>
      <w:lvlText w:val="(%1)"/>
      <w:numFmt w:val="lowerRoman"/>
      <w:start w:val="3"/>
    </w:lvl>
  </w:abstractNum>
  <w:abstractNum w:abstractNumId="158">
    <w:nsid w:val="2A6AD9BE"/>
    <w:multiLevelType w:val="hybridMultilevel"/>
    <w:lvl w:ilvl="0">
      <w:lvlJc w:val="left"/>
      <w:lvlText w:val="%1)"/>
      <w:numFmt w:val="lowerLetter"/>
      <w:start w:val="2"/>
    </w:lvl>
  </w:abstractNum>
  <w:abstractNum w:abstractNumId="159">
    <w:nsid w:val="BAAC1B4"/>
    <w:multiLevelType w:val="hybridMultilevel"/>
    <w:lvl w:ilvl="0">
      <w:lvlJc w:val="left"/>
      <w:lvlText w:val="%1)"/>
      <w:numFmt w:val="lowerLetter"/>
      <w:start w:val="3"/>
    </w:lvl>
  </w:abstractNum>
  <w:abstractNum w:abstractNumId="160">
    <w:nsid w:val="36B2ACBC"/>
    <w:multiLevelType w:val="hybridMultilevel"/>
    <w:lvl w:ilvl="0">
      <w:lvlJc w:val="left"/>
      <w:lvlText w:val="%1)"/>
      <w:numFmt w:val="lowerLetter"/>
      <w:start w:val="4"/>
    </w:lvl>
  </w:abstractNum>
  <w:abstractNum w:abstractNumId="161">
    <w:nsid w:val="779D8544"/>
    <w:multiLevelType w:val="hybridMultilevel"/>
    <w:lvl w:ilvl="0">
      <w:lvlJc w:val="left"/>
      <w:lvlText w:val="%1)"/>
      <w:numFmt w:val="lowerLetter"/>
      <w:start w:val="5"/>
    </w:lvl>
  </w:abstractNum>
  <w:abstractNum w:abstractNumId="162">
    <w:nsid w:val="4AB26E78"/>
    <w:multiLevelType w:val="hybridMultilevel"/>
    <w:lvl w:ilvl="0">
      <w:lvlJc w:val="left"/>
      <w:lvlText w:val="%1)"/>
      <w:numFmt w:val="lowerLetter"/>
      <w:start w:val="5"/>
    </w:lvl>
  </w:abstractNum>
  <w:abstractNum w:abstractNumId="163">
    <w:nsid w:val="21FAA2FA"/>
    <w:multiLevelType w:val="hybridMultilevel"/>
    <w:lvl w:ilvl="0">
      <w:lvlJc w:val="left"/>
      <w:lvlText w:val="%1)"/>
      <w:numFmt w:val="lowerLetter"/>
      <w:start w:val="5"/>
    </w:lvl>
  </w:abstractNum>
  <w:abstractNum w:abstractNumId="164">
    <w:nsid w:val="5451CF49"/>
    <w:multiLevelType w:val="hybridMultilevel"/>
    <w:lvl w:ilvl="0">
      <w:lvlJc w:val="left"/>
      <w:lvlText w:val="%1)"/>
      <w:numFmt w:val="lowerLetter"/>
      <w:start w:val="6"/>
    </w:lvl>
  </w:abstractNum>
  <w:abstractNum w:abstractNumId="165">
    <w:nsid w:val="6181EF69"/>
    <w:multiLevelType w:val="hybridMultilevel"/>
    <w:lvl w:ilvl="0">
      <w:lvlJc w:val="left"/>
      <w:lvlText w:val="%1)"/>
      <w:numFmt w:val="lowerLetter"/>
      <w:start w:val="2"/>
    </w:lvl>
  </w:abstractNum>
  <w:abstractNum w:abstractNumId="166">
    <w:nsid w:val="3E6400E6"/>
    <w:multiLevelType w:val="hybridMultilevel"/>
    <w:lvl w:ilvl="0">
      <w:lvlJc w:val="left"/>
      <w:lvlText w:val="%1)"/>
      <w:numFmt w:val="lowerLetter"/>
      <w:start w:val="1"/>
    </w:lvl>
  </w:abstractNum>
  <w:abstractNum w:abstractNumId="167">
    <w:nsid w:val="14217E23"/>
    <w:multiLevelType w:val="hybridMultilevel"/>
    <w:lvl w:ilvl="0">
      <w:lvlJc w:val="left"/>
      <w:lvlText w:val="%1)"/>
      <w:numFmt w:val="lowerLetter"/>
      <w:start w:val="1"/>
    </w:lvl>
  </w:abstractNum>
  <w:abstractNum w:abstractNumId="168">
    <w:nsid w:val="710757D0"/>
    <w:multiLevelType w:val="hybridMultilevel"/>
    <w:lvl w:ilvl="0">
      <w:lvlJc w:val="left"/>
      <w:lvlText w:val="%1)"/>
      <w:numFmt w:val="lowerLetter"/>
      <w:start w:val="1"/>
    </w:lvl>
  </w:abstractNum>
  <w:abstractNum w:abstractNumId="169">
    <w:nsid w:val="5015CD1A"/>
    <w:multiLevelType w:val="hybridMultilevel"/>
    <w:lvl w:ilvl="0">
      <w:lvlJc w:val="left"/>
      <w:lvlText w:val="%1)"/>
      <w:numFmt w:val="lowerLetter"/>
      <w:start w:val="1"/>
    </w:lvl>
  </w:abstractNum>
  <w:abstractNum w:abstractNumId="170">
    <w:nsid w:val="424479DA"/>
    <w:multiLevelType w:val="hybridMultilevel"/>
    <w:lvl w:ilvl="0">
      <w:lvlJc w:val="left"/>
      <w:lvlText w:val="•"/>
      <w:numFmt w:val="bullet"/>
      <w:start w:val="1"/>
    </w:lvl>
  </w:abstractNum>
  <w:abstractNum w:abstractNumId="171">
    <w:nsid w:val="1A9A9E69"/>
    <w:multiLevelType w:val="hybridMultilevel"/>
    <w:lvl w:ilvl="0">
      <w:lvlJc w:val="left"/>
      <w:lvlText w:val="•"/>
      <w:numFmt w:val="bullet"/>
      <w:start w:val="1"/>
    </w:lvl>
  </w:abstractNum>
  <w:abstractNum w:abstractNumId="172">
    <w:nsid w:val="475E256A"/>
    <w:multiLevelType w:val="hybridMultilevel"/>
    <w:lvl w:ilvl="0">
      <w:lvlJc w:val="left"/>
      <w:lvlText w:val="•"/>
      <w:numFmt w:val="bullet"/>
      <w:start w:val="1"/>
    </w:lvl>
  </w:abstractNum>
  <w:abstractNum w:abstractNumId="173">
    <w:nsid w:val="368DB37E"/>
    <w:multiLevelType w:val="hybridMultilevel"/>
    <w:lvl w:ilvl="0">
      <w:lvlJc w:val="left"/>
      <w:lvlText w:val="•"/>
      <w:numFmt w:val="bullet"/>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
      <w:numFmt w:val="bullet"/>
      <w:start w:val="1"/>
    </w:lvl>
  </w:abstractNum>
  <w:abstractNum w:abstractNumId="176">
    <w:nsid w:val="1F461B51"/>
    <w:multiLevelType w:val="hybridMultilevel"/>
    <w:lvl w:ilvl="0">
      <w:lvlJc w:val="left"/>
      <w:lvlText w:val="•"/>
      <w:numFmt w:val="bullet"/>
      <w:start w:val="1"/>
    </w:lvl>
  </w:abstractNum>
  <w:abstractNum w:abstractNumId="177">
    <w:nsid w:val="29BACF25"/>
    <w:multiLevelType w:val="hybridMultilevel"/>
    <w:lvl w:ilvl="0">
      <w:lvlJc w:val="left"/>
      <w:lvlText w:val="•"/>
      <w:numFmt w:val="bullet"/>
      <w:start w:val="1"/>
    </w:lvl>
  </w:abstractNum>
  <w:abstractNum w:abstractNumId="178">
    <w:nsid w:val="5D5BABB3"/>
    <w:multiLevelType w:val="hybridMultilevel"/>
    <w:lvl w:ilvl="0">
      <w:lvlJc w:val="left"/>
      <w:lvlText w:val="%1."/>
      <w:numFmt w:val="decimal"/>
      <w:start w:val="1"/>
    </w:lvl>
  </w:abstractNum>
  <w:abstractNum w:abstractNumId="179">
    <w:nsid w:val="51BF6B48"/>
    <w:multiLevelType w:val="hybridMultilevel"/>
    <w:lvl w:ilvl="0">
      <w:lvlJc w:val="left"/>
      <w:lvlText w:val="(%1)"/>
      <w:numFmt w:val="lowerLetter"/>
      <w:start w:val="1"/>
    </w:lvl>
  </w:abstractNum>
  <w:abstractNum w:abstractNumId="180">
    <w:nsid w:val="7E0F6384"/>
    <w:multiLevelType w:val="hybridMultilevel"/>
    <w:lvl w:ilvl="0">
      <w:lvlJc w:val="left"/>
      <w:lvlText w:val="%1."/>
      <w:numFmt w:val="decimal"/>
      <w:start w:val="5"/>
    </w:lvl>
  </w:abstractNum>
  <w:abstractNum w:abstractNumId="181">
    <w:nsid w:val="2B4B8B53"/>
    <w:multiLevelType w:val="hybridMultilevel"/>
    <w:lvl w:ilvl="0">
      <w:lvlJc w:val="left"/>
      <w:lvlText w:val="(%1)"/>
      <w:numFmt w:val="lowerLetter"/>
      <w:start w:val="1"/>
    </w:lvl>
  </w:abstractNum>
  <w:abstractNum w:abstractNumId="182">
    <w:nsid w:val="72E3413A"/>
    <w:multiLevelType w:val="hybridMultilevel"/>
    <w:lvl w:ilvl="0">
      <w:lvlJc w:val="left"/>
      <w:lvlText w:val="%1."/>
      <w:numFmt w:val="decimal"/>
      <w:start w:val="1"/>
    </w:lvl>
  </w:abstractNum>
  <w:abstractNum w:abstractNumId="183">
    <w:nsid w:val="116AE494"/>
    <w:multiLevelType w:val="hybridMultilevel"/>
    <w:lvl w:ilvl="0">
      <w:lvlJc w:val="left"/>
      <w:lvlText w:val="(%1)"/>
      <w:numFmt w:val="lowerLetter"/>
      <w:start w:val="1"/>
    </w:lvl>
  </w:abstractNum>
  <w:abstractNum w:abstractNumId="184">
    <w:nsid w:val="3494B2FB"/>
    <w:multiLevelType w:val="hybridMultilevel"/>
    <w:lvl w:ilvl="0">
      <w:lvlJc w:val="left"/>
      <w:lvlText w:val="%1."/>
      <w:numFmt w:val="decimal"/>
      <w:start w:val="5"/>
    </w:lvl>
  </w:abstractNum>
  <w:abstractNum w:abstractNumId="185">
    <w:nsid w:val="B13A31"/>
    <w:multiLevelType w:val="hybridMultilevel"/>
    <w:lvl w:ilvl="0">
      <w:lvlJc w:val="left"/>
      <w:lvlText w:val="(%1)"/>
      <w:numFmt w:val="lowerLetter"/>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225" Type="http://schemas.openxmlformats.org/officeDocument/2006/relationships/hyperlink" Target="https://www.sec.gov/Archives/edgar/data/1651625/000119312516607922/d16439dex101.htm" TargetMode="External"/><Relationship Id="rId226" Type="http://schemas.openxmlformats.org/officeDocument/2006/relationships/hyperlink" Target="https://www.sec.gov/Archives/edgar/data/1651625/000119312516607922/d16439dex102.htm" TargetMode="External"/><Relationship Id="rId227" Type="http://schemas.openxmlformats.org/officeDocument/2006/relationships/hyperlink" Target="https://www.sec.gov/Archives/edgar/data/1651625/000119312516607922/d16439dex103.htm" TargetMode="External"/><Relationship Id="rId228" Type="http://schemas.openxmlformats.org/officeDocument/2006/relationships/hyperlink" Target="https://www.sec.gov/Archives/edgar/data/1651625/000119312516607922/d16439dex104.htm" TargetMode="External"/><Relationship Id="rId229" Type="http://schemas.openxmlformats.org/officeDocument/2006/relationships/hyperlink" Target="https://www.sec.gov/Archives/edgar/data/1651625/000119312516607922/d16439dex105.htm" TargetMode="External"/><Relationship Id="rId230" Type="http://schemas.openxmlformats.org/officeDocument/2006/relationships/hyperlink" Target="https://www.sec.gov/Archives/edgar/data/1651625/000119312516607922/d16439dex106.htm" TargetMode="External"/><Relationship Id="rId231" Type="http://schemas.openxmlformats.org/officeDocument/2006/relationships/hyperlink" Target="https://www.sec.gov/Archives/edgar/data/1651625/000119312516607922/d16439dex107.htm" TargetMode="External"/><Relationship Id="rId232" Type="http://schemas.openxmlformats.org/officeDocument/2006/relationships/hyperlink" Target="https://www.sec.gov/Archives/edgar/data/1651625/000095010316017052/dp69421_ex9908.htm" TargetMode="External"/><Relationship Id="rId233" Type="http://schemas.openxmlformats.org/officeDocument/2006/relationships/hyperlink" Target="https://www.sec.gov/Archives/edgar/data/1651625/000095010319004949/dp105140_ex0414.htm" TargetMode="External"/><Relationship Id="rId234" Type="http://schemas.openxmlformats.org/officeDocument/2006/relationships/hyperlink" Target="https://www.sec.gov/Archives/edgar/data/1651625/000095010319003578/dp103711_ex0415.htm" TargetMode="External"/><Relationship Id="rId235" Type="http://schemas.openxmlformats.org/officeDocument/2006/relationships/hyperlink" Target="https://www.sec.gov/Archives/edgar/data/1651625/000095010319012523/dp112992_ex1001.htm" TargetMode="External"/><Relationship Id="rId236" Type="http://schemas.openxmlformats.org/officeDocument/2006/relationships/hyperlink" Target="https://www.sec.gov/Archives/edgar/data/1651625/000095010320005734/dp124366_ex1001.htm" TargetMode="External"/><Relationship Id="rId237" Type="http://schemas.openxmlformats.org/officeDocument/2006/relationships/hyperlink" Target="https://www.sec.gov/Archives/edgar/data/1651625/000095010321006778/dp1150581_ex0101.htm" TargetMode="External"/><Relationship Id="rId238" Type="http://schemas.openxmlformats.org/officeDocument/2006/relationships/hyperlink" Target="https://www.sec.gov/Archives/edgar/data/1651625/000095010321011884/dp155670_ex1001.htm" TargetMode="External"/><Relationship Id="rId239" Type="http://schemas.openxmlformats.org/officeDocument/2006/relationships/hyperlink" Target="https://www.sec.gov/Archives/edgar/data/1651625/000095010321011884/dp155670_ex1002.htm" TargetMode="External"/><Relationship Id="rId240" Type="http://schemas.openxmlformats.org/officeDocument/2006/relationships/hyperlink" Target="https://www.sec.gov/Archives/edgar/data/1651625/000095010321011884/dp155670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2022-03-22T06:07:21Z</dcterms:created>
  <dcterms:modified xsi:type="dcterms:W3CDTF">2022-03-22T06:07:21Z</dcterms:modified>
</cp:coreProperties>
</file>