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 IMMUNE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H00263105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540" w:hanging="208"/>
        <w:spacing w:after="0"/>
        <w:tabs>
          <w:tab w:leader="none" w:pos="5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H00263105</w:t>
            </w: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91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w:t>
            </w:r>
          </w:p>
        </w:tc>
        <w:tc>
          <w:tcPr>
            <w:tcW w:w="220" w:type="dxa"/>
            <w:vAlign w:val="bottom"/>
          </w:tcPr>
          <w:p>
            <w:pPr>
              <w:spacing w:after="0"/>
              <w:rPr>
                <w:sz w:val="16"/>
                <w:szCs w:val="16"/>
                <w:color w:val="auto"/>
              </w:rPr>
            </w:pPr>
          </w:p>
        </w:tc>
        <w:tc>
          <w:tcPr>
            <w:tcW w:w="9800" w:type="dxa"/>
            <w:vAlign w:val="bottom"/>
            <w:tcBorders>
              <w:right w:val="single" w:sz="8" w:color="auto"/>
            </w:tcBorders>
            <w:gridSpan w:val="5"/>
          </w:tcPr>
          <w:p>
            <w:pPr>
              <w:ind w:left="40"/>
              <w:spacing w:after="0" w:line="191" w:lineRule="exact"/>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right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Affiris AG in Liqu</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spacing w:after="0"/>
              <w:rPr>
                <w:sz w:val="18"/>
                <w:szCs w:val="18"/>
                <w:color w:val="auto"/>
              </w:rPr>
            </w:pPr>
          </w:p>
        </w:tc>
        <w:tc>
          <w:tcPr>
            <w:tcW w:w="9140" w:type="dxa"/>
            <w:vAlign w:val="bottom"/>
            <w:tcBorders>
              <w:bottom w:val="single" w:sz="8" w:color="auto"/>
              <w:right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60"/>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(a)</w:t>
            </w:r>
          </w:p>
        </w:tc>
        <w:tc>
          <w:tcPr>
            <w:tcW w:w="540" w:type="dxa"/>
            <w:vAlign w:val="bottom"/>
            <w:gridSpan w:val="2"/>
          </w:tcPr>
          <w:p>
            <w:pPr>
              <w:ind w:left="120"/>
              <w:spacing w:after="0"/>
              <w:rPr>
                <w:sz w:val="20"/>
                <w:szCs w:val="20"/>
                <w:color w:val="auto"/>
              </w:rPr>
            </w:pPr>
            <w:r>
              <w:rPr>
                <w:rFonts w:ascii="Wingdings" w:cs="Wingdings" w:eastAsia="Wingdings" w:hAnsi="Wingdings"/>
                <w:sz w:val="18"/>
                <w:szCs w:val="18"/>
                <w:b w:val="1"/>
                <w:bCs w:val="1"/>
                <w:color w:val="auto"/>
              </w:rPr>
              <w:t>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20" w:type="dxa"/>
            <w:vAlign w:val="bottom"/>
            <w:tcBorders>
              <w:left w:val="single" w:sz="8" w:color="auto"/>
              <w:bottom w:val="single" w:sz="8" w:color="auto"/>
              <w:right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5"/>
              </w:rPr>
              <w:t>(b)</w:t>
            </w:r>
          </w:p>
        </w:tc>
        <w:tc>
          <w:tcPr>
            <w:tcW w:w="540" w:type="dxa"/>
            <w:vAlign w:val="bottom"/>
            <w:tcBorders>
              <w:bottom w:val="single" w:sz="8" w:color="auto"/>
            </w:tcBorders>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3</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4</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Austria</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82"/>
        </w:trPr>
        <w:tc>
          <w:tcPr>
            <w:tcW w:w="1440" w:type="dxa"/>
            <w:vAlign w:val="bottom"/>
            <w:tcBorders>
              <w:lef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6,578,100</w:t>
            </w:r>
          </w:p>
        </w:tc>
        <w:tc>
          <w:tcPr>
            <w:tcW w:w="0" w:type="dxa"/>
            <w:vAlign w:val="bottom"/>
          </w:tcPr>
          <w:p>
            <w:pPr>
              <w:spacing w:after="0"/>
              <w:rPr>
                <w:sz w:val="1"/>
                <w:szCs w:val="1"/>
                <w:color w:val="auto"/>
              </w:rPr>
            </w:pPr>
          </w:p>
        </w:tc>
      </w:tr>
      <w:tr>
        <w:trPr>
          <w:trHeight w:val="131"/>
        </w:trPr>
        <w:tc>
          <w:tcPr>
            <w:tcW w:w="1440" w:type="dxa"/>
            <w:vAlign w:val="bottom"/>
            <w:tcBorders>
              <w:left w:val="single" w:sz="8" w:color="auto"/>
            </w:tcBorders>
            <w:gridSpan w:val="2"/>
            <w:vMerge w:val="continue"/>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440" w:type="dxa"/>
            <w:vAlign w:val="bottom"/>
            <w:tcBorders>
              <w:lef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7</w:t>
            </w:r>
          </w:p>
        </w:tc>
        <w:tc>
          <w:tcPr>
            <w:tcW w:w="140" w:type="dxa"/>
            <w:vAlign w:val="bottom"/>
          </w:tcPr>
          <w:p>
            <w:pPr>
              <w:spacing w:after="0"/>
              <w:rPr>
                <w:sz w:val="16"/>
                <w:szCs w:val="16"/>
                <w:color w:val="auto"/>
              </w:rPr>
            </w:pPr>
          </w:p>
        </w:tc>
        <w:tc>
          <w:tcPr>
            <w:tcW w:w="900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90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6,578,100</w:t>
            </w: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Borders>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Borders>
              <w:lef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right w:val="single" w:sz="8" w:color="auto"/>
            </w:tcBorders>
            <w:vMerge w:val="restart"/>
          </w:tcPr>
          <w:p>
            <w:pPr>
              <w:jc w:val="right"/>
              <w:ind w:right="89"/>
              <w:spacing w:after="0"/>
              <w:rPr>
                <w:sz w:val="20"/>
                <w:szCs w:val="20"/>
                <w:color w:val="auto"/>
              </w:rPr>
            </w:pPr>
            <w:r>
              <w:rPr>
                <w:rFonts w:ascii="Times New Roman" w:cs="Times New Roman" w:eastAsia="Times New Roman" w:hAnsi="Times New Roman"/>
                <w:sz w:val="32"/>
                <w:szCs w:val="32"/>
                <w:b w:val="1"/>
                <w:bCs w:val="1"/>
                <w:color w:val="auto"/>
                <w:w w:val="99"/>
              </w:rPr>
              <w:t>8</w:t>
            </w:r>
          </w:p>
        </w:tc>
        <w:tc>
          <w:tcPr>
            <w:tcW w:w="140" w:type="dxa"/>
            <w:vAlign w:val="bottom"/>
          </w:tcPr>
          <w:p>
            <w:pPr>
              <w:spacing w:after="0"/>
              <w:rPr>
                <w:sz w:val="19"/>
                <w:szCs w:val="19"/>
                <w:color w:val="auto"/>
              </w:rPr>
            </w:pPr>
          </w:p>
        </w:tc>
        <w:tc>
          <w:tcPr>
            <w:tcW w:w="90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Borders>
              <w:right w:val="single" w:sz="8" w:color="auto"/>
            </w:tcBorders>
            <w:vMerge w:val="continue"/>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1220" w:type="dxa"/>
            <w:vAlign w:val="bottom"/>
            <w:tcBorders>
              <w:left w:val="single" w:sz="8" w:color="auto"/>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600" w:type="dxa"/>
            <w:vAlign w:val="bottom"/>
            <w:tcBorders>
              <w:bottom w:val="single" w:sz="8" w:color="auto"/>
              <w:right w:val="single" w:sz="8" w:color="auto"/>
            </w:tcBorders>
            <w:gridSpan w:val="2"/>
          </w:tcPr>
          <w:p>
            <w:pPr>
              <w:spacing w:after="0"/>
              <w:rPr>
                <w:sz w:val="11"/>
                <w:szCs w:val="11"/>
                <w:color w:val="auto"/>
              </w:rPr>
            </w:pPr>
          </w:p>
        </w:tc>
        <w:tc>
          <w:tcPr>
            <w:tcW w:w="9140" w:type="dxa"/>
            <w:vAlign w:val="bottom"/>
            <w:tcBorders>
              <w:bottom w:val="single" w:sz="8" w:color="auto"/>
              <w:right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6,578,100</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gridSpan w:val="2"/>
            <w:vMerge w:val="restart"/>
          </w:tcPr>
          <w:p>
            <w:pPr>
              <w:ind w:left="40"/>
              <w:spacing w:after="0"/>
              <w:rPr>
                <w:sz w:val="20"/>
                <w:szCs w:val="20"/>
                <w:color w:val="auto"/>
              </w:rPr>
            </w:pPr>
            <w:r>
              <w:rPr>
                <w:rFonts w:ascii="Wingdings" w:cs="Wingdings" w:eastAsia="Wingdings" w:hAnsi="Wingdings"/>
                <w:sz w:val="18"/>
                <w:szCs w:val="18"/>
                <w:b w:val="1"/>
                <w:bCs w:val="1"/>
                <w:color w:val="auto"/>
              </w:rPr>
              <w:t>o</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220" w:type="dxa"/>
            <w:vAlign w:val="bottom"/>
          </w:tcPr>
          <w:p>
            <w:pPr>
              <w:spacing w:after="0"/>
              <w:rPr>
                <w:sz w:val="20"/>
                <w:szCs w:val="20"/>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Pr>
          <w:p>
            <w:pPr>
              <w:spacing w:after="0"/>
              <w:rPr>
                <w:sz w:val="24"/>
                <w:szCs w:val="24"/>
                <w:color w:val="auto"/>
              </w:rPr>
            </w:pP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3"/>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12</w:t>
            </w:r>
          </w:p>
        </w:tc>
        <w:tc>
          <w:tcPr>
            <w:tcW w:w="220" w:type="dxa"/>
            <w:vAlign w:val="bottom"/>
          </w:tcPr>
          <w:p>
            <w:pPr>
              <w:spacing w:after="0"/>
              <w:rPr>
                <w:sz w:val="19"/>
                <w:szCs w:val="19"/>
                <w:color w:val="auto"/>
              </w:rPr>
            </w:pPr>
          </w:p>
        </w:tc>
        <w:tc>
          <w:tcPr>
            <w:tcW w:w="980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282"/>
        </w:trPr>
        <w:tc>
          <w:tcPr>
            <w:tcW w:w="1220" w:type="dxa"/>
            <w:vAlign w:val="bottom"/>
            <w:tcBorders>
              <w:left w:val="single" w:sz="8" w:color="auto"/>
              <w:right w:val="single" w:sz="8" w:color="auto"/>
            </w:tcBorders>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9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vMerge w:val="continue"/>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68"/>
        </w:trPr>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4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Item 1.</w:t>
      </w:r>
    </w:p>
    <w:p>
      <w:pPr>
        <w:spacing w:after="0" w:line="227" w:lineRule="exact"/>
        <w:rPr>
          <w:sz w:val="20"/>
          <w:szCs w:val="20"/>
          <w:color w:val="auto"/>
        </w:rPr>
      </w:pPr>
    </w:p>
    <w:p>
      <w:pPr>
        <w:ind w:left="340" w:right="8820" w:hanging="8"/>
        <w:spacing w:after="0" w:line="530" w:lineRule="auto"/>
        <w:tabs>
          <w:tab w:leader="none" w:pos="58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issuer: AC Immune SA</w:t>
      </w:r>
    </w:p>
    <w:p>
      <w:pPr>
        <w:ind w:left="580" w:hanging="248"/>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8060" w:hanging="8"/>
        <w:spacing w:after="0" w:line="530" w:lineRule="auto"/>
        <w:tabs>
          <w:tab w:leader="none" w:pos="58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persons filing: Affiris AG in Liqu ("Affiris")</w:t>
      </w:r>
    </w:p>
    <w:p>
      <w:pPr>
        <w:ind w:left="660" w:right="5540" w:hanging="328"/>
        <w:spacing w:after="0" w:line="530" w:lineRule="auto"/>
        <w:tabs>
          <w:tab w:leader="none" w:pos="59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Addresses or principal business offices or, if none, residence: For Affiris, Karl-Farkas-Gasse 22, 1030 Vienna, Austria</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8060" w:hanging="328"/>
        <w:spacing w:after="0" w:line="530" w:lineRule="auto"/>
        <w:tabs>
          <w:tab w:leader="none" w:pos="591"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class of securities: Ordinary shares.</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No.: H00263105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3. </w:t>
      </w:r>
      <w:r>
        <w:rPr>
          <w:rFonts w:ascii="Times New Roman" w:cs="Times New Roman" w:eastAsia="Times New Roman" w:hAnsi="Times New Roman"/>
          <w:sz w:val="18"/>
          <w:szCs w:val="18"/>
          <w:color w:val="auto"/>
        </w:rPr>
        <w:t>If this statement is filed pursuant to §§240.13d–1(b) or 240.13d–2(b) or (c), check whether the person filing is a:</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jc w:val="center"/>
        <w:ind w:left="660" w:right="8220" w:hanging="652"/>
        <w:spacing w:after="0" w:line="500" w:lineRule="auto"/>
        <w:tabs>
          <w:tab w:leader="none" w:pos="2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6,578,100 shares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line 11 of the cover sheet. The percentage set forth is based on 98,749,352 shares of the issuer that were reported as outstanding as of December 19, 2023.</w:t>
      </w:r>
    </w:p>
    <w:p>
      <w:pPr>
        <w:spacing w:after="0" w:line="2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740" w:right="1039" w:bottom="1440" w:gutter="0" w:footer="0" w:header="0"/>
        </w:sectPr>
      </w:pPr>
    </w:p>
    <w:bookmarkStart w:id="3" w:name="page4"/>
    <w:bookmarkEnd w:id="3"/>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25" w:lineRule="exact"/>
        <w:rPr>
          <w:rFonts w:ascii="Times New Roman" w:cs="Times New Roman" w:eastAsia="Times New Roman" w:hAnsi="Times New Roman"/>
          <w:sz w:val="18"/>
          <w:szCs w:val="18"/>
          <w:color w:val="auto"/>
        </w:rPr>
      </w:pPr>
    </w:p>
    <w:p>
      <w:pPr>
        <w:ind w:left="660" w:right="7360" w:hanging="4"/>
        <w:spacing w:after="0" w:line="500" w:lineRule="auto"/>
        <w:tabs>
          <w:tab w:leader="none" w:pos="8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line 5 of the cover sheet.</w:t>
      </w:r>
    </w:p>
    <w:p>
      <w:pPr>
        <w:spacing w:after="0" w:line="1" w:lineRule="exact"/>
        <w:rPr>
          <w:rFonts w:ascii="Times New Roman" w:cs="Times New Roman" w:eastAsia="Times New Roman" w:hAnsi="Times New Roman"/>
          <w:sz w:val="18"/>
          <w:szCs w:val="18"/>
          <w:color w:val="auto"/>
        </w:rPr>
      </w:pPr>
    </w:p>
    <w:p>
      <w:pPr>
        <w:ind w:left="660" w:right="7120" w:hanging="4"/>
        <w:spacing w:after="0" w:line="500" w:lineRule="auto"/>
        <w:tabs>
          <w:tab w:leader="none" w:pos="92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line 6 of the cover sheet.</w:t>
      </w:r>
    </w:p>
    <w:p>
      <w:pPr>
        <w:spacing w:after="0" w:line="1" w:lineRule="exact"/>
        <w:rPr>
          <w:rFonts w:ascii="Times New Roman" w:cs="Times New Roman" w:eastAsia="Times New Roman" w:hAnsi="Times New Roman"/>
          <w:sz w:val="18"/>
          <w:szCs w:val="18"/>
          <w:color w:val="auto"/>
        </w:rPr>
      </w:pPr>
    </w:p>
    <w:p>
      <w:pPr>
        <w:ind w:left="660" w:right="6340" w:hanging="4"/>
        <w:spacing w:after="0" w:line="500" w:lineRule="auto"/>
        <w:tabs>
          <w:tab w:leader="none" w:pos="97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line 7 of the cover sheet.</w:t>
      </w:r>
    </w:p>
    <w:p>
      <w:pPr>
        <w:spacing w:after="0" w:line="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line 8 of the cover sheet.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5. </w:t>
      </w:r>
      <w:r>
        <w:rPr>
          <w:rFonts w:ascii="Times New Roman" w:cs="Times New Roman" w:eastAsia="Times New Roman" w:hAnsi="Times New Roman"/>
          <w:sz w:val="18"/>
          <w:szCs w:val="18"/>
          <w:color w:val="auto"/>
        </w:rPr>
        <w:t>Ownership of 5 Percent or Less of a Class.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6. </w:t>
      </w:r>
      <w:r>
        <w:rPr>
          <w:rFonts w:ascii="Times New Roman" w:cs="Times New Roman" w:eastAsia="Times New Roman" w:hAnsi="Times New Roman"/>
          <w:sz w:val="18"/>
          <w:szCs w:val="18"/>
          <w:color w:val="auto"/>
        </w:rPr>
        <w:t>Ownership of More than 5 Percent on Behalf of Another Person.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Item 7. </w:t>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8. Identification and Classification of Members of the Group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Item 9. </w:t>
      </w:r>
      <w:r>
        <w:rPr>
          <w:rFonts w:ascii="Times New Roman" w:cs="Times New Roman" w:eastAsia="Times New Roman" w:hAnsi="Times New Roman"/>
          <w:sz w:val="18"/>
          <w:szCs w:val="18"/>
          <w:color w:val="auto"/>
        </w:rPr>
        <w:t>Notice of Dissolution of Group.</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10. Certifications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42" w:right="499"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AFFIRIS AG in Liqu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008630" cy="857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8572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Claus Schalper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Claus Schalper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2024-02-09T15:39:30Z</dcterms:created>
  <dcterms:modified xsi:type="dcterms:W3CDTF">2024-02-09T15:39:30Z</dcterms:modified>
</cp:coreProperties>
</file>