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left="260" w:right="2540"/>
        <w:spacing w:after="0" w:line="231" w:lineRule="auto"/>
        <w:rPr>
          <w:sz w:val="20"/>
          <w:szCs w:val="20"/>
          <w:color w:val="auto"/>
        </w:rPr>
      </w:pPr>
      <w:r>
        <w:rPr>
          <w:rFonts w:ascii="Arial" w:cs="Arial" w:eastAsia="Arial" w:hAnsi="Arial"/>
          <w:sz w:val="15"/>
          <w:szCs w:val="15"/>
          <w:b w:val="1"/>
          <w:bCs w:val="1"/>
          <w:color w:val="auto"/>
        </w:rPr>
        <w:t>As submitted confidentially with the Securities and Exchange Commission on October 2, 2015, as Amendment No. 2 to the confidential submission dated August 28, 2015 This draft registration statement has not been publicly filed with the Securities and Exchange Commission and all information herein remains strictly confidential.</w:t>
      </w: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F-1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AC IMMUNE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99695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9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left="27"/>
              <w:spacing w:after="0" w:line="153" w:lineRule="exact"/>
              <w:rPr>
                <w:sz w:val="20"/>
                <w:szCs w:val="20"/>
                <w:color w:val="auto"/>
              </w:rPr>
            </w:pPr>
            <w:r>
              <w:rPr>
                <w:rFonts w:ascii="Arial" w:cs="Arial" w:eastAsia="Arial" w:hAnsi="Arial"/>
                <w:sz w:val="14"/>
                <w:szCs w:val="14"/>
                <w:b w:val="1"/>
                <w:bCs w:val="1"/>
                <w:color w:val="auto"/>
                <w:w w:val="86"/>
              </w:rPr>
              <w:t>Proposed</w:t>
            </w:r>
          </w:p>
        </w:tc>
        <w:tc>
          <w:tcPr>
            <w:tcW w:w="168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74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7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4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4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81"/>
        </w:trPr>
        <w:tc>
          <w:tcPr>
            <w:tcW w:w="20" w:type="dxa"/>
            <w:vAlign w:val="bottom"/>
          </w:tcPr>
          <w:p>
            <w:pPr>
              <w:spacing w:after="0"/>
              <w:rPr>
                <w:sz w:val="15"/>
                <w:szCs w:val="15"/>
                <w:color w:val="auto"/>
              </w:rPr>
            </w:pPr>
          </w:p>
        </w:tc>
        <w:tc>
          <w:tcPr>
            <w:tcW w:w="7980" w:type="dxa"/>
            <w:vAlign w:val="bottom"/>
          </w:tcPr>
          <w:p>
            <w:pPr>
              <w:spacing w:after="0"/>
              <w:rPr>
                <w:sz w:val="20"/>
                <w:szCs w:val="20"/>
                <w:color w:val="auto"/>
              </w:rPr>
            </w:pPr>
            <w:r>
              <w:rPr>
                <w:rFonts w:ascii="Arial" w:cs="Arial" w:eastAsia="Arial" w:hAnsi="Arial"/>
                <w:sz w:val="15"/>
                <w:szCs w:val="15"/>
                <w:color w:val="auto"/>
              </w:rPr>
              <w:t>Common shares, nominal value CHF 0.02 per share</w:t>
            </w:r>
          </w:p>
        </w:tc>
        <w:tc>
          <w:tcPr>
            <w:tcW w:w="1740" w:type="dxa"/>
            <w:vAlign w:val="bottom"/>
          </w:tcPr>
          <w:p>
            <w:pPr>
              <w:jc w:val="right"/>
              <w:ind w:right="927"/>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907"/>
              <w:spacing w:after="0"/>
              <w:rPr>
                <w:sz w:val="20"/>
                <w:szCs w:val="20"/>
                <w:color w:val="auto"/>
              </w:rPr>
            </w:pPr>
            <w:r>
              <w:rPr>
                <w:rFonts w:ascii="Arial" w:cs="Arial" w:eastAsia="Arial" w:hAnsi="Arial"/>
                <w:sz w:val="15"/>
                <w:szCs w:val="15"/>
                <w:color w:val="auto"/>
              </w:rPr>
              <w:t>$</w:t>
            </w:r>
          </w:p>
        </w:tc>
      </w:tr>
    </w:tbl>
    <w:p>
      <w:pPr>
        <w:ind w:left="340" w:hanging="332"/>
        <w:spacing w:after="0" w:line="225"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“ACIU.”</w:t>
      </w:r>
    </w:p>
    <w:p>
      <w:pPr>
        <w:spacing w:after="0" w:line="22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to</w:t>
      </w:r>
    </w:p>
    <w:p>
      <w:pPr>
        <w:spacing w:after="0" w:line="493" w:lineRule="exact"/>
        <w:rPr>
          <w:sz w:val="20"/>
          <w:szCs w:val="20"/>
          <w:color w:val="auto"/>
        </w:rPr>
      </w:pPr>
    </w:p>
    <w:p>
      <w:pPr>
        <w:sectPr>
          <w:pgSz w:w="11900" w:h="16838" w:orient="portrait"/>
          <w:cols w:equalWidth="0" w:num="2">
            <w:col w:w="9460" w:space="620"/>
            <w:col w:w="134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0" w:lineRule="exact"/>
        <w:rPr>
          <w:sz w:val="20"/>
          <w:szCs w:val="20"/>
          <w:color w:val="auto"/>
        </w:rPr>
      </w:pPr>
    </w:p>
    <w:p>
      <w:pPr>
        <w:sectPr>
          <w:pgSz w:w="11900" w:h="16838" w:orient="portrait"/>
          <w:cols w:equalWidth="0" w:num="2">
            <w:col w:w="9660" w:space="720"/>
            <w:col w:w="1040"/>
          </w:cols>
          <w:pgMar w:left="240" w:top="459" w:right="239" w:bottom="1440" w:gutter="0" w:footer="0" w:header="0"/>
          <w:type w:val="continuous"/>
        </w:sectPr>
      </w:pPr>
    </w:p>
    <w:p>
      <w:pPr>
        <w:spacing w:after="0" w:line="120"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2015</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1.0699 to CHF 1.00, the official exchange rate quoted as at June 30, 2015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September 25, 2015, the exchange rate as reported by the U.S. Federal Reserve Bank was USD 1.0246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is expected to enter Phase 3 clinical studies in early 2016 and we believe it has the potential to become a best-in-class disease-modifying treatment for AD. We are advancing crenezumab under a collaboration agreement with Genentech, Inc., a wholly-owned subsidiary of Roche, or Genentech, for the treatment of AD. Genentech met with the U.S. Food and Drug Administration, or FDA, in October 2014 and again in September 2015 to discuss the Phase 3 study design.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as these studies were not powered for significance, the data showed promising signals of activity in patients with a milder stage of the disease.</w:t>
      </w:r>
    </w:p>
    <w:p>
      <w:pPr>
        <w:spacing w:after="0" w:line="101"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44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744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2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71" w:lineRule="auto"/>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primary endpoints, which were assessments using the ADAS-cog and CDR-Sum of boxes, it was not powered to do so and showed trends favoring crenezumab in the milder patient population. Notably, in an exploratory analysis, the high-dose crenezumab arm showed a non-significant slowing of cognition in the overall and mildly demented populations, which was statistically significant with a 35% slowing of the rate of cognitive decline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w:t>
      </w:r>
    </w:p>
    <w:p>
      <w:pPr>
        <w:spacing w:after="0" w:line="84" w:lineRule="exact"/>
        <w:rPr>
          <w:rFonts w:ascii="Arial" w:cs="Arial" w:eastAsia="Arial" w:hAnsi="Arial"/>
          <w:sz w:val="17"/>
          <w:szCs w:val="17"/>
          <w:color w:val="auto"/>
        </w:rPr>
      </w:pPr>
    </w:p>
    <w:p>
      <w:pPr>
        <w:ind w:left="162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208" w:lineRule="exact"/>
        <w:rPr>
          <w:sz w:val="20"/>
          <w:szCs w:val="20"/>
          <w:color w:val="auto"/>
        </w:rPr>
      </w:pPr>
    </w:p>
    <w:p>
      <w:pPr>
        <w:ind w:left="2980" w:right="2580"/>
        <w:spacing w:after="0" w:line="277" w:lineRule="auto"/>
        <w:rPr>
          <w:sz w:val="20"/>
          <w:szCs w:val="20"/>
          <w:color w:val="auto"/>
        </w:rPr>
      </w:pPr>
      <w:r>
        <w:rPr>
          <w:rFonts w:ascii="Arial" w:cs="Arial" w:eastAsia="Arial" w:hAnsi="Arial"/>
          <w:sz w:val="18"/>
          <w:szCs w:val="18"/>
          <w:color w:val="auto"/>
        </w:rPr>
        <w:t>ABBY High Dose Arm: Change in the Alzheimer Disease Assessment Scale-Cognitive Subscale, or ADAS-cog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An exploratory analysis in milder AD patients showed a 35.4% reduction in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cognitive decline (p=0.036).</w:t>
      </w:r>
    </w:p>
    <w:p>
      <w:pPr>
        <w:spacing w:after="0" w:line="238"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400" w:hanging="437"/>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8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86" w:lineRule="exact"/>
        <w:rPr>
          <w:rFonts w:ascii="Arial" w:cs="Arial" w:eastAsia="Arial" w:hAnsi="Arial"/>
          <w:sz w:val="18"/>
          <w:szCs w:val="18"/>
          <w:color w:val="auto"/>
        </w:rPr>
      </w:pPr>
    </w:p>
    <w:p>
      <w:pPr>
        <w:ind w:left="1060" w:right="12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Pharmaceuticals, Inc., a Johnson &amp; Johnson Company. We expect to complete our Phase 1b clinical study in the fourth quarter of 2016 and to begin Phase 2 clinical studies thereafter in 2017.</w:t>
      </w:r>
    </w:p>
    <w:p>
      <w:pPr>
        <w:spacing w:after="0" w:line="181"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60" w:firstLine="443"/>
        <w:spacing w:after="0" w:line="288"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principal executive offices are located at EPFL Innovation Park, Building B, 1015 Lausanne, Switzerland and our telephone number is +41 21 693 91 21. Our agent for service of process in the United States is</w:t>
      </w:r>
    </w:p>
    <w:p>
      <w:pPr>
        <w:ind w:left="200" w:right="500" w:firstLine="537"/>
        <w:spacing w:after="0" w:line="261" w:lineRule="auto"/>
        <w:tabs>
          <w:tab w:leader="none" w:pos="8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www.acimmune.com</w:t>
      </w:r>
      <w:r>
        <w:rPr>
          <w:rFonts w:ascii="Arial" w:cs="Arial" w:eastAsia="Arial" w:hAnsi="Arial"/>
          <w:sz w:val="18"/>
          <w:szCs w:val="18"/>
          <w:color w:val="auto"/>
        </w:rPr>
        <w:t>. Our website and the information contained therein or connected thereto are not incorporated into this prospectus or the registration statement of which it forms a part.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and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36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2936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8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181"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Common shares offered by us</w:t>
            </w:r>
          </w:p>
        </w:tc>
        <w:tc>
          <w:tcPr>
            <w:tcW w:w="38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8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Over-allotment option</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We have granted the underwriters the option to purchase up to an additional</w:t>
            </w:r>
          </w:p>
        </w:tc>
        <w:tc>
          <w:tcPr>
            <w:tcW w:w="820" w:type="dxa"/>
            <w:vAlign w:val="bottom"/>
          </w:tcPr>
          <w:p>
            <w:pPr>
              <w:ind w:left="160"/>
              <w:spacing w:after="0"/>
              <w:rPr>
                <w:sz w:val="20"/>
                <w:szCs w:val="20"/>
                <w:color w:val="auto"/>
              </w:rPr>
            </w:pPr>
            <w:r>
              <w:rPr>
                <w:rFonts w:ascii="Arial" w:cs="Arial" w:eastAsia="Arial" w:hAnsi="Arial"/>
                <w:sz w:val="18"/>
                <w:szCs w:val="18"/>
                <w:color w:val="auto"/>
                <w:w w:val="92"/>
              </w:rPr>
              <w:t>common</w:t>
            </w:r>
          </w:p>
        </w:tc>
      </w:tr>
      <w:tr>
        <w:trPr>
          <w:trHeight w:val="230"/>
        </w:trPr>
        <w:tc>
          <w:tcPr>
            <w:tcW w:w="414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Use of proceeds</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3"/>
              </w:rPr>
              <w:t>We estimate that the net proceeds to us from this offering will be approximately</w:t>
            </w:r>
          </w:p>
        </w:tc>
        <w:tc>
          <w:tcPr>
            <w:tcW w:w="82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million, assuming an initial public offering price of $</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per common share,</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which is the midpoint of the price range set forth on the cover page of this prospectus, after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deducting underwriting discounts and commissions and estimated offering expenses payable</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equivalents on hand to further the development of our therapeutic product candidates under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collaboration agreements (crenezumab, ACI-35 and anti-tau antibodies), advance our other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1"/>
              </w:rPr>
              <w:t>clinical and pre-clinical programs, and for research and development of other indications and</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initiatives that are complementary to our existing and planned research activities. See “Use of</w:t>
            </w:r>
          </w:p>
        </w:tc>
      </w:tr>
      <w:tr>
        <w:trPr>
          <w:trHeight w:val="230"/>
        </w:trPr>
        <w:tc>
          <w:tcPr>
            <w:tcW w:w="414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Proceeds” for a more complete description of the intended use of proceeds from this offering.</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4140" w:type="dxa"/>
            <w:vAlign w:val="bottom"/>
          </w:tcPr>
          <w:p>
            <w:pPr>
              <w:spacing w:after="0"/>
              <w:rPr>
                <w:sz w:val="20"/>
                <w:szCs w:val="20"/>
                <w:color w:val="auto"/>
              </w:rPr>
            </w:pP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factors you should consider before deciding to invest in our common shares.</w:t>
            </w:r>
          </w:p>
        </w:tc>
        <w:tc>
          <w:tcPr>
            <w:tcW w:w="820" w:type="dxa"/>
            <w:vAlign w:val="bottom"/>
          </w:tcPr>
          <w:p>
            <w:pPr>
              <w:spacing w:after="0"/>
              <w:rPr>
                <w:sz w:val="20"/>
                <w:szCs w:val="20"/>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“ACIU.”</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6"/>
        </w:trPr>
        <w:tc>
          <w:tcPr>
            <w:tcW w:w="6680" w:type="dxa"/>
            <w:vAlign w:val="bottom"/>
            <w:gridSpan w:val="3"/>
          </w:tcPr>
          <w:p>
            <w:pPr>
              <w:ind w:left="440"/>
              <w:spacing w:after="0"/>
              <w:rPr>
                <w:sz w:val="20"/>
                <w:szCs w:val="20"/>
                <w:color w:val="auto"/>
              </w:rPr>
            </w:pPr>
            <w:r>
              <w:rPr>
                <w:rFonts w:ascii="Arial" w:cs="Arial" w:eastAsia="Arial" w:hAnsi="Arial"/>
                <w:sz w:val="18"/>
                <w:szCs w:val="18"/>
                <w:color w:val="auto"/>
                <w:w w:val="94"/>
              </w:rPr>
              <w:t>The number of our common shares to be outstanding after this offering is based on</w:t>
            </w:r>
          </w:p>
        </w:tc>
        <w:tc>
          <w:tcPr>
            <w:tcW w:w="4260" w:type="dxa"/>
            <w:vAlign w:val="bottom"/>
            <w:gridSpan w:val="3"/>
          </w:tcPr>
          <w:p>
            <w:pPr>
              <w:ind w:left="300"/>
              <w:spacing w:after="0"/>
              <w:rPr>
                <w:sz w:val="20"/>
                <w:szCs w:val="20"/>
                <w:color w:val="auto"/>
              </w:rPr>
            </w:pPr>
            <w:r>
              <w:rPr>
                <w:rFonts w:ascii="Arial" w:cs="Arial" w:eastAsia="Arial" w:hAnsi="Arial"/>
                <w:sz w:val="18"/>
                <w:szCs w:val="18"/>
                <w:color w:val="auto"/>
                <w:w w:val="92"/>
              </w:rPr>
              <w:t>common shares outstanding as at June 30, 2015 and</w:t>
            </w:r>
          </w:p>
        </w:tc>
      </w:tr>
    </w:tbl>
    <w:p>
      <w:pPr>
        <w:ind w:left="200" w:right="180" w:firstLine="540"/>
        <w:spacing w:after="0" w:line="261" w:lineRule="auto"/>
        <w:rPr>
          <w:sz w:val="20"/>
          <w:szCs w:val="20"/>
          <w:color w:val="auto"/>
        </w:rPr>
      </w:pPr>
      <w:r>
        <w:rPr>
          <w:rFonts w:ascii="Arial" w:cs="Arial" w:eastAsia="Arial" w:hAnsi="Arial"/>
          <w:sz w:val="18"/>
          <w:szCs w:val="18"/>
          <w:color w:val="auto"/>
        </w:rPr>
        <w:t>additional common shares issuable upon the automatic conversion of all of our preferred shares on a one-for-one basis upon the closing of this offering, but excludes:</w:t>
      </w:r>
    </w:p>
    <w:p>
      <w:pPr>
        <w:spacing w:after="0" w:line="89" w:lineRule="exact"/>
        <w:rPr>
          <w:sz w:val="20"/>
          <w:szCs w:val="20"/>
          <w:color w:val="auto"/>
        </w:rPr>
      </w:pPr>
    </w:p>
    <w:p>
      <w:pPr>
        <w:ind w:left="1060" w:right="760" w:hanging="431"/>
        <w:spacing w:after="0" w:line="277"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1060" w:hanging="431"/>
        <w:spacing w:after="0" w:line="277"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 weighted-average exercise price of CHF 36.37 per common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33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Unless otherwise indicated, all information contained in this prospectus reflects the completion of a 250-for-one stock split and assumes:</w:t>
      </w:r>
    </w:p>
    <w:p>
      <w:pPr>
        <w:sectPr>
          <w:pgSz w:w="11900" w:h="16838" w:orient="portrait"/>
          <w:cols w:equalWidth="0" w:num="1">
            <w:col w:w="11140"/>
          </w:cols>
          <w:pgMar w:left="240" w:top="459" w:right="519" w:bottom="1440" w:gutter="0" w:footer="0" w:header="0"/>
        </w:sectPr>
      </w:pP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00"/>
          </w:cols>
          <w:pgMar w:left="240" w:top="459" w:right="519" w:bottom="1440" w:gutter="0" w:footer="0" w:header="0"/>
          <w:type w:val="continuous"/>
        </w:sectPr>
      </w:pPr>
    </w:p>
    <w:p>
      <w:pPr>
        <w:ind w:left="1060" w:right="360" w:hanging="431"/>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conversion of all of our preferred shares into common shares on a one-for-one basis upon the closing of this offering and the filing and</w:t>
      </w:r>
    </w:p>
    <w:p>
      <w:pPr>
        <w:sectPr>
          <w:pgSz w:w="11900" w:h="16838" w:orient="portrait"/>
          <w:cols w:equalWidth="0" w:num="1">
            <w:col w:w="11140"/>
          </w:cols>
          <w:pgMar w:left="240" w:top="459" w:right="519" w:bottom="1440" w:gutter="0" w:footer="0" w:header="0"/>
          <w:type w:val="continuous"/>
        </w:sectPr>
      </w:pPr>
    </w:p>
    <w:p>
      <w:pPr>
        <w:spacing w:after="0" w:line="46" w:lineRule="exact"/>
        <w:rPr>
          <w:sz w:val="20"/>
          <w:szCs w:val="20"/>
          <w:color w:val="auto"/>
        </w:rPr>
      </w:pPr>
    </w:p>
    <w:p>
      <w:pPr>
        <w:ind w:left="1060"/>
        <w:spacing w:after="0" w:line="261" w:lineRule="auto"/>
        <w:rPr>
          <w:sz w:val="20"/>
          <w:szCs w:val="20"/>
          <w:color w:val="auto"/>
        </w:rPr>
      </w:pPr>
      <w:r>
        <w:rPr>
          <w:rFonts w:ascii="Arial" w:cs="Arial" w:eastAsia="Arial" w:hAnsi="Arial"/>
          <w:sz w:val="18"/>
          <w:szCs w:val="18"/>
          <w:color w:val="auto"/>
        </w:rPr>
        <w:t>effectiveness of our amended and restated articles of association and creation of authorized share capital of common shares upon the closing of this offering; and</w:t>
      </w:r>
    </w:p>
    <w:p>
      <w:pPr>
        <w:sectPr>
          <w:pgSz w:w="11900" w:h="16838" w:orient="portrait"/>
          <w:cols w:equalWidth="0" w:num="1">
            <w:col w:w="11140"/>
          </w:cols>
          <w:pgMar w:left="240" w:top="459" w:right="519" w:bottom="1440" w:gutter="0" w:footer="0" w:header="0"/>
          <w:type w:val="continuous"/>
        </w:sectPr>
      </w:pPr>
    </w:p>
    <w:p>
      <w:pPr>
        <w:spacing w:after="0" w:line="8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320"/>
          </w:cols>
          <w:pgMar w:left="240" w:top="45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40"/>
          </w:cols>
          <w:pgMar w:left="240" w:top="459" w:right="5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summary income statement data and balance sheet data for and as at the years ended December 31, 2014 and 2013 are derived from our audited financial statements included elsewhere in this prospectus. The summary income statement data for the six months ended June 30, 2015 and 2014 and balance sheet data as at June 30, 2015 are derived from our unaudited condensed interim financial statements included elsewhere in this prospectus. This unaudited financial data, in management’s opinion, have been prepared on the same basis as the audited financial statements and related notes included elsewhere in this prospectus, and include all adjustments, consisting only of normal recurring adjustments, that management considers necessary for a fair presentation of the financial information as of and for the periods presented.</w:t>
      </w:r>
    </w:p>
    <w:p>
      <w:pPr>
        <w:spacing w:after="0" w:line="17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Six Months</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For the Years Ended</w:t>
            </w:r>
          </w:p>
        </w:tc>
      </w:tr>
      <w:tr>
        <w:trPr>
          <w:trHeight w:val="171"/>
        </w:trPr>
        <w:tc>
          <w:tcPr>
            <w:tcW w:w="7620" w:type="dxa"/>
            <w:vAlign w:val="bottom"/>
          </w:tcPr>
          <w:p>
            <w:pPr>
              <w:spacing w:after="0"/>
              <w:rPr>
                <w:sz w:val="14"/>
                <w:szCs w:val="14"/>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19"/>
        </w:trPr>
        <w:tc>
          <w:tcPr>
            <w:tcW w:w="7620" w:type="dxa"/>
            <w:vAlign w:val="bottom"/>
          </w:tcPr>
          <w:p>
            <w:pPr>
              <w:spacing w:after="0"/>
              <w:rPr>
                <w:sz w:val="10"/>
                <w:szCs w:val="10"/>
                <w:color w:val="auto"/>
              </w:rPr>
            </w:pPr>
          </w:p>
        </w:tc>
        <w:tc>
          <w:tcPr>
            <w:tcW w:w="3320" w:type="dxa"/>
            <w:vAlign w:val="bottom"/>
            <w:gridSpan w:val="7"/>
          </w:tcPr>
          <w:p>
            <w:pPr>
              <w:jc w:val="right"/>
              <w:ind w:right="231"/>
              <w:spacing w:after="0" w:line="119" w:lineRule="exact"/>
              <w:rPr>
                <w:sz w:val="20"/>
                <w:szCs w:val="20"/>
                <w:color w:val="auto"/>
              </w:rPr>
            </w:pPr>
            <w:r>
              <w:rPr>
                <w:rFonts w:ascii="Arial" w:cs="Arial" w:eastAsia="Arial" w:hAnsi="Arial"/>
                <w:sz w:val="13"/>
                <w:szCs w:val="13"/>
                <w:b w:val="1"/>
                <w:bCs w:val="1"/>
                <w:color w:val="auto"/>
              </w:rPr>
              <w:t>(in CHF thousands except for share and per</w:t>
            </w:r>
          </w:p>
        </w:tc>
        <w:tc>
          <w:tcPr>
            <w:tcW w:w="12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share data)</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14,401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30,269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8,637</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16,116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17,180</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3,436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2,955</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 (loss)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(11,498)</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Finance costs—net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(loss) before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(loss) for the period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0"/>
        </w:trPr>
        <w:tc>
          <w:tcPr>
            <w:tcW w:w="7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7620" w:type="dxa"/>
            <w:vAlign w:val="bottom"/>
          </w:tcPr>
          <w:p>
            <w:pPr>
              <w:ind w:left="360"/>
              <w:spacing w:after="0"/>
              <w:rPr>
                <w:sz w:val="20"/>
                <w:szCs w:val="20"/>
                <w:color w:val="auto"/>
              </w:rPr>
            </w:pPr>
            <w:r>
              <w:rPr>
                <w:rFonts w:ascii="Arial" w:cs="Arial" w:eastAsia="Arial" w:hAnsi="Arial"/>
                <w:sz w:val="18"/>
                <w:szCs w:val="18"/>
                <w:color w:val="auto"/>
              </w:rPr>
              <w:t>Earnings / (loss) per share (basic)(1)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62.93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 (loss) per share (fully diluted)(1)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170,901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170,707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170,739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162,356</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Weighted-average number of shares used to compute earnings / (loss) per share fully diluted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181,514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184,048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179,638</w:t>
            </w:r>
          </w:p>
        </w:tc>
      </w:tr>
    </w:tbl>
    <w:p>
      <w:pPr>
        <w:spacing w:after="0" w:line="175" w:lineRule="exact"/>
        <w:rPr>
          <w:sz w:val="20"/>
          <w:szCs w:val="20"/>
          <w:color w:val="auto"/>
        </w:rPr>
      </w:pPr>
    </w:p>
    <w:p>
      <w:pPr>
        <w:ind w:left="620" w:hanging="42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preferred shares, which will be converted on a one-for-one basis upon the closing of this offering.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08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3408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As at June 30, 2015</w:t>
            </w:r>
          </w:p>
        </w:tc>
        <w:tc>
          <w:tcPr>
            <w:tcW w:w="1640" w:type="dxa"/>
            <w:vAlign w:val="bottom"/>
            <w:tcBorders>
              <w:bottom w:val="single" w:sz="8" w:color="auto"/>
            </w:tcBorders>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Actual</w:t>
            </w:r>
          </w:p>
        </w:tc>
        <w:tc>
          <w:tcPr>
            <w:tcW w:w="210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As Adjusted(1)</w:t>
            </w:r>
          </w:p>
        </w:tc>
        <w:tc>
          <w:tcPr>
            <w:tcW w:w="16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3"/>
              </w:rPr>
              <w:t>As Further Adjusted(2)</w:t>
            </w: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 CHF thousands)</w:t>
            </w:r>
          </w:p>
        </w:tc>
        <w:tc>
          <w:tcPr>
            <w:tcW w:w="16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Cash and cash equivalents(3)</w:t>
            </w:r>
          </w:p>
        </w:tc>
        <w:tc>
          <w:tcPr>
            <w:tcW w:w="1100" w:type="dxa"/>
            <w:vAlign w:val="bottom"/>
          </w:tcPr>
          <w:p>
            <w:pPr>
              <w:jc w:val="right"/>
              <w:ind w:right="393"/>
              <w:spacing w:after="0"/>
              <w:rPr>
                <w:sz w:val="20"/>
                <w:szCs w:val="20"/>
                <w:color w:val="auto"/>
              </w:rPr>
            </w:pPr>
            <w:r>
              <w:rPr>
                <w:rFonts w:ascii="Arial" w:cs="Arial" w:eastAsia="Arial" w:hAnsi="Arial"/>
                <w:sz w:val="18"/>
                <w:szCs w:val="18"/>
                <w:color w:val="auto"/>
              </w:rPr>
              <w:t>19,355</w:t>
            </w:r>
          </w:p>
        </w:tc>
        <w:tc>
          <w:tcPr>
            <w:tcW w:w="2100" w:type="dxa"/>
            <w:vAlign w:val="bottom"/>
          </w:tcPr>
          <w:p>
            <w:pPr>
              <w:jc w:val="right"/>
              <w:ind w:right="657"/>
              <w:spacing w:after="0"/>
              <w:rPr>
                <w:sz w:val="20"/>
                <w:szCs w:val="20"/>
                <w:color w:val="auto"/>
              </w:rPr>
            </w:pPr>
            <w:r>
              <w:rPr>
                <w:rFonts w:ascii="Arial" w:cs="Arial" w:eastAsia="Arial" w:hAnsi="Arial"/>
                <w:sz w:val="18"/>
                <w:szCs w:val="18"/>
                <w:color w:val="auto"/>
              </w:rPr>
              <w:t>19,355</w:t>
            </w:r>
          </w:p>
        </w:tc>
        <w:tc>
          <w:tcPr>
            <w:tcW w:w="164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34,976</w:t>
            </w:r>
          </w:p>
        </w:tc>
        <w:tc>
          <w:tcPr>
            <w:tcW w:w="21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34,976</w:t>
            </w:r>
          </w:p>
        </w:tc>
        <w:tc>
          <w:tcPr>
            <w:tcW w:w="16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w w:val="98"/>
              </w:rPr>
              <w:t>(54,928)</w:t>
            </w:r>
          </w:p>
        </w:tc>
        <w:tc>
          <w:tcPr>
            <w:tcW w:w="2100" w:type="dxa"/>
            <w:vAlign w:val="bottom"/>
          </w:tcPr>
          <w:p>
            <w:pPr>
              <w:jc w:val="right"/>
              <w:ind w:right="597"/>
              <w:spacing w:after="0"/>
              <w:rPr>
                <w:sz w:val="20"/>
                <w:szCs w:val="20"/>
                <w:color w:val="auto"/>
              </w:rPr>
            </w:pPr>
            <w:r>
              <w:rPr>
                <w:rFonts w:ascii="Arial" w:cs="Arial" w:eastAsia="Arial" w:hAnsi="Arial"/>
                <w:sz w:val="18"/>
                <w:szCs w:val="18"/>
                <w:color w:val="auto"/>
              </w:rPr>
              <w:t>(54,928)</w:t>
            </w:r>
          </w:p>
        </w:tc>
        <w:tc>
          <w:tcPr>
            <w:tcW w:w="164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equity(3)</w:t>
            </w: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29,004</w:t>
            </w:r>
          </w:p>
        </w:tc>
        <w:tc>
          <w:tcPr>
            <w:tcW w:w="21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29,004</w:t>
            </w:r>
          </w:p>
        </w:tc>
        <w:tc>
          <w:tcPr>
            <w:tcW w:w="1640" w:type="dxa"/>
            <w:vAlign w:val="bottom"/>
            <w:shd w:val="clear" w:color="auto" w:fill="CCEEFF"/>
          </w:tcPr>
          <w:p>
            <w:pPr>
              <w:spacing w:after="0"/>
              <w:rPr>
                <w:sz w:val="18"/>
                <w:szCs w:val="18"/>
                <w:color w:val="auto"/>
              </w:rPr>
            </w:pPr>
          </w:p>
        </w:tc>
      </w:t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Total equity and liabilities</w:t>
            </w:r>
          </w:p>
        </w:tc>
        <w:tc>
          <w:tcPr>
            <w:tcW w:w="1100" w:type="dxa"/>
            <w:vAlign w:val="bottom"/>
          </w:tcPr>
          <w:p>
            <w:pPr>
              <w:jc w:val="right"/>
              <w:ind w:right="393"/>
              <w:spacing w:after="0"/>
              <w:rPr>
                <w:sz w:val="20"/>
                <w:szCs w:val="20"/>
                <w:color w:val="auto"/>
              </w:rPr>
            </w:pPr>
            <w:r>
              <w:rPr>
                <w:rFonts w:ascii="Arial" w:cs="Arial" w:eastAsia="Arial" w:hAnsi="Arial"/>
                <w:sz w:val="18"/>
                <w:szCs w:val="18"/>
                <w:color w:val="auto"/>
              </w:rPr>
              <w:t>34,976</w:t>
            </w:r>
          </w:p>
        </w:tc>
        <w:tc>
          <w:tcPr>
            <w:tcW w:w="2100" w:type="dxa"/>
            <w:vAlign w:val="bottom"/>
          </w:tcPr>
          <w:p>
            <w:pPr>
              <w:jc w:val="right"/>
              <w:ind w:right="657"/>
              <w:spacing w:after="0"/>
              <w:rPr>
                <w:sz w:val="20"/>
                <w:szCs w:val="20"/>
                <w:color w:val="auto"/>
              </w:rPr>
            </w:pPr>
            <w:r>
              <w:rPr>
                <w:rFonts w:ascii="Arial" w:cs="Arial" w:eastAsia="Arial" w:hAnsi="Arial"/>
                <w:sz w:val="18"/>
                <w:szCs w:val="18"/>
                <w:color w:val="auto"/>
              </w:rPr>
              <w:t>34,976</w:t>
            </w:r>
          </w:p>
        </w:tc>
        <w:tc>
          <w:tcPr>
            <w:tcW w:w="1640" w:type="dxa"/>
            <w:vAlign w:val="bottom"/>
          </w:tcPr>
          <w:p>
            <w:pPr>
              <w:spacing w:after="0"/>
              <w:rPr>
                <w:sz w:val="20"/>
                <w:szCs w:val="20"/>
                <w:color w:val="auto"/>
              </w:rPr>
            </w:pPr>
          </w:p>
        </w:tc>
      </w:tr>
    </w:tbl>
    <w:p>
      <w:pPr>
        <w:spacing w:after="0" w:line="160" w:lineRule="exact"/>
        <w:rPr>
          <w:sz w:val="20"/>
          <w:szCs w:val="20"/>
          <w:color w:val="auto"/>
        </w:rPr>
      </w:pPr>
    </w:p>
    <w:p>
      <w:pPr>
        <w:ind w:left="620" w:hanging="423"/>
        <w:spacing w:after="0" w:line="258"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adjusted balance sheet data gives effect to (i) the conversion of our preferred shares into common shares on a one-for-one basis upon closing of this offering and (ii) the filing and effectiveness of our amended and restated articles of association.</w:t>
      </w:r>
    </w:p>
    <w:tbl>
      <w:tblPr>
        <w:tblLayout w:type="fixed"/>
        <w:tblInd w:w="200" w:type="dxa"/>
        <w:tblCellMar>
          <w:top w:w="0" w:type="dxa"/>
          <w:left w:w="0" w:type="dxa"/>
          <w:bottom w:w="0" w:type="dxa"/>
          <w:right w:w="0" w:type="dxa"/>
        </w:tblCellMar>
      </w:tblPr>
      <w:tr>
        <w:trPr>
          <w:trHeight w:val="203"/>
        </w:trPr>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line="203" w:lineRule="exact"/>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we and our collaboration partner Genentech may fail to achieve success in Phase 3 clinical studies of crenezumab. In addition, preclinical and clinical data are often susceptible to varying interpretations and analyses. Many companies that believed their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7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we and our collaboration partner Genentech will seek to enroll patients in the early stages of AD and we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Jean-Fabian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and Piramal, our business, commercialization prospects and financial condition may be materially adversely affected.</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amount of notice. After a specified amount of time, Janssen and Piramal will also each have the right to terminate their agreements with us for any reason upon providing us with a certain amount of notice. If Genentech, Janssen or Piramal terminate their respective agreements with us at any time, it could delay or prevent development of our product candidates and materially harm our business, financial condition, commercialization prospects and results of operations.</w:t>
      </w:r>
    </w:p>
    <w:p>
      <w:pPr>
        <w:spacing w:after="0" w:line="1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Good relationships with Genentech, Janssen and Piramal are important for our business prospects. If our relationships with Genentech, Janssen or Piramal were to deteriorate substantially or Genentech, Janssen or Piramal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Competitors may infringe our patents or the patents of our licensors.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6"/>
          <w:szCs w:val="16"/>
          <w:i w:val="1"/>
          <w:iCs w:val="1"/>
          <w:color w:val="auto"/>
        </w:rPr>
        <w:t>, inter partes</w:t>
      </w:r>
      <w:r>
        <w:rPr>
          <w:rFonts w:ascii="Arial" w:cs="Arial" w:eastAsia="Arial" w:hAnsi="Arial"/>
          <w:sz w:val="16"/>
          <w:szCs w:val="16"/>
          <w:color w:val="auto"/>
        </w:rPr>
        <w:t xml:space="preserve"> review, derivation proceedings and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materially harmed if the prevailing party does not offer us a license on commercially reasonable terms or at all.</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defense of litigation or interference proceedings may fail and, even if successful, may result in substantial costs and distract our management and other employees from their normal responsibilities. Such litigation or proceedings could substantially increase our operating losses and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licensors or collaboration partners, misappropriation of our intellectual property rights, particularly in countries where the laws may not protect those rights as fully as in the United States.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both"/>
        <w:ind w:left="240" w:right="260"/>
        <w:spacing w:after="0" w:line="340" w:lineRule="auto"/>
        <w:rPr>
          <w:sz w:val="20"/>
          <w:szCs w:val="20"/>
          <w:color w:val="auto"/>
        </w:rPr>
      </w:pPr>
      <w:r>
        <w:rPr>
          <w:rFonts w:ascii="Arial" w:cs="Arial" w:eastAsia="Arial" w:hAnsi="Arial"/>
          <w:sz w:val="15"/>
          <w:szCs w:val="15"/>
          <w:b w:val="1"/>
          <w:bCs w:val="1"/>
          <w:i w:val="1"/>
          <w:iCs w:val="1"/>
          <w:color w:val="auto"/>
        </w:rPr>
        <w:t>If we or our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2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collaboration partners’ ability to obtain and maintain patent and other intellectual property protection in the United States and in other countries with respect to our proprietary technologies and product candidates.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inventorship, issuance, scope, validity, enforceability and commercial value of our patent rights are highly uncertain. The pending or future patent applications that we 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88"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patents or pending patent applications, nor can we know whether those from whom we license patents were the first to make the inventions claimed or were the first to file.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effects of these changes on the operation of our business are currently unclear as, among other reasons, the USPTO must still implement various regulations.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parties,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independent development or publication of information by any of our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we would have no right to prevent such competitor from using that technology or information to compete with us. A competitor’s discovery of our intellectual property would impair our competitive position and have a material adverse effect on our business.</w:t>
      </w:r>
    </w:p>
    <w:p>
      <w:pPr>
        <w:spacing w:after="0" w:line="19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future licensing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partners and us and our licensors or collaborators;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commercial success depends on our ability and the ability of our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7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collaboration partners and either we or our collaboration partners are found to infringe any of these patents, and are unsuccessful in demonstrating that such patents are invalid or unenforceable, then we and our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use to make substantial payments to the licensor.</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4.6 million for the six months ended June 30, 2014. In addition, we had an accumulated deficit of CHF 54.9 million as at June 30, 2015.</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8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successfully completing a Phase 3 clinical study of crenezumab, a Phase 1/2a clinical study of ACI-24 for AD and a Phase 1b clinical study of ACI-35;</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89"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at June 30, 2015, our cash and cash equivalents were CHF 19.3 million. We currently believe that our existing capital resources, not including potential milestone payments and the proceeds we receive from this offering, will be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sufficient to meet our projected operating requirements for at least through the end of fiscal year . We have based this estimate on assumptions that may prove to be wrong, and we could exhaust our capital resources sooner than we currently expect. Our future funding requirements will depend on many factors, including but not limited to:</w:t>
      </w:r>
    </w:p>
    <w:p>
      <w:pPr>
        <w:spacing w:after="0" w:line="9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if we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grants and license and development agreements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As of December 31, 2014, we reported tax loss carryforwards from financial years 2007 until 2014 for purposes of Swiss corporate income tax in the aggregate amount of CHF 49.3 million that could be available to offset future taxable income. If not used, these tax losses will expire seven years after the year in which they were incurred. Due to our limited income, there is a high risk that the tax loss carryforwards will expire partly or entirely.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is expected to begin in the first quarter of 2016, but may be delayed and no assurance is given that the studies will begin on that time frame.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58"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30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8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96"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2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subject to numerous environmental, health and safety laws, regulations, and permitting requirements, including those governing laboratory procedures, decontamination activities and the handling,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78"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common shares. Following the completion of this offering, we will have common shares outstanding (assuming no exercise of the underwriters’ over-allotment option) based on common shares outstanding as at June 30, 2015 and additional common shares issuable upon the automatic</w:t>
      </w:r>
    </w:p>
    <w:p>
      <w:pPr>
        <w:spacing w:after="0" w:line="267" w:lineRule="auto"/>
        <w:rPr>
          <w:sz w:val="20"/>
          <w:szCs w:val="20"/>
          <w:color w:val="auto"/>
        </w:rPr>
      </w:pPr>
      <w:r>
        <w:rPr>
          <w:rFonts w:ascii="Arial" w:cs="Arial" w:eastAsia="Arial" w:hAnsi="Arial"/>
          <w:sz w:val="17"/>
          <w:szCs w:val="17"/>
          <w:color w:val="auto"/>
        </w:rPr>
        <w:t>conversion of all of our outstanding preferred shares into common shares.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intend to enter into a registration rights agreement upon consummation of this offering pursuant to which we will agree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 under Swiss law, any claims by our shareholders against us must be brought exclusively in Lausanne, Switzerland. See “Description of Share Capital and Articles of Association” and “Comparison of Delaware Law and Swiss Law.”</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shareholders’ resolution regarding the authorized share capital increase may be challenged.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shareholders’ meeting held on , 2015. As with all share capital increases in Switzerland, the registration of the capital increase in the commercial register of the Canton of Zurich may be blocked by a shareholder and, therefore, prevent or delay the completion of this offering.</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registered share capital—the aggregate par value of a company’s registered shares—only by way of a capital reduction. As</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the date of the Distribution, we expect the Company to have CHF of qualifying capital contributions and CHF of registered share capital on its audited statutory balance sheet. We expect the aggregate of these amounts (less the minimum registered share capital of CHF 100,000)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form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par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par value reductions or qualifying capital contributions available to us to pay out as distributions is limited. If we are unable to make a distribution through a reduction in par value or out of qualifying capital contributions, we may not be able to make distributions without subjecting our shareholders to Swiss withholding taxes.</w:t>
      </w:r>
    </w:p>
    <w:p>
      <w:pPr>
        <w:spacing w:after="0" w:line="17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present Swiss tax laws, repurchases of shares for the purposes of cancellation are treated as a partial liquidation subject to 35% Swiss withholding tax on the difference between the repurchase price and the par value except, since January 1, 2011, to the extent attributable to qualifying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if any, and to the extent that, the repurchase of shares is out of retained earnings or other taxable reserves, the Swiss withholding becomes due.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30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“Taxation—Swiss Tax Considerations” for a summary of certain Swiss tax consequences regarding dividends distributed to holders of the our common shares.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8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 longer be a foreign private issuer as at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93"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have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at and for the year ended December 31, 2014, we and our independent registered public accounting firm have identified a material weakness as defined under the Exchange Act and by the U.S. Public Company Accounting Oversight Board, or PCAOB, in our internal control over financial reporting.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2016.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have identified a material weakness in our internal control over financial reporting.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2014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(“QEF”)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underwriters exercise their over-allotment option in full, we estimate that the net proceeds will</w:t>
      </w:r>
    </w:p>
    <w:p>
      <w:pPr>
        <w:spacing w:after="0" w:line="38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6"/>
          <w:szCs w:val="16"/>
          <w:color w:val="auto"/>
        </w:rPr>
        <w:t>million, after deducting the underwriting discount and estimated offering expenses payable by us.</w:t>
      </w:r>
    </w:p>
    <w:p>
      <w:pPr>
        <w:spacing w:after="0" w:line="225"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June 30, 2015, we had cash and cash equivalents of CHF 19.3 million and a receivable related to milestone payments of CHF 14.0 million for which we received payment in July 2015 and a</w:t>
      </w:r>
    </w:p>
    <w:p>
      <w:pPr>
        <w:ind w:right="260"/>
        <w:spacing w:after="0" w:line="261" w:lineRule="auto"/>
        <w:rPr>
          <w:sz w:val="20"/>
          <w:szCs w:val="20"/>
          <w:color w:val="auto"/>
        </w:rPr>
      </w:pPr>
      <w:r>
        <w:rPr>
          <w:rFonts w:ascii="Arial" w:cs="Arial" w:eastAsia="Arial" w:hAnsi="Arial"/>
          <w:sz w:val="18"/>
          <w:szCs w:val="18"/>
          <w:color w:val="auto"/>
        </w:rPr>
        <w:t>further $25.9 million payment received in July 2015. We intend to use the net proceeds of this offering over the next years, together with our existing cash and cash equivalents, as follows:</w:t>
      </w:r>
    </w:p>
    <w:p>
      <w:pPr>
        <w:spacing w:after="0" w:line="89" w:lineRule="exact"/>
        <w:rPr>
          <w:sz w:val="20"/>
          <w:szCs w:val="20"/>
          <w:color w:val="auto"/>
        </w:rPr>
      </w:pPr>
    </w:p>
    <w:p>
      <w:pPr>
        <w:ind w:left="900" w:right="16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our therapeutic and diagnostics product candidates under collaboration agreements (crenezumab, ACI-35, anti-tau antibodies and tau PET tracers) in the next five years, which we expect will take crenezumab and the tau PET tracers into Phase 3, and ACI-35 and the anti-tau antibodies into Phase 2;</w:t>
      </w:r>
    </w:p>
    <w:p>
      <w:pPr>
        <w:spacing w:after="0" w:line="86"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ACI-870, our alpha-synuclein morphomer product candidate;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46"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if it has sufficient distributable profits brought forward from the previous business years (“</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or if it has distributable reserves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libres</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Distributions out of issued share capital, which is the aggregate nominal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 corporation’s issued shares, may be made only by way of a share capital reduction. See “Description of Share Capital and Articles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136,248 common shares; and</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60" w:firstLine="456"/>
        <w:spacing w:after="0" w:line="264" w:lineRule="auto"/>
        <w:rPr>
          <w:sz w:val="20"/>
          <w:szCs w:val="20"/>
          <w:color w:val="auto"/>
        </w:rPr>
      </w:pPr>
      <w:r>
        <w:rPr>
          <w:rFonts w:ascii="Arial" w:cs="Arial" w:eastAsia="Arial" w:hAnsi="Arial"/>
          <w:sz w:val="18"/>
          <w:szCs w:val="18"/>
          <w:color w:val="auto"/>
        </w:rPr>
        <w:t>You should read this table in conjunction with our unaudited condensed interim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As at June 30, 2015</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3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19,355</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2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3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shares nominal value CHF 5.00 per share, 34,787 shares issued and outstanding;</w:t>
            </w:r>
          </w:p>
        </w:tc>
        <w:tc>
          <w:tcPr>
            <w:tcW w:w="2080" w:type="dxa"/>
            <w:vAlign w:val="bottom"/>
            <w:gridSpan w:val="3"/>
            <w:shd w:val="clear" w:color="auto" w:fill="CCEEFF"/>
          </w:tcPr>
          <w:p>
            <w:pPr>
              <w:jc w:val="right"/>
              <w:ind w:right="1500"/>
              <w:spacing w:after="0" w:line="201"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shares issued and outstanding, as adjusted; and</w:t>
            </w:r>
          </w:p>
        </w:tc>
        <w:tc>
          <w:tcPr>
            <w:tcW w:w="1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shares authorized,</w:t>
            </w:r>
          </w:p>
        </w:tc>
        <w:tc>
          <w:tcPr>
            <w:tcW w:w="20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as further adjusted</w:t>
            </w:r>
          </w:p>
        </w:tc>
        <w:tc>
          <w:tcPr>
            <w:tcW w:w="17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855</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0" w:type="dxa"/>
            <w:vAlign w:val="bottom"/>
            <w:gridSpan w:val="6"/>
          </w:tcPr>
          <w:p>
            <w:pPr>
              <w:ind w:left="360"/>
              <w:spacing w:after="0" w:line="201" w:lineRule="exact"/>
              <w:rPr>
                <w:sz w:val="20"/>
                <w:szCs w:val="20"/>
                <w:color w:val="auto"/>
              </w:rPr>
            </w:pPr>
            <w:r>
              <w:rPr>
                <w:rFonts w:ascii="Arial" w:cs="Arial" w:eastAsia="Arial" w:hAnsi="Arial"/>
                <w:sz w:val="18"/>
                <w:szCs w:val="18"/>
                <w:color w:val="auto"/>
              </w:rPr>
              <w:t>Preferred shares nominal value CHF 5.00 per share, 136,248 authorized preferred shares, 136,248 preferred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6"/>
          </w:tcPr>
          <w:p>
            <w:pPr>
              <w:ind w:left="540"/>
              <w:spacing w:after="0"/>
              <w:rPr>
                <w:sz w:val="20"/>
                <w:szCs w:val="20"/>
                <w:color w:val="auto"/>
              </w:rPr>
            </w:pPr>
            <w:r>
              <w:rPr>
                <w:rFonts w:ascii="Arial" w:cs="Arial" w:eastAsia="Arial" w:hAnsi="Arial"/>
                <w:sz w:val="18"/>
                <w:szCs w:val="18"/>
                <w:color w:val="auto"/>
              </w:rPr>
              <w:t>shares issued and outstanding; no shares authorized or issued and outstanding, as adjusted or as further</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40"/>
              <w:spacing w:after="0"/>
              <w:rPr>
                <w:sz w:val="20"/>
                <w:szCs w:val="20"/>
                <w:color w:val="auto"/>
              </w:rPr>
            </w:pPr>
            <w:r>
              <w:rPr>
                <w:rFonts w:ascii="Arial" w:cs="Arial" w:eastAsia="Arial" w:hAnsi="Arial"/>
                <w:sz w:val="18"/>
                <w:szCs w:val="18"/>
                <w:color w:val="auto"/>
              </w:rPr>
              <w:t>adjusted</w:t>
            </w:r>
          </w:p>
        </w:tc>
        <w:tc>
          <w:tcPr>
            <w:tcW w:w="3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83,077</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(54,928)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(54,928)</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7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29,004</w:t>
            </w:r>
          </w:p>
        </w:tc>
        <w:tc>
          <w:tcPr>
            <w:tcW w:w="8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29,004</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w:t>
      </w:r>
    </w:p>
    <w:p>
      <w:pPr>
        <w:spacing w:after="0" w:line="2"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capitalization by $ million, assuming an initial public offering price of $ per share, after deducting the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100" w:hanging="325"/>
        <w:spacing w:after="0" w:line="277" w:lineRule="auto"/>
        <w:tabs>
          <w:tab w:leader="none" w:pos="14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hanging="325"/>
        <w:spacing w:after="0" w:line="277" w:lineRule="auto"/>
        <w:tabs>
          <w:tab w:leader="none" w:pos="14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an exercise price of CHF 36.37 per common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w:t>
      </w:r>
    </w:p>
    <w:p>
      <w:pPr>
        <w:spacing w:after="0" w:line="170"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Net tangible book value is determined by dividing our total tangible assets less our total liabilities by the number of our common shares outstanding. Our historical net tangible book value as at June 30, 2015 was CHF 29.0 ($31.0) million, or CHF 833.76 ($892.04), per common share (on a fully diluted basis). Our as adjusted net tangible book value as at June 30, 2015, before giving effect to this offering was CHF 29.0 ($31.0) million, or CHF</w:t>
      </w:r>
    </w:p>
    <w:p>
      <w:pPr>
        <w:ind w:right="40"/>
        <w:spacing w:after="0" w:line="261" w:lineRule="auto"/>
        <w:rPr>
          <w:sz w:val="20"/>
          <w:szCs w:val="20"/>
          <w:color w:val="auto"/>
        </w:rPr>
      </w:pPr>
      <w:r>
        <w:rPr>
          <w:rFonts w:ascii="Arial" w:cs="Arial" w:eastAsia="Arial" w:hAnsi="Arial"/>
          <w:sz w:val="18"/>
          <w:szCs w:val="18"/>
          <w:color w:val="auto"/>
        </w:rPr>
        <w:t>169.58 ($181.43) per common share, based on the total number of our common shares outstanding as at June 30, 2015, after giving effect to the conversion of all outstanding preferred stock into an aggregate of 136,248 common shares.</w:t>
      </w:r>
    </w:p>
    <w:p>
      <w:pPr>
        <w:spacing w:after="0" w:line="18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p>
      <w:pPr>
        <w:ind w:right="300"/>
        <w:spacing w:after="0" w:line="281" w:lineRule="auto"/>
        <w:rPr>
          <w:sz w:val="20"/>
          <w:szCs w:val="20"/>
          <w:color w:val="auto"/>
        </w:rPr>
      </w:pPr>
      <w:r>
        <w:rPr>
          <w:rFonts w:ascii="Arial" w:cs="Arial" w:eastAsia="Arial" w:hAnsi="Arial"/>
          <w:sz w:val="16"/>
          <w:szCs w:val="16"/>
          <w:color w:val="auto"/>
        </w:rPr>
        <w:t>shares in this offering at an assumed initial public offering price of $ per share (the midpoint of the price range set forth on the cover page of this prospectus), after deducting the underwriting discount and estimated expenses payable by us, our as further adjusted net tangible book value as at June 30,</w:t>
      </w:r>
    </w:p>
    <w:tbl>
      <w:tblPr>
        <w:tblLayout w:type="fixed"/>
        <w:tblInd w:w="0" w:type="dxa"/>
        <w:tblCellMar>
          <w:top w:w="0" w:type="dxa"/>
          <w:left w:w="0" w:type="dxa"/>
          <w:bottom w:w="0" w:type="dxa"/>
          <w:right w:w="0" w:type="dxa"/>
        </w:tblCellMar>
      </w:tblPr>
      <w:tr>
        <w:trPr>
          <w:trHeight w:val="203"/>
        </w:trPr>
        <w:tc>
          <w:tcPr>
            <w:tcW w:w="2240" w:type="dxa"/>
            <w:vAlign w:val="bottom"/>
            <w:gridSpan w:val="3"/>
          </w:tcPr>
          <w:p>
            <w:pPr>
              <w:spacing w:after="0" w:line="203" w:lineRule="exact"/>
              <w:rPr>
                <w:sz w:val="20"/>
                <w:szCs w:val="20"/>
                <w:color w:val="auto"/>
              </w:rPr>
            </w:pPr>
            <w:r>
              <w:rPr>
                <w:rFonts w:ascii="Arial" w:cs="Arial" w:eastAsia="Arial" w:hAnsi="Arial"/>
                <w:sz w:val="18"/>
                <w:szCs w:val="18"/>
                <w:color w:val="auto"/>
                <w:w w:val="99"/>
              </w:rPr>
              <w:t>2015 would have been CHF</w:t>
            </w:r>
          </w:p>
        </w:tc>
        <w:tc>
          <w:tcPr>
            <w:tcW w:w="5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640" w:type="dxa"/>
            <w:vAlign w:val="bottom"/>
          </w:tcPr>
          <w:p>
            <w:pPr>
              <w:ind w:left="180"/>
              <w:spacing w:after="0" w:line="203" w:lineRule="exact"/>
              <w:rPr>
                <w:sz w:val="20"/>
                <w:szCs w:val="20"/>
                <w:color w:val="auto"/>
              </w:rPr>
            </w:pPr>
            <w:r>
              <w:rPr>
                <w:rFonts w:ascii="Arial" w:cs="Arial" w:eastAsia="Arial" w:hAnsi="Arial"/>
                <w:sz w:val="18"/>
                <w:szCs w:val="18"/>
                <w:color w:val="auto"/>
              </w:rPr>
              <w:t>) million, or CHF</w:t>
            </w:r>
          </w:p>
        </w:tc>
        <w:tc>
          <w:tcPr>
            <w:tcW w:w="5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6480" w:type="dxa"/>
            <w:vAlign w:val="bottom"/>
            <w:gridSpan w:val="7"/>
          </w:tcPr>
          <w:p>
            <w:pPr>
              <w:ind w:left="180"/>
              <w:spacing w:after="0" w:line="203" w:lineRule="exact"/>
              <w:rPr>
                <w:sz w:val="20"/>
                <w:szCs w:val="20"/>
                <w:color w:val="auto"/>
              </w:rPr>
            </w:pPr>
            <w:r>
              <w:rPr>
                <w:rFonts w:ascii="Arial" w:cs="Arial" w:eastAsia="Arial" w:hAnsi="Arial"/>
                <w:sz w:val="18"/>
                <w:szCs w:val="18"/>
                <w:color w:val="auto"/>
                <w:w w:val="94"/>
              </w:rPr>
              <w:t>) per share. This represents an immediate increase in as adjusted net tangible book</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value of CHF</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20" w:type="dxa"/>
            <w:vAlign w:val="bottom"/>
            <w:gridSpan w:val="5"/>
          </w:tcPr>
          <w:p>
            <w:pPr>
              <w:ind w:left="180"/>
              <w:spacing w:after="0"/>
              <w:rPr>
                <w:sz w:val="20"/>
                <w:szCs w:val="20"/>
                <w:color w:val="auto"/>
              </w:rPr>
            </w:pPr>
            <w:r>
              <w:rPr>
                <w:rFonts w:ascii="Arial" w:cs="Arial" w:eastAsia="Arial" w:hAnsi="Arial"/>
                <w:sz w:val="18"/>
                <w:szCs w:val="18"/>
                <w:color w:val="auto"/>
                <w:w w:val="94"/>
              </w:rPr>
              <w:t>) per share to existing shareholders and an immediate dilution of CHF</w:t>
            </w:r>
          </w:p>
        </w:tc>
        <w:tc>
          <w:tcPr>
            <w:tcW w:w="800" w:type="dxa"/>
            <w:vAlign w:val="bottom"/>
          </w:tcPr>
          <w:p>
            <w:pPr>
              <w:ind w:left="200"/>
              <w:spacing w:after="0"/>
              <w:rPr>
                <w:sz w:val="20"/>
                <w:szCs w:val="20"/>
                <w:color w:val="auto"/>
              </w:rPr>
            </w:pPr>
            <w:r>
              <w:rPr>
                <w:rFonts w:ascii="Arial" w:cs="Arial" w:eastAsia="Arial" w:hAnsi="Arial"/>
                <w:sz w:val="18"/>
                <w:szCs w:val="18"/>
                <w:color w:val="auto"/>
              </w:rPr>
              <w:t>(USD</w:t>
            </w:r>
          </w:p>
        </w:tc>
        <w:tc>
          <w:tcPr>
            <w:tcW w:w="3480" w:type="dxa"/>
            <w:vAlign w:val="bottom"/>
            <w:gridSpan w:val="5"/>
          </w:tcPr>
          <w:p>
            <w:pPr>
              <w:ind w:left="180"/>
              <w:spacing w:after="0"/>
              <w:rPr>
                <w:sz w:val="20"/>
                <w:szCs w:val="20"/>
                <w:color w:val="auto"/>
              </w:rPr>
            </w:pPr>
            <w:r>
              <w:rPr>
                <w:rFonts w:ascii="Arial" w:cs="Arial" w:eastAsia="Arial" w:hAnsi="Arial"/>
                <w:sz w:val="18"/>
                <w:szCs w:val="18"/>
                <w:color w:val="auto"/>
                <w:w w:val="96"/>
              </w:rPr>
              <w:t>) per share to investors participating in this</w:t>
            </w:r>
          </w:p>
        </w:tc>
      </w:tr>
      <w:tr>
        <w:trPr>
          <w:trHeight w:val="230"/>
        </w:trPr>
        <w:tc>
          <w:tcPr>
            <w:tcW w:w="4400" w:type="dxa"/>
            <w:vAlign w:val="bottom"/>
            <w:gridSpan w:val="5"/>
          </w:tcPr>
          <w:p>
            <w:pPr>
              <w:spacing w:after="0"/>
              <w:rPr>
                <w:sz w:val="20"/>
                <w:szCs w:val="20"/>
                <w:color w:val="auto"/>
              </w:rPr>
            </w:pPr>
            <w:r>
              <w:rPr>
                <w:rFonts w:ascii="Arial" w:cs="Arial" w:eastAsia="Arial" w:hAnsi="Arial"/>
                <w:sz w:val="18"/>
                <w:szCs w:val="18"/>
                <w:color w:val="auto"/>
              </w:rPr>
              <w:t>offering, as illustrated in the following table:</w:t>
            </w:r>
          </w:p>
        </w:tc>
        <w:tc>
          <w:tcPr>
            <w:tcW w:w="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 USD)</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 CHF)</w:t>
            </w:r>
          </w:p>
        </w:tc>
      </w:tr>
      <w:tr>
        <w:trPr>
          <w:trHeight w:val="196"/>
        </w:trPr>
        <w:tc>
          <w:tcPr>
            <w:tcW w:w="440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Assumed initial public offering price per share</w:t>
            </w:r>
          </w:p>
        </w:tc>
        <w:tc>
          <w:tcPr>
            <w:tcW w:w="5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gridSpan w:val="6"/>
          </w:tcPr>
          <w:p>
            <w:pPr>
              <w:ind w:left="360"/>
              <w:spacing w:after="0"/>
              <w:rPr>
                <w:sz w:val="20"/>
                <w:szCs w:val="20"/>
                <w:color w:val="auto"/>
              </w:rPr>
            </w:pPr>
            <w:r>
              <w:rPr>
                <w:rFonts w:ascii="Arial" w:cs="Arial" w:eastAsia="Arial" w:hAnsi="Arial"/>
                <w:sz w:val="18"/>
                <w:szCs w:val="18"/>
                <w:color w:val="auto"/>
                <w:w w:val="94"/>
              </w:rPr>
              <w:t>Historical net tangible book value per share at June 30, 2015</w:t>
            </w:r>
          </w:p>
        </w:tc>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892.04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833.76</w:t>
            </w:r>
          </w:p>
        </w:tc>
        <w:tc>
          <w:tcPr>
            <w:tcW w:w="100" w:type="dxa"/>
            <w:vAlign w:val="bottom"/>
          </w:tcPr>
          <w:p>
            <w:pPr>
              <w:spacing w:after="0"/>
              <w:rPr>
                <w:sz w:val="18"/>
                <w:szCs w:val="18"/>
                <w:color w:val="auto"/>
              </w:rPr>
            </w:pPr>
          </w:p>
        </w:tc>
      </w:tr>
      <w:tr>
        <w:trPr>
          <w:trHeight w:val="216"/>
        </w:trPr>
        <w:tc>
          <w:tcPr>
            <w:tcW w:w="7940" w:type="dxa"/>
            <w:vAlign w:val="bottom"/>
            <w:gridSpan w:val="8"/>
            <w:shd w:val="clear" w:color="auto" w:fill="CCEEFF"/>
          </w:tcPr>
          <w:p>
            <w:pPr>
              <w:ind w:left="360"/>
              <w:spacing w:after="0"/>
              <w:rPr>
                <w:sz w:val="20"/>
                <w:szCs w:val="20"/>
                <w:color w:val="auto"/>
              </w:rPr>
            </w:pPr>
            <w:r>
              <w:rPr>
                <w:rFonts w:ascii="Arial" w:cs="Arial" w:eastAsia="Arial" w:hAnsi="Arial"/>
                <w:sz w:val="18"/>
                <w:szCs w:val="18"/>
                <w:color w:val="auto"/>
                <w:w w:val="96"/>
              </w:rPr>
              <w:t>As adjusted net tangible book value per share at June 30, 2015, before giving effect to this offering</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181.43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169.58</w:t>
            </w:r>
          </w:p>
        </w:tc>
      </w:tr>
    </w:tbl>
    <w:p>
      <w:pPr>
        <w:ind w:left="360"/>
        <w:spacing w:after="0"/>
        <w:rPr>
          <w:sz w:val="20"/>
          <w:szCs w:val="20"/>
          <w:color w:val="auto"/>
        </w:rPr>
      </w:pPr>
      <w:r>
        <w:rPr>
          <w:rFonts w:ascii="Arial" w:cs="Arial" w:eastAsia="Arial" w:hAnsi="Arial"/>
          <w:sz w:val="18"/>
          <w:szCs w:val="18"/>
          <w:color w:val="auto"/>
        </w:rPr>
        <w:t>Increase in as adjusted net tangible book value per share attributable to new investors purchasing shares in this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Dilution per share to investors participating in this offering</w:t>
      </w:r>
    </w:p>
    <w:p>
      <w:pPr>
        <w:spacing w:after="0" w:line="211" w:lineRule="exact"/>
        <w:rPr>
          <w:sz w:val="20"/>
          <w:szCs w:val="20"/>
          <w:color w:val="auto"/>
        </w:rPr>
      </w:pPr>
    </w:p>
    <w:p>
      <w:pPr>
        <w:ind w:right="260" w:firstLine="456"/>
        <w:spacing w:after="0" w:line="271" w:lineRule="auto"/>
        <w:rPr>
          <w:sz w:val="20"/>
          <w:szCs w:val="20"/>
          <w:color w:val="auto"/>
        </w:rPr>
      </w:pPr>
      <w:r>
        <w:rPr>
          <w:rFonts w:ascii="Arial" w:cs="Arial" w:eastAsia="Arial" w:hAnsi="Arial"/>
          <w:sz w:val="17"/>
          <w:szCs w:val="17"/>
          <w:color w:val="auto"/>
        </w:rPr>
        <w:t>Each $1.00 increase (decrease) in the assumed initial public offering price of $ (CHF ) per share would increase (decrease) our as further adjusted net tangible book value by approximately $ (CHF ) million, or approximately $ (CHF ) per share, and the dilution per share to investors in this offering by approximately $ (CHF ) per share, assuming that the number of shares offered by us, as set forth on the cover page of</w:t>
      </w:r>
    </w:p>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discussed above is illustrative only and will be adjusted based on the actual initial public offering price and other terms of this offering determined at pricing.</w:t>
      </w:r>
    </w:p>
    <w:p>
      <w:pPr>
        <w:spacing w:after="0" w:line="234"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underwriters’ over-allotment option is exercised in full, the as further adjusted net tangible book value per share after this offering would be $ (CHF ) per share, the increase in as further adjusted net tangible book value per share to existing shareholders would be $ (CHF ) per share and the dilution to new investors purchasing shares in this offering would be $ (CHF ) per share.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1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Shares</w:t>
            </w:r>
          </w:p>
        </w:tc>
        <w:tc>
          <w:tcPr>
            <w:tcW w:w="400" w:type="dxa"/>
            <w:vAlign w:val="bottom"/>
            <w:vMerge w:val="restart"/>
          </w:tcPr>
          <w:p>
            <w:pPr>
              <w:spacing w:after="0"/>
              <w:rPr>
                <w:sz w:val="5"/>
                <w:szCs w:val="5"/>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2"/>
              </w:rPr>
              <w:t>(USD)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(CHF)</w:t>
            </w:r>
          </w:p>
        </w:tc>
        <w:tc>
          <w:tcPr>
            <w:tcW w:w="40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1420" w:type="dxa"/>
            <w:vAlign w:val="bottom"/>
            <w:tcBorders>
              <w:bottom w:val="single" w:sz="8" w:color="auto"/>
            </w:tcBorders>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Borders>
              <w:bottom w:val="single" w:sz="8" w:color="auto"/>
            </w:tcBorders>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5"/>
              </w:rPr>
              <w:t>Percent</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9"/>
              </w:rPr>
              <w:t>Percent</w:t>
            </w: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5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(USD)</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171,035</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89,799</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83,932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525.03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360" w:type="dxa"/>
            <w:vAlign w:val="bottom"/>
            <w:gridSpan w:val="5"/>
          </w:tcPr>
          <w:p>
            <w:pPr>
              <w:ind w:left="46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(CHF</w:t>
            </w:r>
          </w:p>
        </w:tc>
        <w:tc>
          <w:tcPr>
            <w:tcW w:w="3520" w:type="dxa"/>
            <w:vAlign w:val="bottom"/>
            <w:gridSpan w:val="8"/>
          </w:tcPr>
          <w:p>
            <w:pPr>
              <w:ind w:left="100"/>
              <w:spacing w:after="0"/>
              <w:rPr>
                <w:sz w:val="20"/>
                <w:szCs w:val="20"/>
                <w:color w:val="auto"/>
              </w:rPr>
            </w:pPr>
            <w:r>
              <w:rPr>
                <w:rFonts w:ascii="Arial" w:cs="Arial" w:eastAsia="Arial" w:hAnsi="Arial"/>
                <w:sz w:val="18"/>
                <w:szCs w:val="18"/>
                <w:color w:val="auto"/>
                <w:w w:val="90"/>
              </w:rPr>
              <w:t>) per share, would increase (decrease) the total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gridSpan w:val="7"/>
          </w:tcPr>
          <w:p>
            <w:pPr>
              <w:spacing w:after="0"/>
              <w:rPr>
                <w:sz w:val="20"/>
                <w:szCs w:val="20"/>
                <w:color w:val="auto"/>
              </w:rPr>
            </w:pPr>
            <w:r>
              <w:rPr>
                <w:rFonts w:ascii="Arial" w:cs="Arial" w:eastAsia="Arial" w:hAnsi="Arial"/>
                <w:sz w:val="18"/>
                <w:szCs w:val="18"/>
                <w:color w:val="auto"/>
                <w:w w:val="90"/>
              </w:rPr>
              <w:t>consideration paid to us by new investors and total consideration paid to us by all shareholders by $</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(CHF</w:t>
            </w:r>
          </w:p>
        </w:tc>
        <w:tc>
          <w:tcPr>
            <w:tcW w:w="3300" w:type="dxa"/>
            <w:vAlign w:val="bottom"/>
            <w:gridSpan w:val="8"/>
          </w:tcPr>
          <w:p>
            <w:pPr>
              <w:ind w:left="280"/>
              <w:spacing w:after="0"/>
              <w:rPr>
                <w:sz w:val="20"/>
                <w:szCs w:val="20"/>
                <w:color w:val="auto"/>
              </w:rPr>
            </w:pPr>
            <w:r>
              <w:rPr>
                <w:rFonts w:ascii="Arial" w:cs="Arial" w:eastAsia="Arial" w:hAnsi="Arial"/>
                <w:sz w:val="18"/>
                <w:szCs w:val="18"/>
                <w:color w:val="auto"/>
                <w:w w:val="99"/>
              </w:rPr>
              <w:t>) million, assuming that the number of</w:t>
            </w:r>
          </w:p>
        </w:tc>
        <w:tc>
          <w:tcPr>
            <w:tcW w:w="0" w:type="dxa"/>
            <w:vAlign w:val="bottom"/>
          </w:tcPr>
          <w:p>
            <w:pPr>
              <w:spacing w:after="0"/>
              <w:rPr>
                <w:sz w:val="1"/>
                <w:szCs w:val="1"/>
                <w:color w:val="auto"/>
              </w:rPr>
            </w:pPr>
          </w:p>
        </w:tc>
      </w:tr>
    </w:tbl>
    <w:p>
      <w:pPr>
        <w:ind w:right="120"/>
        <w:spacing w:after="0" w:line="280"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paid to us by new investors and total consideration paid to us by all shareholders by approximately $ (CHF ) million, assuming an initial public offering price of $ (CHF ) per share, after deducting the underwriting discount and estimated offering expenses payable by us.</w:t>
      </w: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calculations above are based 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preferred stock into common shares and exclude: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shares outstanding as at June 30, 2015 after giving effect to the conversion of all outstanding shares of</w:t>
      </w:r>
    </w:p>
    <w:p>
      <w:pPr>
        <w:spacing w:after="0" w:line="369" w:lineRule="exact"/>
        <w:rPr>
          <w:sz w:val="20"/>
          <w:szCs w:val="20"/>
          <w:color w:val="auto"/>
        </w:rPr>
      </w:pPr>
    </w:p>
    <w:p>
      <w:pPr>
        <w:sectPr>
          <w:pgSz w:w="11900" w:h="16838" w:orient="portrait"/>
          <w:cols w:equalWidth="0" w:num="2">
            <w:col w:w="3540" w:space="120"/>
            <w:col w:w="7760"/>
          </w:cols>
          <w:pgMar w:left="240" w:top="459" w:right="239" w:bottom="1440" w:gutter="0" w:footer="0" w:header="0"/>
          <w:type w:val="continuous"/>
        </w:sectPr>
      </w:pPr>
    </w:p>
    <w:p>
      <w:pPr>
        <w:ind w:left="900" w:right="280" w:hanging="325"/>
        <w:spacing w:after="0" w:line="277" w:lineRule="auto"/>
        <w:tabs>
          <w:tab w:leader="none" w:pos="14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14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an exercise price of CHF 36.37 per common share.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September 25, 2015, the exchange rate as reported by the U.S. Federal Reserve Bank was CHF 0.9760 to $1.00. In this prospectus, translations from CHF to U.S. dollars were made at the rate of 0.9346 to $1.00, the official exchange rate quoted as at June 30, 2015 by the U.S. Federal Reserve Bank.</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2010</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0.9369</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1.0354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2012</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2014</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March 31,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0.9712</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0.9798</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0.9553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April 30,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0.9410</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0.9595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0.9358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0.9807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May 31,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0.9404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0.9316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0.9146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0.9508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0.9346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0.9321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0.9188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0.9467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July 31,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0.9636</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0.9547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0.9456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0.9636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August 31,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0.9681</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0.9685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0.9347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0.9869</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September 2015 (through September 25,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0.9760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0.9723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0.9614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0.9780</w:t>
            </w:r>
          </w:p>
        </w:tc>
        <w:tc>
          <w:tcPr>
            <w:tcW w:w="0" w:type="dxa"/>
            <w:vAlign w:val="bottom"/>
          </w:tcPr>
          <w:p>
            <w:pPr>
              <w:spacing w:after="0"/>
              <w:rPr>
                <w:sz w:val="1"/>
                <w:szCs w:val="1"/>
                <w:color w:val="auto"/>
              </w:rPr>
            </w:pPr>
          </w:p>
        </w:tc>
      </w:tr>
      <w:tr>
        <w:trPr>
          <w:trHeight w:val="350"/>
        </w:trPr>
        <w:tc>
          <w:tcPr>
            <w:tcW w:w="4280" w:type="dxa"/>
            <w:vAlign w:val="bottom"/>
          </w:tcPr>
          <w:p>
            <w:pPr>
              <w:spacing w:after="0"/>
              <w:rPr>
                <w:sz w:val="24"/>
                <w:szCs w:val="24"/>
                <w:color w:val="auto"/>
              </w:rPr>
            </w:pPr>
          </w:p>
        </w:tc>
        <w:tc>
          <w:tcPr>
            <w:tcW w:w="2100" w:type="dxa"/>
            <w:vAlign w:val="bottom"/>
          </w:tcPr>
          <w:p>
            <w:pPr>
              <w:jc w:val="right"/>
              <w:ind w:right="950"/>
              <w:spacing w:after="0"/>
              <w:rPr>
                <w:sz w:val="20"/>
                <w:szCs w:val="20"/>
                <w:color w:val="auto"/>
              </w:rPr>
            </w:pPr>
            <w:r>
              <w:rPr>
                <w:rFonts w:ascii="Arial" w:cs="Arial" w:eastAsia="Arial" w:hAnsi="Arial"/>
                <w:sz w:val="18"/>
                <w:szCs w:val="18"/>
                <w:color w:val="auto"/>
              </w:rPr>
              <w:t>65</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summarize our financial data as at the dates and for the periods indicated. The financial data for the years ended December 31, 2014 and 2013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2015 and for the six months ended June 30, 2015 and 2014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at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9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For the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1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3420" w:type="dxa"/>
            <w:vAlign w:val="bottom"/>
            <w:gridSpan w:val="8"/>
          </w:tcPr>
          <w:p>
            <w:pPr>
              <w:jc w:val="right"/>
              <w:ind w:right="391"/>
              <w:spacing w:after="0" w:line="119" w:lineRule="exact"/>
              <w:rPr>
                <w:sz w:val="20"/>
                <w:szCs w:val="20"/>
                <w:color w:val="auto"/>
              </w:rPr>
            </w:pPr>
            <w:r>
              <w:rPr>
                <w:rFonts w:ascii="Arial" w:cs="Arial" w:eastAsia="Arial" w:hAnsi="Arial"/>
                <w:sz w:val="13"/>
                <w:szCs w:val="13"/>
                <w:b w:val="1"/>
                <w:bCs w:val="1"/>
                <w:color w:val="auto"/>
              </w:rPr>
              <w:t>(in CHF thousands except for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per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7,190</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7,194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16,116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10,717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Finance costs—net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Earnings / (loss) per share (basic)(1)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Earnings / (loss) per share (fully diluted)(1)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30.98</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170,707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170,739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 / (loss) per share fully diluted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181,514</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185,939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184,048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preferred shares, which will be converted on a one-for-one basis upon the closing of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1"/>
              </w:rPr>
              <w:t>As at June 30,</w:t>
            </w:r>
          </w:p>
        </w:tc>
        <w:tc>
          <w:tcPr>
            <w:tcW w:w="1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w w:val="97"/>
              </w:rPr>
              <w:t>(in CHF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19,355</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3,306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460" w:type="dxa"/>
            <w:vAlign w:val="bottom"/>
            <w:gridSpan w:val="3"/>
          </w:tcPr>
          <w:p>
            <w:pPr>
              <w:jc w:val="right"/>
              <w:ind w:right="408"/>
              <w:spacing w:after="0"/>
              <w:rPr>
                <w:sz w:val="20"/>
                <w:szCs w:val="20"/>
                <w:color w:val="auto"/>
              </w:rPr>
            </w:pPr>
            <w:r>
              <w:rPr>
                <w:rFonts w:ascii="Arial" w:cs="Arial" w:eastAsia="Arial" w:hAnsi="Arial"/>
                <w:sz w:val="18"/>
                <w:szCs w:val="18"/>
                <w:color w:val="auto"/>
              </w:rPr>
              <w:t>34,976</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30,296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6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(54,928)</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8"/>
              </w:rPr>
              <w:t>(60,445)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460" w:type="dxa"/>
            <w:vAlign w:val="bottom"/>
            <w:gridSpan w:val="3"/>
          </w:tcPr>
          <w:p>
            <w:pPr>
              <w:jc w:val="right"/>
              <w:ind w:right="408"/>
              <w:spacing w:after="0"/>
              <w:rPr>
                <w:sz w:val="20"/>
                <w:szCs w:val="20"/>
                <w:color w:val="auto"/>
              </w:rPr>
            </w:pPr>
            <w:r>
              <w:rPr>
                <w:rFonts w:ascii="Arial" w:cs="Arial" w:eastAsia="Arial" w:hAnsi="Arial"/>
                <w:sz w:val="18"/>
                <w:szCs w:val="18"/>
                <w:color w:val="auto"/>
              </w:rPr>
              <w:t>29,004</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23,467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4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34,976</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30,296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r>
      <w:tr>
        <w:trPr>
          <w:trHeight w:val="365"/>
        </w:trPr>
        <w:tc>
          <w:tcPr>
            <w:tcW w:w="3300" w:type="dxa"/>
            <w:vAlign w:val="bottom"/>
          </w:tcPr>
          <w:p>
            <w:pPr>
              <w:spacing w:after="0"/>
              <w:rPr>
                <w:sz w:val="24"/>
                <w:szCs w:val="24"/>
                <w:color w:val="auto"/>
              </w:rPr>
            </w:pPr>
          </w:p>
        </w:tc>
        <w:tc>
          <w:tcPr>
            <w:tcW w:w="3120" w:type="dxa"/>
            <w:vAlign w:val="bottom"/>
          </w:tcPr>
          <w:p>
            <w:pPr>
              <w:jc w:val="right"/>
              <w:ind w:right="1450"/>
              <w:spacing w:after="0"/>
              <w:rPr>
                <w:sz w:val="20"/>
                <w:szCs w:val="20"/>
                <w:color w:val="auto"/>
              </w:rPr>
            </w:pPr>
            <w:r>
              <w:rPr>
                <w:rFonts w:ascii="Arial" w:cs="Arial" w:eastAsia="Arial" w:hAnsi="Arial"/>
                <w:sz w:val="18"/>
                <w:szCs w:val="18"/>
                <w:color w:val="auto"/>
              </w:rPr>
              <w:t>66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Alzheimer’s disease, or AD. We are advancing crenezumab under a collaboration agreement with Genentech, Inc., or Genentech, for the treatment of AD. Genentech met with the FDA in October 2014 and again in September 2015 to discuss the Phase 3 study design.</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26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expect to complete our Phase 1b clinical study in the fourth quarter of 2016 and to begin Phase 2 clinical studies thereafter in 2017.</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11.2 million for the year ended December 31, 2013 and net losses of CHF 4.6 million for the six months ended June 30, 2014. In addition, we had an accumulated deficit of CHF 54.9 million as at June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the low double-digits to the mid-teens.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2012 Genentech agreement also provides for a second indication for which we would be eligible to receive clinical milestone payments payable upon commencement of each of Phase 2 and 3 of clinical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The total future payments that we would be entitled to under the agreement for clinical milestones amounts to CHF 83.5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employment costs, by major development program for the periods covered by this “Management’s Discussion and Analysis of Financial Condition and Results of Operations” section.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204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(in CHF thousands)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ACI-35</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1,253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2,787</w:t>
            </w: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554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221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3,288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3,655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8,325</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9,266</w:t>
            </w:r>
          </w:p>
        </w:tc>
        <w:tc>
          <w:tcPr>
            <w:tcW w:w="3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research and development expenditures for crenezumab, anti-tau antibodies and tau PET imaging tracer. Does not include research and development expenditures for ACI-35.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at December 31, 2014, we had tax loss carryforwards totaling CHF 49.3 million. There is no certainty that we will make sufficient profits to avail ourselves of these tax loss carryforwards.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2015 and June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first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4,008</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Milestones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14,000</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14,000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75"/>
        </w:trPr>
        <w:tc>
          <w:tcPr>
            <w:tcW w:w="7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14,401</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4,060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10,341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Total revenues rose to CHF 14.4 million for the six months ended June 30, 2015 from CHF 4.1 million for the six months ended June 30, 2014, an increase of CHF 10.3 million. The increase was principally due to revenues recognized in connection with a CHF 14.0 million milestone payment from Genentech pursuant to our collaboration agreement for the anti-tau antibody vaccine. Income related to research collaborations declined to CHF 0.2 million in the six months ended June 30, 2015 from CHF 4.0 million in the six months ended June 30, 2014. The figure for 2014 includes a portion of the original upfront payment we received in connection with the anti-tau antibody collaboration agreement, which we recognized over a three year period.</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Grant revenue totaled CHF 0.1 million for the first six months of 2015, up CHF 0.1 million from the same period in 2014. The amounts recognized in the six months ended June 30, 2014 relate to a research grant we had with the University of Tübingen for Huntington’s disease, which expired in 2014. The grant income recorded in our income statement for the six months ended June 30, 2015 relates to a grant we were awarded by the Michael J. Fox Foundation to conduct research on an alpha-synuclein PET imaging product, which commenced in February 2015 and is expected to run to July 2016.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8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4,434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tcPr>
          <w:p>
            <w:pPr>
              <w:jc w:val="right"/>
              <w:spacing w:after="0"/>
              <w:rPr>
                <w:sz w:val="20"/>
                <w:szCs w:val="20"/>
                <w:color w:val="auto"/>
              </w:rPr>
            </w:pPr>
            <w:r>
              <w:rPr>
                <w:rFonts w:ascii="Arial" w:cs="Arial" w:eastAsia="Arial" w:hAnsi="Arial"/>
                <w:sz w:val="18"/>
                <w:szCs w:val="18"/>
                <w:color w:val="auto"/>
              </w:rPr>
              <w:t>3,038</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2,612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7,190</w:t>
            </w:r>
          </w:p>
        </w:tc>
        <w:tc>
          <w:tcPr>
            <w:tcW w:w="46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7,194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research and development expenses totaled CHF 7.2 million for the six months ended June 30, 2015, which is in line with the CHF 7.2 million of research and development expenses incurred in the six months ended June 30, 2014.</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research and development operating expenses declined to CHF 4.0 million in the six months ended June 30, 2015, a decrease of CHF 0.4 million as compared to the six months ended June 30, 2014 due principally to a reduction in the amount of prepaid supplies. In the first six months of 2015, salaries and related compensation costs amounted to CHF 3.0 million, which represents a CHF 0.4 million increase over the CHF 2.6 million recorded in the first six months of 2014. The increase is primarily due to the initial ramp up of joint research activity on ACI-35 with Janssen and higher performance-related bonus payments to our employees.</w:t>
      </w:r>
    </w:p>
    <w:p>
      <w:pPr>
        <w:spacing w:after="0" w:line="18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expect a significant increase in research and development expenses in the second half of 2015. This is due to the fact that we have agreed with Janssen, our partner for ACI-35, to increase the scale and scope of our clinical studies for ACI-35 product candidate. Beyond 2015, we would expect our research and development expenses to continue to rise as we seek to increase the number of projects we are funding into later-stage research and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595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75"/>
        </w:trPr>
        <w:tc>
          <w:tcPr>
            <w:tcW w:w="69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1,489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General and administrative expenses rose by CHF 0.3 million to CHF 1.7 million for the six months ended June 30, 2015. The increase was driven principally by costs associated with us preparing for becoming a public company and seeking to raise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16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7"/>
          </w:tcPr>
          <w:p>
            <w:pPr>
              <w:ind w:left="300"/>
              <w:spacing w:after="0" w:line="142" w:lineRule="exact"/>
              <w:rPr>
                <w:sz w:val="20"/>
                <w:szCs w:val="20"/>
                <w:color w:val="auto"/>
              </w:rPr>
            </w:pPr>
            <w:r>
              <w:rPr>
                <w:rFonts w:ascii="Arial" w:cs="Arial" w:eastAsia="Arial" w:hAnsi="Arial"/>
                <w:sz w:val="14"/>
                <w:szCs w:val="14"/>
                <w:b w:val="1"/>
                <w:bCs w:val="1"/>
                <w:color w:val="auto"/>
              </w:rPr>
              <w:t>(in CHF thousands)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122</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408"/>
              <w:spacing w:after="0"/>
              <w:rPr>
                <w:sz w:val="20"/>
                <w:szCs w:val="20"/>
                <w:color w:val="auto"/>
              </w:rPr>
            </w:pPr>
            <w:r>
              <w:rPr>
                <w:rFonts w:ascii="Arial" w:cs="Arial" w:eastAsia="Arial" w:hAnsi="Arial"/>
                <w:sz w:val="18"/>
                <w:szCs w:val="18"/>
                <w:color w:val="auto"/>
              </w:rPr>
              <w:t>32</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December 31, 2014 and 2013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7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ind w:left="460"/>
              <w:spacing w:after="0"/>
              <w:rPr>
                <w:sz w:val="20"/>
                <w:szCs w:val="20"/>
                <w:color w:val="auto"/>
              </w:rPr>
            </w:pPr>
            <w:r>
              <w:rPr>
                <w:rFonts w:ascii="Arial" w:cs="Arial" w:eastAsia="Arial" w:hAnsi="Arial"/>
                <w:sz w:val="18"/>
                <w:szCs w:val="18"/>
                <w:color w:val="auto"/>
                <w:w w:val="90"/>
              </w:rPr>
              <w:t>The following table summarizes our revenues during the years ended December 31, 2014 and 2013:</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30,179</w:t>
            </w:r>
          </w:p>
        </w:tc>
        <w:tc>
          <w:tcPr>
            <w:tcW w:w="1220" w:type="dxa"/>
            <w:vAlign w:val="bottom"/>
            <w:gridSpan w:val="5"/>
          </w:tcPr>
          <w:p>
            <w:pPr>
              <w:jc w:val="right"/>
              <w:ind w:right="380"/>
              <w:spacing w:after="0"/>
              <w:rPr>
                <w:sz w:val="20"/>
                <w:szCs w:val="20"/>
                <w:color w:val="auto"/>
              </w:rPr>
            </w:pPr>
            <w:r>
              <w:rPr>
                <w:rFonts w:ascii="Arial" w:cs="Arial" w:eastAsia="Arial" w:hAnsi="Arial"/>
                <w:sz w:val="18"/>
                <w:szCs w:val="18"/>
                <w:color w:val="auto"/>
              </w:rPr>
              <w:t>8,520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5"/>
          </w:tcPr>
          <w:p>
            <w:pPr>
              <w:jc w:val="right"/>
              <w:ind w:right="3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20" w:type="dxa"/>
            <w:vAlign w:val="bottom"/>
          </w:tcPr>
          <w:p>
            <w:pPr>
              <w:spacing w:after="0"/>
              <w:rPr>
                <w:sz w:val="6"/>
                <w:szCs w:val="6"/>
                <w:color w:val="auto"/>
              </w:rPr>
            </w:pPr>
          </w:p>
        </w:tc>
        <w:tc>
          <w:tcPr>
            <w:tcW w:w="6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8,637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Total revenues rose to CHF 30.3 million for the year ended December 31, 2014 from CHF 8.6 million for the year ended December 31, 2013, an increase of CHF 21.6 million. The increase was principally due to collaboration and license revenues rising to CHF 30.2 million for the year ended December 31, 2014 from CHF 8.5 million for the year ended December 31, 2013. In 2014, we recognized revenue from three collaboration and license agreements including a CHF 25.9 million upfront payment from Janssen in connection with the collaboration agreement on ACI-35 tau vaccine, CHF 3.9 million related to the portion of the upfront fee associated with the Genentech collaboration agreement for our anti-tau antibody started in 2012, and CHF 0.6 million related to the portion of the upfront payment pursuant to our collaboration agreement with Piramal Imaging attributable to this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11,301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5,828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5,586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16,116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17,180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research and development expenses declined to CHF 16.1 million for the year ended December 31, 2014 from CHF 17.2 million, a decrease of CHF 1.1 million, as compared to the year ended December 31, 2013.</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For the year ended December 31, 2014 our research and development operating costs decreased by CHF 1.3 million to CHF 10.0 million due principally to the transfer of costs within the collaboration with Genentech on the anti-tau antibodies program in 2014 and the collaboration-related costs occurred in 2013.</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remained relatively stable, rising to CHF 5.8 million in the year ended December 31, 2014 from CHF 5.6 million in the year ended December 31, 2013, a CHF 0.2 million increase. This increase is due to an average increase in base compensation of 1% and a slight increase in stock 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Janssen requires us to significantly increase our research and development expenses related to the Phase 1b studies for ACI-35.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a two year period, we have committed to spend over CHF 13.8 million to support the on-going clinical development of ACI-35.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1,999</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1,813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1,437</w:t>
            </w: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1,142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75"/>
        </w:trPr>
        <w:tc>
          <w:tcPr>
            <w:tcW w:w="69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3,436</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2,955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General and administrative expenses were CHF 3.4 million for the year ended December 31, 2014, an increase of CHF 0.5 million from CHF 3.0 million for the year ended December 31, 2013. The increase was primarily due to an increase in operating expenses associated with commencing initial preparations for becoming a public company in the United States.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62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255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financial income declined to CHF 27 thousand for the year ended December 31, 2014 from CHF 0.3 million in 2013, a decline of CHF 0.2 million compared to the year ended December 31, 2013. The decline was driven primarily by a reduction in gains related to foreign exchange and a decline in interest income driven by the decrease in our cash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operations have been financed primarily from proceeds from the collaboration and license agreements we have with a number of partners, including Genentech, Janssen and Piramal Imaging, research grants awarded to us and net proceeds from the issuance of preferred shares. At June 30, 2015 we had cash and cash equivalents of CHF 19.4 million.</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and a number of research initiatives focused on neurodegenerative orphan diseases other than AD.</w:t>
      </w:r>
    </w:p>
    <w:p>
      <w:pPr>
        <w:spacing w:after="0" w:line="1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or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Six Months Ended</w:t>
      </w:r>
    </w:p>
    <w:p>
      <w:pPr>
        <w:jc w:val="center"/>
        <w:ind w:left="69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6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(in CHF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16,059</w:t>
            </w:r>
          </w:p>
        </w:tc>
        <w:tc>
          <w:tcPr>
            <w:tcW w:w="3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60" w:type="dxa"/>
            <w:vAlign w:val="bottom"/>
          </w:tcPr>
          <w:p>
            <w:pPr>
              <w:spacing w:after="0"/>
              <w:rPr>
                <w:sz w:val="6"/>
                <w:szCs w:val="6"/>
                <w:color w:val="auto"/>
              </w:rPr>
            </w:pPr>
          </w:p>
        </w:tc>
        <w:tc>
          <w:tcPr>
            <w:tcW w:w="35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20" w:type="dxa"/>
            <w:vAlign w:val="bottom"/>
            <w:vMerge w:val="restart"/>
          </w:tcPr>
          <w:p>
            <w:pPr>
              <w:jc w:val="right"/>
              <w:ind w:right="2590"/>
              <w:spacing w:after="0"/>
              <w:rPr>
                <w:sz w:val="20"/>
                <w:szCs w:val="20"/>
                <w:color w:val="auto"/>
              </w:rPr>
            </w:pPr>
            <w:r>
              <w:rPr>
                <w:rFonts w:ascii="Arial" w:cs="Arial" w:eastAsia="Arial" w:hAnsi="Arial"/>
                <w:sz w:val="18"/>
                <w:szCs w:val="18"/>
                <w:color w:val="auto"/>
              </w:rPr>
              <w:t>76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cash generated in operating activities was CHF 16.1 million for the six months ended June 30, 2015 compared with net cash used in operating activities of CHF 9.2 million for the six months ended June 30, 2014. The significant increase in cash generated from operating activities in the first half of 2015 was due to (i) the Company generating a CHF 5.6 million net income in the first six months of 2015 driven by the anti-tau antibody milestone payment compared with a CHF 4.6 million loss during the same period in 2014, and (ii) receipt of payment of the upfront payment associated with the collaboration with Janssen on ACI-35. In June 2015, we were also eligible for a milestone payment associated with our collaboration with Genentech on the anti-tau program but as at June 30 2015, had not yet received the funds associated with this milestone. We received these funds in August 2015. As a result, we had a significant increase in the amount of other trade receivables of CHF 11.7 million, up from CHF 0.1 million as at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cash used in investing activities was broadly unchanged at CHF 0.1 million for the six months ended June 30, 2015 compared with cash used in investing activities of CHF 0.1 million in the first six months of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provided by financing activities was CHF 10 thousand for the six months ended June 30, 2015, compared with CHF 9.7 million for the six months ended June 30, 2014. The 2014 figure contains the proceeds from a CHF 9.9 million capital increase net of expenses associated with the issuance of preferred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w w:val="98"/>
              </w:rPr>
              <w:t>(17,624)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(19,804)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9,801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75"/>
        </w:trPr>
        <w:tc>
          <w:tcPr>
            <w:tcW w:w="69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net cash used in operating activities declined from CHF 19.8 million for the year ended December 31, 2013 to CHF 17.6 million for the year ended December 31, 2014, a decline of CHF 2.0 million. The decline is primarily related to three factors: (i) we generated net income of CHF 10.7 million in the year ended December 31, 2014 compared with a CHF 11.2 million net loss in the year ended December 31, 2013, (ii) a significant increase in other current receivables from CHF 0.2 million at December 31, 2013 to CHF 25.9 million at December 31, 2014, and (iii) a reduction in deferred revenue, which declined from CHF 8.5 million to CHF 3.7 million for the years ended December 31, 2013 and 2014, respectively. The changes discussed in clauses (i) and (ii) above were primarily due to the upfront fee associated with ACI-35 under the collaboration agreement that we signed with Janssen in December 2014, which fee was recognized as revenue in the year ended December 31, 2014 but was not actually paid until January 2015.</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Net cash used in investing activities was CHF 0.1 million for the year ended December 31, 2014, compared to CHF 0.2 million for the year ended December 31, 2013. The decrease in net cash used was primarily the result of a deliberate policy in 2014 of reducing investments in fixed assets in the laboratory to a minimum.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provided by financing activities was CHF 9.8 million for the year ended December 31, 2014, compared with CHF 10.0 million for the year ended December 31, 2013. The decrease was primarily related to higher costs associated with the issuance of new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at June 30, 2015, we had cash balances totaling CHF 19.4 million. Since then, we have received milestone payments associated with our collaboration with Genentech for our anti-tau antibody program and a milestone payment following Genentech’s announcement that it intends to move crenezumab into Phase 3 clinical studies. These two milestone payments totaled CHF 38.3 million.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w:t>
      </w:r>
    </w:p>
    <w:p>
      <w:pPr>
        <w:spacing w:after="0" w:line="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the midpoint of the range set forth in the cover of this prospectus), we believe that our existing capital resources will be sufficient to meet</w:t>
      </w:r>
    </w:p>
    <w:p>
      <w:pPr>
        <w:spacing w:after="0" w:line="32"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our projected operating 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preparing our financial statements as at and for the year ended December 31, 2014,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5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Although we are implementing these measures, the implementation of these measures may not fully address this material weakness in our internal control over financial reporting, and we therefore may not be able to conclude that it has been fully remedied.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0.2 million and CHF 0.3 million in each of the years ended December 31, 2013 and 2014,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were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Specifically, in year one, we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2015, we amended the Plan A stock option plan that we developed in 2004. Two key amendments were made to the program: (i) the duration of the stock option plan was increased by two years from 10.5 to 12.5 years and (ii) the strike price of the option was reduced from CHF 232.97 to CHF 36.37.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 Issued Prior to July 2014</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If we are successful in completing this offering and if the board elects to make such an election to accelerate the vesting of all such outstanding options, then such unvested shares will vest immediately upon completion of this offering and will be eligible to be exercised for our common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620" w:firstLine="456"/>
        <w:spacing w:after="0" w:line="286" w:lineRule="auto"/>
        <w:rPr>
          <w:sz w:val="20"/>
          <w:szCs w:val="20"/>
          <w:color w:val="auto"/>
        </w:rPr>
      </w:pPr>
      <w:r>
        <w:rPr>
          <w:rFonts w:ascii="Arial" w:cs="Arial" w:eastAsia="Arial" w:hAnsi="Arial"/>
          <w:sz w:val="17"/>
          <w:szCs w:val="17"/>
          <w:color w:val="auto"/>
        </w:rPr>
        <w:t>As at June 30, 2015 we had cash and cash equivalents of CHF 19.4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60"/>
          </w:cols>
          <w:pgMar w:left="240" w:top="459" w:right="3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lead product candidate is crenezumab, a humanized, monoclonal, conformation-specific anti-Abeta antibody that we developed using our SupraAntigen™ platform. Crenezumab is expected to enter Phase 3 clinical studies in early 2016. We are advancing crenezumab under a collaboration agreement with Genentech, Inc., a wholly-owned subsidiary of Roche, or Genentech, for the treatment of AD, a progressive neurodegenerative disease that affected an estimated 9.0 million people in the United States, the United Kingdom, Western Europe, Japan, China and India in 2013. Genentech met with the FDA in October 2014 and again in September 2015 to discuss the Phase 3 study design.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80"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480" w:right="100" w:hanging="446"/>
        <w:spacing w:after="0" w:line="25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primary endpoints, which were assessments under the ADAS-cog and CDR-Sum of boxes, it was not powered to do so and showed trends favoring crenezumab in the milder patient population. Notably, in an exploratory analysis, the high-dose crenezumab arm showed a non-significant slowing of cognition in the overall and mildly demented populations, which was statistically significant with a 35% reduction in the rate of cognitive decline in the non-pre-specified milder AD patient population.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64"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2"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patients with Down syndrome, a population which is at high risk for AD, and we currently have an open Investigational New Drug Application, or IND, for ACI-24 in Down syndrome, which was approved by the FDA in January 2013 (IND 15342).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expect to complete the Phase 1b clinical studies in the fourth quarter of 2016 and to begin Phase 2 clinical studies thereafter in 2017.</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225"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0016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858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420"/>
        <w:spacing w:after="0" w:line="264"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73" w:lineRule="exact"/>
        <w:rPr>
          <w:sz w:val="20"/>
          <w:szCs w:val="20"/>
          <w:color w:val="auto"/>
        </w:rPr>
      </w:pPr>
    </w:p>
    <w:p>
      <w:pPr>
        <w:ind w:left="920" w:right="240"/>
        <w:spacing w:after="0" w:line="297" w:lineRule="auto"/>
        <w:rPr>
          <w:sz w:val="20"/>
          <w:szCs w:val="20"/>
          <w:color w:val="auto"/>
        </w:rPr>
      </w:pPr>
      <w:r>
        <w:rPr>
          <w:rFonts w:ascii="Arial" w:cs="Arial" w:eastAsia="Arial" w:hAnsi="Arial"/>
          <w:sz w:val="16"/>
          <w:szCs w:val="16"/>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64" w:lineRule="exact"/>
        <w:rPr>
          <w:sz w:val="20"/>
          <w:szCs w:val="20"/>
          <w:color w:val="auto"/>
        </w:rPr>
      </w:pPr>
    </w:p>
    <w:p>
      <w:pPr>
        <w:ind w:left="900" w:right="8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140" w:hanging="446"/>
        <w:spacing w:after="0" w:line="264"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with our collaboration partner, Genentech, will advance crenezumab into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together.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20" w:hanging="446"/>
        <w:spacing w:after="0" w:line="255"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ACI-24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advance ACI-24, both through completion of an ongoing Phase 1/2a clinical study to evaluate the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is expected to commence in the fourth quarter of 2015. We own the global rights to ACI-24 and we intend to continue to develop ACI-24 in-house as a therapeutic candidate.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hanging="446"/>
        <w:spacing w:after="0" w:line="308"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ind w:left="900" w:right="220" w:hanging="325"/>
        <w:spacing w:after="0" w:line="29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59" w:lineRule="exact"/>
        <w:rPr>
          <w:rFonts w:ascii="Arial" w:cs="Arial" w:eastAsia="Arial" w:hAnsi="Arial"/>
          <w:sz w:val="16"/>
          <w:szCs w:val="16"/>
          <w:color w:val="auto"/>
        </w:rPr>
      </w:pPr>
    </w:p>
    <w:p>
      <w:pPr>
        <w:ind w:left="900" w:right="80" w:hanging="325"/>
        <w:spacing w:after="0" w:line="25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73880" cy="1869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738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955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which is our small molecule, chemical platform. These platforms are designed to generate antibodies and small molecules, respectively, which selectively bind to misfolded proteins which are common in a broad range of neurodegenerative diseases.</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205740</wp:posOffset>
            </wp:positionV>
            <wp:extent cx="2607310" cy="1560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71755</wp:posOffset>
            </wp:positionV>
            <wp:extent cx="3078480" cy="24098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7848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changing the equilibrium from the insoluble pathological to the soluble fibers which are depleted by the antibodies. Both crenezumab and the anti-tau antibodies were derived from this platform.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2015,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8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681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8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205740</wp:posOffset>
            </wp:positionV>
            <wp:extent cx="4081780" cy="2066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8178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w:t>
      </w:r>
    </w:p>
    <w:p>
      <w:pPr>
        <w:spacing w:after="0" w:line="93"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620" w:type="dxa"/>
            <w:vAlign w:val="bottom"/>
          </w:tcPr>
          <w:p>
            <w:pPr>
              <w:spacing w:after="0"/>
              <w:rPr>
                <w:sz w:val="16"/>
                <w:szCs w:val="16"/>
                <w:color w:val="auto"/>
              </w:rPr>
            </w:pPr>
          </w:p>
        </w:tc>
        <w:tc>
          <w:tcPr>
            <w:tcW w:w="3520" w:type="dxa"/>
            <w:vAlign w:val="bottom"/>
            <w:gridSpan w:val="2"/>
          </w:tcPr>
          <w:p>
            <w:pPr>
              <w:ind w:left="1000"/>
              <w:spacing w:after="0"/>
              <w:rPr>
                <w:sz w:val="20"/>
                <w:szCs w:val="20"/>
                <w:color w:val="auto"/>
              </w:rPr>
            </w:pPr>
            <w:r>
              <w:rPr>
                <w:rFonts w:ascii="Arial" w:cs="Arial" w:eastAsia="Arial" w:hAnsi="Arial"/>
                <w:sz w:val="14"/>
                <w:szCs w:val="14"/>
                <w:b w:val="1"/>
                <w:bCs w:val="1"/>
                <w:color w:val="auto"/>
              </w:rPr>
              <w:t>Stage of development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620" w:type="dxa"/>
            <w:vAlign w:val="bottom"/>
            <w:vMerge w:val="continue"/>
            <w:shd w:val="clear" w:color="auto" w:fill="CCEEFF"/>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w w:val="89"/>
              </w:rPr>
              <w:t>Phase 3 (planned to commence in early 2016)</w:t>
            </w:r>
          </w:p>
        </w:tc>
        <w:tc>
          <w:tcPr>
            <w:tcW w:w="2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IgG4</w:t>
            </w:r>
          </w:p>
        </w:tc>
        <w:tc>
          <w:tcPr>
            <w:tcW w:w="32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1b completed moving into 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Terminated after 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6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studies were not designed or powered to achieve statistical significance at the p=0.05 level, meaning, as is common in a Phase 2 study, there was an insufficient number of patients relative to the expected clinical benefit to verify the dose response.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delayed recall, leading to a highest possible score of 80 points. On average, the score of patients with mild to moderate AD increases by 5 to 8 points per year.</w:t>
      </w:r>
    </w:p>
    <w:p>
      <w:pPr>
        <w:spacing w:after="0" w:line="2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0171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501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An exploratory subanalysis in a non-pre-specified subgroup of patients with milder symptoms (MMSE 22-26) showed a 35.4% reduction in cognitive decline (p=0.036). The study was not powered to detect statistically significant results. In the pre-specified subgroup analysis in patients with mild AD (MMSE 20-26), treatment with high-dose intravenous crenezumab led to a 23.8% reduction in cognitive decline (p=0.13). In patients with mild-to-moderate AD (MMSE 18-26) treated with high-dose intravenous crenezumab, there was a 16.8% reduction in cognitive decline (p=0.19). Effect sizes and p-values for exploratory analyses were not adjusted for multiplicity.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(p=0.42). Although the results were not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statistically significant, it should be noted that the study was not powered to detect statistically significant differences from placebo. Trends favoring crenezumab were not observed in the activities of daily living scale (ADCS-ADL) although the study was significantly underpowered for this type of assessment.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13985" cy="26327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324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387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study was not powered to detect statistically significant results.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7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00"/>
        <w:spacing w:after="0" w:line="276" w:lineRule="auto"/>
        <w:rPr>
          <w:sz w:val="20"/>
          <w:szCs w:val="20"/>
          <w:color w:val="auto"/>
        </w:rPr>
      </w:pPr>
      <w:r>
        <w:rPr>
          <w:rFonts w:ascii="Arial" w:cs="Arial" w:eastAsia="Arial" w:hAnsi="Arial"/>
          <w:sz w:val="17"/>
          <w:szCs w:val="17"/>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study was not powered to detect statistically significant results. Effect sizes and p-values were not adjusted for multiplicity.</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study was not powered to detect statistically significant results.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explore safety at higher doses, crenezumab is currently being tested in a Phase 1 clinical study conducted in the United States. This randomized, placebo-controlled, double-blind, four parallel-arm study will evaluate the safety and tolerability of two doses of intravenous crenezumab in approximately 24 patients with mild to moderate AD (MMSE 18-28) between the ages of 50 to 90. An optional open-label extension stage will be offered to patients after completion of the double-blind stage of the study. The final data collection date for the primary outcome measure is planned for the fourth quarter of 2015. This study is expected to be completed in July 2016.</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3 Study</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Genentech has announced that it plans to enter Phase 3 clinical development of crenezumab in early 2016. The design and number of studies have not yet been disclosed but will take into account results of the Phase 2 studies as well as the additional ongoing Phase 1 study of higher doses, which is expected to be completed in the fourth quarter of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restoration. ACI-24 has a favorable safety profile, characterized by a lack of observed local inflammation and a mechanism of action independent of inflammatory T-cells.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075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object recognition test, or ORT. In contrast, immunization with ACI-01, the vaccine candidate which did not present the antigen in its pathological conformation, did not result in any restoration of memory.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 IND to study the disease-modifying properties of ACI-24 for the prevention of cognitive decline with Down syndrome was filed and cleared by the FDA. ACI-24 is expected to enter Phase 1 clinical studies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141605</wp:posOffset>
            </wp:positionV>
            <wp:extent cx="4570730" cy="1912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diagram above, based on unpublished work by AC Immune in collaboration with Dr. Mobley,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26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7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1840" w:type="dxa"/>
            <w:vAlign w:val="bottom"/>
          </w:tcPr>
          <w:p>
            <w:pPr>
              <w:spacing w:after="0"/>
              <w:rPr>
                <w:sz w:val="20"/>
                <w:szCs w:val="20"/>
                <w:color w:val="auto"/>
              </w:rPr>
            </w:pPr>
            <w:r>
              <w:rPr>
                <w:rFonts w:ascii="Arial" w:cs="Arial" w:eastAsia="Arial" w:hAnsi="Arial"/>
                <w:sz w:val="18"/>
                <w:szCs w:val="18"/>
                <w:color w:val="auto"/>
              </w:rPr>
              <w:t>tau</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ACI-260</w:t>
            </w:r>
          </w:p>
        </w:tc>
        <w:tc>
          <w:tcPr>
            <w:tcW w:w="1840" w:type="dxa"/>
            <w:vAlign w:val="bottom"/>
          </w:tcPr>
          <w:p>
            <w:pPr>
              <w:spacing w:after="0"/>
              <w:rPr>
                <w:sz w:val="20"/>
                <w:szCs w:val="20"/>
                <w:color w:val="auto"/>
              </w:rPr>
            </w:pPr>
            <w:r>
              <w:rPr>
                <w:rFonts w:ascii="Arial" w:cs="Arial" w:eastAsia="Arial" w:hAnsi="Arial"/>
                <w:sz w:val="18"/>
                <w:szCs w:val="18"/>
                <w:color w:val="auto"/>
              </w:rPr>
              <w:t>Abeta</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ACI-870</w:t>
            </w:r>
          </w:p>
        </w:tc>
        <w:tc>
          <w:tcPr>
            <w:tcW w:w="1840" w:type="dxa"/>
            <w:vAlign w:val="bottom"/>
          </w:tcPr>
          <w:p>
            <w:pPr>
              <w:spacing w:after="0"/>
              <w:rPr>
                <w:sz w:val="20"/>
                <w:szCs w:val="20"/>
                <w:color w:val="auto"/>
              </w:rPr>
            </w:pPr>
            <w:r>
              <w:rPr>
                <w:rFonts w:ascii="Arial" w:cs="Arial" w:eastAsia="Arial" w:hAnsi="Arial"/>
                <w:sz w:val="18"/>
                <w:szCs w:val="18"/>
                <w:color w:val="auto"/>
              </w:rPr>
              <w:t>alpha-synuclein</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0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ACI-260: </w:t>
      </w:r>
      <w:r>
        <w:rPr>
          <w:rFonts w:ascii="Arial" w:cs="Arial" w:eastAsia="Arial" w:hAnsi="Arial"/>
          <w:sz w:val="18"/>
          <w:szCs w:val="18"/>
          <w:color w:val="auto"/>
        </w:rPr>
        <w:t>Our ACI-260 product candidate is a small molecule that inhibits and disrupts Abeta propagation and aggregation, and is currently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evaluated for the treatment of glaucoma, where its anti-Abeta properties represent a novel mechanism of action for that disease. In pre-clinical testing, ACI-260 demonstrated a strong ability to protect the eyes of rats exposed to increased ocular pressure and chronic ocular hypertension which are clinical features of glaucoma. This molecule is expected to enter Phase 1 clinical studies in 2017.</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ACI-870: </w:t>
      </w:r>
      <w:r>
        <w:rPr>
          <w:rFonts w:ascii="Arial" w:cs="Arial" w:eastAsia="Arial" w:hAnsi="Arial"/>
          <w:sz w:val="18"/>
          <w:szCs w:val="18"/>
          <w:color w:val="auto"/>
        </w:rPr>
        <w:t>Our ACI-870 product candidate is small molecule that reduces the cytotoxicity of alpha-synuclein aggregates by a decrease in their beta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content. In pre-clinical studies, ACI-870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recently announced that it intends to commence Phase 3 clinical studies for crenezumab in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low double-digits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At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believe the tau tracer will complement Piramal’s already marketed Abeta tracer product Neuraceq and could be commercially available within five years. 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and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color w:val="auto"/>
        </w:rPr>
        <w:t>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40" w:hanging="325"/>
        <w:spacing w:after="0" w:line="25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 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93"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Our Intellectual Property” for additional information.</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of September 29, 2015, we owned or co-owned approximately 16 issued U.S. patents and 115 issued patents in other jurisdictions, as well as 22 pending U.S. patent applications and 376 pending foreign patent applications. As of September 29, 2015, we licensed approximately eight issued U.S. patents and 15 pending U.S. patent applications, as well as 71 issued patents in other jurisdictions and 283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September 29, 2015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patent portfolio for crenezumab includes composition of matter claims (including for the humanized crenezumab monoclonal antibody, a fragment, polynucleotide, and epitope thereof, as well as the cell line used to produce the crenezumab antibody), claims for pharmaceutical compositions comprising crenezumab, claims for treating certain indications using crenezumab including AD, and claims for methods of manufacturing crenezumab. Our patent portfolio includes three patent families that are directed to a humanized IgG4 antibody, methods of using such humanized IgG4 antibody for ocular indications, and the murine antibody equivalent.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patent portfolio for crenezumab consists of approximately 28 issued patents and 71 pending patent applications in 35 countries. With respect to the patent family directed to a humanized IgG4 antibody, we own approximately three issued U.S. patents and one pending U.S. patent applications. The PCT patent filing date for such humanized IgG4 antibody patent family is July 13, 2007. The issued patents from this patent family, if the appropriate maintenance, renewal, annuity or other governmental fees are paid, are expected to expire in 2027, excluding any additional term for patent term adjustments or patent term extensions.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patent portfolio for ACI-24 includes composition of matter claims (including for the ACI-24 antigenic construct and an ACI-24 vaccine composition), claims for methods of manufacturing ACI-24, claims for treating certain indications using ACI-24 including AD, and claims for using ACI-24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19 issued patents and 15 pending patent applications in 31 countries. With respect to the U.S., we own approximately two issued U.S. patents.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patents in this patent portfolio have a PCT application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980" w:firstLine="456"/>
        <w:spacing w:after="0" w:line="342" w:lineRule="auto"/>
        <w:rPr>
          <w:sz w:val="20"/>
          <w:szCs w:val="20"/>
          <w:color w:val="auto"/>
        </w:rPr>
      </w:pPr>
      <w:r>
        <w:rPr>
          <w:rFonts w:ascii="Arial" w:cs="Arial" w:eastAsia="Arial" w:hAnsi="Arial"/>
          <w:sz w:val="16"/>
          <w:szCs w:val="16"/>
          <w:color w:val="auto"/>
        </w:rPr>
        <w:t>Our patent portfolio for ACI-35 includes composition of matter claims (including for the ACI-35 antigenic peptide and an ACI-35 vaccine composition), claims for treating certain indications using ACI-35 including AD, and claims for using ACI-35 to induce an immune response.</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seven issued patents and 23 pending patent applications in 28 countries. With respect to the U.S., we own approximately one issued U.S. patent.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have a PCT application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ACI-24 and ACI-35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three Scientific Advice meetings, which are the European equivalent of pre-IND meetings (with German BfArM, Swedish Medical Products Agency and the European Medicines Agency). Since 2008, our regulatory department has filed a total of six clinical study applications in the EU (Germany, Austria, Denmark, Sweden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2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73" w:lineRule="exact"/>
        <w:rPr>
          <w:sz w:val="20"/>
          <w:szCs w:val="20"/>
          <w:color w:val="auto"/>
        </w:rPr>
      </w:pPr>
    </w:p>
    <w:p>
      <w:pPr>
        <w:ind w:left="1660" w:right="38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73" w:lineRule="exact"/>
        <w:rPr>
          <w:sz w:val="20"/>
          <w:szCs w:val="20"/>
          <w:color w:val="auto"/>
        </w:rPr>
      </w:pPr>
    </w:p>
    <w:p>
      <w:pPr>
        <w:ind w:left="1660" w:right="54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the user fee for each NDA application requiring clinical data is $2,335,200.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($110,370), and an annual establishment fee ($569,200)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approved label. The FDA and other agencies actively enforce the laws and regulations prohibiting the promotion of off-label uses, and a company that is found to have improperly promoted off-label uses may be subject to significant liability.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8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the European Union, the promotion of prescription medicines is subject to intense regulation and control, including EU and national legislation as well as self-regulatory codes (industry codes). Advertising legislation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 responsibilities, ensure appropriate and continued supplies of that medicinal product to pharmacies and persons authorized to supply medicinal products so that the needs of patients in the Member State in question are covered.</w:t>
      </w:r>
    </w:p>
    <w:p>
      <w:pPr>
        <w:spacing w:after="0" w:line="92"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660" w:firstLine="456"/>
        <w:spacing w:after="0" w:line="312"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2015, we employed 54 employees, 10 of whom were part-time employees. 28 of our employees hold Ph.D. degrees and 10 hold M.Sc. degrees. Our 54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including their ages, as of September 29, 2015. The term of each of our directors is one year and, accordingly, will expire one year from the date of our 2015 annual shareholder meeting held on April 14,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vMerge w:val="restart"/>
          </w:tcPr>
          <w:p>
            <w:pPr>
              <w:spacing w:after="0"/>
              <w:rPr>
                <w:sz w:val="14"/>
                <w:szCs w:val="14"/>
                <w:color w:val="auto"/>
              </w:rPr>
            </w:pPr>
          </w:p>
        </w:tc>
        <w:tc>
          <w:tcPr>
            <w:tcW w:w="1260" w:type="dxa"/>
            <w:vAlign w:val="bottom"/>
            <w:vMerge w:val="restart"/>
          </w:tcPr>
          <w:p>
            <w:pPr>
              <w:spacing w:after="0"/>
              <w:rPr>
                <w:sz w:val="14"/>
                <w:szCs w:val="14"/>
                <w:color w:val="auto"/>
              </w:rPr>
            </w:pPr>
          </w:p>
        </w:tc>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2"/>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Deputy 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Hans-Beat Gürtler</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directors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Andrea Pfeifer, Ph.D., Co-Founder and Chief Executive Officer: </w:t>
      </w:r>
      <w:r>
        <w:rPr>
          <w:rFonts w:ascii="Arial" w:cs="Arial" w:eastAsia="Arial" w:hAnsi="Arial"/>
          <w:sz w:val="17"/>
          <w:szCs w:val="17"/>
          <w:color w:val="auto"/>
        </w:rPr>
        <w:t>Dr. Pfeifer co-founded AC Immune in April 2003. Prior to founding us, Dr. Pfeifer</w:t>
      </w:r>
      <w:r>
        <w:rPr>
          <w:rFonts w:ascii="Arial" w:cs="Arial" w:eastAsia="Arial" w:hAnsi="Arial"/>
          <w:sz w:val="17"/>
          <w:szCs w:val="17"/>
          <w:b w:val="1"/>
          <w:bCs w:val="1"/>
          <w:color w:val="auto"/>
        </w:rPr>
        <w:t xml:space="preserve"> </w:t>
      </w:r>
      <w:r>
        <w:rPr>
          <w:rFonts w:ascii="Arial" w:cs="Arial" w:eastAsia="Arial" w:hAnsi="Arial"/>
          <w:sz w:val="17"/>
          <w:szCs w:val="17"/>
          <w:color w:val="auto"/>
        </w:rPr>
        <w:t>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David A. Lowe, Ph.D., Deputy Chief Scientific Officer: </w:t>
      </w:r>
      <w:r>
        <w:rPr>
          <w:rFonts w:ascii="Arial" w:cs="Arial" w:eastAsia="Arial" w:hAnsi="Arial"/>
          <w:sz w:val="16"/>
          <w:szCs w:val="16"/>
          <w:color w:val="auto"/>
        </w:rPr>
        <w:t>Dr. Lowe has served as our Deputy Chief Scientific Officer since January 2014 and leads our</w:t>
      </w:r>
      <w:r>
        <w:rPr>
          <w:rFonts w:ascii="Arial" w:cs="Arial" w:eastAsia="Arial" w:hAnsi="Arial"/>
          <w:sz w:val="16"/>
          <w:szCs w:val="16"/>
          <w:b w:val="1"/>
          <w:bCs w:val="1"/>
          <w:color w:val="auto"/>
        </w:rPr>
        <w:t xml:space="preserve"> </w:t>
      </w:r>
      <w:r>
        <w:rPr>
          <w:rFonts w:ascii="Arial" w:cs="Arial" w:eastAsia="Arial" w:hAnsi="Arial"/>
          <w:sz w:val="16"/>
          <w:szCs w:val="16"/>
          <w:color w:val="auto"/>
        </w:rPr>
        <w:t>Parkinson’s Disease Therapeutics and Imaging programs.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Dr. Lowe is also an adjunct professor of Neuroscience at the Icahn School of Medicine in New York City. He received his Ph.D. in Neurobiology from the University of Leeds, UK.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b w:val="1"/>
          <w:bCs w:val="1"/>
          <w:color w:val="auto"/>
        </w:rPr>
        <w:t xml:space="preserve">Hans-Beat Gürtler, Director: </w:t>
      </w:r>
      <w:r>
        <w:rPr>
          <w:rFonts w:ascii="Arial" w:cs="Arial" w:eastAsia="Arial" w:hAnsi="Arial"/>
          <w:sz w:val="16"/>
          <w:szCs w:val="16"/>
          <w:color w:val="auto"/>
        </w:rPr>
        <w:t>Mr. Gürtler has served on our board of directors since August 2003. Mr. Gürtler brings extensive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finance experience from more than 30 years in Ciba-Geigy and Novartis’ agricultural and animal health businesses, both in Switzerland and abroad. Until 2002, he was CEO of Novartis’ Animal Health business. Mr. Gürtler also has extensive experience in Mergers and Acquisitions and serves as Board Member in various companies, among them publicly traded Basilea Pharmaceutica (Switzerland) and Implenia (Switzerland).</w:t>
      </w:r>
    </w:p>
    <w:p>
      <w:pPr>
        <w:spacing w:after="0" w:line="1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Prof.em.Dr.Dr.h.c. Detlev H. Riesner, Director: </w:t>
      </w:r>
      <w:r>
        <w:rPr>
          <w:rFonts w:ascii="Arial" w:cs="Arial" w:eastAsia="Arial" w:hAnsi="Arial"/>
          <w:sz w:val="16"/>
          <w:szCs w:val="16"/>
          <w:color w:val="auto"/>
        </w:rPr>
        <w:t>Prof. Riesner represents the scientific competence in the board. He held the Chair of Biophysics at</w:t>
      </w:r>
      <w:r>
        <w:rPr>
          <w:rFonts w:ascii="Arial" w:cs="Arial" w:eastAsia="Arial" w:hAnsi="Arial"/>
          <w:sz w:val="16"/>
          <w:szCs w:val="16"/>
          <w:b w:val="1"/>
          <w:bCs w:val="1"/>
          <w:color w:val="auto"/>
        </w:rPr>
        <w:t xml:space="preserve"> </w:t>
      </w:r>
      <w:r>
        <w:rPr>
          <w:rFonts w:ascii="Arial" w:cs="Arial" w:eastAsia="Arial" w:hAnsi="Arial"/>
          <w:sz w:val="16"/>
          <w:szCs w:val="16"/>
          <w:color w:val="auto"/>
        </w:rPr>
        <w:t>the Heinrich-Heine-University in Düsseldorf, Germany from 1980 to 2007. He has also held the positions of Dean of the Science Faculty and Vice-President of Research. In 2007 he became member of the university’s Board of Trustees. Prior to that, he was Professor of Biophysical Chemistry at the Darmstadt Institute of Technology and, from 1975 to 1977, Lecturer of Biophysical Chemistry at Hannover Medical School. He has held guest professorships at the Institute of Microbiology, Academia Sinica, Beijing, and at the department of Neurology at the University of California, San Francisco. He received his M.S.in Physics from Hannover Institute of Technology and his Ph.D. from the University of Braunschweig, with post-graduate work at Princeton University, NJ.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61"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board of directors is composed of four members. Each director is elected for a one-year term. The current members of our board of directors were appointed at a shareholders’ meeting held on April 14, 2015 to serve until their successors are duly elected and qualified.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consistent of independent requirements, subject to certain phase-in schedules. However, our board of directors has determined that, under current listing requirements and rules of NASDAQ (which we are not subject to) and</w:t>
      </w:r>
    </w:p>
    <w:p>
      <w:pPr>
        <w:spacing w:after="0" w:line="254" w:lineRule="auto"/>
        <w:rPr>
          <w:sz w:val="20"/>
          <w:szCs w:val="20"/>
          <w:color w:val="auto"/>
        </w:rPr>
      </w:pPr>
      <w:r>
        <w:rPr>
          <w:rFonts w:ascii="Arial" w:cs="Arial" w:eastAsia="Arial" w:hAnsi="Arial"/>
          <w:sz w:val="18"/>
          <w:szCs w:val="18"/>
          <w:color w:val="auto"/>
        </w:rPr>
        <w:t>taking account any applicable committee independence standards, , and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34"/>
        </w:trPr>
        <w:tc>
          <w:tcPr>
            <w:tcW w:w="5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0"/>
        </w:trPr>
        <w:tc>
          <w:tcPr>
            <w:tcW w:w="5440" w:type="dxa"/>
            <w:vAlign w:val="bottom"/>
            <w:gridSpan w:val="2"/>
          </w:tcPr>
          <w:p>
            <w:pPr>
              <w:ind w:left="460"/>
              <w:spacing w:after="0"/>
              <w:rPr>
                <w:sz w:val="20"/>
                <w:szCs w:val="20"/>
                <w:color w:val="auto"/>
              </w:rPr>
            </w:pPr>
            <w:r>
              <w:rPr>
                <w:rFonts w:ascii="Arial" w:cs="Arial" w:eastAsia="Arial" w:hAnsi="Arial"/>
                <w:sz w:val="18"/>
                <w:szCs w:val="18"/>
                <w:color w:val="auto"/>
                <w:w w:val="96"/>
              </w:rPr>
              <w:t>The audit and finance committee, which is expected to consist of</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and</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w w:val="98"/>
              </w:rPr>
              <w:t>, will assist our board of directors in overseeing our</w:t>
            </w: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w w:val="96"/>
              </w:rPr>
              <w:t>accounting and financial reporting processes and the audits of our financial statements. In addition, the audit and finance committee will be directly</w:t>
            </w:r>
          </w:p>
        </w:tc>
      </w:tr>
      <w:tr>
        <w:trPr>
          <w:trHeight w:val="230"/>
        </w:trPr>
        <w:tc>
          <w:tcPr>
            <w:tcW w:w="10220" w:type="dxa"/>
            <w:vAlign w:val="bottom"/>
            <w:gridSpan w:val="5"/>
          </w:tcPr>
          <w:p>
            <w:pPr>
              <w:spacing w:after="0"/>
              <w:rPr>
                <w:sz w:val="20"/>
                <w:szCs w:val="20"/>
                <w:color w:val="auto"/>
              </w:rPr>
            </w:pPr>
            <w:r>
              <w:rPr>
                <w:rFonts w:ascii="Arial" w:cs="Arial" w:eastAsia="Arial" w:hAnsi="Arial"/>
                <w:sz w:val="18"/>
                <w:szCs w:val="18"/>
                <w:color w:val="auto"/>
                <w:w w:val="94"/>
              </w:rPr>
              <w:t>responsible for the appointment, compensation, retention and oversight of the work of our independent registered public accounting firm.</w:t>
            </w:r>
          </w:p>
        </w:tc>
        <w:tc>
          <w:tcPr>
            <w:tcW w:w="1020" w:type="dxa"/>
            <w:vAlign w:val="bottom"/>
          </w:tcPr>
          <w:p>
            <w:pPr>
              <w:ind w:left="300"/>
              <w:spacing w:after="0"/>
              <w:rPr>
                <w:sz w:val="20"/>
                <w:szCs w:val="20"/>
                <w:color w:val="auto"/>
              </w:rPr>
            </w:pPr>
            <w:r>
              <w:rPr>
                <w:rFonts w:ascii="Arial" w:cs="Arial" w:eastAsia="Arial" w:hAnsi="Arial"/>
                <w:sz w:val="18"/>
                <w:szCs w:val="18"/>
                <w:color w:val="auto"/>
                <w:w w:val="94"/>
              </w:rPr>
              <w:t>will serve</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Chairman of the committee. The audit and finance committee will consist exclusively of members of our supervisory board who are financially literate, and</w:t>
      </w:r>
    </w:p>
    <w:p>
      <w:pPr>
        <w:spacing w:after="0" w:line="386" w:lineRule="exact"/>
        <w:rPr>
          <w:sz w:val="20"/>
          <w:szCs w:val="20"/>
          <w:color w:val="auto"/>
        </w:rPr>
      </w:pPr>
    </w:p>
    <w:p>
      <w:pPr>
        <w:ind w:right="140" w:firstLine="1305"/>
        <w:spacing w:after="0" w:line="264" w:lineRule="auto"/>
        <w:rPr>
          <w:sz w:val="20"/>
          <w:szCs w:val="20"/>
          <w:color w:val="auto"/>
        </w:rPr>
      </w:pPr>
      <w:r>
        <w:rPr>
          <w:rFonts w:ascii="Arial" w:cs="Arial" w:eastAsia="Arial" w:hAnsi="Arial"/>
          <w:sz w:val="18"/>
          <w:szCs w:val="18"/>
          <w:color w:val="auto"/>
        </w:rPr>
        <w:t>is considered an “audit committee financial expert” as defined by the SEC. Our board of directors has determined that satisfies the “independence” requirements set forth in Rule 10A-3 under the Exchange Act and that upon the consummation of this offering will satisfy such “independence” requirements.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will be responsible for, among other things:</w:t>
      </w:r>
    </w:p>
    <w:p>
      <w:pPr>
        <w:spacing w:after="0" w:line="76" w:lineRule="exact"/>
        <w:rPr>
          <w:sz w:val="20"/>
          <w:szCs w:val="20"/>
          <w:color w:val="auto"/>
        </w:rPr>
      </w:pPr>
    </w:p>
    <w:p>
      <w:pPr>
        <w:ind w:left="900" w:right="40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auditor or accounting firm engaged for the purpose of preparing or issuing an audit report or performing other audit, review or attest services;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its responsibilities under generally accepted auditing standards, the planned scope and timing of the independent auditor’s annual audit plan(s) and significant findings from the audit;</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obtaining and reviewing a report from the independent auditor describing all relationships between the independent auditor and the Company consistent with the applicable PCAOB requirements regarding the independent auditor’s communications with the audit and finance committee concerning independence;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confirming and evaluating the rotation of the audit partners on the audit engagement team as required by law;</w:t>
      </w:r>
    </w:p>
    <w:p>
      <w:pPr>
        <w:spacing w:after="0" w:line="130"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reviewing with management and the independent auditor, in separate meetings whenever the audit and finance committee deems appropriate, any analyses or other written communications prepared by management and/or the independent auditor setting forth significant financial reporting issues and judgments made in connection with the preparation of the financial statements, including analyses of the effects of alternative IFRS methods on the financial statements, and other of our critical accounting policies and practices;</w:t>
      </w:r>
    </w:p>
    <w:p>
      <w:pPr>
        <w:spacing w:after="0" w:line="76"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in conjunction with our Chief Executive Officer and Chief Financial Officer, our disclosure controls and procedures and internal control over financial reporting;</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our accounting, internal accounting controls or auditing matters, and the confidential, anonymous submission by our employees of concerns regarding questionable accounting or auditing matters;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ectPr>
          <w:pgSz w:w="11900" w:h="16838" w:orient="portrait"/>
          <w:cols w:equalWidth="0" w:num="1">
            <w:col w:w="11420"/>
          </w:cols>
          <w:pgMar w:left="240" w:top="446" w:right="23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nomination and governance committee, which is expected to consist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 will assist our board of</w:t>
      </w:r>
    </w:p>
    <w:p>
      <w:pPr>
        <w:spacing w:after="0" w:line="46" w:lineRule="exact"/>
        <w:rPr>
          <w:sz w:val="20"/>
          <w:szCs w:val="20"/>
          <w:color w:val="auto"/>
        </w:rPr>
      </w:pPr>
    </w:p>
    <w:p>
      <w:pPr>
        <w:sectPr>
          <w:pgSz w:w="11900" w:h="16838" w:orient="portrait"/>
          <w:cols w:equalWidth="0" w:num="4">
            <w:col w:w="6980" w:space="600"/>
            <w:col w:w="40" w:space="620"/>
            <w:col w:w="260" w:space="600"/>
            <w:col w:w="2320"/>
          </w:cols>
          <w:pgMar w:left="240" w:top="4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directors in overseeing our cash compensation and equity award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446"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year ended December 31, 2014, the aggregate compensation accrued or paid to the members of our board of directors and our executive officers for services in all capacities was CHF 1,637,000.</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the year ended December 31, 2014, the total payment made to directors and executive officers under performance incentive plans was CHF 511,000.</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96,000 in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Upon consummation of an initial public offering or by a decision of our board of directors, the vesting period for all options granted to employees, management and members of our board will be accelerated with all unvested options issued prior to July 2014 vesting immediately. As at June 30, 2015, there were 1,686 and 13,790 common shares underlying outstanding unvested options and vested options granted pursuant to our Prior Plans, respectively.</w:t>
      </w:r>
    </w:p>
    <w:p>
      <w:pPr>
        <w:spacing w:after="0" w:line="189"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36.37.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232.965. However, this exercise price was amended in June 2015 with the approval of our board of directors to be CHF 36.37. As a result, as at June 30, 2015, all options outstanding under our Prior Plans have an exercise price of CHF 36.37.</w:t>
      </w:r>
    </w:p>
    <w:p>
      <w:pPr>
        <w:spacing w:after="0" w:line="147" w:lineRule="exact"/>
        <w:rPr>
          <w:sz w:val="20"/>
          <w:szCs w:val="20"/>
          <w:color w:val="auto"/>
        </w:rPr>
      </w:pPr>
    </w:p>
    <w:p>
      <w:pPr>
        <w:jc w:val="both"/>
        <w:ind w:right="44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2014, we granted our executive officers, in the aggregate, the right to acquire 500 shares at a price of CHF 2,000 per share for a period of two months after the commencement of employment with us. At our sole discretion, we are permitted to repurchase such shares over a one year period as follows:</w:t>
      </w:r>
    </w:p>
    <w:p>
      <w:pPr>
        <w:spacing w:after="0" w:line="87"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500 shares prior to October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375 shares prior to January 15,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250 shares prior to April 15,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125 shares prior to July 15, 2017.</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purchase price at which we are allowed to acquire the shares, at our sole discretion, is the original purchase price of CHF 2,000 per share, plus 0.25% per month starting on July 15, 2016. Our right to repurchase the shares will lapse on the first day of trading of our shares.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Additionally, since the beginning of the last fiscal year ended December 31, 2014, we have granted our executive officers, in the aggregate, the right to acquire 787 shares at a price of CHF 36.37 per share. Contingent upon continued employment and approval of our Board of Directors, such options will vest as follows:</w:t>
      </w:r>
    </w:p>
    <w:p>
      <w:pPr>
        <w:spacing w:after="0" w:line="87"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180 shares which became purchasable on July 1, 2015, on a monthly basis over a 24-month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394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5580" w:right="2420" w:hanging="5005"/>
        <w:spacing w:after="0" w:line="44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213 shares which will become purchasable starting on July 1, 2017, on a monthly basis over a 48-month period. 141</w:t>
      </w:r>
    </w:p>
    <w:p>
      <w:pPr>
        <w:sectPr>
          <w:pgSz w:w="11900" w:h="16838" w:orient="portrait"/>
          <w:cols w:equalWidth="0" w:num="1">
            <w:col w:w="11380"/>
          </w:cols>
          <w:pgMar w:left="240" w:top="459" w:right="2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PRINCIPAL SHAREHOLDERS</w:t>
            </w:r>
          </w:p>
        </w:tc>
        <w:tc>
          <w:tcPr>
            <w:tcW w:w="2900" w:type="dxa"/>
            <w:vAlign w:val="bottom"/>
          </w:tcPr>
          <w:p>
            <w:pPr>
              <w:spacing w:after="0"/>
              <w:rPr>
                <w:sz w:val="24"/>
                <w:szCs w:val="24"/>
                <w:color w:val="auto"/>
              </w:rPr>
            </w:pPr>
          </w:p>
        </w:tc>
      </w:tr>
      <w:tr>
        <w:trPr>
          <w:trHeight w:val="41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7"/>
              </w:rPr>
              <w:t>The following table presents information relating to the beneficial ownership of our common shares as of</w:t>
            </w:r>
          </w:p>
        </w:tc>
        <w:tc>
          <w:tcPr>
            <w:tcW w:w="2900" w:type="dxa"/>
            <w:vAlign w:val="bottom"/>
          </w:tcPr>
          <w:p>
            <w:pPr>
              <w:ind w:left="480"/>
              <w:spacing w:after="0"/>
              <w:rPr>
                <w:sz w:val="20"/>
                <w:szCs w:val="20"/>
                <w:color w:val="auto"/>
              </w:rPr>
            </w:pPr>
            <w:r>
              <w:rPr>
                <w:rFonts w:ascii="Arial" w:cs="Arial" w:eastAsia="Arial" w:hAnsi="Arial"/>
                <w:sz w:val="18"/>
                <w:szCs w:val="18"/>
                <w:color w:val="auto"/>
                <w:w w:val="90"/>
              </w:rPr>
              <w:t>, 2015, as if the conversion of our</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preferred shares into common shares on a one-for-one basis had occurred, by:</w:t>
            </w:r>
          </w:p>
        </w:tc>
        <w:tc>
          <w:tcPr>
            <w:tcW w:w="29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will automatically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w:t>
      </w:r>
    </w:p>
    <w:p>
      <w:pPr>
        <w:ind w:right="240"/>
        <w:spacing w:after="0" w:line="255" w:lineRule="auto"/>
        <w:rPr>
          <w:sz w:val="20"/>
          <w:szCs w:val="20"/>
          <w:color w:val="auto"/>
        </w:rPr>
      </w:pPr>
      <w:r>
        <w:rPr>
          <w:rFonts w:ascii="Arial" w:cs="Arial" w:eastAsia="Arial" w:hAnsi="Arial"/>
          <w:sz w:val="18"/>
          <w:szCs w:val="18"/>
          <w:color w:val="auto"/>
        </w:rPr>
        <w:t>to acquire within 60 days of , 2015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0" w:lineRule="exact"/>
        <w:rPr>
          <w:sz w:val="20"/>
          <w:szCs w:val="20"/>
          <w:color w:val="auto"/>
        </w:rPr>
      </w:pPr>
    </w:p>
    <w:p>
      <w:pPr>
        <w:ind w:left="460"/>
        <w:spacing w:after="0"/>
        <w:tabs>
          <w:tab w:leader="none" w:pos="6400" w:val="left"/>
          <w:tab w:leader="none" w:pos="9740" w:val="left"/>
        </w:tabs>
        <w:rPr>
          <w:sz w:val="20"/>
          <w:szCs w:val="20"/>
          <w:color w:val="auto"/>
        </w:rPr>
      </w:pPr>
      <w:r>
        <w:rPr>
          <w:rFonts w:ascii="Arial" w:cs="Arial" w:eastAsia="Arial" w:hAnsi="Arial"/>
          <w:sz w:val="18"/>
          <w:szCs w:val="18"/>
          <w:color w:val="auto"/>
        </w:rPr>
        <w:t>The percentage of outstanding common shares is computed on the basis of</w:t>
      </w:r>
      <w:r>
        <w:rPr>
          <w:sz w:val="20"/>
          <w:szCs w:val="20"/>
          <w:color w:val="auto"/>
        </w:rPr>
        <w:tab/>
      </w:r>
      <w:r>
        <w:rPr>
          <w:rFonts w:ascii="Arial" w:cs="Arial" w:eastAsia="Arial" w:hAnsi="Arial"/>
          <w:sz w:val="18"/>
          <w:szCs w:val="18"/>
          <w:color w:val="auto"/>
        </w:rPr>
        <w:t>common shares outstanding as of</w:t>
      </w:r>
      <w:r>
        <w:rPr>
          <w:sz w:val="20"/>
          <w:szCs w:val="20"/>
          <w:color w:val="auto"/>
        </w:rPr>
        <w:tab/>
      </w:r>
      <w:r>
        <w:rPr>
          <w:rFonts w:ascii="Arial" w:cs="Arial" w:eastAsia="Arial" w:hAnsi="Arial"/>
          <w:sz w:val="15"/>
          <w:szCs w:val="15"/>
          <w:color w:val="auto"/>
        </w:rPr>
        <w:t>, 2015, based on the</w:t>
      </w:r>
    </w:p>
    <w:p>
      <w:pPr>
        <w:spacing w:after="0" w:line="23"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midpoint of the price range stated on the front cover of this prospectus. Common shares that a person has the right to acquire within 60 days of</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2015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at</w:t>
      </w:r>
    </w:p>
    <w:p>
      <w:pPr>
        <w:spacing w:after="0" w:line="2" w:lineRule="exact"/>
        <w:rPr>
          <w:sz w:val="20"/>
          <w:szCs w:val="20"/>
          <w:color w:val="auto"/>
        </w:rPr>
      </w:pPr>
    </w:p>
    <w:p>
      <w:pPr>
        <w:spacing w:after="0"/>
        <w:tabs>
          <w:tab w:leader="none" w:pos="2080" w:val="left"/>
          <w:tab w:leader="none" w:pos="5940" w:val="left"/>
        </w:tabs>
        <w:rPr>
          <w:sz w:val="20"/>
          <w:szCs w:val="20"/>
          <w:color w:val="auto"/>
        </w:rPr>
      </w:pPr>
      <w:r>
        <w:rPr>
          <w:rFonts w:ascii="Arial" w:cs="Arial" w:eastAsia="Arial" w:hAnsi="Arial"/>
          <w:sz w:val="18"/>
          <w:szCs w:val="18"/>
          <w:color w:val="auto"/>
        </w:rPr>
        <w:t>June 30, 2015, a total of</w:t>
      </w:r>
      <w:r>
        <w:rPr>
          <w:sz w:val="20"/>
          <w:szCs w:val="20"/>
          <w:color w:val="auto"/>
        </w:rPr>
        <w:tab/>
      </w:r>
      <w:r>
        <w:rPr>
          <w:rFonts w:ascii="Arial" w:cs="Arial" w:eastAsia="Arial" w:hAnsi="Arial"/>
          <w:sz w:val="18"/>
          <w:szCs w:val="18"/>
          <w:color w:val="auto"/>
        </w:rPr>
        <w:t>of our common shares were held by a total of</w:t>
      </w:r>
      <w:r>
        <w:rPr>
          <w:sz w:val="20"/>
          <w:szCs w:val="20"/>
          <w:color w:val="auto"/>
        </w:rPr>
        <w:tab/>
      </w:r>
      <w:r>
        <w:rPr>
          <w:rFonts w:ascii="Arial" w:cs="Arial" w:eastAsia="Arial" w:hAnsi="Arial"/>
          <w:sz w:val="16"/>
          <w:szCs w:val="16"/>
          <w:color w:val="auto"/>
        </w:rPr>
        <w:t>U.S. record holders.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580" w:firstLine="900"/>
        <w:spacing w:after="0" w:line="261" w:lineRule="auto"/>
        <w:rPr>
          <w:sz w:val="20"/>
          <w:szCs w:val="20"/>
          <w:color w:val="auto"/>
        </w:rPr>
      </w:pPr>
      <w:r>
        <w:rPr>
          <w:rFonts w:ascii="Arial" w:cs="Arial" w:eastAsia="Arial" w:hAnsi="Arial"/>
          <w:sz w:val="18"/>
          <w:szCs w:val="18"/>
          <w:color w:val="auto"/>
        </w:rPr>
        <w:t>, 2015. The percentage of common shares beneficially owned after this offering is based on common shares that will be issued and outstanding upon the completion of this offering.</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Shareholders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dievini Hopp BioTech holding GmbH &amp;</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 KG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Varuma AG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Andrea Pfeifer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Andreas Muhs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George Pavey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Jean-Fabien Monin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Martin Velasco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Mathias Hothum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Hans-Beat Gürtler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Detlev Riesner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All executive officers and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Shares Beneficially Owned</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Before This Offering</w:t>
            </w: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This Offering</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79"/>
        </w:trPr>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6"/>
                <w:szCs w:val="6"/>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6"/>
                <w:szCs w:val="6"/>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6"/>
                <w:szCs w:val="6"/>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-8255</wp:posOffset>
            </wp:positionV>
            <wp:extent cx="72466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377190</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702945</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960755</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1217930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1475105</wp:posOffset>
            </wp:positionV>
            <wp:extent cx="72466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1732280</wp:posOffset>
            </wp:positionV>
            <wp:extent cx="72466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083" w:lineRule="exact"/>
        <w:rPr>
          <w:sz w:val="20"/>
          <w:szCs w:val="20"/>
          <w:color w:val="auto"/>
        </w:rPr>
      </w:pPr>
    </w:p>
    <w:p>
      <w:pPr>
        <w:sectPr>
          <w:pgSz w:w="11900" w:h="16838" w:orient="portrait"/>
          <w:cols w:equalWidth="0" w:num="2">
            <w:col w:w="5740" w:space="720"/>
            <w:col w:w="4960"/>
          </w:cols>
          <w:pgMar w:left="240" w:top="446" w:right="239" w:bottom="1440" w:gutter="0" w:footer="0" w:header="0"/>
          <w:type w:val="continuous"/>
        </w:sectPr>
      </w:pPr>
    </w:p>
    <w:p>
      <w:pPr>
        <w:spacing w:after="0" w:line="27" w:lineRule="exact"/>
        <w:rPr>
          <w:sz w:val="20"/>
          <w:szCs w:val="20"/>
          <w:color w:val="auto"/>
        </w:rPr>
      </w:pPr>
    </w:p>
    <w:p>
      <w:pPr>
        <w:ind w:left="120" w:hanging="112"/>
        <w:spacing w:after="0"/>
        <w:tabs>
          <w:tab w:leader="none" w:pos="1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spacing w:after="0" w:line="185"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8"/>
          <w:szCs w:val="18"/>
          <w:color w:val="auto"/>
        </w:rPr>
        <w:t>142</w:t>
      </w:r>
    </w:p>
    <w:p>
      <w:pPr>
        <w:sectPr>
          <w:pgSz w:w="11900" w:h="16838" w:orient="portrait"/>
          <w:cols w:equalWidth="0" w:num="1">
            <w:col w:w="11420"/>
          </w:cols>
          <w:pgMar w:left="240" w:top="446"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2012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16,490 Preferred Series D Shares for CHF 1,212.90 each (in two tranches), and all shares were subscribed by current shareholders. On December 10, 2013, we entered into agreement with our shareholders and investors pursuant to which we agreed to issue 8,245 Series D preferred shares in exchange for a contribution of CHF 10 million as a first tranche and an additional 8,245 Series D preferred shares in exchange for a contribution of CHF 10 million. The 8,245 Series D shares of the first tranche were issued on January 7, 2014 for CHF 10 million and the 8,245 Series D shares of the second tranche were issued on July 7, 2014 for CHF 10 million.</w:t>
      </w:r>
    </w:p>
    <w:p>
      <w:pPr>
        <w:spacing w:after="0" w:line="17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6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Varuma AG</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5,734</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Dr. Riesner(1)</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232</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580" w:type="dxa"/>
            <w:vAlign w:val="bottom"/>
            <w:tcBorders>
              <w:top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15,482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100" w:hanging="452"/>
        <w:spacing w:after="0" w:line="34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Dr. Riesner acquired a total of 232 preferred shares as part of the Series D financing with 8 preferred shares being acquired by Dr. Riesner directly, 16 shares being acquired by Dr. Riesner’s wife, Hannelore Riesner, and 208 shares being acquired by Riesner Verwaltungs GmbH / Peter Esser.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rights, certain rights of first refusal and tag-along rights. Accordingly, the agreement will be terminated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upon consummation of this offering, we intend to enter into a registration rights agreement with certain of our existing shareholders, pursuant to which we will grant them certain demand and piggyback registration rights for the resale of the common shares held by them, as described below. The</w:t>
      </w:r>
    </w:p>
    <w:p>
      <w:pPr>
        <w:ind w:right="60"/>
        <w:spacing w:after="0" w:line="255" w:lineRule="auto"/>
        <w:rPr>
          <w:sz w:val="20"/>
          <w:szCs w:val="20"/>
          <w:color w:val="auto"/>
        </w:rPr>
      </w:pPr>
      <w:r>
        <w:rPr>
          <w:rFonts w:ascii="Arial" w:cs="Arial" w:eastAsia="Arial" w:hAnsi="Arial"/>
          <w:sz w:val="18"/>
          <w:szCs w:val="18"/>
          <w:color w:val="auto"/>
        </w:rPr>
        <w:t>shareholders party to the registration rights agreement will initially hold an aggregate of of our common shares, representing approximately % of the voting power of our common shares outstanding upon completion of this offering (assuming no exercise of the underwriters’ over-allotment option). The registration rights described below will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expire on the earlier to occur of (i) the</w:t>
      </w:r>
      <w:r>
        <w:rPr>
          <w:sz w:val="20"/>
          <w:szCs w:val="20"/>
          <w:color w:val="auto"/>
        </w:rPr>
        <w:tab/>
      </w:r>
      <w:r>
        <w:rPr>
          <w:rFonts w:ascii="Arial" w:cs="Arial" w:eastAsia="Arial" w:hAnsi="Arial"/>
          <w:sz w:val="16"/>
          <w:szCs w:val="16"/>
          <w:color w:val="auto"/>
        </w:rPr>
        <w:t>anniversary of the completion of the offering contemplated by this prospectus and (ii) the date on which there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are no remaining registrable securities held by the parties to the registration rights agreement. The registration rights agreement will provide that we must pay certain registration expenses in connection with any demand, piggyback or shelf registration. The registration rights agreement will contain customary indemnification and contribution provisions.</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Pursuant to the terms of the registration rights agreement, at any time after the date that is months after completion of the offering contemplated by this prospectus, or the trigger date, a shareholder or group of shareholders holding at least % of the registrable securities may request that we effect a registration under the Securities Act of all or any portion of such requesting shareholders’ registrable securities. At least business days prior to the</w:t>
      </w:r>
    </w:p>
    <w:p>
      <w:pPr>
        <w:spacing w:after="0"/>
        <w:rPr>
          <w:sz w:val="20"/>
          <w:szCs w:val="20"/>
          <w:color w:val="auto"/>
        </w:rPr>
      </w:pPr>
      <w:r>
        <w:rPr>
          <w:rFonts w:ascii="Arial" w:cs="Arial" w:eastAsia="Arial" w:hAnsi="Arial"/>
          <w:sz w:val="16"/>
          <w:szCs w:val="16"/>
          <w:color w:val="auto"/>
        </w:rPr>
        <w:t>anticipated filing date of the registration statement relating to such demand registration, we must give all other shareholders party to the registration rights</w:t>
      </w:r>
    </w:p>
    <w:p>
      <w:pPr>
        <w:spacing w:after="0" w:line="32" w:lineRule="exact"/>
        <w:rPr>
          <w:sz w:val="20"/>
          <w:szCs w:val="20"/>
          <w:color w:val="auto"/>
        </w:rPr>
      </w:pPr>
    </w:p>
    <w:p>
      <w:pPr>
        <w:ind w:right="60"/>
        <w:spacing w:after="0" w:line="562" w:lineRule="auto"/>
        <w:rPr>
          <w:sz w:val="20"/>
          <w:szCs w:val="20"/>
          <w:color w:val="auto"/>
        </w:rPr>
      </w:pPr>
      <w:r>
        <w:rPr>
          <w:rFonts w:ascii="Arial" w:cs="Arial" w:eastAsia="Arial" w:hAnsi="Arial"/>
          <w:sz w:val="16"/>
          <w:szCs w:val="16"/>
          <w:color w:val="auto"/>
        </w:rPr>
        <w:t>agreement notice of such requested registration. Within business days of such notice, any of the other shareholders party to the registration rights agreement may request that we also effect the registration of the registrable securities held by them. We will not be required to effect a registration of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registrable securities unless the aggregate proceeds expected to be received from the sale of such registrable securities equals or exceeds $ million or such lesser amount that constitutes all of the requesting shareholders’ registrable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lesser amount is at least $ million). In no event will we be required to effect more than demand registrations or underwritten take downs referred to under “—Shelf Registration Rights” below. Depending on certain conditions, we may postpone a demand registration on occasions during any period of consecutive months for up to days.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 of the registrable securities may request that we effect a shelf registration on similar terms as the demand registrations described above, except that offerings will be conducted as</w:t>
      </w:r>
    </w:p>
    <w:p>
      <w:pPr>
        <w:ind w:right="180"/>
        <w:spacing w:after="0" w:line="255" w:lineRule="auto"/>
        <w:rPr>
          <w:sz w:val="20"/>
          <w:szCs w:val="20"/>
          <w:color w:val="auto"/>
        </w:rPr>
      </w:pPr>
      <w:r>
        <w:rPr>
          <w:rFonts w:ascii="Arial" w:cs="Arial" w:eastAsia="Arial" w:hAnsi="Arial"/>
          <w:sz w:val="18"/>
          <w:szCs w:val="18"/>
          <w:color w:val="auto"/>
        </w:rPr>
        <w:t>underwritten takedowns. We will only be required to effect public offering from such shelf registration statement within any month period, each of which shall be deemed to constitute a demand registration for purposes of the number of demand registrations we are required to effect as described under “—Demand Registration Rights”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enter into employment agreements with certain of our executive officers in connection with this offering.</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219"/>
          </w:cols>
          <w:pgMar w:left="240" w:top="459" w:right="1440"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Canton of Vaud, near Lausanne,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four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basis and (iii) our planned stock split, our issued fully paid-in share capital will consist of CHF divided into common shares with a nominal value of CHF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Swiss law, we may increase our share capital (capital-actions)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9"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CO, shareholders have pre-emptive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75"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our articles of association, our board of directors is authorized at any time until December 31, 2015 to increase our share capital by a maximum</w:t>
      </w:r>
    </w:p>
    <w:p>
      <w:pPr>
        <w:spacing w:after="0" w:line="46" w:lineRule="exact"/>
        <w:rPr>
          <w:sz w:val="20"/>
          <w:szCs w:val="20"/>
          <w:color w:val="auto"/>
        </w:rPr>
      </w:pPr>
    </w:p>
    <w:p>
      <w:pPr>
        <w:ind w:left="600" w:right="120" w:hanging="584"/>
        <w:spacing w:after="0" w:line="250" w:lineRule="auto"/>
        <w:rPr>
          <w:sz w:val="20"/>
          <w:szCs w:val="20"/>
          <w:color w:val="auto"/>
        </w:rPr>
      </w:pPr>
      <w:r>
        <w:rPr>
          <w:rFonts w:ascii="Arial" w:cs="Arial" w:eastAsia="Arial" w:hAnsi="Arial"/>
          <w:sz w:val="18"/>
          <w:szCs w:val="18"/>
          <w:color w:val="auto"/>
        </w:rPr>
        <w:t>aggregate amount of CHF</w:t>
      </w:r>
      <w:r>
        <w:rPr>
          <w:sz w:val="20"/>
          <w:szCs w:val="20"/>
          <w:color w:val="auto"/>
        </w:rPr>
        <w:t xml:space="preserve"> </w:t>
      </w:r>
      <w:r>
        <w:rPr>
          <w:rFonts w:ascii="Arial" w:cs="Arial" w:eastAsia="Arial" w:hAnsi="Arial"/>
          <w:sz w:val="18"/>
          <w:szCs w:val="18"/>
          <w:color w:val="auto"/>
        </w:rPr>
        <w:t>through the issuance of not more than shares, which would have to be fully paid-in, with a nominal value of CHF each.</w:t>
      </w:r>
    </w:p>
    <w:p>
      <w:pPr>
        <w:spacing w:after="0" w:line="200" w:lineRule="exact"/>
        <w:rPr>
          <w:sz w:val="20"/>
          <w:szCs w:val="20"/>
          <w:color w:val="auto"/>
        </w:rPr>
      </w:pPr>
    </w:p>
    <w:p>
      <w:pPr>
        <w:spacing w:after="0" w:line="21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jc w:val="both"/>
        <w:ind w:right="160" w:firstLine="456"/>
        <w:spacing w:after="0" w:line="274" w:lineRule="auto"/>
        <w:rPr>
          <w:sz w:val="20"/>
          <w:szCs w:val="20"/>
          <w:color w:val="auto"/>
        </w:rPr>
      </w:pPr>
      <w:r>
        <w:rPr>
          <w:rFonts w:ascii="Arial" w:cs="Arial" w:eastAsia="Arial" w:hAnsi="Arial"/>
          <w:sz w:val="17"/>
          <w:szCs w:val="17"/>
          <w:color w:val="auto"/>
        </w:rPr>
        <w:t>Our share capital may be increased by a maximum aggregate amount of CHF through the issuance of not more than common shares, which would have to be fully paid-in, with a nominal value of CHF each, by the exercise of option and conversion rights granted in connection with</w:t>
      </w:r>
    </w:p>
    <w:p>
      <w:pPr>
        <w:ind w:right="120"/>
        <w:spacing w:after="0" w:line="261" w:lineRule="auto"/>
        <w:rPr>
          <w:sz w:val="20"/>
          <w:szCs w:val="20"/>
          <w:color w:val="auto"/>
        </w:rPr>
      </w:pPr>
      <w:r>
        <w:rPr>
          <w:rFonts w:ascii="Arial" w:cs="Arial" w:eastAsia="Arial" w:hAnsi="Arial"/>
          <w:sz w:val="18"/>
          <w:szCs w:val="18"/>
          <w:color w:val="auto"/>
        </w:rPr>
        <w:t>warrants and convertible bonds of the Company or one of our subsidiaries. Shareholders will not have pre-emptive rights in such circumstances. The holders of convertible bonds are entitled to the new shares upon the occurrence of the applicable conversion feature.</w:t>
      </w:r>
    </w:p>
    <w:p>
      <w:pPr>
        <w:spacing w:after="0" w:line="18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that the advance subscription rights are withdrawn, (i) the convertible bonds are to be issued at market conditions; (ii) the term to exercise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option or conversion rights may not exceed years as of the date of the convertible bond issue and twenty years for conversion rights; and (iii) the exercise price for the new shares must at least correspond to the market conditions at the time of the convertible bond issuance.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 capital may, to the exclusion of the pre-emptive rights of shareholders, be increased by a maximum aggregate amount of CHF</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through the issuance of not more than common shares, which would have to be fully paid-in, with a nominal value of CHF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 973c of the CO)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xml:space="preserve">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In accordance with art. 973c of the CO, we will maintain a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limiting or suppressing shareholder’s pre-emptive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art.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8"/>
          <w:szCs w:val="18"/>
          <w:color w:val="auto"/>
        </w:rPr>
        <w:t>Our share register will initially be kept by</w:t>
      </w:r>
      <w:r>
        <w:rPr>
          <w:sz w:val="20"/>
          <w:szCs w:val="20"/>
          <w:color w:val="auto"/>
        </w:rPr>
        <w:tab/>
      </w:r>
      <w:r>
        <w:rPr>
          <w:rFonts w:ascii="Arial" w:cs="Arial" w:eastAsia="Arial" w:hAnsi="Arial"/>
          <w:sz w:val="16"/>
          <w:szCs w:val="16"/>
          <w:color w:val="auto"/>
        </w:rPr>
        <w:t>, which acts as transfer agent and registrar. The share register reflects only record owners of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Swiss law does not recognize fractional share interests.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pacing w:after="0" w:line="116" w:lineRule="exact"/>
        <w:rPr>
          <w:sz w:val="20"/>
          <w:szCs w:val="20"/>
          <w:color w:val="auto"/>
        </w:rPr>
      </w:pPr>
    </w:p>
    <w:p>
      <w:pPr>
        <w:sectPr>
          <w:pgSz w:w="11900" w:h="16838" w:orient="portrait"/>
          <w:cols w:equalWidth="0" w:num="2">
            <w:col w:w="5800" w:space="26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1380"/>
          </w:cols>
          <w:pgMar w:left="240" w:top="460" w:right="27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1400"/>
          </w:cols>
          <w:pgMar w:left="240" w:top="459" w:right="25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pacing w:after="0" w:line="104" w:lineRule="exact"/>
        <w:rPr>
          <w:sz w:val="20"/>
          <w:szCs w:val="20"/>
          <w:color w:val="auto"/>
        </w:rPr>
      </w:pPr>
    </w:p>
    <w:p>
      <w:pPr>
        <w:sectPr>
          <w:pgSz w:w="11900" w:h="16838" w:orient="portrait"/>
          <w:cols w:equalWidth="0" w:num="2">
            <w:col w:w="5820" w:space="24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460" w:right="239" w:bottom="1440" w:gutter="0" w:footer="0" w:header="0"/>
          <w:type w:val="continuous"/>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59"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60" w:right="2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420"/>
          </w:cols>
          <w:pgMar w:left="240" w:top="459" w:right="23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60"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2015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60"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60"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60" w:right="259" w:bottom="1440" w:gutter="0" w:footer="0" w:header="0"/>
          <w:type w:val="continuous"/>
        </w:sectPr>
      </w:pPr>
    </w:p>
    <w:p>
      <w:pPr>
        <w:ind w:left="900" w:right="28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intend to enter into a registration rights agreement upon consummation of this offering pursuant to which we will agree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executive officers and the holders of all or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60"/>
          </w:cols>
          <w:pgMar w:left="240" w:top="460" w:right="3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5715</wp:posOffset>
            </wp:positionV>
            <wp:extent cx="4718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32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have granted to the underwriters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officers and directors and substantially all of our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to:</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40" w:hanging="446"/>
        <w:spacing w:after="0" w:line="264"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00" w:hanging="446"/>
        <w:spacing w:after="0" w:line="264"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20" w:hanging="446"/>
        <w:spacing w:after="0" w:line="342" w:lineRule="auto"/>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sz w:val="20"/>
          <w:szCs w:val="20"/>
          <w:color w:val="auto"/>
        </w:rPr>
      </w:pPr>
    </w:p>
    <w:p>
      <w:pPr>
        <w:ind w:left="900" w:hanging="446"/>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r>
      <w:tr>
        <w:trPr>
          <w:trHeight w:val="210"/>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1"/>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2014 and 2013 and for each of the years in the two-year period ended December 31, 2014,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40"/>
          </w:cols>
          <w:pgMar w:left="240" w:top="459" w:right="3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976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612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4"/>
                <w:szCs w:val="24"/>
                <w:color w:val="auto"/>
              </w:rPr>
            </w:pPr>
          </w:p>
        </w:tc>
      </w:tr>
      <w:tr>
        <w:trPr>
          <w:trHeight w:val="445"/>
        </w:trPr>
        <w:tc>
          <w:tcPr>
            <w:tcW w:w="976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60" w:type="dxa"/>
            <w:vAlign w:val="bottom"/>
          </w:tcPr>
          <w:p>
            <w:pPr>
              <w:spacing w:after="0"/>
              <w:rPr>
                <w:sz w:val="24"/>
                <w:szCs w:val="24"/>
                <w:color w:val="auto"/>
              </w:rPr>
            </w:pPr>
          </w:p>
        </w:tc>
      </w:tr>
      <w:tr>
        <w:trPr>
          <w:trHeight w:val="190"/>
        </w:trPr>
        <w:tc>
          <w:tcPr>
            <w:tcW w:w="9760" w:type="dxa"/>
            <w:vAlign w:val="bottom"/>
            <w:gridSpan w:val="12"/>
          </w:tcPr>
          <w:p>
            <w:pPr>
              <w:spacing w:after="0" w:line="190" w:lineRule="exact"/>
              <w:rPr>
                <w:rFonts w:ascii="Arial" w:cs="Arial" w:eastAsia="Arial" w:hAnsi="Arial"/>
                <w:sz w:val="18"/>
                <w:szCs w:val="18"/>
                <w:color w:val="0000EE"/>
              </w:rPr>
            </w:pPr>
            <w:hyperlink w:anchor="page190">
              <w:r>
                <w:rPr>
                  <w:rFonts w:ascii="Arial" w:cs="Arial" w:eastAsia="Arial" w:hAnsi="Arial"/>
                  <w:sz w:val="18"/>
                  <w:szCs w:val="18"/>
                  <w:color w:val="0000EE"/>
                </w:rPr>
                <w:t>Balance Sheets as at June 30, 2015 and December 31, 2014</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Income Statements and Statements of Comprehensive Income for the Six Months Ended June 30, 2015 and 2014</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Statements of Changes in Equity for the Six Months Ended June 30, 2015 and 2014</w:t>
              </w:r>
            </w:hyperlink>
          </w:p>
        </w:tc>
        <w:tc>
          <w:tcPr>
            <w:tcW w:w="2100" w:type="dxa"/>
            <w:vAlign w:val="bottom"/>
            <w:tcBorders>
              <w:top w:val="single" w:sz="8" w:color="0000EE"/>
            </w:tcBorders>
            <w:gridSpan w:val="4"/>
          </w:tcPr>
          <w:p>
            <w:pPr>
              <w:spacing w:after="0"/>
              <w:rPr>
                <w:sz w:val="17"/>
                <w:szCs w:val="17"/>
                <w:color w:val="auto"/>
              </w:rPr>
            </w:pPr>
          </w:p>
        </w:tc>
        <w:tc>
          <w:tcPr>
            <w:tcW w:w="162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Statements of Cash Flows for the Six Months Ended June 30, 2015 and 2014</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Notes to the Interim Condensed Financial Statements for the Six Months Ended June 30, 2015 and 2014</w:t>
              </w:r>
            </w:hyperlink>
          </w:p>
        </w:tc>
        <w:tc>
          <w:tcPr>
            <w:tcW w:w="224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30"/>
        </w:trPr>
        <w:tc>
          <w:tcPr>
            <w:tcW w:w="97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60" w:type="dxa"/>
            <w:vAlign w:val="bottom"/>
          </w:tcPr>
          <w:p>
            <w:pPr>
              <w:spacing w:after="0"/>
              <w:rPr>
                <w:sz w:val="24"/>
                <w:szCs w:val="24"/>
                <w:color w:val="auto"/>
              </w:rPr>
            </w:pPr>
          </w:p>
        </w:tc>
      </w:tr>
      <w:tr>
        <w:trPr>
          <w:trHeight w:val="190"/>
        </w:trPr>
        <w:tc>
          <w:tcPr>
            <w:tcW w:w="9760" w:type="dxa"/>
            <w:vAlign w:val="bottom"/>
            <w:gridSpan w:val="12"/>
          </w:tcPr>
          <w:p>
            <w:pPr>
              <w:spacing w:after="0" w:line="190" w:lineRule="exact"/>
              <w:rPr>
                <w:rFonts w:ascii="Arial" w:cs="Arial" w:eastAsia="Arial" w:hAnsi="Arial"/>
                <w:sz w:val="18"/>
                <w:szCs w:val="18"/>
                <w:color w:val="0000EE"/>
              </w:rPr>
            </w:pPr>
            <w:hyperlink w:anchor="page200">
              <w:r>
                <w:rPr>
                  <w:rFonts w:ascii="Arial" w:cs="Arial" w:eastAsia="Arial" w:hAnsi="Arial"/>
                  <w:sz w:val="18"/>
                  <w:szCs w:val="18"/>
                  <w:color w:val="0000EE"/>
                </w:rPr>
                <w:t>Report of Independent Registered Public Accounting Firm</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Balance Sheets as at December 31, 2014 and 2013</w:t>
              </w:r>
            </w:hyperlink>
          </w:p>
        </w:tc>
        <w:tc>
          <w:tcPr>
            <w:tcW w:w="548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Income Statements and Statements of Comprehensive Income for the fiscal years ended December 31, 2014 and 2013</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Statements of Changes in Equity for the fiscal years ended December 31, 2014 and 2013</w:t>
              </w:r>
            </w:hyperlink>
          </w:p>
        </w:tc>
        <w:tc>
          <w:tcPr>
            <w:tcW w:w="2140" w:type="dxa"/>
            <w:vAlign w:val="bottom"/>
            <w:tcBorders>
              <w:top w:val="single" w:sz="8" w:color="0000EE"/>
            </w:tcBorders>
            <w:gridSpan w:val="4"/>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Statements of Cash Flows for the fiscal years ended December 31, 2014 and 2013</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Notes to the Financial Statements for the fiscal years ended December 31, 2014 and 2013</w:t>
              </w:r>
            </w:hyperlink>
          </w:p>
        </w:tc>
        <w:tc>
          <w:tcPr>
            <w:tcW w:w="330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gridSpan w:val="8"/>
          </w:tcPr>
          <w:p>
            <w:pPr>
              <w:jc w:val="center"/>
              <w:ind w:right="3880"/>
              <w:spacing w:after="0"/>
              <w:rPr>
                <w:sz w:val="20"/>
                <w:szCs w:val="20"/>
                <w:color w:val="auto"/>
              </w:rPr>
            </w:pPr>
            <w:r>
              <w:rPr>
                <w:rFonts w:ascii="Arial" w:cs="Arial" w:eastAsia="Arial" w:hAnsi="Arial"/>
                <w:sz w:val="18"/>
                <w:szCs w:val="18"/>
                <w:color w:val="auto"/>
                <w:w w:val="96"/>
              </w:rPr>
              <w:t>F-1</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19,355</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34,371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34,976</w:t>
            </w:r>
          </w:p>
        </w:tc>
        <w:tc>
          <w:tcPr>
            <w:tcW w:w="400" w:type="dxa"/>
            <w:vAlign w:val="bottom"/>
          </w:tcPr>
          <w:p>
            <w:pPr>
              <w:spacing w:after="0"/>
              <w:rPr>
                <w:sz w:val="24"/>
                <w:szCs w:val="24"/>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83,077</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(54,928)</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2,978</w:t>
            </w:r>
          </w:p>
        </w:tc>
        <w:tc>
          <w:tcPr>
            <w:tcW w:w="400" w:type="dxa"/>
            <w:vAlign w:val="bottom"/>
          </w:tcPr>
          <w:p>
            <w:pPr>
              <w:spacing w:after="0"/>
              <w:rPr>
                <w:sz w:val="24"/>
                <w:szCs w:val="24"/>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4,419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34,976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87"/>
              </w:rPr>
              <w:t>Notes</w:t>
            </w:r>
          </w:p>
        </w:tc>
        <w:tc>
          <w:tcPr>
            <w:tcW w:w="2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Contract revenue</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14,401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14,401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4,060</w:t>
            </w:r>
          </w:p>
        </w:tc>
        <w:tc>
          <w:tcPr>
            <w:tcW w:w="0" w:type="dxa"/>
            <w:vAlign w:val="bottom"/>
          </w:tcPr>
          <w:p>
            <w:pPr>
              <w:spacing w:after="0"/>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(1,742)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(8,932)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(8,683)</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5,469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(4,623)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154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5,623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72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5,623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32.90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30.98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170,901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181,514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185,786</w:t>
            </w:r>
          </w:p>
        </w:tc>
        <w:tc>
          <w:tcPr>
            <w:tcW w:w="0" w:type="dxa"/>
            <w:vAlign w:val="bottom"/>
          </w:tcPr>
          <w:p>
            <w:pPr>
              <w:spacing w:after="0"/>
              <w:rPr>
                <w:sz w:val="1"/>
                <w:szCs w:val="1"/>
                <w:color w:val="auto"/>
              </w:rPr>
            </w:pPr>
          </w:p>
        </w:tc>
      </w:tr>
      <w:tr>
        <w:trPr>
          <w:trHeight w:val="52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Statements of Other Comprehensive Income</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line="198" w:lineRule="exact"/>
              <w:rPr>
                <w:sz w:val="20"/>
                <w:szCs w:val="20"/>
                <w:color w:val="auto"/>
              </w:rPr>
            </w:pPr>
            <w:r>
              <w:rPr>
                <w:rFonts w:ascii="Arial" w:cs="Arial" w:eastAsia="Arial" w:hAnsi="Arial"/>
                <w:sz w:val="18"/>
                <w:szCs w:val="18"/>
                <w:b w:val="1"/>
                <w:bCs w:val="1"/>
                <w:color w:val="auto"/>
                <w:w w:val="87"/>
              </w:rPr>
              <w:t>Other comprehensive income not to be reclassified to income or loss in subsequent periods (net of</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tax)</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 / (losses) on defined benefit plans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5,121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premium</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73,211</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(4,619)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(5,434)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(5,434)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9,848</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9,846</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83,059</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(75,424)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8,488</w:t>
            </w:r>
          </w:p>
        </w:tc>
        <w:tc>
          <w:tcPr>
            <w:tcW w:w="0" w:type="dxa"/>
            <w:vAlign w:val="bottom"/>
          </w:tcPr>
          <w:p>
            <w:pPr>
              <w:spacing w:after="0"/>
              <w:rPr>
                <w:sz w:val="1"/>
                <w:szCs w:val="1"/>
                <w:color w:val="auto"/>
              </w:rPr>
            </w:pPr>
          </w:p>
        </w:tc>
      </w:tr>
      <w:tr>
        <w:trPr>
          <w:trHeight w:val="416"/>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8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Share capital</w:t>
            </w:r>
          </w:p>
        </w:tc>
        <w:tc>
          <w:tcPr>
            <w:tcW w:w="500" w:type="dxa"/>
            <w:vAlign w:val="bottom"/>
            <w:vMerge w:val="restart"/>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520" w:type="dxa"/>
            <w:vAlign w:val="bottom"/>
          </w:tcPr>
          <w:p>
            <w:pPr>
              <w:spacing w:after="0"/>
              <w:rPr>
                <w:sz w:val="24"/>
                <w:szCs w:val="24"/>
                <w:color w:val="auto"/>
              </w:rPr>
            </w:pPr>
          </w:p>
        </w:tc>
        <w:tc>
          <w:tcPr>
            <w:tcW w:w="5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premium</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5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83,068</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5,623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5,121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5,121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83,077</w:t>
            </w:r>
          </w:p>
        </w:tc>
        <w:tc>
          <w:tcPr>
            <w:tcW w:w="5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(54,928)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29,004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460" w:type="dxa"/>
            <w:vAlign w:val="bottom"/>
            <w:gridSpan w:val="2"/>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9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5,623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income/(loss) for the period to net cash flows: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406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11,776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(340)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(935)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16,002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 (used in) operating activities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16,059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(9,152)</w:t>
            </w:r>
          </w:p>
        </w:tc>
        <w:tc>
          <w:tcPr>
            <w:tcW w:w="0" w:type="dxa"/>
            <w:vAlign w:val="bottom"/>
          </w:tcPr>
          <w:p>
            <w:pPr>
              <w:spacing w:after="0"/>
              <w:rPr>
                <w:sz w:val="1"/>
                <w:szCs w:val="1"/>
                <w:color w:val="auto"/>
              </w:rPr>
            </w:pP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(117)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9,791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15,952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3,306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on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19,355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15,952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(CHF thousands, except share and per share amounts)</w:t>
      </w:r>
    </w:p>
    <w:p>
      <w:pPr>
        <w:spacing w:after="0" w:line="11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2015 were authorized for issue in accordance with a resolution of the Board of Directors on August 25, 2015.</w:t>
      </w:r>
    </w:p>
    <w:p>
      <w:pPr>
        <w:spacing w:after="0" w:line="315" w:lineRule="exact"/>
        <w:rPr>
          <w:sz w:val="20"/>
          <w:szCs w:val="20"/>
          <w:color w:val="auto"/>
        </w:rPr>
      </w:pPr>
    </w:p>
    <w:p>
      <w:pPr>
        <w:ind w:right="5520" w:firstLine="8"/>
        <w:spacing w:after="0" w:line="378" w:lineRule="auto"/>
        <w:tabs>
          <w:tab w:leader="none" w:pos="446"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Going concern</w:t>
      </w:r>
    </w:p>
    <w:p>
      <w:pPr>
        <w:ind w:right="40"/>
        <w:spacing w:after="0" w:line="277"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19.4 million as at June 30, 2015.</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Company has considered the two milestone payments received in 2015 pursuant to its collaboration agreements with Genentech. Specifically, in July the Company received a CHF 14 million milestone payment for reaching the ED-GO decision for its anti-tau antibody program and in August the Company received a $25 million (CHF 24.3 million) milestone payment associated with the decision by Roche/Genentech to move crenezumab into Phase 3 studies. These two milestones have increased Company’s cash balance as at mid-August to over CHF 57.6 million.</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interim condensed financial statements for the six months ended June 30, 2015 and 2014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assumptions and estimates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2014, except for the adoption of new standards and interpretations effective as of January 1, 2015.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Milestones</w:t>
            </w:r>
          </w:p>
        </w:tc>
        <w:tc>
          <w:tcPr>
            <w:tcW w:w="920" w:type="dxa"/>
            <w:vAlign w:val="bottom"/>
          </w:tcPr>
          <w:p>
            <w:pPr>
              <w:jc w:val="right"/>
              <w:spacing w:after="0"/>
              <w:rPr>
                <w:sz w:val="20"/>
                <w:szCs w:val="20"/>
                <w:color w:val="auto"/>
              </w:rPr>
            </w:pPr>
            <w:r>
              <w:rPr>
                <w:rFonts w:ascii="Arial" w:cs="Arial" w:eastAsia="Arial" w:hAnsi="Arial"/>
                <w:sz w:val="18"/>
                <w:szCs w:val="18"/>
                <w:color w:val="auto"/>
              </w:rPr>
              <w:t>14,000</w:t>
            </w:r>
          </w:p>
        </w:tc>
        <w:tc>
          <w:tcPr>
            <w:tcW w:w="10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AD—Collaboration with Piramal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upfront payment of EUR 500 thousand received from this collaboration is deferred over a period of 12 months and ended in May 2015 during the Joint Research Collaboration, as such the remaining CHF 205 thousand in deferred revenue was recognized in the first 6 months of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AD-Collaboration with Genentech</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June 2012, the Company has entered into an exclusive global license agreement and research collaboration with Genentech, Inc. for the development of anti-tau antibodies for the potential treatment and diagnosis of AD and other human diseases.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terms of this agreement, Genentech has made an upfront payment to AC Immune, with the potential of over CHF 400 million in payments upon successful completion of non-clinical, clinical and regulatory milestones for Alzheimer’s and additional applications. Upon commercialization of a product, Genentech will pay AC Immune royalties on net sales of AC Immune’s antibodies in the field of Alzheimer’s or other human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upfront payment received from the collaboration with Genentech is deferred over a period of two years, ending June 2014.</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June 12, 2015, the Company received a milestone payment of CHF 14 million. This milestone was due upon the ED-GO decision by Genentech on the anti-tau Antibody’s Product in AD. At the same time, Genentech announced that it intends to move the anti-tau Antibody program into Phase 1 clinical studies in late 2016.</w:t>
      </w:r>
    </w:p>
    <w:p>
      <w:pPr>
        <w:spacing w:after="0" w:line="326"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20"/>
          </w:cols>
          <w:pgMar w:left="240" w:top="460"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income tax expense recognized for the six month period to June 30, 2015, is based on the best estimate of the weighted average annual income tax rate expected for the full financial year to December 31, 2015. The estimate of the weighted average annual income tax rate 2015 takes into consideration the utilization of previously unrecognized tax losses, as the Company has made taxable profits for the six month period to June 30, 2015 and expects also to make taxable profits for the full financial year to December 31, 2015, due to contract revenue earned in 2015. In accordance with IAS 34, no deferred tax assets have been recognised at the date of the interim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statements of income or loss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2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400" w:type="dxa"/>
            <w:vAlign w:val="bottom"/>
            <w:tcBorders>
              <w:bottom w:val="single" w:sz="8" w:color="CCEEFF"/>
            </w:tcBorders>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Tax expense calculated at the statutory rate of 22.5% (2014: 0%)</w:t>
            </w:r>
          </w:p>
        </w:tc>
        <w:tc>
          <w:tcPr>
            <w:tcW w:w="1940" w:type="dxa"/>
            <w:vAlign w:val="bottom"/>
            <w:gridSpan w:val="2"/>
          </w:tcPr>
          <w:p>
            <w:pPr>
              <w:jc w:val="right"/>
              <w:ind w:right="920"/>
              <w:spacing w:after="0"/>
              <w:rPr>
                <w:sz w:val="20"/>
                <w:szCs w:val="20"/>
                <w:color w:val="auto"/>
              </w:rPr>
            </w:pPr>
            <w:r>
              <w:rPr>
                <w:rFonts w:ascii="Arial" w:cs="Arial" w:eastAsia="Arial" w:hAnsi="Arial"/>
                <w:sz w:val="18"/>
                <w:szCs w:val="18"/>
                <w:color w:val="auto"/>
              </w:rPr>
              <w:t>(1,266)</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(three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2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3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250 options were granted to Executive Officers of the Company for the six months ended June 30, 2014, no options were granted at the end of June 2015.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205 options were granted to Directors of the Company for the six months ended June 30, 2014 and no options were granted at the end of June 2015.</w:t>
      </w:r>
    </w:p>
    <w:p>
      <w:pPr>
        <w:spacing w:after="0" w:line="38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created conditional share capital for the potential issuance of common shares under the stock option plan for employees, board members and persons in comparable positions.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administers the stock option plans. The granting to employees, Executive Officers and members of the Board of Directors is, according to the stock option plan regulations, under the discretion of the Plan Administrator, who is elected by the Board of Directors. All plans are equity-settled plans.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on Plan A: SOP 2003/2004</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this plan a total of 1,451 options on common shares were granted and vested in 2004. The exercise price was set at CHF 232.97, the lock-up period was four years and the duration is 10.5 years from the date of grant, which was December 31, 2004.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June 5, 2015 the Board of Directors has decided to modify the conditions of exercise of these options and amend the above mentioned Notice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Reduction of the Exercise Price (Strike Price):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-Exercise Price (Strike Price):</w:t>
      </w:r>
      <w:r>
        <w:rPr>
          <w:sz w:val="20"/>
          <w:szCs w:val="20"/>
          <w:color w:val="auto"/>
        </w:rPr>
        <w:tab/>
      </w:r>
      <w:r>
        <w:rPr>
          <w:rFonts w:ascii="Arial" w:cs="Arial" w:eastAsia="Arial" w:hAnsi="Arial"/>
          <w:sz w:val="16"/>
          <w:szCs w:val="16"/>
          <w:color w:val="auto"/>
        </w:rPr>
        <w:t>CHF 36.37 (instead of CHF 232.97)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Extension of the Expiration Date: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June 30, 2017 (instead of June 30, 2015)</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net impact of the change in the Plan A option was an increase in share-based compensation costs for the six month period ended June 30, 2015 of CHF 336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Movements in the number of options outstanding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Strike price</w:t>
            </w:r>
          </w:p>
        </w:tc>
        <w:tc>
          <w:tcPr>
            <w:tcW w:w="96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Strike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CHF</w:t>
            </w:r>
          </w:p>
        </w:tc>
        <w:tc>
          <w:tcPr>
            <w:tcW w:w="9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 CHF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Outstanding as at January 1</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6"/>
          </w:tcPr>
          <w:p>
            <w:pPr>
              <w:spacing w:after="0"/>
              <w:rPr>
                <w:sz w:val="20"/>
                <w:szCs w:val="20"/>
                <w:color w:val="auto"/>
              </w:rPr>
            </w:pPr>
            <w:r>
              <w:rPr>
                <w:rFonts w:ascii="Arial" w:cs="Arial" w:eastAsia="Arial" w:hAnsi="Arial"/>
                <w:sz w:val="18"/>
                <w:szCs w:val="18"/>
                <w:i w:val="1"/>
                <w:iCs w:val="1"/>
                <w:color w:val="auto"/>
              </w:rPr>
              <w:t>- of which exercisable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1,451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Outstanding as at June 30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36.37</w:t>
            </w:r>
          </w:p>
        </w:tc>
        <w:tc>
          <w:tcPr>
            <w:tcW w:w="15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6"/>
          </w:tcPr>
          <w:p>
            <w:pPr>
              <w:spacing w:after="0"/>
              <w:rPr>
                <w:sz w:val="20"/>
                <w:szCs w:val="20"/>
                <w:color w:val="auto"/>
              </w:rPr>
            </w:pPr>
            <w:r>
              <w:rPr>
                <w:rFonts w:ascii="Arial" w:cs="Arial" w:eastAsia="Arial" w:hAnsi="Arial"/>
                <w:sz w:val="18"/>
                <w:szCs w:val="18"/>
                <w:i w:val="1"/>
                <w:iCs w:val="1"/>
                <w:color w:val="auto"/>
              </w:rPr>
              <w:t>- of which exercisable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1,451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life of options in circulation</w:t>
            </w: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2.0 years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1.0 year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8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instruments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7"/>
          </w:tcPr>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80" w:type="dxa"/>
            <w:vAlign w:val="bottom"/>
            <w:gridSpan w:val="5"/>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at June 30,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2"/>
              </w:rPr>
              <w:t>As at Dec.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Receivables</w:t>
            </w:r>
          </w:p>
        </w:tc>
        <w:tc>
          <w:tcPr>
            <w:tcW w:w="46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33,514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29,241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80" w:type="dxa"/>
            <w:vAlign w:val="bottom"/>
            <w:gridSpan w:val="5"/>
          </w:tcPr>
          <w:p>
            <w:pPr>
              <w:ind w:left="1080"/>
              <w:spacing w:after="0"/>
              <w:rPr>
                <w:sz w:val="20"/>
                <w:szCs w:val="20"/>
                <w:color w:val="auto"/>
              </w:rPr>
            </w:pPr>
            <w:r>
              <w:rPr>
                <w:rFonts w:ascii="Arial" w:cs="Arial" w:eastAsia="Arial" w:hAnsi="Arial"/>
                <w:sz w:val="18"/>
                <w:szCs w:val="18"/>
                <w:b w:val="1"/>
                <w:bCs w:val="1"/>
                <w:color w:val="auto"/>
              </w:rPr>
              <w:t>Financial liabilities</w:t>
            </w: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Pr>
          <w:p>
            <w:pPr>
              <w:ind w:left="2700"/>
              <w:spacing w:after="0"/>
              <w:rPr>
                <w:sz w:val="20"/>
                <w:szCs w:val="20"/>
                <w:color w:val="auto"/>
              </w:rPr>
            </w:pPr>
            <w:r>
              <w:rPr>
                <w:rFonts w:ascii="Arial" w:cs="Arial" w:eastAsia="Arial" w:hAnsi="Arial"/>
                <w:sz w:val="18"/>
                <w:szCs w:val="18"/>
                <w:color w:val="auto"/>
              </w:rPr>
              <w:t>F-10</w:t>
            </w: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(anti-Abeta antibody) in AD-Collaboration with Genentech</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July 2015, Roche/Genentech announced that they intend to commence Phase 3 clinical studies for crenezumab in early 2016. The decision to move crenezumab into Phase 3 clinical studies triggered a $25.9 million (CHF 24.3 million) milestone payment which AC Immune received in August 2015.</w:t>
      </w:r>
    </w:p>
    <w:p>
      <w:pPr>
        <w:spacing w:after="0" w:line="5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880"/>
          </w:cols>
          <w:pgMar w:left="240" w:top="460" w:right="7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sheets of AC Immune SA at December 31, 2014 and 2013, and the related income statements, statements of comprehensive income, statements of changes in equity and statements of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2014 and 2013, and the results of its operations and its cash flows for each of the two years in the period ended December 31, 2014,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As at December 31,</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29,667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30,296</w:t>
            </w:r>
          </w:p>
        </w:tc>
        <w:tc>
          <w:tcPr>
            <w:tcW w:w="44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83,068</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(60,455)</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2,410</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2,410</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929</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2,630</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4,419</w:t>
            </w:r>
          </w:p>
        </w:tc>
        <w:tc>
          <w:tcPr>
            <w:tcW w:w="44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7,891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30,269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30,269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8,637</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(3,436)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(19,552)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(20,135)</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10,717</w:t>
            </w:r>
          </w:p>
        </w:tc>
        <w:tc>
          <w:tcPr>
            <w:tcW w:w="3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(11,498)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6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earnings/(loss) per share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170,739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earnings/(loss) per share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184,048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179,638</w:t>
            </w:r>
          </w:p>
        </w:tc>
        <w:tc>
          <w:tcPr>
            <w:tcW w:w="0" w:type="dxa"/>
            <w:vAlign w:val="bottom"/>
          </w:tcPr>
          <w:p>
            <w:pPr>
              <w:spacing w:after="0"/>
              <w:rPr>
                <w:sz w:val="1"/>
                <w:szCs w:val="1"/>
                <w:color w:val="auto"/>
              </w:rPr>
            </w:pPr>
          </w:p>
        </w:tc>
      </w:tr>
      <w:tr>
        <w:trPr>
          <w:trHeight w:val="52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9,426</w:t>
            </w:r>
          </w:p>
        </w:tc>
        <w:tc>
          <w:tcPr>
            <w:tcW w:w="3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63,370</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(59,608)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4,532</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40" w:type="dxa"/>
            <w:vAlign w:val="bottom"/>
            <w:gridSpan w:val="2"/>
          </w:tcPr>
          <w:p>
            <w:pPr>
              <w:spacing w:after="0"/>
              <w:rPr>
                <w:sz w:val="20"/>
                <w:szCs w:val="20"/>
                <w:color w:val="auto"/>
              </w:rPr>
            </w:pPr>
            <w:r>
              <w:rPr>
                <w:rFonts w:ascii="Arial" w:cs="Arial" w:eastAsia="Arial" w:hAnsi="Arial"/>
                <w:sz w:val="18"/>
                <w:szCs w:val="18"/>
                <w:color w:val="auto"/>
              </w:rPr>
              <w:t>Net loss for the period in 2013</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(11,243)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(10,739)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8"/>
              </w:rPr>
              <w:t>(10,739)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9,841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40" w:type="dxa"/>
            <w:vAlign w:val="bottom"/>
            <w:gridSpan w:val="2"/>
          </w:tcPr>
          <w:p>
            <w:pPr>
              <w:spacing w:after="0"/>
              <w:rPr>
                <w:sz w:val="20"/>
                <w:szCs w:val="20"/>
                <w:color w:val="auto"/>
              </w:rPr>
            </w:pPr>
            <w:r>
              <w:rPr>
                <w:rFonts w:ascii="Arial" w:cs="Arial" w:eastAsia="Arial" w:hAnsi="Arial"/>
                <w:sz w:val="18"/>
                <w:szCs w:val="18"/>
                <w:color w:val="auto"/>
              </w:rPr>
              <w:t>Net Profit for the period in 2014</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10,744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9,426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9,426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854</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 (loss) for the period to net cash flows: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(17,624)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(19,804)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10,008</w:t>
            </w:r>
          </w:p>
        </w:tc>
        <w:tc>
          <w:tcPr>
            <w:tcW w:w="0" w:type="dxa"/>
            <w:vAlign w:val="bottom"/>
          </w:tcPr>
          <w:p>
            <w:pPr>
              <w:spacing w:after="0"/>
              <w:rPr>
                <w:sz w:val="1"/>
                <w:szCs w:val="1"/>
                <w:color w:val="auto"/>
              </w:rPr>
            </w:pPr>
          </w:p>
        </w:tc>
      </w:tr>
      <w:tr>
        <w:trPr>
          <w:trHeight w:val="43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color w:val="auto"/>
              </w:rPr>
              <w:t>Transaction cost due on closure of Series D round financing</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3.3 million as at December 31, 2014, the non-refundable upfront fee payment of CHF 25.9 million associated with the licensing agreement the Company entered into with Janssen Pharmaceuticals on December 24, 2014 (funds received on February 6, 2015) and also in the light of current financial plans and financial commitments.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have considered the two milestone payments we received in 2015 pursuant to our collaboration agreements with Genentech including a CHF 14 million milestone payment for reaching the ED-GO decision for our anti-tau antibody program and a $25 million (CHF 24.3 million) milestone payment associated with the decision by Roche/Genentech to move crenezumab into Phase 3 studies. These two milestones have increased our cash balance as at mid-August 2015 to over CHF 57.6 million.</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August 25,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280"/>
          </w:cols>
          <w:pgMar w:left="240" w:top="460" w:right="37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00"/>
          </w:cols>
          <w:pgMar w:left="240" w:top="460" w:right="37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Expenditure to acquire patents, trademarks and licenses is capitalized and amortized using the straight-line method over their useful lives of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bank comprise the cash on hand.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80"/>
          </w:cols>
          <w:pgMar w:left="240" w:top="460" w:right="37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Series A, B, C and D Preferred Shares are classified as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 Immune has four classes (Class A, B, C and D) of Preferred Shares outstanding. The Preferred Shares are a class of shares that AC Immune SA issued in connection with four separate capital increases and convey voting rights and certain other rights to their holders.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79.7% of the total amount of shares outstanding (assuming conversion of the Preferred Shares into Common Shares on a one-for-one basis), have been the primary source of equity financing for the Company over the past 12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00"/>
          </w:cols>
          <w:pgMar w:left="240" w:top="460"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Company presents basic earnings/loss per share for each period in the financial statements. The earnings/loss per share is calculated by dividing the earnings/loss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2014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IFRS 10, IFRS 12 and IAS 27 </w:t>
      </w:r>
      <w:r>
        <w:rPr>
          <w:rFonts w:ascii="Arial" w:cs="Arial" w:eastAsia="Arial" w:hAnsi="Arial"/>
          <w:sz w:val="18"/>
          <w:szCs w:val="18"/>
          <w:i w:val="1"/>
          <w:iCs w:val="1"/>
          <w:color w:val="auto"/>
        </w:rPr>
        <w:t>Investment Entities</w:t>
      </w:r>
      <w:r>
        <w:rPr>
          <w:rFonts w:ascii="Arial" w:cs="Arial" w:eastAsia="Arial" w:hAnsi="Arial"/>
          <w:sz w:val="18"/>
          <w:szCs w:val="18"/>
          <w:color w:val="auto"/>
        </w:rPr>
        <w:t xml:space="preserve"> (Amendments)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19 </w:t>
      </w:r>
      <w:r>
        <w:rPr>
          <w:rFonts w:ascii="Arial" w:cs="Arial" w:eastAsia="Arial" w:hAnsi="Arial"/>
          <w:sz w:val="18"/>
          <w:szCs w:val="18"/>
          <w:i w:val="1"/>
          <w:iCs w:val="1"/>
          <w:color w:val="auto"/>
        </w:rPr>
        <w:t>Employee Benefits entitled Defined Benefit Plans: Employee Contributions</w:t>
      </w:r>
      <w:r>
        <w:rPr>
          <w:rFonts w:ascii="Arial" w:cs="Arial" w:eastAsia="Arial" w:hAnsi="Arial"/>
          <w:sz w:val="18"/>
          <w:szCs w:val="18"/>
          <w:color w:val="auto"/>
        </w:rPr>
        <w:t>—</w:t>
      </w:r>
      <w:r>
        <w:rPr>
          <w:rFonts w:ascii="Arial" w:cs="Arial" w:eastAsia="Arial" w:hAnsi="Arial"/>
          <w:sz w:val="18"/>
          <w:szCs w:val="18"/>
          <w:i w:val="1"/>
          <w:iCs w:val="1"/>
          <w:color w:val="auto"/>
        </w:rPr>
        <w:t>Amendments to IAS 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32 </w:t>
      </w:r>
      <w:r>
        <w:rPr>
          <w:rFonts w:ascii="Arial" w:cs="Arial" w:eastAsia="Arial" w:hAnsi="Arial"/>
          <w:sz w:val="18"/>
          <w:szCs w:val="18"/>
          <w:i w:val="1"/>
          <w:iCs w:val="1"/>
          <w:color w:val="auto"/>
        </w:rPr>
        <w:t>Offsetting Financial Assets and Financial Liabilities—Amendments to IAS 32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36 </w:t>
      </w:r>
      <w:r>
        <w:rPr>
          <w:rFonts w:ascii="Arial" w:cs="Arial" w:eastAsia="Arial" w:hAnsi="Arial"/>
          <w:sz w:val="18"/>
          <w:szCs w:val="18"/>
          <w:i w:val="1"/>
          <w:iCs w:val="1"/>
          <w:color w:val="auto"/>
        </w:rPr>
        <w:t>Recoverable Amount Disclosures for Non-Financial Assets—Amendments to IAS 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39 </w:t>
      </w:r>
      <w:r>
        <w:rPr>
          <w:rFonts w:ascii="Arial" w:cs="Arial" w:eastAsia="Arial" w:hAnsi="Arial"/>
          <w:sz w:val="18"/>
          <w:szCs w:val="18"/>
          <w:i w:val="1"/>
          <w:iCs w:val="1"/>
          <w:color w:val="auto"/>
        </w:rPr>
        <w:t>Novation of Derivatives and Continuation of Hedge Accounting—Amendments to IAS 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IFRIC 21 </w:t>
      </w:r>
      <w:r>
        <w:rPr>
          <w:rFonts w:ascii="Arial" w:cs="Arial" w:eastAsia="Arial" w:hAnsi="Arial"/>
          <w:sz w:val="18"/>
          <w:szCs w:val="18"/>
          <w:i w:val="1"/>
          <w:iCs w:val="1"/>
          <w:color w:val="auto"/>
        </w:rPr>
        <w:t>Levies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Annual improvements (Dec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well as several other amendments from the annual improvement project of IFRS.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July 1, 2014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check which ones are applicable for disclosure</w:t>
            </w: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IFRS 9 Financial instruments</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2009 to</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Effective Jan 1, 2018 with early adoption allowed</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Accounting for Acquisitions of Interests in Joint Operations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IFRS 11)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9"/>
              </w:rPr>
              <w:t>Clarification of Acceptable Methods of Depreciation and</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Amortization (Amendments to IAS 16 and IAS 38)</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2017.</w:t>
            </w:r>
          </w:p>
        </w:tc>
        <w:tc>
          <w:tcPr>
            <w:tcW w:w="1600" w:type="dxa"/>
            <w:vAlign w:val="bottom"/>
          </w:tcPr>
          <w:p>
            <w:pPr>
              <w:spacing w:after="0"/>
              <w:rPr>
                <w:sz w:val="20"/>
                <w:szCs w:val="20"/>
                <w:color w:val="auto"/>
              </w:rPr>
            </w:pPr>
            <w:r>
              <w:rPr>
                <w:rFonts w:ascii="Arial" w:cs="Arial" w:eastAsia="Arial" w:hAnsi="Arial"/>
                <w:sz w:val="18"/>
                <w:szCs w:val="18"/>
                <w:color w:val="auto"/>
              </w:rPr>
              <w:t>Jan 1, 2017</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Note: IASB has proposed 1 year deferral</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check which ones are applicable for disclosure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290"/>
        </w:trPr>
        <w:tc>
          <w:tcPr>
            <w:tcW w:w="438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Aug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6"/>
              </w:rPr>
              <w:t>Associate or Joint Venture (Amendments to IFRS 10 and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Investment Entities: Applying the Consolidation Exception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IFRS 10, IFRS 12 and 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intangible assets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1,571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1,757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1,741</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1,815</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891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1,146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1,397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2014</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gridSpan w:val="2"/>
          </w:tcPr>
          <w:p>
            <w:pPr>
              <w:spacing w:after="0"/>
              <w:rPr>
                <w:sz w:val="20"/>
                <w:szCs w:val="20"/>
                <w:color w:val="auto"/>
              </w:rPr>
            </w:pPr>
            <w:r>
              <w:rPr>
                <w:rFonts w:ascii="Arial" w:cs="Arial" w:eastAsia="Arial" w:hAnsi="Arial"/>
                <w:sz w:val="18"/>
                <w:szCs w:val="18"/>
                <w:color w:val="auto"/>
              </w:rPr>
              <w:t>Net book value December 31, 2013</w:t>
            </w:r>
          </w:p>
        </w:tc>
        <w:tc>
          <w:tcPr>
            <w:tcW w:w="1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Arial" w:cs="Arial" w:eastAsia="Arial" w:hAnsi="Arial"/>
                <w:sz w:val="18"/>
                <w:szCs w:val="18"/>
                <w:color w:val="auto"/>
              </w:rPr>
              <w:t>F-25</w:t>
            </w:r>
          </w:p>
        </w:tc>
        <w:tc>
          <w:tcPr>
            <w:tcW w:w="7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Security deposit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54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 receivable</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6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2015.</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Swiss VAT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70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0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6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76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3,306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00" w:type="dxa"/>
            <w:vAlign w:val="bottom"/>
          </w:tcPr>
          <w:p>
            <w:pPr>
              <w:spacing w:after="0"/>
              <w:rPr>
                <w:sz w:val="5"/>
                <w:szCs w:val="5"/>
                <w:color w:val="auto"/>
              </w:rPr>
            </w:pPr>
          </w:p>
        </w:tc>
        <w:tc>
          <w:tcPr>
            <w:tcW w:w="108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CHF</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68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1.21463 and 0.99879,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the issued share capital amounting to CHF 853,900 is comprised of 170,780 shares. The table below summarizes the capital structure: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3260" w:type="dxa"/>
            <w:vAlign w:val="bottom"/>
            <w:gridSpan w:val="11"/>
          </w:tcPr>
          <w:p>
            <w:pPr>
              <w:ind w:left="5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24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80" w:type="dxa"/>
            <w:vAlign w:val="bottom"/>
          </w:tcPr>
          <w:p>
            <w:pPr>
              <w:spacing w:after="0"/>
              <w:rPr>
                <w:sz w:val="12"/>
                <w:szCs w:val="12"/>
                <w:color w:val="auto"/>
              </w:rPr>
            </w:pPr>
          </w:p>
        </w:tc>
        <w:tc>
          <w:tcPr>
            <w:tcW w:w="9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5 each</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172,660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70,760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335,650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335,650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192,380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192,380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16,490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41,225</w:t>
            </w:r>
          </w:p>
        </w:tc>
      </w:tr>
      <w:tr>
        <w:trPr>
          <w:trHeight w:val="291"/>
        </w:trPr>
        <w:tc>
          <w:tcPr>
            <w:tcW w:w="724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170,780</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853,900</w:t>
            </w:r>
          </w:p>
        </w:tc>
        <w:tc>
          <w:tcPr>
            <w:tcW w:w="1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162,450</w:t>
            </w:r>
          </w:p>
        </w:tc>
        <w:tc>
          <w:tcPr>
            <w:tcW w:w="18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812,250</w:t>
            </w:r>
          </w:p>
        </w:tc>
        <w:tc>
          <w:tcPr>
            <w:tcW w:w="100" w:type="dxa"/>
            <w:vAlign w:val="bottom"/>
          </w:tcPr>
          <w:p>
            <w:pPr>
              <w:spacing w:after="0"/>
              <w:rPr>
                <w:sz w:val="24"/>
                <w:szCs w:val="24"/>
                <w:color w:val="auto"/>
              </w:rPr>
            </w:pPr>
          </w:p>
        </w:tc>
      </w:tr>
    </w:tbl>
    <w:p>
      <w:pPr>
        <w:spacing w:after="0" w:line="2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Common and Preferred Shares have a nominal value of CHF 5 and are fully paid in. In a liquidation or winding up event (including trade sale), Preferred A, B, C and D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2,910 registered Common Shares with a par value of CHF 5.-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December 13, 2013, the Company successfully completed a financing round of CHF 20 million. The share price of the round was CHF 1,212.90 for each of the 16,490 Series D Preferred Shares (8,245 issued immediately in December 2013 and 8,245 as authorized capital subscribed in May 2014).</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R&amp;D costs</w:t>
            </w: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An accrual of CHF 947 thousand and CHF 568 thousand was recognized for performance-related remuneration relating to 2014 and 2013, respectively. F-27</w:t>
      </w:r>
    </w:p>
    <w:p>
      <w:pPr>
        <w:sectPr>
          <w:pgSz w:w="11900" w:h="16838" w:orient="portrait"/>
          <w:cols w:equalWidth="0" w:num="1">
            <w:col w:w="11340"/>
          </w:cols>
          <w:pgMar w:left="240" w:top="460" w:right="3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As of December 31, 2014, the remaining CHF 205 thousand is recorded as a current liability in deferred income.</w:t>
      </w:r>
    </w:p>
    <w:p>
      <w:pPr>
        <w:spacing w:after="0" w:line="31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30,179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30,269</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2006 with Genentech</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Under the agreement with Genentech, we may become eligible to receive payments totaling up to approximately $340 million, excluding royalties. As at August 25, 2015 we have received total payments of $65 million (CHF 70.1 million): $40 million (CHF 45.8 million) were received in three milestone payments prior to 2013 and $25 million (CHF 24.3 million) were received in the subsequent period in July 2015.</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will recognize the Phase 3 payment in our third quarter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 date we have received payments totaling CHF 31 million including a subsequent CHF 14 million milestone payment received in the second quarter of 2015 associated with the recent selection of the lead candidate to be taken forward into Phase 1 clinical studies. Genentech also announced it intends to commence Phase 1 clinical studies for this product candidate in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Janssen Pharmaceuticals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At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The agreement also allows for the collaboration to be expanded to a second indication based on the same anti-tau vaccine program and intellectual property related to this program.</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2013 and 2014, we recognized revenue associated with a research grant given to us by a European Institution in October of 2011 and which had a 3-year duration. We recognized the revenues on a straight line basis over the period of the grant.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5,669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6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16,116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(three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250 and zero options were granted in 2014 and 2013, respectively, to the Executive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205 and zero options were granted in 2014 and 2013, respectively, to the Directors of the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360" w:type="dxa"/>
            <w:vAlign w:val="bottom"/>
            <w:tcBorders>
              <w:top w:val="single" w:sz="8" w:color="auto"/>
            </w:tcBorders>
            <w:gridSpan w:val="5"/>
          </w:tcPr>
          <w:p>
            <w:pPr>
              <w:ind w:left="9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80" w:type="dxa"/>
            <w:vAlign w:val="bottom"/>
            <w:gridSpan w:val="3"/>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10,744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(11,243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91"/>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(2013: 0%)</w:t>
            </w:r>
          </w:p>
        </w:tc>
        <w:tc>
          <w:tcPr>
            <w:tcW w:w="420" w:type="dxa"/>
            <w:vAlign w:val="bottom"/>
          </w:tcPr>
          <w:p>
            <w:pPr>
              <w:spacing w:after="0"/>
              <w:rPr>
                <w:sz w:val="24"/>
                <w:szCs w:val="24"/>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8180" w:type="dxa"/>
            <w:vAlign w:val="bottom"/>
            <w:gridSpan w:val="3"/>
          </w:tcPr>
          <w:p>
            <w:pPr>
              <w:ind w:left="460"/>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2014 and 2013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is no income tax recognized directly in equity or in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80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8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2,410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75"/>
        </w:trPr>
        <w:tc>
          <w:tcPr>
            <w:tcW w:w="98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51,663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60,699</w:t>
            </w:r>
          </w:p>
        </w:tc>
        <w:tc>
          <w:tcPr>
            <w:tcW w:w="0" w:type="dxa"/>
            <w:vAlign w:val="bottom"/>
          </w:tcPr>
          <w:p>
            <w:pPr>
              <w:spacing w:after="0"/>
              <w:rPr>
                <w:sz w:val="1"/>
                <w:szCs w:val="1"/>
                <w:color w:val="auto"/>
              </w:rPr>
            </w:pPr>
          </w:p>
        </w:tc>
      </w:tr>
      <w:tr>
        <w:trPr>
          <w:trHeight w:val="439"/>
        </w:trPr>
        <w:tc>
          <w:tcPr>
            <w:tcW w:w="9800" w:type="dxa"/>
            <w:vAlign w:val="bottom"/>
          </w:tcPr>
          <w:p>
            <w:pPr>
              <w:ind w:left="5540"/>
              <w:spacing w:after="0"/>
              <w:rPr>
                <w:sz w:val="20"/>
                <w:szCs w:val="20"/>
                <w:color w:val="auto"/>
              </w:rPr>
            </w:pPr>
            <w:r>
              <w:rPr>
                <w:rFonts w:ascii="Arial" w:cs="Arial" w:eastAsia="Arial" w:hAnsi="Arial"/>
                <w:sz w:val="18"/>
                <w:szCs w:val="18"/>
                <w:color w:val="auto"/>
              </w:rPr>
              <w:t>F-31</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2014</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2016</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2018</w:t>
            </w:r>
          </w:p>
        </w:tc>
        <w:tc>
          <w:tcPr>
            <w:tcW w:w="600" w:type="dxa"/>
            <w:vAlign w:val="bottom"/>
          </w:tcPr>
          <w:p>
            <w:pPr>
              <w:jc w:val="right"/>
              <w:spacing w:after="0"/>
              <w:rPr>
                <w:sz w:val="20"/>
                <w:szCs w:val="20"/>
                <w:color w:val="auto"/>
              </w:rPr>
            </w:pPr>
            <w:r>
              <w:rPr>
                <w:rFonts w:ascii="Arial" w:cs="Arial" w:eastAsia="Arial" w:hAnsi="Arial"/>
                <w:sz w:val="18"/>
                <w:szCs w:val="18"/>
                <w:color w:val="auto"/>
              </w:rPr>
              <w:t>10,388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91"/>
        </w:trPr>
        <w:tc>
          <w:tcPr>
            <w:tcW w:w="69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59,770</w:t>
            </w:r>
          </w:p>
        </w:tc>
        <w:tc>
          <w:tcPr>
            <w:tcW w:w="120" w:type="dxa"/>
            <w:vAlign w:val="bottom"/>
          </w:tcPr>
          <w:p>
            <w:pPr>
              <w:spacing w:after="0"/>
              <w:rPr>
                <w:sz w:val="24"/>
                <w:szCs w:val="24"/>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10.5 million, representing the amount of tax losses that would have been used as an offset if the negotiated tax holiday had not enabled the Company to pay no taxes during 2014.</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Consistent with prior years, the Company has not recorded any deferred tax assets in relation to the past tax losses available for offset against future profits as the recognition criteria have not been met at the last annual balance sheet date. The criteria are not expected to be met at the next annual balance sheet date.</w:t>
      </w:r>
    </w:p>
    <w:p>
      <w:pPr>
        <w:spacing w:after="0" w:line="268"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Apart from the social security plans fixed by the law, the Company maintains one independent pension plan covering all of its employees including its executive officers. In addition to retirement benefits, the plan provides death or long-term disability benefits to its employees.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Benefits under the plan are principally based on contributions, computed as a percentage of salary, adjusted for the age of the employee and shared approximately 46% and 54% by employee and employer, respectively. 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employment laws, which require final salary payments to be adjusted for the consumer price index once in payment during retirement. The defined benefit pension plan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year, the Board of Trustees reviews the level of funding in the pension plan as required by Swiss employment legislation. Such a review includes the asset-liability matching strategy and investment risk management policy. The Board of Trustees decides its contribution based on the results of this annual review. Generally, it aims to have a portfolio mix of a combined 40% in equity and property and 60% in debt instruments. Swiss employment practice recommends the Company to clear any plan deficit (based on a valuation performed in accordance with Swiss Employment Law) over a period of no more than 5 years after the period in which the deficit arises.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pension plan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the pension liability is adjusted to consumer price index, the pension plan is exposed to Swiss inflation, interest rate risks and changes in the life expectancy for pensioners.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(8,091)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(6,044)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5,681</w:t>
            </w:r>
          </w:p>
        </w:tc>
        <w:tc>
          <w:tcPr>
            <w:tcW w:w="54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6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507"/>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1"/>
        </w:trPr>
        <w:tc>
          <w:tcPr>
            <w:tcW w:w="82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Net pension cost</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(6,044)</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(521)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(322)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Defined benefit obligation as of December 31</w:t>
            </w:r>
          </w:p>
        </w:tc>
        <w:tc>
          <w:tcPr>
            <w:tcW w:w="3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(8,091)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(6,044)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F-33</w:t>
            </w: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Actuarial gain / (loss)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8580" w:type="dxa"/>
            <w:vAlign w:val="bottom"/>
            <w:gridSpan w:val="2"/>
          </w:tcPr>
          <w:p>
            <w:pPr>
              <w:spacing w:after="0"/>
              <w:rPr>
                <w:sz w:val="20"/>
                <w:szCs w:val="20"/>
                <w:color w:val="auto"/>
              </w:rPr>
            </w:pPr>
            <w:r>
              <w:rPr>
                <w:rFonts w:ascii="Arial" w:cs="Arial" w:eastAsia="Arial" w:hAnsi="Arial"/>
                <w:sz w:val="18"/>
                <w:szCs w:val="18"/>
                <w:color w:val="auto"/>
                <w:w w:val="97"/>
              </w:rPr>
              <w:t>Employer’s contribution to the pension plan for the financial year 2015 are estimated to be CHF 401 thousand.</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pension cost through Income Statement</w:t>
            </w: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31 December</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major categories of plan assets held by the separately administrated fund, of which the Company’s pension plan assets form a part, are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Bonds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45,577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41,976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106,851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Real estate and mortgages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19,479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19,670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80" w:type="dxa"/>
            <w:vAlign w:val="bottom"/>
            <w:vMerge w:val="continue"/>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178,699</w:t>
            </w:r>
          </w:p>
        </w:tc>
        <w:tc>
          <w:tcPr>
            <w:tcW w:w="50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166,907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plan assets above is the cash surrender value of the insurance with AXA.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strategy defined by the Board of trustees follows a conservative profile.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the real estate and mortgages.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38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06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r>
        <w:trPr>
          <w:trHeight w:val="350"/>
        </w:trPr>
        <w:tc>
          <w:tcPr>
            <w:tcW w:w="3600" w:type="dxa"/>
            <w:vAlign w:val="bottom"/>
          </w:tcPr>
          <w:p>
            <w:pPr>
              <w:spacing w:after="0"/>
              <w:rPr>
                <w:sz w:val="24"/>
                <w:szCs w:val="24"/>
                <w:color w:val="auto"/>
              </w:rPr>
            </w:pPr>
          </w:p>
        </w:tc>
        <w:tc>
          <w:tcPr>
            <w:tcW w:w="3860" w:type="dxa"/>
            <w:vAlign w:val="bottom"/>
            <w:gridSpan w:val="3"/>
          </w:tcPr>
          <w:p>
            <w:pPr>
              <w:jc w:val="right"/>
              <w:ind w:right="2960"/>
              <w:spacing w:after="0"/>
              <w:rPr>
                <w:sz w:val="20"/>
                <w:szCs w:val="20"/>
                <w:color w:val="auto"/>
              </w:rPr>
            </w:pPr>
            <w:r>
              <w:rPr>
                <w:rFonts w:ascii="Arial" w:cs="Arial" w:eastAsia="Arial" w:hAnsi="Arial"/>
                <w:sz w:val="18"/>
                <w:szCs w:val="18"/>
                <w:color w:val="auto"/>
              </w:rPr>
              <w:t>F-34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2014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760" w:type="dxa"/>
            <w:vAlign w:val="bottom"/>
            <w:gridSpan w:val="4"/>
            <w:vMerge w:val="restart"/>
          </w:tcPr>
          <w:p>
            <w:pPr>
              <w:jc w:val="right"/>
              <w:ind w:right="122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76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5%</w:t>
            </w:r>
            <w:r>
              <w:rPr>
                <w:rFonts w:ascii="Arial" w:cs="Arial" w:eastAsia="Arial" w:hAnsi="Arial"/>
                <w:sz w:val="14"/>
                <w:szCs w:val="14"/>
                <w:color w:val="auto"/>
              </w:rPr>
              <w:t xml:space="preserve"> increase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7"/>
              </w:rPr>
              <w:t>-0.5% decrease</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783</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6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60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Stock</w:t>
            </w:r>
          </w:p>
        </w:tc>
        <w:tc>
          <w:tcPr>
            <w:tcW w:w="4220" w:type="dxa"/>
            <w:vAlign w:val="bottom"/>
          </w:tcPr>
          <w:p>
            <w:pPr>
              <w:ind w:left="80"/>
              <w:spacing w:after="0" w:line="195" w:lineRule="exact"/>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years’ service from grant date</w:t>
            </w:r>
          </w:p>
        </w:tc>
        <w:tc>
          <w:tcPr>
            <w:tcW w:w="4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3,276</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C1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23,683</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6"/>
                <w:szCs w:val="16"/>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Term (Y)</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16,026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55.30</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for outstanding options was CHF 36.37 to CHF 232.97 as of December 31, 2014 and 2013.</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fair values of the options granted in 2014 and 2013 are CHF 192.61 and CHF 171.53, respectively. These fair values have been determined using the Black-Scholes model and an exercise price of CHF 36.37 (2013: CHF 36.37), a spot price of CHF 225.67 (2013: CHF 203.80), a risk-free interest rate of 0.232% (2013: 0.453%) and a volatility of 50% (2013: 50%) with an expected duration of 6 years (2013: 6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2014 is CHF 225.67 (2013: CHF 203.80).</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2014 amounts to CHF 211 thousand (2013: CHF 256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2014, external research projects for CHF 3.1 million were committed for 2015. Rental contract for laboratory and offices space at the EPFL Innovation Park in Ecublens/Lausanne can be cancelled within a 6 month notice period. As of December 31, 2014, rental contracts for CHF 169 thousand were committed for 2015.</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Income / (loss) per share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6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170,739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162,356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184,048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179,638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60" w:type="dxa"/>
            <w:vAlign w:val="bottom"/>
          </w:tcPr>
          <w:p>
            <w:pPr>
              <w:spacing w:after="0"/>
              <w:rPr>
                <w:sz w:val="20"/>
                <w:szCs w:val="20"/>
                <w:color w:val="auto"/>
              </w:rPr>
            </w:pPr>
            <w:r>
              <w:rPr>
                <w:rFonts w:ascii="Arial" w:cs="Arial" w:eastAsia="Arial" w:hAnsi="Arial"/>
                <w:sz w:val="18"/>
                <w:szCs w:val="18"/>
                <w:color w:val="auto"/>
              </w:rPr>
              <w:t>Basic, income / (loss) for the period attributable to equity holders</w:t>
            </w:r>
          </w:p>
        </w:tc>
        <w:tc>
          <w:tcPr>
            <w:tcW w:w="660" w:type="dxa"/>
            <w:vAlign w:val="bottom"/>
          </w:tcPr>
          <w:p>
            <w:pPr>
              <w:jc w:val="right"/>
              <w:spacing w:after="0"/>
              <w:rPr>
                <w:sz w:val="20"/>
                <w:szCs w:val="20"/>
                <w:color w:val="auto"/>
              </w:rPr>
            </w:pPr>
            <w:r>
              <w:rPr>
                <w:rFonts w:ascii="Arial" w:cs="Arial" w:eastAsia="Arial" w:hAnsi="Arial"/>
                <w:sz w:val="18"/>
                <w:szCs w:val="18"/>
                <w:color w:val="auto"/>
              </w:rPr>
              <w:t>62.93</w:t>
            </w:r>
          </w:p>
        </w:tc>
        <w:tc>
          <w:tcPr>
            <w:tcW w:w="4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 (loss) for the period attributable to equity holders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2014 and 2013 basic and diluted loss per share is based on the weighted average number of shares issued and outstanding.</w:t>
      </w:r>
    </w:p>
    <w:p>
      <w:pPr>
        <w:spacing w:after="0" w:line="393"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if the CHF had strengthened/weakened by 10% against the EUR and the USD with all other variables held constant, the net loss for the period would have been lower/higher by CHF 25 thousand (2013: CHF 22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w:t>
            </w:r>
          </w:p>
        </w:tc>
        <w:tc>
          <w:tcPr>
            <w:tcW w:w="54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the current cash position and the upfront fee subsequently received on February 6, 2015 from Janssen for the anti-p-tau vaccine program in AD (ACI-35), the Company is well financed until the end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For the Years Ended December 31,</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8"/>
              </w:rPr>
              <w:t>Less than 3</w:t>
            </w:r>
          </w:p>
        </w:tc>
        <w:tc>
          <w:tcPr>
            <w:tcW w:w="7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8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Less than 3</w:t>
            </w:r>
          </w:p>
        </w:tc>
        <w:tc>
          <w:tcPr>
            <w:tcW w:w="6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7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 and</w:t>
            </w:r>
          </w:p>
        </w:tc>
        <w:tc>
          <w:tcPr>
            <w:tcW w:w="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 and</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1 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1,584</w:t>
            </w:r>
          </w:p>
        </w:tc>
        <w:tc>
          <w:tcPr>
            <w:tcW w:w="760" w:type="dxa"/>
            <w:vAlign w:val="bottom"/>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that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upfront payment received from Janssen for the anti-p-tau vaccine program in AD (ACI-35) was recognized at signature on December 24, 2014 and the further co-development cost for Phase 1b and related manufacturing cost will be equally shared between both partners. The milestone payment amounting to CHF 25.9 million has been booked on February 6, 2015.</w:t>
      </w:r>
    </w:p>
    <w:p>
      <w:pPr>
        <w:spacing w:after="0" w:line="18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In June 2015, we received a CHF 14 million milestone payment related to our anti-tau antibody program which we have partnered with Roche/Genentech. Genentech also announced that it intends to move the lead compound into Phase 1 clinical studies in 2016. In July 2015, Roche/Genentech announced that they intend to commence Phase 3 clinical studies for crenezumab in early 2016. The decision to move crenezumab into Phase 3 clinical studies triggered a $25 million (CHF 24.3 million) milestone payment which AC Immune received in August 2015.</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00"/>
          </w:cols>
          <w:pgMar w:left="24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2015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December 10, 2013,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June 25, 2014,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June 30, 2012 through June 30, 2015, the registrant issued options to purchase 2,204 shares of its common stock to its employees with an exercise price of CHF 36.37 per share.</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From June 30, 2012 through June 30, 2015, a total of 241 options were exercised by the registrant’s employees at an exercise price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CHF 36.37 for aggregate consideration of CHF 0.1 million.</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the city of Lausanne, Switzerland on</w:t>
            </w:r>
          </w:p>
        </w:tc>
        <w:tc>
          <w:tcPr>
            <w:tcW w:w="4020" w:type="dxa"/>
            <w:vAlign w:val="bottom"/>
          </w:tcPr>
          <w:p>
            <w:pPr>
              <w:jc w:val="right"/>
              <w:ind w:right="2950"/>
              <w:spacing w:after="0"/>
              <w:rPr>
                <w:sz w:val="20"/>
                <w:szCs w:val="20"/>
                <w:color w:val="auto"/>
              </w:rPr>
            </w:pPr>
            <w:r>
              <w:rPr>
                <w:rFonts w:ascii="Arial" w:cs="Arial" w:eastAsia="Arial" w:hAnsi="Arial"/>
                <w:sz w:val="18"/>
                <w:szCs w:val="18"/>
                <w:color w:val="auto"/>
              </w:rPr>
              <w:t>, 2015.</w:t>
            </w: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rPr>
              <w:t>By:</w:t>
            </w:r>
          </w:p>
        </w:tc>
        <w:tc>
          <w:tcPr>
            <w:tcW w:w="3240" w:type="dxa"/>
            <w:vAlign w:val="bottom"/>
          </w:tcPr>
          <w:p>
            <w:pPr>
              <w:spacing w:after="0"/>
              <w:rPr>
                <w:sz w:val="24"/>
                <w:szCs w:val="24"/>
                <w:color w:val="auto"/>
              </w:rPr>
            </w:pPr>
          </w:p>
        </w:tc>
      </w:tr>
      <w:tr>
        <w:trPr>
          <w:trHeight w:val="209"/>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3300" w:type="dxa"/>
            <w:vAlign w:val="bottom"/>
          </w:tcPr>
          <w:p>
            <w:pPr>
              <w:spacing w:after="0"/>
              <w:rPr>
                <w:sz w:val="20"/>
                <w:szCs w:val="20"/>
                <w:color w:val="auto"/>
              </w:rPr>
            </w:pPr>
          </w:p>
        </w:tc>
        <w:tc>
          <w:tcPr>
            <w:tcW w:w="4880" w:type="dxa"/>
            <w:vAlign w:val="bottom"/>
            <w:gridSpan w:val="2"/>
          </w:tcPr>
          <w:p>
            <w:pPr>
              <w:ind w:left="4020"/>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65"/>
        </w:trPr>
        <w:tc>
          <w:tcPr>
            <w:tcW w:w="3300" w:type="dxa"/>
            <w:vAlign w:val="bottom"/>
          </w:tcPr>
          <w:p>
            <w:pPr>
              <w:spacing w:after="0"/>
              <w:rPr>
                <w:sz w:val="24"/>
                <w:szCs w:val="24"/>
                <w:color w:val="auto"/>
              </w:rPr>
            </w:pPr>
          </w:p>
        </w:tc>
        <w:tc>
          <w:tcPr>
            <w:tcW w:w="4880" w:type="dxa"/>
            <w:vAlign w:val="bottom"/>
            <w:gridSpan w:val="2"/>
          </w:tcPr>
          <w:p>
            <w:pPr>
              <w:ind w:left="2280"/>
              <w:spacing w:after="0"/>
              <w:rPr>
                <w:sz w:val="20"/>
                <w:szCs w:val="20"/>
                <w:color w:val="auto"/>
              </w:rPr>
            </w:pPr>
            <w:r>
              <w:rPr>
                <w:rFonts w:ascii="Arial" w:cs="Arial" w:eastAsia="Arial" w:hAnsi="Arial"/>
                <w:sz w:val="18"/>
                <w:szCs w:val="18"/>
                <w:color w:val="auto"/>
              </w:rPr>
              <w:t>II-3</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0540" w:val="left"/>
        </w:tabs>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w:t>
      </w:r>
      <w:r>
        <w:rPr>
          <w:sz w:val="20"/>
          <w:szCs w:val="20"/>
          <w:color w:val="auto"/>
        </w:rPr>
        <w:tab/>
      </w:r>
      <w:r>
        <w:rPr>
          <w:rFonts w:ascii="Arial" w:cs="Arial" w:eastAsia="Arial" w:hAnsi="Arial"/>
          <w:sz w:val="15"/>
          <w:szCs w:val="15"/>
          <w:color w:val="auto"/>
        </w:rPr>
        <w:t>and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p>
      <w:pPr>
        <w:ind w:left="900" w:right="56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2015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Hans-Beat Gürtler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60" w:right="3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291" w:lineRule="auto"/>
        <w:tabs>
          <w:tab w:leader="none" w:pos="4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be filed by amendment. ** Previously submitted.</w:t>
      </w:r>
    </w:p>
    <w:p>
      <w:pPr>
        <w:ind w:left="46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1)"/>
      <w:numFmt w:val="decimal"/>
      <w:start w:val="1"/>
    </w:lvl>
  </w:abstractNum>
  <w:abstractNum w:abstractNumId="2">
    <w:nsid w:val="8F2B15E"/>
    <w:multiLevelType w:val="hybridMultilevel"/>
    <w:lvl w:ilvl="0">
      <w:lvlJc w:val="left"/>
      <w:lvlText w:val="•"/>
      <w:numFmt w:val="bullet"/>
      <w:start w:val="1"/>
    </w:lvl>
    <w:lvl w:ilvl="1">
      <w:lvlJc w:val="left"/>
      <w:lvlText w:val="•"/>
      <w:numFmt w:val="bullet"/>
      <w:start w:val="1"/>
    </w:lvl>
  </w:abstractNum>
  <w:abstractNum w:abstractNumId="3">
    <w:nsid w:val="1A32234B"/>
    <w:multiLevelType w:val="hybridMultilevel"/>
    <w:lvl w:ilvl="0">
      <w:lvlJc w:val="left"/>
      <w:lvlText w:val="•"/>
      <w:numFmt w:val="bullet"/>
      <w:start w:val="1"/>
    </w:lvl>
    <w:lvl w:ilvl="1">
      <w:lvlJc w:val="left"/>
      <w:lvlText w:val="•"/>
      <w:numFmt w:val="bullet"/>
      <w:start w:val="1"/>
    </w:lvl>
  </w:abstractNum>
  <w:abstractNum w:abstractNumId="4">
    <w:nsid w:val="3B0FD379"/>
    <w:multiLevelType w:val="hybridMultilevel"/>
    <w:lvl w:ilvl="0">
      <w:lvlJc w:val="left"/>
      <w:lvlText w:val="•"/>
      <w:numFmt w:val="bullet"/>
      <w:start w:val="1"/>
    </w:lvl>
    <w:lvl w:ilvl="1">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lowerRoman"/>
      <w:start w:val="1"/>
    </w:lvl>
  </w:abstractNum>
  <w:abstractNum w:abstractNumId="15">
    <w:nsid w:val="6EB5BD4"/>
    <w:multiLevelType w:val="hybridMultilevel"/>
    <w:lvl w:ilvl="0">
      <w:lvlJc w:val="left"/>
      <w:lvlText w:val="(%1)"/>
      <w:numFmt w:val="lowerRoman"/>
      <w:start w:val="3"/>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1)"/>
      <w:numFmt w:val="decimal"/>
      <w:start w:val="1"/>
    </w:lvl>
  </w:abstractNum>
  <w:abstractNum w:abstractNumId="19">
    <w:nsid w:val="76272110"/>
    <w:multiLevelType w:val="hybridMultilevel"/>
    <w:lvl w:ilvl="0">
      <w:lvlJc w:val="left"/>
      <w:lvlText w:val="(%1)"/>
      <w:numFmt w:val="decimal"/>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1)"/>
      <w:numFmt w:val="lowerRoman"/>
      <w:start w:val="3"/>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lvl w:ilvl="1">
      <w:lvlJc w:val="left"/>
      <w:lvlText w:val="(%2)"/>
      <w:numFmt w:val="lowerRoman"/>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lowerRoman"/>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lvl w:ilvl="1">
      <w:lvlJc w:val="left"/>
      <w:lvlText w:val="•"/>
      <w:numFmt w:val="bullet"/>
      <w:start w:val="1"/>
    </w:lvl>
  </w:abstractNum>
  <w:abstractNum w:abstractNumId="59">
    <w:nsid w:val="1D545C4D"/>
    <w:multiLevelType w:val="hybridMultilevel"/>
    <w:lvl w:ilvl="0">
      <w:lvlJc w:val="left"/>
      <w:lvlText w:val="•"/>
      <w:numFmt w:val="bullet"/>
      <w:start w:val="1"/>
    </w:lvl>
    <w:lvl w:ilvl="1">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lvl w:ilvl="1">
      <w:lvlJc w:val="left"/>
      <w:lvlText w:val="•"/>
      <w:numFmt w:val="bullet"/>
      <w:start w:val="1"/>
    </w:lvl>
  </w:abstractNum>
  <w:abstractNum w:abstractNumId="65">
    <w:nsid w:val="51088277"/>
    <w:multiLevelType w:val="hybridMultilevel"/>
    <w:lvl w:ilvl="0">
      <w:lvlJc w:val="left"/>
      <w:lvlText w:val="•"/>
      <w:numFmt w:val="bullet"/>
      <w:start w:val="1"/>
    </w:lvl>
    <w:lvl w:ilvl="1">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lvl w:ilvl="1">
      <w:lvlJc w:val="left"/>
      <w:lvlText w:val="•"/>
      <w:numFmt w:val="bullet"/>
      <w:start w:val="1"/>
    </w:lvl>
  </w:abstractNum>
  <w:abstractNum w:abstractNumId="69">
    <w:nsid w:val="7C58FD05"/>
    <w:multiLevelType w:val="hybridMultilevel"/>
    <w:lvl w:ilvl="0">
      <w:lvlJc w:val="left"/>
      <w:lvlText w:val="•"/>
      <w:numFmt w:val="bullet"/>
      <w:start w:val="1"/>
    </w:lvl>
    <w:lvl w:ilvl="1">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lvl w:ilvl="1">
      <w:lvlJc w:val="left"/>
      <w:lvlText w:val="•"/>
      <w:numFmt w:val="bullet"/>
      <w:start w:val="1"/>
    </w:lvl>
  </w:abstractNum>
  <w:abstractNum w:abstractNumId="114">
    <w:nsid w:val="57D2F10E"/>
    <w:multiLevelType w:val="hybridMultilevel"/>
    <w:lvl w:ilvl="0">
      <w:lvlJc w:val="left"/>
      <w:lvlText w:val="•"/>
      <w:numFmt w:val="bullet"/>
      <w:start w:val="1"/>
    </w:lvl>
    <w:lvl w:ilvl="1">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1)"/>
      <w:numFmt w:val="lowerRoman"/>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1."/>
      <w:numFmt w:val="decimal"/>
      <w:start w:val="2"/>
    </w:lvl>
  </w:abstractNum>
  <w:abstractNum w:abstractNumId="124">
    <w:nsid w:val="2A31B62D"/>
    <w:multiLevelType w:val="hybridMultilevel"/>
    <w:lvl w:ilvl="0">
      <w:lvlJc w:val="left"/>
      <w:lvlText w:val="(%1)"/>
      <w:numFmt w:val="lowerRoman"/>
      <w:start w:val="1"/>
    </w:lvl>
  </w:abstractNum>
  <w:abstractNum w:abstractNumId="125">
    <w:nsid w:val="1849C29B"/>
    <w:multiLevelType w:val="hybridMultilevel"/>
    <w:lvl w:ilvl="0">
      <w:lvlJc w:val="left"/>
      <w:lvlText w:val="(%1)"/>
      <w:numFmt w:val="lowerRoman"/>
      <w:start w:val="3"/>
    </w:lvl>
  </w:abstractNum>
  <w:abstractNum w:abstractNumId="126">
    <w:nsid w:val="7DFF9D09"/>
    <w:multiLevelType w:val="hybridMultilevel"/>
    <w:lvl w:ilvl="0">
      <w:lvlJc w:val="left"/>
      <w:lvlText w:val="%1."/>
      <w:numFmt w:val="decimal"/>
      <w:start w:val="4"/>
    </w:lvl>
  </w:abstractNum>
  <w:abstractNum w:abstractNumId="127">
    <w:nsid w:val="754342"/>
    <w:multiLevelType w:val="hybridMultilevel"/>
    <w:lvl w:ilvl="0">
      <w:lvlJc w:val="left"/>
      <w:lvlText w:val="%1."/>
      <w:numFmt w:val="decimal"/>
      <w:start w:val="5"/>
    </w:lvl>
  </w:abstractNum>
  <w:abstractNum w:abstractNumId="128">
    <w:nsid w:val="69E7F3E5"/>
    <w:multiLevelType w:val="hybridMultilevel"/>
    <w:lvl w:ilvl="0">
      <w:lvlJc w:val="left"/>
      <w:lvlText w:val="%1."/>
      <w:numFmt w:val="decimal"/>
      <w:start w:val="6"/>
    </w:lvl>
  </w:abstractNum>
  <w:abstractNum w:abstractNumId="129">
    <w:nsid w:val="2A6DE806"/>
    <w:multiLevelType w:val="hybridMultilevel"/>
    <w:lvl w:ilvl="0">
      <w:lvlJc w:val="left"/>
      <w:lvlText w:val="%1."/>
      <w:numFmt w:val="decimal"/>
      <w:start w:val="7"/>
    </w:lvl>
  </w:abstractNum>
  <w:abstractNum w:abstractNumId="130">
    <w:nsid w:val="1816F8C4"/>
    <w:multiLevelType w:val="hybridMultilevel"/>
    <w:lvl w:ilvl="0">
      <w:lvlJc w:val="left"/>
      <w:lvlText w:val="%1."/>
      <w:numFmt w:val="decimal"/>
      <w:start w:val="9"/>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2"/>
    </w:lvl>
  </w:abstractNum>
  <w:abstractNum w:abstractNumId="133">
    <w:nsid w:val="759F82CD"/>
    <w:multiLevelType w:val="hybridMultilevel"/>
    <w:lvl w:ilvl="0">
      <w:lvlJc w:val="left"/>
      <w:lvlText w:val="(%1)"/>
      <w:numFmt w:val="lowerRoman"/>
      <w:start w:val="1"/>
    </w:lvl>
  </w:abstractNum>
  <w:abstractNum w:abstractNumId="134">
    <w:nsid w:val="61E74EA3"/>
    <w:multiLevelType w:val="hybridMultilevel"/>
    <w:lvl w:ilvl="0">
      <w:lvlJc w:val="left"/>
      <w:lvlText w:val="(%1)"/>
      <w:numFmt w:val="lowerRoman"/>
      <w:start w:val="3"/>
    </w:lvl>
  </w:abstractNum>
  <w:abstractNum w:abstractNumId="135">
    <w:nsid w:val="597B4D84"/>
    <w:multiLevelType w:val="hybridMultilevel"/>
    <w:lvl w:ilvl="0">
      <w:lvlJc w:val="left"/>
      <w:lvlText w:val="%1."/>
      <w:numFmt w:val="decimal"/>
      <w:start w:val="3"/>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decimal"/>
      <w:start w:val="4"/>
    </w:lvl>
  </w:abstractNum>
  <w:abstractNum w:abstractNumId="139">
    <w:nsid w:val="631B64D4"/>
    <w:multiLevelType w:val="hybridMultilevel"/>
    <w:lvl w:ilvl="0">
      <w:lvlJc w:val="left"/>
      <w:lvlText w:val="%1."/>
      <w:numFmt w:val="decimal"/>
      <w:start w:val="6"/>
    </w:lvl>
  </w:abstractNum>
  <w:abstractNum w:abstractNumId="140">
    <w:nsid w:val="78B5E776"/>
    <w:multiLevelType w:val="hybridMultilevel"/>
    <w:lvl w:ilvl="0">
      <w:lvlJc w:val="left"/>
      <w:lvlText w:val="%1."/>
      <w:numFmt w:val="decimal"/>
      <w:start w:val="9"/>
    </w:lvl>
  </w:abstractNum>
  <w:abstractNum w:abstractNumId="141">
    <w:nsid w:val="75486E47"/>
    <w:multiLevelType w:val="hybridMultilevel"/>
    <w:lvl w:ilvl="0">
      <w:lvlJc w:val="left"/>
      <w:lvlText w:val="%1."/>
      <w:numFmt w:val="decimal"/>
      <w:start w:val="11"/>
    </w:lvl>
  </w:abstractNum>
  <w:abstractNum w:abstractNumId="142">
    <w:nsid w:val="6E534CDE"/>
    <w:multiLevelType w:val="hybridMultilevel"/>
    <w:lvl w:ilvl="0">
      <w:lvlJc w:val="left"/>
      <w:lvlText w:val="%1."/>
      <w:numFmt w:val="decimal"/>
      <w:start w:val="13"/>
    </w:lvl>
  </w:abstractNum>
  <w:abstractNum w:abstractNumId="143">
    <w:nsid w:val="1A0DDE32"/>
    <w:multiLevelType w:val="hybridMultilevel"/>
    <w:lvl w:ilvl="0">
      <w:lvlJc w:val="left"/>
      <w:lvlText w:val="%1."/>
      <w:numFmt w:val="decimal"/>
      <w:start w:val="15"/>
    </w:lvl>
  </w:abstractNum>
  <w:abstractNum w:abstractNumId="144">
    <w:nsid w:val="65968C1C"/>
    <w:multiLevelType w:val="hybridMultilevel"/>
    <w:lvl w:ilvl="0">
      <w:lvlJc w:val="left"/>
      <w:lvlText w:val="%1."/>
      <w:numFmt w:val="decimal"/>
      <w:start w:val="16"/>
    </w:lvl>
  </w:abstractNum>
  <w:abstractNum w:abstractNumId="145">
    <w:nsid w:val="46263DEC"/>
    <w:multiLevelType w:val="hybridMultilevel"/>
    <w:lvl w:ilvl="0">
      <w:lvlJc w:val="left"/>
      <w:lvlText w:val="%1."/>
      <w:numFmt w:val="decimal"/>
      <w:start w:val="19"/>
    </w:lvl>
  </w:abstractNum>
  <w:abstractNum w:abstractNumId="146">
    <w:nsid w:val="260D8C4A"/>
    <w:multiLevelType w:val="hybridMultilevel"/>
    <w:lvl w:ilvl="0">
      <w:lvlJc w:val="left"/>
      <w:lvlText w:val="%1."/>
      <w:numFmt w:val="decimal"/>
      <w:start w:val="20"/>
    </w:lvl>
  </w:abstractNum>
  <w:abstractNum w:abstractNumId="147">
    <w:nsid w:val="73D4D3C4"/>
    <w:multiLevelType w:val="hybridMultilevel"/>
    <w:lvl w:ilvl="0">
      <w:lvlJc w:val="left"/>
      <w:lvlText w:val="%1."/>
      <w:numFmt w:val="decimal"/>
      <w:start w:val="21"/>
    </w:lvl>
  </w:abstractNum>
  <w:abstractNum w:abstractNumId="148">
    <w:nsid w:val="746F2E30"/>
    <w:multiLevelType w:val="hybridMultilevel"/>
    <w:lvl w:ilvl="0">
      <w:lvlJc w:val="left"/>
      <w:lvlText w:val="%1."/>
      <w:numFmt w:val="decimal"/>
      <w:start w:val="22"/>
    </w:lvl>
  </w:abstractNum>
  <w:abstractNum w:abstractNumId="149">
    <w:nsid w:val="6FDE8AF6"/>
    <w:multiLevelType w:val="hybridMultilevel"/>
    <w:lvl w:ilvl="0">
      <w:lvlJc w:val="left"/>
      <w:lvlText w:val="%1."/>
      <w:numFmt w:val="decimal"/>
      <w:start w:val="23"/>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2">
    <w:nsid w:val="14D53685"/>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2019-12-09T06:40:02Z</dcterms:created>
  <dcterms:modified xsi:type="dcterms:W3CDTF">2019-12-09T06:40:02Z</dcterms:modified>
</cp:coreProperties>
</file>