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400" w:right="2700"/>
        <w:spacing w:after="0" w:line="264"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3)</w:t>
      </w:r>
      <w:r>
        <w:rPr>
          <w:rFonts w:ascii="Arial" w:cs="Arial" w:eastAsia="Arial" w:hAnsi="Arial"/>
          <w:sz w:val="30"/>
          <w:szCs w:val="30"/>
          <w:color w:val="auto"/>
          <w:vertAlign w:val="superscript"/>
        </w:rPr>
        <w:t>1</w:t>
      </w:r>
    </w:p>
    <w:p>
      <w:pPr>
        <w:spacing w:after="0" w:line="200" w:lineRule="exact"/>
        <w:rPr>
          <w:sz w:val="24"/>
          <w:szCs w:val="24"/>
          <w:color w:val="auto"/>
        </w:rPr>
      </w:pPr>
    </w:p>
    <w:p>
      <w:pPr>
        <w:spacing w:after="0" w:line="383"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AC Immune SA</w:t>
      </w:r>
    </w:p>
    <w:p>
      <w:pPr>
        <w:spacing w:after="0" w:line="23"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Common Shares, par value CHF 0.02</w:t>
      </w:r>
    </w:p>
    <w:p>
      <w:pPr>
        <w:spacing w:after="0" w:line="23"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H00263105</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80" w:hanging="346"/>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80" w:hanging="346"/>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80" w:hanging="346"/>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both"/>
        <w:ind w:right="40"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5,605,420</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5,605,420</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5,605,420</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8.3%</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2</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H00263105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6"/>
              </w:rPr>
              <w:t>BVF I GP LLC</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5,605,420</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5,605,420</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5,605,420</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8.3%</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3</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Trading Fund II,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4,547,527</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4,547,527</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4,547,527</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6.7%</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4</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9"/>
              </w:rPr>
              <w:t>BVF II GP LLC</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0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4,547,527</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4,547,527</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4,547,527</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6.7%</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Biotechnology Value Trading Fund OS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0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815,726</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815,726</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815,726</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BVF Partners OS Ltd.</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08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815,726</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815,726</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815,726</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08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7</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GP HOLDINGS LLC</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10,152,947</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10,152,947</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10,152,947</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15.0%</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8</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p>
      <w:pPr>
        <w:ind w:left="1880" w:hanging="1046"/>
        <w:spacing w:after="0"/>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-130175</wp:posOffset>
            </wp:positionV>
            <wp:extent cx="360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BVF Partners L.P.</w:t>
            </w:r>
          </w:p>
        </w:tc>
        <w:tc>
          <w:tcPr>
            <w:tcW w:w="2860" w:type="dxa"/>
            <w:vAlign w:val="bottom"/>
            <w:tcBorders>
              <w:bottom w:val="single" w:sz="8" w:color="auto"/>
            </w:tcBorders>
          </w:tcPr>
          <w:p>
            <w:pPr>
              <w:spacing w:after="0"/>
              <w:rPr>
                <w:sz w:val="20"/>
                <w:szCs w:val="20"/>
                <w:color w:val="auto"/>
              </w:rPr>
            </w:pPr>
          </w:p>
        </w:tc>
      </w:tr>
      <w:tr>
        <w:trPr>
          <w:trHeight w:val="163"/>
        </w:trPr>
        <w:tc>
          <w:tcPr>
            <w:tcW w:w="1400" w:type="dxa"/>
            <w:vAlign w:val="bottom"/>
          </w:tcPr>
          <w:p>
            <w:pPr>
              <w:jc w:val="right"/>
              <w:ind w:right="390"/>
              <w:spacing w:after="0" w:line="163" w:lineRule="exact"/>
              <w:rPr>
                <w:sz w:val="20"/>
                <w:szCs w:val="20"/>
                <w:color w:val="auto"/>
              </w:rPr>
            </w:pPr>
            <w:r>
              <w:rPr>
                <w:rFonts w:ascii="Arial" w:cs="Arial" w:eastAsia="Arial" w:hAnsi="Arial"/>
                <w:sz w:val="18"/>
                <w:szCs w:val="18"/>
                <w:color w:val="auto"/>
              </w:rPr>
              <w:t>2</w:t>
            </w:r>
          </w:p>
        </w:tc>
        <w:tc>
          <w:tcPr>
            <w:tcW w:w="716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860" w:type="dxa"/>
            <w:vAlign w:val="bottom"/>
          </w:tcPr>
          <w:p>
            <w:pPr>
              <w:ind w:left="17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40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860" w:type="dxa"/>
            <w:vAlign w:val="bottom"/>
          </w:tcPr>
          <w:p>
            <w:pPr>
              <w:ind w:left="1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80" w:hanging="1046"/>
        <w:spacing w:after="0"/>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-130175</wp:posOffset>
            </wp:positionV>
            <wp:extent cx="36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80" w:hanging="1046"/>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-130175</wp:posOffset>
            </wp:positionV>
            <wp:extent cx="360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11,342,505</w:t>
            </w:r>
          </w:p>
        </w:tc>
        <w:tc>
          <w:tcPr>
            <w:tcW w:w="172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11,342,505</w:t>
            </w:r>
          </w:p>
        </w:tc>
        <w:tc>
          <w:tcPr>
            <w:tcW w:w="172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11,342,505</w:t>
            </w:r>
          </w:p>
        </w:tc>
        <w:tc>
          <w:tcPr>
            <w:tcW w:w="6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18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16.8%</w:t>
      </w:r>
    </w:p>
    <w:p>
      <w:pPr>
        <w:spacing w:after="0" w:line="23" w:lineRule="exact"/>
        <w:rPr>
          <w:sz w:val="20"/>
          <w:szCs w:val="20"/>
          <w:color w:val="auto"/>
        </w:rPr>
      </w:pPr>
    </w:p>
    <w:p>
      <w:pPr>
        <w:ind w:left="2340" w:right="7040" w:hanging="1551"/>
        <w:spacing w:after="0" w:line="527" w:lineRule="auto"/>
        <w:tabs>
          <w:tab w:leader="none" w:pos="1885"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BVF Inc.</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11,342,505</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11,342,505</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11,342,505</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16.8%</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10</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H00263105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Mark N. Lampert</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United States</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11,342,505</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11,342,505</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11,342,505</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16.8%</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11</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AC Immune SA, a Switzerland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EPFL Innovation Park, Building B</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1015 Lausanne, Switzerland</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I GP LLC (“BVF GP”)</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II GP LLC (“BVF2 GP”)</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540"/>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OS Ltd. (“Partners OS”)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Grand Cayman, KY1-1104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Cayman Islands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Cayman Islands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GP Holdings LLC (“BVF GPH”)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L.P.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of the foregoing is referred to as a “Reporting Person” and collectively as the “Reporting Persons.”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Shares, par value CHF 0.02 per share (the “Shares”).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H00263105</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/x/</w:t>
            </w:r>
          </w:p>
        </w:tc>
        <w:tc>
          <w:tcPr>
            <w:tcW w:w="864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(a)</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64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640" w:type="dxa"/>
            <w:vAlign w:val="bottom"/>
          </w:tcPr>
          <w:p>
            <w:pPr>
              <w:ind w:left="32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(c)</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64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640" w:type="dxa"/>
            <w:vAlign w:val="bottom"/>
          </w:tcPr>
          <w:p>
            <w:pPr>
              <w:ind w:left="3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(e)</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64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(f)</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64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(g)</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64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(h)</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640" w:type="dxa"/>
            <w:vAlign w:val="bottom"/>
          </w:tcPr>
          <w:p>
            <w:pPr>
              <w:ind w:left="3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(i)</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640" w:type="dxa"/>
            <w:vAlign w:val="bottom"/>
          </w:tcPr>
          <w:p>
            <w:pPr>
              <w:ind w:left="320"/>
              <w:spacing w:after="0"/>
              <w:rPr>
                <w:sz w:val="20"/>
                <w:szCs w:val="20"/>
                <w:color w:val="auto"/>
              </w:rPr>
            </w:pPr>
            <w:r>
              <w:rPr>
                <w:rFonts w:ascii="Arial" w:cs="Arial" w:eastAsia="Arial" w:hAnsi="Arial"/>
                <w:sz w:val="18"/>
                <w:szCs w:val="18"/>
                <w:color w:val="auto"/>
                <w:w w:val="99"/>
              </w:rPr>
              <w:t>A church plan that is excluded from the definition of an investment company under Section 3(c)(14) of the</w:t>
            </w:r>
          </w:p>
        </w:tc>
      </w:tr>
      <w:tr>
        <w:trPr>
          <w:trHeight w:val="230"/>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Investment Company Act.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(j)</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640" w:type="dxa"/>
            <w:vAlign w:val="bottom"/>
          </w:tcPr>
          <w:p>
            <w:pPr>
              <w:ind w:left="32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(k)</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640" w:type="dxa"/>
            <w:vAlign w:val="bottom"/>
          </w:tcPr>
          <w:p>
            <w:pPr>
              <w:ind w:left="320"/>
              <w:spacing w:after="0"/>
              <w:rPr>
                <w:sz w:val="20"/>
                <w:szCs w:val="20"/>
                <w:color w:val="auto"/>
              </w:rPr>
            </w:pPr>
            <w:r>
              <w:rPr>
                <w:rFonts w:ascii="Arial" w:cs="Arial" w:eastAsia="Arial" w:hAnsi="Arial"/>
                <w:sz w:val="18"/>
                <w:szCs w:val="18"/>
                <w:color w:val="auto"/>
                <w:w w:val="94"/>
              </w:rPr>
              <w:t>Group, in accordance with Rule 240.13d-1(b)(1)(ii)(K). If filing as a non-U.S. institution in accordance with Rule</w:t>
            </w:r>
          </w:p>
        </w:tc>
      </w:tr>
      <w:tr>
        <w:trPr>
          <w:trHeight w:val="230"/>
        </w:trPr>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240.13d-1(b)(1)(ii)(J), please specify the type of institution: ____</w:t>
            </w: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2019, (i) BVF beneficially owned 5,605,420 Shares, (ii) BVF2 beneficially owned 4,547,527 Shares, and (iii) Trading Fund OS beneficially owned 815,726 Shares.</w:t>
      </w:r>
    </w:p>
    <w:p>
      <w:pPr>
        <w:spacing w:after="0" w:line="170" w:lineRule="exact"/>
        <w:rPr>
          <w:rFonts w:ascii="Arial" w:cs="Arial" w:eastAsia="Arial" w:hAnsi="Arial"/>
          <w:sz w:val="18"/>
          <w:szCs w:val="18"/>
          <w:color w:val="auto"/>
        </w:rPr>
      </w:pPr>
    </w:p>
    <w:p>
      <w:pPr>
        <w:ind w:left="1300" w:right="720"/>
        <w:spacing w:after="0" w:line="563" w:lineRule="auto"/>
        <w:rPr>
          <w:rFonts w:ascii="Arial" w:cs="Arial" w:eastAsia="Arial" w:hAnsi="Arial"/>
          <w:sz w:val="18"/>
          <w:szCs w:val="18"/>
          <w:color w:val="auto"/>
        </w:rPr>
      </w:pPr>
      <w:r>
        <w:rPr>
          <w:rFonts w:ascii="Arial" w:cs="Arial" w:eastAsia="Arial" w:hAnsi="Arial"/>
          <w:sz w:val="16"/>
          <w:szCs w:val="16"/>
          <w:color w:val="auto"/>
        </w:rPr>
        <w:t>BVF GP, as the general partner of BVF, may be deemed to beneficially own the 5,605,420 Shares beneficially owned by BVF. BVF2 GP, as the general partner of BVF2, may be deemed to beneficially own the 4,547,527 Shares beneficially owned by BVF2.</w:t>
      </w:r>
    </w:p>
    <w:p>
      <w:pPr>
        <w:spacing w:after="0" w:line="1"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815,726 Shares beneficially owned by Trading Fund OS.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BVF GPH, as the sole member of each of BVF GP and BVF2 GP, may be deemed to beneficially own the 10,152,947 Shares beneficially owned in the aggregate by BVF and BVF2.</w:t>
      </w:r>
    </w:p>
    <w:p>
      <w:pPr>
        <w:spacing w:after="0" w:line="170"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Partners, as the investment manager of BVF, BVF2 and Trading Fund OS, and the sole member of Partners OS, may be deemed to beneficially own the 11,342,505 Shares beneficially owned in the aggregate by BVF, BVF2, Trading Fund OS, and a certain Partners managed account (the “Partners Managed Account”), including 373,832 Shares held in the Partners Managed Account.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BVF Inc., as the general partner of Partners, may be deemed to beneficially own the 11,342,505 Shares beneficially owned by Partners.</w:t>
      </w:r>
    </w:p>
    <w:p>
      <w:pPr>
        <w:spacing w:after="0" w:line="248"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11,342,505 Shares beneficially owned by BVF Inc.</w:t>
      </w:r>
    </w:p>
    <w:p>
      <w:pPr>
        <w:spacing w:after="0" w:line="170"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Trading Fund OS, and the Partners Managed Account, and the filing of this statement shall not be construed as an admission that any such person or entity is the beneficial owner of any such securities.</w:t>
      </w:r>
    </w:p>
    <w:p>
      <w:pPr>
        <w:spacing w:after="0" w:line="18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67,562,333 Shares outstanding, as disclosed in the Issuer’s Annual Report on Form 20-F filed with the Securities and Exchange Commission on March 21, 2019.</w:t>
      </w:r>
    </w:p>
    <w:p>
      <w:pPr>
        <w:spacing w:after="0" w:line="170"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As of the close of business on December 31, 2019, (i) BVF beneficially owned approximately 8.3% of the outstanding Shares, (ii) BVF2 beneficially owned approximately 6.7% of the outstanding Shares, (iii) Trading Fund OS beneficially owned approximately 1.2% of the outstanding Shares, (iv) BVF GP may be deemed to beneficially own approximately 8.3% of the outstanding Shares, (v) BVF2 GP may be deemed to beneficially own approximately 6.7% of the outstanding Shares, (vi) Partners OS may be deemed to beneficially own approximately 1.2% of the outstanding Shares, (vii) BVF GPH may be deemed to beneficially own approximately 15.0% of the outstanding Shares, and (viii) each of Partners, BVF Inc. and Mr. Lampert may be deemed to beneficially own approximately 16.8% of the outstanding Shares (less than 1% of the outstanding Shares are held in the Partners Managed Account).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300" w:hanging="644"/>
        <w:spacing w:after="0" w:line="50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300" w:right="7120" w:hanging="644"/>
        <w:spacing w:after="0" w:line="50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300" w:right="6400" w:hanging="644"/>
        <w:spacing w:after="0" w:line="50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300" w:right="6220" w:hanging="644"/>
        <w:spacing w:after="0" w:line="50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BVF GP, BVF2 GP, BVF GPH, Partners, BVF Inc. and Mr. Lampert share voting and dispositive power over the Shares beneficially owned by BVF and BVF2. Partners, BVF Inc. and Mr. Lampert share voting and dispositive power over the Shares beneficially owned by Trading Fund OS and the Partners Managed Account.</w:t>
      </w:r>
    </w:p>
    <w:p>
      <w:pPr>
        <w:spacing w:after="0" w:line="181"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400"/>
          </w:cols>
          <w:pgMar w:left="240" w:top="226" w:right="2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Partners L.P., its investment manager</w:t>
      </w:r>
    </w:p>
    <w:p>
      <w:pPr>
        <w:spacing w:after="0" w:line="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-130175</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3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-130175</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Mark N. Lampert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36106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1307" w:lineRule="exact"/>
        <w:rPr>
          <w:sz w:val="20"/>
          <w:szCs w:val="20"/>
          <w:color w:val="auto"/>
        </w:rPr>
      </w:pPr>
    </w:p>
    <w:p>
      <w:pPr>
        <w:sectPr>
          <w:pgSz w:w="11900" w:h="16838" w:orient="portrait"/>
          <w:cols w:equalWidth="0" w:num="2">
            <w:col w:w="5020" w:space="720"/>
            <w:col w:w="5660"/>
          </w:cols>
          <w:pgMar w:left="240" w:top="226" w:right="25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undersigned hereby agree that the Statement on Schedule 13G dated February 14, 2020 with respect to the Common Shares, par value CHF 0.02 per share of AC Immune SA, and any further amendments thereto executed by each and any of the undersigned shall be filed on behalf of each of the undersigned pursuant to and in accordance with the provisions of Rule 13d-1(k)(1) under the Securities Exchange Act of 1934, as amended.</w:t>
      </w:r>
    </w:p>
    <w:p>
      <w:pPr>
        <w:sectPr>
          <w:pgSz w:w="11900" w:h="16838" w:orient="portrait"/>
          <w:cols w:equalWidth="0" w:num="1">
            <w:col w:w="11420"/>
          </w:cols>
          <w:pgMar w:left="240" w:top="125"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Partners L.P., its investment manager</w:t>
      </w:r>
    </w:p>
    <w:p>
      <w:pPr>
        <w:spacing w:after="0" w:line="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-130175</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3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-130175</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Mark N. Lampert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36106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sectPr>
      <w:pgSz w:w="11900" w:h="16838" w:orient="portrait"/>
      <w:cols w:equalWidth="0" w:num="2">
        <w:col w:w="5020" w:space="720"/>
        <w:col w:w="568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2020-02-17T17:12:08Z</dcterms:created>
  <dcterms:modified xsi:type="dcterms:W3CDTF">2020-02-17T17:12:08Z</dcterms:modified>
</cp:coreProperties>
</file>