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October,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640"/>
        <w:spacing w:after="0" w:line="207" w:lineRule="exact"/>
        <w:tabs>
          <w:tab w:leader="none" w:pos="3640" w:val="left"/>
          <w:tab w:leader="none" w:pos="5820" w:val="left"/>
          <w:tab w:leader="none" w:pos="76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ind w:left="1900"/>
        <w:spacing w:after="0" w:line="207" w:lineRule="exact"/>
        <w:tabs>
          <w:tab w:leader="none" w:pos="3660" w:val="left"/>
          <w:tab w:leader="none" w:pos="6080" w:val="left"/>
          <w:tab w:leader="none" w:pos="76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8"/>
          <w:szCs w:val="18"/>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ind w:left="1900"/>
        <w:spacing w:after="0" w:line="207" w:lineRule="exact"/>
        <w:tabs>
          <w:tab w:leader="none" w:pos="3660" w:val="left"/>
          <w:tab w:leader="none" w:pos="6080" w:val="left"/>
          <w:tab w:leader="none" w:pos="76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601345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Extraordinary General Meeting Results</w:t>
      </w:r>
    </w:p>
    <w:p>
      <w:pPr>
        <w:spacing w:after="0" w:line="200" w:lineRule="exact"/>
        <w:rPr>
          <w:sz w:val="20"/>
          <w:szCs w:val="20"/>
          <w:color w:val="auto"/>
        </w:rPr>
      </w:pPr>
    </w:p>
    <w:p>
      <w:pPr>
        <w:spacing w:after="0" w:line="24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On October 29, 2021, AC Immune SA (“</w:t>
      </w:r>
      <w:r>
        <w:rPr>
          <w:rFonts w:ascii="Arial" w:cs="Arial" w:eastAsia="Arial" w:hAnsi="Arial"/>
          <w:sz w:val="18"/>
          <w:szCs w:val="18"/>
          <w:b w:val="1"/>
          <w:bCs w:val="1"/>
          <w:color w:val="auto"/>
        </w:rPr>
        <w:t>AC Immune</w:t>
      </w:r>
      <w:r>
        <w:rPr>
          <w:rFonts w:ascii="Arial" w:cs="Arial" w:eastAsia="Arial" w:hAnsi="Arial"/>
          <w:sz w:val="18"/>
          <w:szCs w:val="18"/>
          <w:color w:val="auto"/>
        </w:rPr>
        <w:t>”) held an Extraordinary General Meeting. The press release relating to the results of the extraordinary shareholders’ meeting is attached hereto as Exhibit 99.1.</w:t>
      </w:r>
    </w:p>
    <w:p>
      <w:pPr>
        <w:spacing w:after="0" w:line="16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Board withdrew Agenda Item 2.1 “Authorized Share Capital,” Agenda Item 2.2 “Conditional Capital Increase for Bonds and Similar Debt Instruments” and Agenda Item 2.3 “Conditional Capital Increase for Employee Benefit Plans” prior to the Extraordinary General Meeting.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final results of the remaining agenda items submitted to a vote of the shareholders is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1: Elections 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1.1: Election of Monica Shaw as member of the Board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 Immune shareholders approved the election of Monica Shaw as a member of the Board of Directors until the end of the next Annual General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1.2: Election of Monika Bütler as member of the Board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 Immune shareholders approved the election of Monika Bütler as a member of the Board of Directors until the end of the next Annual General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1585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Exhibit</w:t>
            </w:r>
          </w:p>
        </w:tc>
        <w:tc>
          <w:tcPr>
            <w:tcW w:w="102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4"/>
              </w:rPr>
              <w:t>Number</w:t>
            </w:r>
          </w:p>
        </w:tc>
        <w:tc>
          <w:tcPr>
            <w:tcW w:w="10220" w:type="dxa"/>
            <w:vAlign w:val="bottom"/>
            <w:tcBorders>
              <w:bottom w:val="single" w:sz="8" w:color="auto"/>
            </w:tcBorders>
          </w:tcPr>
          <w:p>
            <w:pPr>
              <w:spacing w:after="0"/>
              <w:rPr>
                <w:sz w:val="20"/>
                <w:szCs w:val="20"/>
                <w:color w:val="auto"/>
              </w:rPr>
            </w:pPr>
          </w:p>
        </w:tc>
      </w:tr>
      <w:tr>
        <w:trPr>
          <w:trHeight w:val="426"/>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99.1</w:t>
            </w:r>
          </w:p>
        </w:tc>
        <w:tc>
          <w:tcPr>
            <w:tcW w:w="10220" w:type="dxa"/>
            <w:vAlign w:val="bottom"/>
          </w:tcPr>
          <w:p>
            <w:pPr>
              <w:ind w:left="120"/>
              <w:spacing w:after="0"/>
              <w:rPr>
                <w:sz w:val="20"/>
                <w:szCs w:val="20"/>
                <w:color w:val="auto"/>
              </w:rPr>
            </w:pPr>
            <w:r>
              <w:rPr>
                <w:rFonts w:ascii="Arial" w:cs="Arial" w:eastAsia="Arial" w:hAnsi="Arial"/>
                <w:sz w:val="18"/>
                <w:szCs w:val="18"/>
                <w:color w:val="auto"/>
              </w:rPr>
              <w:t>Press Release dated October 29, 2021</w:t>
            </w:r>
          </w:p>
        </w:tc>
      </w:tr>
      <w:tr>
        <w:trPr>
          <w:trHeight w:val="810"/>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774190" cy="556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400"/>
        <w:spacing w:after="0"/>
        <w:rPr>
          <w:sz w:val="20"/>
          <w:szCs w:val="20"/>
          <w:color w:val="auto"/>
        </w:rPr>
      </w:pPr>
      <w:r>
        <w:rPr>
          <w:rFonts w:ascii="Arial" w:cs="Arial" w:eastAsia="Arial" w:hAnsi="Arial"/>
          <w:sz w:val="21"/>
          <w:szCs w:val="21"/>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40" w:right="180"/>
        <w:spacing w:after="0" w:line="288" w:lineRule="auto"/>
        <w:rPr>
          <w:sz w:val="20"/>
          <w:szCs w:val="20"/>
          <w:color w:val="auto"/>
        </w:rPr>
      </w:pPr>
      <w:r>
        <w:rPr>
          <w:rFonts w:ascii="Arial" w:cs="Arial" w:eastAsia="Arial" w:hAnsi="Arial"/>
          <w:sz w:val="25"/>
          <w:szCs w:val="25"/>
          <w:b w:val="1"/>
          <w:bCs w:val="1"/>
          <w:color w:val="auto"/>
        </w:rPr>
        <w:t>AC Immune Holds its Extraordinary General Meeting and Appoints Monica Shaw, M.D., and Prof. Monika Bütler, Dr. oec., to its Board of Directors</w:t>
      </w:r>
    </w:p>
    <w:p>
      <w:pPr>
        <w:spacing w:after="0" w:line="213" w:lineRule="exact"/>
        <w:rPr>
          <w:sz w:val="20"/>
          <w:szCs w:val="20"/>
          <w:color w:val="auto"/>
        </w:rPr>
      </w:pPr>
    </w:p>
    <w:p>
      <w:pPr>
        <w:jc w:val="center"/>
        <w:ind w:left="340" w:right="180"/>
        <w:spacing w:after="0" w:line="267" w:lineRule="auto"/>
        <w:rPr>
          <w:sz w:val="20"/>
          <w:szCs w:val="20"/>
          <w:color w:val="auto"/>
        </w:rPr>
      </w:pPr>
      <w:r>
        <w:rPr>
          <w:rFonts w:ascii="Arial" w:cs="Arial" w:eastAsia="Arial" w:hAnsi="Arial"/>
          <w:sz w:val="18"/>
          <w:szCs w:val="18"/>
          <w:i w:val="1"/>
          <w:iCs w:val="1"/>
          <w:color w:val="auto"/>
        </w:rPr>
        <w:t>Dr. Shaw is a pharmaceutical industry expert who has been involved in advancing more than 15 therapeutic products from first-in-human studies through commercialization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Prof. Bütler is a leading Swiss economist and former Vice President of the independent Swiss Covid-19 Science Taskforce</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October 29, 2021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that the Company held an extraordinary general meeting (EGM) and elected Monica Shaw, M.D., and Prof. Monika Bütler, Dr. oec</w:t>
      </w:r>
      <w:r>
        <w:rPr>
          <w:rFonts w:ascii="Arial" w:cs="Arial" w:eastAsia="Arial" w:hAnsi="Arial"/>
          <w:sz w:val="19"/>
          <w:szCs w:val="19"/>
          <w:color w:val="auto"/>
        </w:rPr>
        <w:t>.</w:t>
      </w:r>
      <w:r>
        <w:rPr>
          <w:rFonts w:ascii="Arial" w:cs="Arial" w:eastAsia="Arial" w:hAnsi="Arial"/>
          <w:sz w:val="18"/>
          <w:szCs w:val="18"/>
          <w:color w:val="auto"/>
        </w:rPr>
        <w:t>, to its Board of Directors. Dr. Shaw and Prof. Bütler replace Mr. Martin Velasco and Peter Bollmann, Ph.D., who stepped down from the Board following the EGM.</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Douglas Williams, Ph.D., Chairman of the Board of Directors of AC Immune, commented: </w:t>
      </w:r>
      <w:r>
        <w:rPr>
          <w:rFonts w:ascii="Arial" w:cs="Arial" w:eastAsia="Arial" w:hAnsi="Arial"/>
          <w:sz w:val="18"/>
          <w:szCs w:val="18"/>
          <w:color w:val="auto"/>
        </w:rPr>
        <w:t>“Dr. Shaw and Prof. Bütler are accomplished</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leaders with complementary skill sets and we are delighted to welcome them to the Board. Dr. Shaw’s extensive executive and drug development experience, together with Prof. Bütler’s deep expertise in finance and economics, will be invaluable as we work to revolutionize the diagnosis and treatment of Alzheimer’s and other neurodegenerative diseases. We are eager to begin working with them and look forward to benefiting from their strategic insights. We also extend our sincere thanks to Mr. Velasco and Dr. Bollmann, as their contributions as Directors helped to establish AC Immune’s position as an industry leader.”</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Dr. Shaw commented: </w:t>
      </w:r>
      <w:r>
        <w:rPr>
          <w:rFonts w:ascii="Arial" w:cs="Arial" w:eastAsia="Arial" w:hAnsi="Arial"/>
          <w:sz w:val="18"/>
          <w:szCs w:val="18"/>
          <w:color w:val="auto"/>
        </w:rPr>
        <w:t>“Joining AC Immune’s Board is a truly exciting opportunity. The Company is at the forefront of its field with a unique</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approach that properly recognizes the complexity of neurodegenerative disease as well as the importance of earlier intervention. I look forward to working with my fellow Directors to provide valuable insights and guidance as the Company advances its industry-leading strategy.”</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Prof. Bütler commented: </w:t>
      </w:r>
      <w:r>
        <w:rPr>
          <w:rFonts w:ascii="Arial" w:cs="Arial" w:eastAsia="Arial" w:hAnsi="Arial"/>
          <w:sz w:val="18"/>
          <w:szCs w:val="18"/>
          <w:color w:val="auto"/>
        </w:rPr>
        <w:t>“It is an honor to join AC Immune’s Board. The Company has an impressive track record of establishing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with industry leaders to achieve an optimal risk-benefit balance for creating shareholder value while growing its pipeline. It also has a strong balance sheet and the backing of a high-quality investor syndicate, which I believe leaves the Company poised for sustained success.”</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Prior to the meeting, the Board withdrew agenda items 2.1, 2.2 and 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meeting was held in accordance with the requirements of the Covid-19 Ordinance 3, issued by the Swiss Federal Council.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Appointee Bios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Monica Shaw, M.D., </w:t>
      </w:r>
      <w:r>
        <w:rPr>
          <w:rFonts w:ascii="Arial" w:cs="Arial" w:eastAsia="Arial" w:hAnsi="Arial"/>
          <w:sz w:val="18"/>
          <w:szCs w:val="18"/>
          <w:color w:val="auto"/>
        </w:rPr>
        <w:t>is a pharmaceutical industry expert who has held senior leadership positions and was involved in advancing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 therapeutic products from first-in-human studies through regulatory approvals and commercialization across multiple geographies. She also played key business development roles in company acquisition and integration and co-development partnerships. Through her work, Dr. Shaw gained extensive specialty experience in the fields of dermatology, immuno-inflammation, HIV, neurology, and oncology.</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Currently, Dr. Shaw is Executive Vice President Head Region Europe, Canada, Australia, for Leo Pharma. She has previously held broad leadership roles at other leading pharmaceutical companies, including as Vice President Commercial Head Asia Pacific region at GSK/ViiV Healthcare, and Medical Director and Chief Scientific Officer UK for Novartis, in addition to previous leadership positions at Norgine, Shire and Merck KGaA.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Dr. Shaw holds an M.D. from the University of Oxford Medical School and is a Member of the Royal College of Physicians.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Prof. Monika Bütler, Dr. oec., </w:t>
      </w:r>
      <w:r>
        <w:rPr>
          <w:rFonts w:ascii="Arial" w:cs="Arial" w:eastAsia="Arial" w:hAnsi="Arial"/>
          <w:sz w:val="18"/>
          <w:szCs w:val="18"/>
          <w:color w:val="auto"/>
        </w:rPr>
        <w:t>is a leading Swiss economist and former Vice President of the independent Swiss Covid-19 Science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Taskforce. She is a member of the Board of Directors and the audit committees of both Schindler Holding AG and Huber &amp; Suhner AG. Prof. Bütler is also a member of the Swiss National Bank’s Council, where she serves on the remuneration committee. Her international economic expertise is in public policy and managerial economics, including an advisory role to the World Bank and work in the U.S. and Europe. Prof. Bütler is a Vice President of the Foundation Board of the Gebert Rüf Foundation, a science and innovation foundation that supports entrepreneurial projects which are committed to achieving an impact.</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Prof. Bütler holds a Doctorate in Economics from the University of St. Gallen, a Doctorate Honoris Causa from the University of Lausanne, and a Diploma in Mathematics/Physics from the University of Zurich.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AC Immune SA is clinical-stage biopharmaceutical company that aims to become a global leader in precision medicine for neurodegenerative diseases, including Alzheimer’s disease, Parkinson’s disease, and NeuroOrphan indications driven by misfolded proteins. The Company’s</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ten therapeutic and three diagnostic candidates, six of which are currently in clinical trials. AC Immune has a strong track record of securing strategic partnerships with leading global pharmaceutical companies</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 w:name="page7"/>
    <w:bookmarkEnd w:id="6"/>
    <w:p>
      <w:pPr>
        <w:jc w:val="both"/>
        <w:spacing w:after="0" w:line="246" w:lineRule="auto"/>
        <w:rPr>
          <w:sz w:val="20"/>
          <w:szCs w:val="20"/>
          <w:color w:val="auto"/>
        </w:rPr>
      </w:pPr>
      <w:r>
        <w:rPr>
          <w:rFonts w:ascii="Arial" w:cs="Arial" w:eastAsia="Arial" w:hAnsi="Arial"/>
          <w:sz w:val="18"/>
          <w:szCs w:val="18"/>
          <w:color w:val="auto"/>
        </w:rPr>
        <w:t>including Genentech, a member of the Roche Group, Eli Lilly and Company, and Janssen Pharmaceuticals, Inc., resulting in substantial non-dilutive funding to advance its proprietary programs and &gt;$3 billion in potential milestone payments.</w:t>
      </w:r>
    </w:p>
    <w:p>
      <w:pPr>
        <w:spacing w:after="0" w:line="183"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and RU.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and NO.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384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Saoyuth Nidh</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Yves Kremer, Ph.D.</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34</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+41 21 345 91 90</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384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yves.kremer@acimmune.com</w:t>
            </w:r>
          </w:p>
        </w:tc>
      </w:tr>
      <w:tr>
        <w:trPr>
          <w:trHeight w:val="20"/>
        </w:trPr>
        <w:tc>
          <w:tcPr>
            <w:tcW w:w="5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740" w:type="dxa"/>
            <w:vAlign w:val="bottom"/>
            <w:gridSpan w:val="2"/>
          </w:tcPr>
          <w:p>
            <w:pPr>
              <w:ind w:left="19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Shani Lewis</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LaVoie Health Science</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Phone: +1 609 516 5761</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Phone: +1 212 915 2577</w:t>
            </w:r>
          </w:p>
        </w:tc>
      </w:tr>
      <w:tr>
        <w:trPr>
          <w:trHeight w:val="176"/>
        </w:trPr>
        <w:tc>
          <w:tcPr>
            <w:tcW w:w="3200" w:type="dxa"/>
            <w:vAlign w:val="bottom"/>
            <w:gridSpan w:val="2"/>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slewis@lavoiehealthscience.com</w:t>
            </w:r>
          </w:p>
        </w:tc>
        <w:tc>
          <w:tcPr>
            <w:tcW w:w="4740" w:type="dxa"/>
            <w:vAlign w:val="bottom"/>
            <w:gridSpan w:val="2"/>
          </w:tcPr>
          <w:p>
            <w:pPr>
              <w:ind w:left="198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8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2021-10-29T15:38:16Z</dcterms:created>
  <dcterms:modified xsi:type="dcterms:W3CDTF">2021-10-29T15:38:16Z</dcterms:modified>
</cp:coreProperties>
</file>