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ind w:right="-1140"/>
        <w:spacing w:after="0"/>
        <w:rPr>
          <w:sz w:val="20"/>
          <w:szCs w:val="20"/>
          <w:color w:val="auto"/>
        </w:rPr>
      </w:pPr>
      <w:r>
        <w:rPr>
          <w:rFonts w:ascii="Arial" w:cs="Arial" w:eastAsia="Arial" w:hAnsi="Arial"/>
          <w:sz w:val="32"/>
          <w:szCs w:val="32"/>
          <w:b w:val="1"/>
          <w:bCs w:val="1"/>
          <w:color w:val="auto"/>
        </w:rPr>
        <w:t>FORM 6-K</w:t>
      </w:r>
    </w:p>
    <w:p>
      <w:pPr>
        <w:spacing w:after="0" w:line="312" w:lineRule="exact"/>
        <w:rPr>
          <w:sz w:val="24"/>
          <w:szCs w:val="24"/>
          <w:color w:val="auto"/>
        </w:rPr>
      </w:pPr>
    </w:p>
    <w:p>
      <w:pPr>
        <w:jc w:val="center"/>
        <w:ind w:left="1620"/>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ind w:right="-1220"/>
        <w:spacing w:after="0"/>
        <w:rPr>
          <w:sz w:val="20"/>
          <w:szCs w:val="20"/>
          <w:color w:val="auto"/>
        </w:rPr>
      </w:pPr>
      <w:r>
        <w:rPr>
          <w:rFonts w:ascii="Arial" w:cs="Arial" w:eastAsia="Arial" w:hAnsi="Arial"/>
          <w:sz w:val="25"/>
          <w:szCs w:val="25"/>
          <w:color w:val="auto"/>
        </w:rPr>
        <w:t>For the month of July, 2018</w:t>
      </w:r>
    </w:p>
    <w:p>
      <w:pPr>
        <w:spacing w:after="0" w:line="32" w:lineRule="exact"/>
        <w:rPr>
          <w:sz w:val="24"/>
          <w:szCs w:val="24"/>
          <w:color w:val="auto"/>
        </w:rPr>
      </w:pPr>
    </w:p>
    <w:p>
      <w:pPr>
        <w:ind w:left="4460"/>
        <w:spacing w:after="0"/>
        <w:rPr>
          <w:sz w:val="20"/>
          <w:szCs w:val="20"/>
          <w:color w:val="auto"/>
        </w:rPr>
      </w:pPr>
      <w:r>
        <w:rPr>
          <w:rFonts w:ascii="Arial" w:cs="Arial" w:eastAsia="Arial" w:hAnsi="Arial"/>
          <w:sz w:val="25"/>
          <w:szCs w:val="25"/>
          <w:color w:val="auto"/>
        </w:rPr>
        <w:t>____________________</w:t>
      </w:r>
    </w:p>
    <w:p>
      <w:pPr>
        <w:spacing w:after="0" w:line="279" w:lineRule="exact"/>
        <w:rPr>
          <w:sz w:val="24"/>
          <w:szCs w:val="24"/>
          <w:color w:val="auto"/>
        </w:rPr>
      </w:pPr>
    </w:p>
    <w:p>
      <w:pPr>
        <w:ind w:left="3720"/>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ind w:left="3740"/>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8" w:lineRule="exact"/>
        <w:rPr>
          <w:sz w:val="24"/>
          <w:szCs w:val="24"/>
          <w:color w:val="auto"/>
        </w:rPr>
      </w:pPr>
    </w:p>
    <w:p>
      <w:pPr>
        <w:jc w:val="center"/>
        <w:ind w:right="-1160"/>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000"/>
        <w:spacing w:after="0"/>
        <w:tabs>
          <w:tab w:leader="none" w:pos="5140" w:val="left"/>
          <w:tab w:leader="none" w:pos="59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4301490</wp:posOffset>
            </wp:positionH>
            <wp:positionV relativeFrom="paragraph">
              <wp:posOffset>14605</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4320"/>
        <w:spacing w:after="0"/>
        <w:tabs>
          <w:tab w:leader="none" w:pos="6200" w:val="left"/>
          <w:tab w:leader="none" w:pos="7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4301490</wp:posOffset>
            </wp:positionH>
            <wp:positionV relativeFrom="paragraph">
              <wp:posOffset>14605</wp:posOffset>
            </wp:positionV>
            <wp:extent cx="411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4320"/>
        <w:spacing w:after="0"/>
        <w:tabs>
          <w:tab w:leader="none" w:pos="6200" w:val="left"/>
          <w:tab w:leader="none" w:pos="7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4301490</wp:posOffset>
            </wp:positionH>
            <wp:positionV relativeFrom="paragraph">
              <wp:posOffset>14605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420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805" w:right="1440" w:bottom="1440" w:gutter="0" w:footer="0" w:header="0"/>
        </w:sectPr>
      </w:pPr>
    </w:p>
    <w:bookmarkStart w:id="1" w:name="page2"/>
    <w:bookmarkEnd w:id="1"/>
    <w:p>
      <w:pPr>
        <w:ind w:right="100"/>
        <w:spacing w:after="0" w:line="235" w:lineRule="auto"/>
        <w:rPr>
          <w:sz w:val="20"/>
          <w:szCs w:val="20"/>
          <w:color w:val="auto"/>
        </w:rPr>
      </w:pPr>
      <w:r>
        <w:rPr>
          <w:rFonts w:ascii="Arial" w:cs="Arial" w:eastAsia="Arial" w:hAnsi="Arial"/>
          <w:sz w:val="22"/>
          <w:szCs w:val="22"/>
          <w:color w:val="auto"/>
        </w:rPr>
        <w:t>On July 31, 2018, AC Immune SA (the “Company”) announced the closing of its second subscription rights offering (the “Offering”) to eligible shareholders to subscribe for 1,500,000 newly issued common shares, nominal value CHF 0.02 per share, at a price per common share of $11.75 (“Common Shares”), for gross proceeds of $17.6 million. Previously, on July 23, 2018, the Company closed its first subscription rights offering and registered public offering of 8,500,000 of its Common Shares at an offering price of $11.75 per share for aggregate gross proceeds of $99.9 million, bringing aggregate gross proceeds for all three offerings to $117.5 million.</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Offering is being made pursuant to the Company’s effective registration statement on Form F-3 (Registration Statement No. 333-224694) previously filed with the Securities and Exchange Commission and a prospectus supplement thereunder.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the opinion of Vischer AG, Swiss counsel for the Company, relating to the validity of the common shares issued and sold in the Offering is attached as Exhibit 5.1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 on Form F-3 (Registration Number 333-224694)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160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Joerg Hornstein</w:t>
      </w:r>
    </w:p>
    <w:p>
      <w:pPr>
        <w:spacing w:after="0" w:line="2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160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472"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30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10300" w:type="dxa"/>
            <w:vAlign w:val="bottom"/>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0300" w:type="dxa"/>
            <w:vAlign w:val="bottom"/>
            <w:tcBorders>
              <w:bottom w:val="single" w:sz="8" w:color="auto"/>
            </w:tcBorders>
          </w:tcPr>
          <w:p>
            <w:pPr>
              <w:spacing w:after="0"/>
              <w:rPr>
                <w:sz w:val="20"/>
                <w:szCs w:val="20"/>
                <w:color w:val="auto"/>
              </w:rPr>
            </w:pPr>
          </w:p>
        </w:tc>
      </w:tr>
      <w:tr>
        <w:trPr>
          <w:trHeight w:val="195"/>
        </w:trPr>
        <w:tc>
          <w:tcPr>
            <w:tcW w:w="11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5.1</w:t>
            </w:r>
          </w:p>
        </w:tc>
        <w:tc>
          <w:tcPr>
            <w:tcW w:w="10300" w:type="dxa"/>
            <w:vAlign w:val="bottom"/>
          </w:tcPr>
          <w:p>
            <w:pPr>
              <w:ind w:left="140"/>
              <w:spacing w:after="0" w:line="195" w:lineRule="exact"/>
              <w:rPr>
                <w:sz w:val="20"/>
                <w:szCs w:val="20"/>
                <w:color w:val="auto"/>
              </w:rPr>
            </w:pPr>
            <w:r>
              <w:rPr>
                <w:rFonts w:ascii="Arial" w:cs="Arial" w:eastAsia="Arial" w:hAnsi="Arial"/>
                <w:sz w:val="18"/>
                <w:szCs w:val="18"/>
                <w:color w:val="auto"/>
              </w:rPr>
              <w:t>Opinion of Vischer AG</w:t>
            </w:r>
          </w:p>
        </w:tc>
      </w:tr>
      <w:tr>
        <w:trPr>
          <w:trHeight w:val="230"/>
        </w:trPr>
        <w:tc>
          <w:tcPr>
            <w:tcW w:w="1120" w:type="dxa"/>
            <w:vAlign w:val="bottom"/>
          </w:tcPr>
          <w:p>
            <w:pPr>
              <w:jc w:val="right"/>
              <w:ind w:right="230"/>
              <w:spacing w:after="0"/>
              <w:rPr>
                <w:sz w:val="20"/>
                <w:szCs w:val="20"/>
                <w:color w:val="auto"/>
              </w:rPr>
            </w:pPr>
            <w:r>
              <w:rPr>
                <w:rFonts w:ascii="Arial" w:cs="Arial" w:eastAsia="Arial" w:hAnsi="Arial"/>
                <w:sz w:val="18"/>
                <w:szCs w:val="18"/>
                <w:color w:val="auto"/>
              </w:rPr>
              <w:t>23.1</w:t>
            </w:r>
          </w:p>
        </w:tc>
        <w:tc>
          <w:tcPr>
            <w:tcW w:w="10300" w:type="dxa"/>
            <w:vAlign w:val="bottom"/>
          </w:tcPr>
          <w:p>
            <w:pPr>
              <w:ind w:left="140"/>
              <w:spacing w:after="0"/>
              <w:rPr>
                <w:sz w:val="20"/>
                <w:szCs w:val="20"/>
                <w:color w:val="auto"/>
              </w:rPr>
            </w:pPr>
            <w:r>
              <w:rPr>
                <w:rFonts w:ascii="Arial" w:cs="Arial" w:eastAsia="Arial" w:hAnsi="Arial"/>
                <w:sz w:val="18"/>
                <w:szCs w:val="18"/>
                <w:color w:val="auto"/>
              </w:rPr>
              <w:t>Consent of Vischer AG (included in Exhibit 5.1)</w:t>
            </w:r>
          </w:p>
        </w:tc>
      </w:tr>
      <w:tr>
        <w:trPr>
          <w:trHeight w:val="783"/>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Aeschenvorstadt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CH-4010 Basel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33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Schützengasse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CH-8021 Zurich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34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16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EPFL Innovation Park</w:t>
      </w:r>
    </w:p>
    <w:p>
      <w:pPr>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Basel, 31 July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 – Registration Statement on Form F-3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acted as Swiss counsel to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 company incorporated under the laws of the Switzerland, in connection with the Company's registration statement on Form F-3 as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as amended or supplemented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with respect to the registration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related prospectus covering the Shelf Securities dated 8 June 2018 in the form first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confirm sales of the offered securities (the "</w:t>
      </w:r>
      <w:r>
        <w:rPr>
          <w:rFonts w:ascii="Arial" w:cs="Arial" w:eastAsia="Arial" w:hAnsi="Arial"/>
          <w:sz w:val="18"/>
          <w:szCs w:val="18"/>
          <w:b w:val="1"/>
          <w:bCs w:val="1"/>
          <w:color w:val="auto"/>
        </w:rPr>
        <w:t>Prospectus</w:t>
      </w:r>
      <w:r>
        <w:rPr>
          <w:rFonts w:ascii="Arial" w:cs="Arial" w:eastAsia="Arial" w:hAnsi="Arial"/>
          <w:sz w:val="18"/>
          <w:szCs w:val="18"/>
          <w:color w:val="auto"/>
        </w:rPr>
        <w:t>") supplemented by the prospectus supplement (the "</w:t>
      </w:r>
      <w:r>
        <w:rPr>
          <w:rFonts w:ascii="Arial" w:cs="Arial" w:eastAsia="Arial" w:hAnsi="Arial"/>
          <w:sz w:val="18"/>
          <w:szCs w:val="18"/>
          <w:b w:val="1"/>
          <w:bCs w:val="1"/>
          <w:color w:val="auto"/>
        </w:rPr>
        <w:t>Supplement</w:t>
      </w:r>
      <w:r>
        <w:rPr>
          <w:rFonts w:ascii="Arial" w:cs="Arial" w:eastAsia="Arial" w:hAnsi="Arial"/>
          <w:sz w:val="18"/>
          <w:szCs w:val="18"/>
          <w:color w:val="auto"/>
        </w:rPr>
        <w:t>") specifically relating to the offer and sale of 1'500'000 new ordinary shares of the Company (the "</w:t>
      </w:r>
      <w:r>
        <w:rPr>
          <w:rFonts w:ascii="Arial" w:cs="Arial" w:eastAsia="Arial" w:hAnsi="Arial"/>
          <w:sz w:val="18"/>
          <w:szCs w:val="18"/>
          <w:b w:val="1"/>
          <w:bCs w:val="1"/>
          <w:color w:val="auto"/>
        </w:rPr>
        <w:t>New Shares</w:t>
      </w:r>
      <w:r>
        <w:rPr>
          <w:rFonts w:ascii="Arial" w:cs="Arial" w:eastAsia="Arial" w:hAnsi="Arial"/>
          <w:sz w:val="18"/>
          <w:szCs w:val="18"/>
          <w:color w:val="auto"/>
        </w:rPr>
        <w:t>"). The New Shares will be created through the issuing of 1'500'000 new ordinary shares by the Company pursuant to a capital increase under Swiss Law.</w:t>
      </w:r>
    </w:p>
    <w:p>
      <w:pPr>
        <w:spacing w:after="0" w:line="193" w:lineRule="exact"/>
        <w:rPr>
          <w:sz w:val="20"/>
          <w:szCs w:val="20"/>
          <w:color w:val="auto"/>
        </w:rPr>
      </w:pPr>
    </w:p>
    <w:p>
      <w:pPr>
        <w:ind w:left="760" w:hanging="75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opinion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116840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680" w:space="720"/>
            <w:col w:w="9020"/>
          </w:cols>
          <w:pgMar w:left="240" w:top="106" w:right="239" w:bottom="1440" w:gutter="0" w:footer="0" w:header="0"/>
        </w:sectPr>
      </w:pPr>
    </w:p>
    <w:bookmarkStart w:id="5" w:name="page6"/>
    <w:bookmarkEnd w:id="5"/>
    <w:p>
      <w:pPr>
        <w:jc w:val="both"/>
        <w:ind w:left="1200"/>
        <w:spacing w:after="0" w:line="236" w:lineRule="auto"/>
        <w:rPr>
          <w:sz w:val="20"/>
          <w:szCs w:val="20"/>
          <w:color w:val="auto"/>
        </w:rPr>
      </w:pPr>
      <w:r>
        <w:rPr>
          <w:rFonts w:ascii="Arial" w:cs="Arial" w:eastAsia="Arial" w:hAnsi="Arial"/>
          <w:sz w:val="18"/>
          <w:szCs w:val="18"/>
          <w:color w:val="auto"/>
        </w:rPr>
        <w:t>For the purpose of giving this opinion, we have examined originals or copies, certified or otherwise identified to our satisfaction, of (i) the Registration Statement, (ii) the Prospectus, (iii) the Supplement, (iv) a copy of the articles of association of the Company as at 30 July 2018 and (vi) such corporate documents and records of the Company and such other instruments, certificates and documents as we have deemed necessary or appropriate as a basis for the opinions hereinafter expressed. 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various questions of fact that are material to the opinions hereinafter expressed, we have relied upon statements or certificates of public officials, directors and officers of the Company and others.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documents referred to above in the preceding paragraph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 documents have been reviewed by ourselves in connection with this opinion other than those listed above.</w:t>
      </w:r>
    </w:p>
    <w:p>
      <w:pPr>
        <w:ind w:left="1200"/>
        <w:spacing w:after="0"/>
        <w:rPr>
          <w:sz w:val="20"/>
          <w:szCs w:val="20"/>
          <w:color w:val="auto"/>
        </w:rPr>
      </w:pPr>
      <w:r>
        <w:rPr>
          <w:rFonts w:ascii="Arial" w:cs="Arial" w:eastAsia="Arial" w:hAnsi="Arial"/>
          <w:sz w:val="18"/>
          <w:szCs w:val="18"/>
          <w:color w:val="auto"/>
        </w:rPr>
        <w:t>Accordingly, our opinion is limited to the above Documents and their legal implications under Swiss law.</w:t>
      </w:r>
    </w:p>
    <w:p>
      <w:pPr>
        <w:spacing w:after="0" w:line="198" w:lineRule="exact"/>
        <w:rPr>
          <w:sz w:val="20"/>
          <w:szCs w:val="20"/>
          <w:color w:val="auto"/>
        </w:rPr>
      </w:pPr>
    </w:p>
    <w:p>
      <w:pPr>
        <w:jc w:val="both"/>
        <w:ind w:left="1200"/>
        <w:spacing w:after="0" w:line="246"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161" w:lineRule="exact"/>
        <w:rPr>
          <w:sz w:val="20"/>
          <w:szCs w:val="20"/>
          <w:color w:val="auto"/>
        </w:rPr>
      </w:pPr>
    </w:p>
    <w:p>
      <w:pPr>
        <w:ind w:left="1960" w:hanging="755"/>
        <w:spacing w:after="0"/>
        <w:tabs>
          <w:tab w:leader="none" w:pos="1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rendering the opinion below, we have assumed:</w:t>
      </w:r>
    </w:p>
    <w:p>
      <w:pPr>
        <w:spacing w:after="0" w:line="198" w:lineRule="exact"/>
        <w:rPr>
          <w:sz w:val="20"/>
          <w:szCs w:val="20"/>
          <w:color w:val="auto"/>
        </w:rPr>
      </w:pPr>
    </w:p>
    <w:p>
      <w:pPr>
        <w:ind w:left="1960" w:hanging="755"/>
        <w:spacing w:after="0" w:line="246"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183" w:lineRule="exact"/>
        <w:rPr>
          <w:rFonts w:ascii="Arial" w:cs="Arial" w:eastAsia="Arial" w:hAnsi="Arial"/>
          <w:sz w:val="18"/>
          <w:szCs w:val="18"/>
          <w:color w:val="auto"/>
        </w:rPr>
      </w:pPr>
    </w:p>
    <w:p>
      <w:pPr>
        <w:ind w:left="1960" w:hanging="755"/>
        <w:spacing w:after="0" w:line="246"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 and</w:t>
      </w:r>
    </w:p>
    <w:p>
      <w:pPr>
        <w:spacing w:after="0" w:line="183" w:lineRule="exact"/>
        <w:rPr>
          <w:rFonts w:ascii="Arial" w:cs="Arial" w:eastAsia="Arial" w:hAnsi="Arial"/>
          <w:sz w:val="18"/>
          <w:szCs w:val="18"/>
          <w:color w:val="auto"/>
        </w:rPr>
      </w:pPr>
    </w:p>
    <w:p>
      <w:pPr>
        <w:ind w:left="1960" w:right="20" w:hanging="755"/>
        <w:spacing w:after="0" w:line="246"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Documents are true, complete and accurate.</w:t>
      </w:r>
    </w:p>
    <w:p>
      <w:pPr>
        <w:spacing w:after="0" w:line="161" w:lineRule="exact"/>
        <w:rPr>
          <w:sz w:val="20"/>
          <w:szCs w:val="20"/>
          <w:color w:val="auto"/>
        </w:rPr>
      </w:pPr>
    </w:p>
    <w:p>
      <w:pPr>
        <w:ind w:left="1960" w:hanging="755"/>
        <w:spacing w:after="0"/>
        <w:tabs>
          <w:tab w:leader="none" w:pos="1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jc w:val="both"/>
        <w:ind w:left="1200"/>
        <w:spacing w:after="0"/>
        <w:rPr>
          <w:sz w:val="20"/>
          <w:szCs w:val="20"/>
          <w:color w:val="auto"/>
        </w:rPr>
      </w:pPr>
      <w:r>
        <w:rPr>
          <w:rFonts w:ascii="Arial" w:cs="Arial" w:eastAsia="Arial" w:hAnsi="Arial"/>
          <w:sz w:val="18"/>
          <w:szCs w:val="18"/>
          <w:color w:val="auto"/>
        </w:rPr>
        <w:t>Based upon the foregoing and subject to the qualifications set out below, we are of the opinion that the New Shares, when sold, will be validly issued, fully paid-in (up to their nominal amount) and non-assessable (which term means when used herein that no further contributions have to be made by the holders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120650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6" w:name="page7"/>
    <w:bookmarkEnd w:id="6"/>
    <w:p>
      <w:pPr>
        <w:ind w:left="1200"/>
        <w:spacing w:after="0"/>
        <w:tabs>
          <w:tab w:leader="none" w:pos="19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QUALIFICATIONS</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98" w:lineRule="exact"/>
        <w:rPr>
          <w:sz w:val="20"/>
          <w:szCs w:val="20"/>
          <w:color w:val="auto"/>
        </w:rPr>
      </w:pPr>
    </w:p>
    <w:p>
      <w:pPr>
        <w:ind w:left="1960" w:hanging="755"/>
        <w:spacing w:after="0" w:line="246"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w:t>
      </w:r>
    </w:p>
    <w:p>
      <w:pPr>
        <w:spacing w:after="0" w:line="183" w:lineRule="exact"/>
        <w:rPr>
          <w:rFonts w:ascii="Arial" w:cs="Arial" w:eastAsia="Arial" w:hAnsi="Arial"/>
          <w:sz w:val="18"/>
          <w:szCs w:val="18"/>
          <w:color w:val="auto"/>
        </w:rPr>
      </w:pPr>
    </w:p>
    <w:p>
      <w:pPr>
        <w:jc w:val="both"/>
        <w:ind w:left="1960" w:hanging="755"/>
        <w:spacing w:after="0" w:line="239"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1" w:lineRule="exact"/>
        <w:rPr>
          <w:sz w:val="20"/>
          <w:szCs w:val="20"/>
          <w:color w:val="auto"/>
        </w:rPr>
      </w:pPr>
    </w:p>
    <w:p>
      <w:pPr>
        <w:jc w:val="both"/>
        <w:ind w:left="1200"/>
        <w:spacing w:after="0" w:line="246"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83" w:lineRule="exact"/>
        <w:rPr>
          <w:sz w:val="20"/>
          <w:szCs w:val="20"/>
          <w:color w:val="auto"/>
        </w:rPr>
      </w:pPr>
    </w:p>
    <w:p>
      <w:pPr>
        <w:jc w:val="both"/>
        <w:ind w:left="1200"/>
        <w:spacing w:after="0" w:line="239"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All liability and other matters relating to this opinion shall be governed exclusively by Swiss law.</w:t>
      </w:r>
    </w:p>
    <w:p>
      <w:pPr>
        <w:spacing w:after="0" w:line="188" w:lineRule="exact"/>
        <w:rPr>
          <w:sz w:val="20"/>
          <w:szCs w:val="20"/>
          <w:color w:val="auto"/>
        </w:rPr>
      </w:pPr>
    </w:p>
    <w:p>
      <w:pPr>
        <w:jc w:val="both"/>
        <w:ind w:left="1200"/>
        <w:spacing w:after="0" w:line="238" w:lineRule="auto"/>
        <w:rPr>
          <w:sz w:val="20"/>
          <w:szCs w:val="20"/>
          <w:color w:val="auto"/>
        </w:rPr>
      </w:pPr>
      <w:r>
        <w:rPr>
          <w:rFonts w:ascii="Arial" w:cs="Arial" w:eastAsia="Arial" w:hAnsi="Arial"/>
          <w:sz w:val="18"/>
          <w:szCs w:val="18"/>
          <w:color w:val="auto"/>
        </w:rPr>
        <w:t>We hereby consent to the filing of this opinion as Exhibit 5.1 to the Current Report on Form 6-K filed on the date hereof by the Company and incorporated by reference into the Registration Statement, and to the reference to VISCHER AG under the caption "Legal Matters" in each of the Prospectus and the Supplement constituting a part of such Registration Statement. In giving such consent, we do not thereby admit that we are in the category of persons whose consent is required under Section 7 of the Securities Act.</w:t>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VISCHER AG</w:t>
      </w: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Dr. Stefan Grieder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-1905</wp:posOffset>
            </wp:positionV>
            <wp:extent cx="14236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Dr. Stefan Grieder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8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9"/>
    </w:lvl>
  </w:abstractNum>
  <w:abstractNum w:abstractNumId="1">
    <w:nsid w:val="2AE8944A"/>
    <w:multiLevelType w:val="hybridMultilevel"/>
    <w:lvl w:ilvl="0">
      <w:lvlJc w:val="left"/>
      <w:lvlText w:val="%1."/>
      <w:numFmt w:val="upperLetter"/>
      <w:start w:val="35"/>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2019-12-08T14:19:25Z</dcterms:created>
  <dcterms:modified xsi:type="dcterms:W3CDTF">2019-12-08T14:19:25Z</dcterms:modified>
</cp:coreProperties>
</file>