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TO BE INCLUDED IN STATEMENTS FILED PURSUANT TO RULES 13d-1 (b),</w:t>
      </w:r>
    </w:p>
    <w:p>
      <w:pPr>
        <w:spacing w:after="0" w:line="27" w:lineRule="exact"/>
        <w:rPr>
          <w:sz w:val="24"/>
          <w:szCs w:val="24"/>
          <w:color w:val="auto"/>
        </w:rPr>
      </w:pPr>
    </w:p>
    <w:p>
      <w:pPr>
        <w:ind w:left="4940" w:right="2460" w:hanging="2368"/>
        <w:spacing w:after="0" w:line="261" w:lineRule="auto"/>
        <w:tabs>
          <w:tab w:leader="none" w:pos="281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AND (d) AND AMENDMENTS THERETO FILED PURSUANT TO 13d-2 (b)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shares, nominal value CHF 0.02 per share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H00263105</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1" w:lineRule="exact"/>
        <w:rPr>
          <w:sz w:val="24"/>
          <w:szCs w:val="24"/>
          <w:color w:val="auto"/>
        </w:rPr>
      </w:pPr>
    </w:p>
    <w:p>
      <w:pPr>
        <w:ind w:left="1300" w:hanging="320"/>
        <w:spacing w:after="0"/>
        <w:tabs>
          <w:tab w:leader="none" w:pos="1300" w:val="left"/>
        </w:tabs>
        <w:numPr>
          <w:ilvl w:val="1"/>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29" w:lineRule="exact"/>
        <w:rPr>
          <w:rFonts w:ascii="MS PGothic" w:cs="MS PGothic" w:eastAsia="MS PGothic" w:hAnsi="MS PGothic"/>
          <w:sz w:val="18"/>
          <w:szCs w:val="18"/>
          <w:color w:val="auto"/>
        </w:rPr>
      </w:pPr>
    </w:p>
    <w:p>
      <w:pPr>
        <w:ind w:firstLine="648"/>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1" w:name="page2"/>
    <w:bookmarkEnd w:id="1"/>
    <w:p>
      <w:pPr>
        <w:ind w:left="160"/>
        <w:spacing w:after="0"/>
        <w:tabs>
          <w:tab w:leader="none" w:pos="5520" w:val="left"/>
          <w:tab w:leader="none" w:pos="83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rPr>
              <w:t>dievini Hopp BioTech holding GmbH &amp; Co. KG</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 w:type="dxa"/>
            <w:vAlign w:val="bottom"/>
            <w:tcBorders>
              <w:bottom w:val="single" w:sz="8" w:color="auto"/>
            </w:tcBorders>
          </w:tcPr>
          <w:p>
            <w:pPr>
              <w:jc w:val="right"/>
              <w:ind w:right="150"/>
              <w:spacing w:after="0" w:line="345" w:lineRule="exact"/>
              <w:rPr>
                <w:sz w:val="20"/>
                <w:szCs w:val="20"/>
                <w:color w:val="auto"/>
              </w:rPr>
            </w:pPr>
            <w:r>
              <w:rPr>
                <w:rFonts w:ascii="Arial" w:cs="Arial" w:eastAsia="Arial" w:hAnsi="Arial"/>
                <w:sz w:val="18"/>
                <w:szCs w:val="18"/>
                <w:color w:val="auto"/>
                <w:w w:val="96"/>
              </w:rPr>
              <w:t xml:space="preserve">(b)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w:t>
            </w:r>
            <w:r>
              <w:rPr>
                <w:rFonts w:ascii="Arial" w:cs="Arial" w:eastAsia="Arial" w:hAnsi="Arial"/>
                <w:sz w:val="30"/>
                <w:szCs w:val="30"/>
                <w:color w:val="auto"/>
                <w:w w:val="96"/>
                <w:vertAlign w:val="superscript"/>
              </w:rPr>
              <w:t>(1)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Germany</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2"/>
                <w:szCs w:val="22"/>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gridSpan w:val="2"/>
            <w:vMerge w:val="continue"/>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26.7%</w:t>
            </w:r>
            <w:r>
              <w:rPr>
                <w:rFonts w:ascii="Arial" w:cs="Arial" w:eastAsia="Arial" w:hAnsi="Arial"/>
                <w:sz w:val="30"/>
                <w:szCs w:val="30"/>
                <w:color w:val="auto"/>
                <w:w w:val="97"/>
                <w:vertAlign w:val="superscript"/>
              </w:rPr>
              <w:t>(3)</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OO</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2" w:name="page3"/>
    <w:bookmarkEnd w:id="2"/>
    <w:p>
      <w:pPr>
        <w:ind w:left="160"/>
        <w:spacing w:after="0"/>
        <w:tabs>
          <w:tab w:leader="none" w:pos="5520" w:val="left"/>
          <w:tab w:leader="none" w:pos="83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rPr>
              <w:t>DH-Capital GmbH &amp; Co. KG</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 w:type="dxa"/>
            <w:vAlign w:val="bottom"/>
            <w:tcBorders>
              <w:bottom w:val="single" w:sz="8" w:color="auto"/>
            </w:tcBorders>
          </w:tcPr>
          <w:p>
            <w:pPr>
              <w:jc w:val="right"/>
              <w:ind w:right="150"/>
              <w:spacing w:after="0" w:line="345" w:lineRule="exact"/>
              <w:rPr>
                <w:sz w:val="20"/>
                <w:szCs w:val="20"/>
                <w:color w:val="auto"/>
              </w:rPr>
            </w:pPr>
            <w:r>
              <w:rPr>
                <w:rFonts w:ascii="Arial" w:cs="Arial" w:eastAsia="Arial" w:hAnsi="Arial"/>
                <w:sz w:val="18"/>
                <w:szCs w:val="18"/>
                <w:color w:val="auto"/>
                <w:w w:val="96"/>
              </w:rPr>
              <w:t xml:space="preserve">(b)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w:t>
            </w:r>
            <w:r>
              <w:rPr>
                <w:rFonts w:ascii="Arial" w:cs="Arial" w:eastAsia="Arial" w:hAnsi="Arial"/>
                <w:sz w:val="30"/>
                <w:szCs w:val="30"/>
                <w:color w:val="auto"/>
                <w:w w:val="96"/>
                <w:vertAlign w:val="superscript"/>
              </w:rPr>
              <w:t>(1)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Germany</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2"/>
                <w:szCs w:val="22"/>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gridSpan w:val="2"/>
            <w:vMerge w:val="continue"/>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26.7%</w:t>
            </w:r>
            <w:r>
              <w:rPr>
                <w:rFonts w:ascii="Arial" w:cs="Arial" w:eastAsia="Arial" w:hAnsi="Arial"/>
                <w:sz w:val="30"/>
                <w:szCs w:val="30"/>
                <w:color w:val="auto"/>
                <w:w w:val="97"/>
                <w:vertAlign w:val="superscript"/>
              </w:rPr>
              <w:t>(3)</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OO</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3" w:name="page4"/>
    <w:bookmarkEnd w:id="3"/>
    <w:p>
      <w:pPr>
        <w:ind w:left="160"/>
        <w:spacing w:after="0"/>
        <w:tabs>
          <w:tab w:leader="none" w:pos="5520" w:val="left"/>
          <w:tab w:leader="none" w:pos="83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rPr>
              <w:t>OH Beteiligungen GmbH &amp; Co. KG</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 w:type="dxa"/>
            <w:vAlign w:val="bottom"/>
            <w:tcBorders>
              <w:bottom w:val="single" w:sz="8" w:color="auto"/>
            </w:tcBorders>
          </w:tcPr>
          <w:p>
            <w:pPr>
              <w:jc w:val="right"/>
              <w:ind w:right="150"/>
              <w:spacing w:after="0" w:line="345" w:lineRule="exact"/>
              <w:rPr>
                <w:sz w:val="20"/>
                <w:szCs w:val="20"/>
                <w:color w:val="auto"/>
              </w:rPr>
            </w:pPr>
            <w:r>
              <w:rPr>
                <w:rFonts w:ascii="Arial" w:cs="Arial" w:eastAsia="Arial" w:hAnsi="Arial"/>
                <w:sz w:val="18"/>
                <w:szCs w:val="18"/>
                <w:color w:val="auto"/>
                <w:w w:val="96"/>
              </w:rPr>
              <w:t xml:space="preserve">(b)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w:t>
            </w:r>
            <w:r>
              <w:rPr>
                <w:rFonts w:ascii="Arial" w:cs="Arial" w:eastAsia="Arial" w:hAnsi="Arial"/>
                <w:sz w:val="30"/>
                <w:szCs w:val="30"/>
                <w:color w:val="auto"/>
                <w:w w:val="96"/>
                <w:vertAlign w:val="superscript"/>
              </w:rPr>
              <w:t>(1)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Germany</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2"/>
                <w:szCs w:val="22"/>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gridSpan w:val="2"/>
            <w:vMerge w:val="continue"/>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26.7%</w:t>
            </w:r>
            <w:r>
              <w:rPr>
                <w:rFonts w:ascii="Arial" w:cs="Arial" w:eastAsia="Arial" w:hAnsi="Arial"/>
                <w:sz w:val="30"/>
                <w:szCs w:val="30"/>
                <w:color w:val="auto"/>
                <w:w w:val="97"/>
                <w:vertAlign w:val="superscript"/>
              </w:rPr>
              <w:t>(3)</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OO</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type w:val="continuous"/>
        </w:sectPr>
      </w:pPr>
    </w:p>
    <w:bookmarkStart w:id="4" w:name="page5"/>
    <w:bookmarkEnd w:id="4"/>
    <w:p>
      <w:pPr>
        <w:ind w:left="160"/>
        <w:spacing w:after="0"/>
        <w:tabs>
          <w:tab w:leader="none" w:pos="5520" w:val="left"/>
          <w:tab w:leader="none" w:pos="83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5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Dietmar Hopp</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 w:type="dxa"/>
            <w:vAlign w:val="bottom"/>
            <w:tcBorders>
              <w:bottom w:val="single" w:sz="8" w:color="auto"/>
            </w:tcBorders>
          </w:tcPr>
          <w:p>
            <w:pPr>
              <w:jc w:val="right"/>
              <w:ind w:right="150"/>
              <w:spacing w:after="0" w:line="345" w:lineRule="exact"/>
              <w:rPr>
                <w:sz w:val="20"/>
                <w:szCs w:val="20"/>
                <w:color w:val="auto"/>
              </w:rPr>
            </w:pPr>
            <w:r>
              <w:rPr>
                <w:rFonts w:ascii="Arial" w:cs="Arial" w:eastAsia="Arial" w:hAnsi="Arial"/>
                <w:sz w:val="18"/>
                <w:szCs w:val="18"/>
                <w:color w:val="auto"/>
                <w:w w:val="96"/>
              </w:rPr>
              <w:t xml:space="preserve">(b)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w:t>
            </w:r>
            <w:r>
              <w:rPr>
                <w:rFonts w:ascii="Arial" w:cs="Arial" w:eastAsia="Arial" w:hAnsi="Arial"/>
                <w:sz w:val="30"/>
                <w:szCs w:val="30"/>
                <w:color w:val="auto"/>
                <w:w w:val="96"/>
                <w:vertAlign w:val="superscript"/>
              </w:rPr>
              <w:t>(1)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Germany</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2"/>
                <w:szCs w:val="22"/>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gridSpan w:val="2"/>
            <w:vMerge w:val="continue"/>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26.7%</w:t>
            </w:r>
            <w:r>
              <w:rPr>
                <w:rFonts w:ascii="Arial" w:cs="Arial" w:eastAsia="Arial" w:hAnsi="Arial"/>
                <w:sz w:val="30"/>
                <w:szCs w:val="30"/>
                <w:color w:val="auto"/>
                <w:w w:val="97"/>
                <w:vertAlign w:val="superscript"/>
              </w:rPr>
              <w:t>(3)</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5" w:name="page6"/>
    <w:bookmarkEnd w:id="5"/>
    <w:p>
      <w:pPr>
        <w:ind w:left="160"/>
        <w:spacing w:after="0"/>
        <w:tabs>
          <w:tab w:leader="none" w:pos="5520" w:val="left"/>
          <w:tab w:leader="none" w:pos="83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6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Oliver Hopp</w:t>
            </w:r>
          </w:p>
        </w:tc>
        <w:tc>
          <w:tcPr>
            <w:tcW w:w="66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ind w:left="40"/>
              <w:spacing w:after="0" w:line="414" w:lineRule="exact"/>
              <w:rPr>
                <w:sz w:val="20"/>
                <w:szCs w:val="20"/>
                <w:color w:val="auto"/>
              </w:rPr>
            </w:pPr>
            <w:r>
              <w:rPr>
                <w:rFonts w:ascii="MS PGothic" w:cs="MS PGothic" w:eastAsia="MS PGothic" w:hAnsi="MS PGothic"/>
                <w:sz w:val="36"/>
                <w:szCs w:val="36"/>
                <w:color w:val="auto"/>
                <w:vertAlign w:val="subscript"/>
              </w:rPr>
              <w:t>☐</w:t>
            </w:r>
            <w:r>
              <w:rPr>
                <w:rFonts w:ascii="Arial" w:cs="Arial" w:eastAsia="Arial" w:hAnsi="Arial"/>
                <w:sz w:val="15"/>
                <w:szCs w:val="15"/>
                <w:color w:val="auto"/>
              </w:rPr>
              <w:t xml:space="preserve"> (1)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Germany</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Borders>
              <w:right w:val="single" w:sz="8" w:color="auto"/>
            </w:tcBorders>
          </w:tcPr>
          <w:p>
            <w:pPr>
              <w:jc w:val="right"/>
              <w:ind w:right="373"/>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Borders>
              <w:right w:val="single" w:sz="8" w:color="auto"/>
            </w:tcBorders>
          </w:tcPr>
          <w:p>
            <w:pPr>
              <w:jc w:val="right"/>
              <w:ind w:right="373"/>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gridSpan w:val="2"/>
            <w:vMerge w:val="continue"/>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right w:val="single" w:sz="8" w:color="auto"/>
            </w:tcBorders>
          </w:tcPr>
          <w:p>
            <w:pPr>
              <w:jc w:val="right"/>
              <w:ind w:right="373"/>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26.7%</w:t>
            </w:r>
            <w:r>
              <w:rPr>
                <w:rFonts w:ascii="Arial" w:cs="Arial" w:eastAsia="Arial" w:hAnsi="Arial"/>
                <w:sz w:val="30"/>
                <w:szCs w:val="30"/>
                <w:color w:val="auto"/>
                <w:w w:val="97"/>
                <w:vertAlign w:val="superscript"/>
              </w:rPr>
              <w:t>(3)</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6" w:name="page7"/>
    <w:bookmarkEnd w:id="6"/>
    <w:p>
      <w:pPr>
        <w:ind w:left="160"/>
        <w:spacing w:after="0"/>
        <w:tabs>
          <w:tab w:leader="none" w:pos="5520" w:val="left"/>
          <w:tab w:leader="none" w:pos="83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7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Daniel Hopp</w:t>
            </w:r>
          </w:p>
        </w:tc>
        <w:tc>
          <w:tcPr>
            <w:tcW w:w="7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w:t>
            </w:r>
          </w:p>
        </w:tc>
        <w:tc>
          <w:tcPr>
            <w:tcW w:w="740" w:type="dxa"/>
            <w:vAlign w:val="bottom"/>
            <w:tcBorders>
              <w:bottom w:val="single" w:sz="8" w:color="auto"/>
            </w:tcBorders>
          </w:tcPr>
          <w:p>
            <w:pPr>
              <w:jc w:val="right"/>
              <w:ind w:right="233"/>
              <w:spacing w:after="0" w:line="414" w:lineRule="exact"/>
              <w:rPr>
                <w:sz w:val="20"/>
                <w:szCs w:val="20"/>
                <w:color w:val="auto"/>
              </w:rPr>
            </w:pPr>
            <w:r>
              <w:rPr>
                <w:rFonts w:ascii="MS PGothic" w:cs="MS PGothic" w:eastAsia="MS PGothic" w:hAnsi="MS PGothic"/>
                <w:sz w:val="36"/>
                <w:szCs w:val="36"/>
                <w:color w:val="auto"/>
                <w:w w:val="85"/>
                <w:vertAlign w:val="subscript"/>
              </w:rPr>
              <w:t>☐</w:t>
            </w:r>
            <w:r>
              <w:rPr>
                <w:rFonts w:ascii="Arial" w:cs="Arial" w:eastAsia="Arial" w:hAnsi="Arial"/>
                <w:sz w:val="15"/>
                <w:szCs w:val="15"/>
                <w:color w:val="auto"/>
                <w:w w:val="85"/>
              </w:rPr>
              <w:t xml:space="preserve"> (1)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Germany</w:t>
            </w:r>
          </w:p>
        </w:tc>
        <w:tc>
          <w:tcPr>
            <w:tcW w:w="7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right w:val="single" w:sz="8" w:color="auto"/>
            </w:tcBorders>
          </w:tcPr>
          <w:p>
            <w:pPr>
              <w:jc w:val="right"/>
              <w:ind w:right="413"/>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400" w:type="dxa"/>
            <w:vAlign w:val="bottom"/>
          </w:tcPr>
          <w:p>
            <w:pPr>
              <w:spacing w:after="0"/>
              <w:rPr>
                <w:sz w:val="22"/>
                <w:szCs w:val="22"/>
                <w:color w:val="auto"/>
              </w:rPr>
            </w:pPr>
          </w:p>
        </w:tc>
        <w:tc>
          <w:tcPr>
            <w:tcW w:w="740" w:type="dxa"/>
            <w:vAlign w:val="bottom"/>
            <w:tcBorders>
              <w:right w:val="single" w:sz="8" w:color="auto"/>
            </w:tcBorders>
          </w:tcPr>
          <w:p>
            <w:pPr>
              <w:jc w:val="right"/>
              <w:ind w:right="373"/>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Borders>
              <w:right w:val="single" w:sz="8" w:color="auto"/>
            </w:tcBorders>
          </w:tcPr>
          <w:p>
            <w:pPr>
              <w:jc w:val="right"/>
              <w:ind w:right="373"/>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gridSpan w:val="2"/>
            <w:vMerge w:val="continue"/>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right w:val="single" w:sz="8" w:color="auto"/>
            </w:tcBorders>
          </w:tcPr>
          <w:p>
            <w:pPr>
              <w:jc w:val="right"/>
              <w:ind w:right="373"/>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26.7%</w:t>
            </w:r>
            <w:r>
              <w:rPr>
                <w:rFonts w:ascii="Arial" w:cs="Arial" w:eastAsia="Arial" w:hAnsi="Arial"/>
                <w:sz w:val="30"/>
                <w:szCs w:val="30"/>
                <w:color w:val="auto"/>
                <w:vertAlign w:val="superscript"/>
              </w:rPr>
              <w:t>(3)</w:t>
            </w:r>
          </w:p>
        </w:tc>
        <w:tc>
          <w:tcPr>
            <w:tcW w:w="7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w:t>
            </w:r>
          </w:p>
        </w:tc>
        <w:tc>
          <w:tcPr>
            <w:tcW w:w="7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7" w:name="page8"/>
    <w:bookmarkEnd w:id="7"/>
    <w:p>
      <w:pPr>
        <w:ind w:left="160"/>
        <w:spacing w:after="0"/>
        <w:tabs>
          <w:tab w:leader="none" w:pos="5520" w:val="left"/>
          <w:tab w:leader="none" w:pos="83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8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Prof. Dr. Friedrich von Bohlen und Halbach</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 w:type="dxa"/>
            <w:vAlign w:val="bottom"/>
            <w:tcBorders>
              <w:bottom w:val="single" w:sz="8" w:color="auto"/>
            </w:tcBorders>
          </w:tcPr>
          <w:p>
            <w:pPr>
              <w:jc w:val="right"/>
              <w:ind w:right="150"/>
              <w:spacing w:after="0" w:line="345" w:lineRule="exact"/>
              <w:rPr>
                <w:sz w:val="20"/>
                <w:szCs w:val="20"/>
                <w:color w:val="auto"/>
              </w:rPr>
            </w:pPr>
            <w:r>
              <w:rPr>
                <w:rFonts w:ascii="Arial" w:cs="Arial" w:eastAsia="Arial" w:hAnsi="Arial"/>
                <w:sz w:val="18"/>
                <w:szCs w:val="18"/>
                <w:color w:val="auto"/>
                <w:w w:val="96"/>
              </w:rPr>
              <w:t xml:space="preserve">(b)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w:t>
            </w:r>
            <w:r>
              <w:rPr>
                <w:rFonts w:ascii="Arial" w:cs="Arial" w:eastAsia="Arial" w:hAnsi="Arial"/>
                <w:sz w:val="30"/>
                <w:szCs w:val="30"/>
                <w:color w:val="auto"/>
                <w:w w:val="96"/>
                <w:vertAlign w:val="superscript"/>
              </w:rPr>
              <w:t>(1)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Germany</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11,828 common shares</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2"/>
                <w:szCs w:val="22"/>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520" w:type="dxa"/>
            <w:vAlign w:val="bottom"/>
            <w:tcBorders>
              <w:right w:val="single" w:sz="8" w:color="auto"/>
            </w:tcBorders>
          </w:tcPr>
          <w:p>
            <w:pPr>
              <w:ind w:left="100"/>
              <w:spacing w:after="0" w:line="230" w:lineRule="exact"/>
              <w:rPr>
                <w:sz w:val="20"/>
                <w:szCs w:val="20"/>
                <w:color w:val="auto"/>
              </w:rPr>
            </w:pPr>
            <w:r>
              <w:rPr>
                <w:rFonts w:ascii="Arial" w:cs="Arial" w:eastAsia="Arial" w:hAnsi="Arial"/>
                <w:sz w:val="16"/>
                <w:szCs w:val="16"/>
                <w:color w:val="auto"/>
              </w:rPr>
              <w:t>11,828 common shares</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61"/>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gridSpan w:val="2"/>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0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8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18,052,828 common shares</w:t>
            </w:r>
            <w:r>
              <w:rPr>
                <w:rFonts w:ascii="Arial" w:cs="Arial" w:eastAsia="Arial" w:hAnsi="Arial"/>
                <w:sz w:val="30"/>
                <w:szCs w:val="30"/>
                <w:color w:val="auto"/>
                <w:vertAlign w:val="superscript"/>
              </w:rPr>
              <w:t>(4)</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26.7%</w:t>
            </w:r>
            <w:r>
              <w:rPr>
                <w:rFonts w:ascii="Arial" w:cs="Arial" w:eastAsia="Arial" w:hAnsi="Arial"/>
                <w:sz w:val="30"/>
                <w:szCs w:val="30"/>
                <w:color w:val="auto"/>
                <w:w w:val="97"/>
                <w:vertAlign w:val="superscript"/>
              </w:rPr>
              <w:t>(5)</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held of record directly by Dr. von Bohlen.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18,041,000 shares held of record by divieni and 11,828 shares held directly by Dr. von Bohlen.</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8" w:name="page9"/>
    <w:bookmarkEnd w:id="8"/>
    <w:p>
      <w:pPr>
        <w:ind w:left="160"/>
        <w:spacing w:after="0"/>
        <w:tabs>
          <w:tab w:leader="none" w:pos="5520" w:val="left"/>
          <w:tab w:leader="none" w:pos="83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9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Prof. Dr. Christof Hettich</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 w:type="dxa"/>
            <w:vAlign w:val="bottom"/>
            <w:tcBorders>
              <w:bottom w:val="single" w:sz="8" w:color="auto"/>
            </w:tcBorders>
          </w:tcPr>
          <w:p>
            <w:pPr>
              <w:jc w:val="right"/>
              <w:ind w:right="150"/>
              <w:spacing w:after="0" w:line="345" w:lineRule="exact"/>
              <w:rPr>
                <w:sz w:val="20"/>
                <w:szCs w:val="20"/>
                <w:color w:val="auto"/>
              </w:rPr>
            </w:pPr>
            <w:r>
              <w:rPr>
                <w:rFonts w:ascii="Arial" w:cs="Arial" w:eastAsia="Arial" w:hAnsi="Arial"/>
                <w:sz w:val="18"/>
                <w:szCs w:val="18"/>
                <w:color w:val="auto"/>
                <w:w w:val="96"/>
              </w:rPr>
              <w:t xml:space="preserve">(b)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w:t>
            </w:r>
            <w:r>
              <w:rPr>
                <w:rFonts w:ascii="Arial" w:cs="Arial" w:eastAsia="Arial" w:hAnsi="Arial"/>
                <w:sz w:val="30"/>
                <w:szCs w:val="30"/>
                <w:color w:val="auto"/>
                <w:w w:val="96"/>
                <w:vertAlign w:val="superscript"/>
              </w:rPr>
              <w:t>(1)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Germany</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174,750 common shares</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2"/>
                <w:szCs w:val="22"/>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520" w:type="dxa"/>
            <w:vAlign w:val="bottom"/>
            <w:tcBorders>
              <w:right w:val="single" w:sz="8" w:color="auto"/>
            </w:tcBorders>
          </w:tcPr>
          <w:p>
            <w:pPr>
              <w:ind w:left="100"/>
              <w:spacing w:after="0" w:line="230" w:lineRule="exact"/>
              <w:rPr>
                <w:sz w:val="20"/>
                <w:szCs w:val="20"/>
                <w:color w:val="auto"/>
              </w:rPr>
            </w:pPr>
            <w:r>
              <w:rPr>
                <w:rFonts w:ascii="Arial" w:cs="Arial" w:eastAsia="Arial" w:hAnsi="Arial"/>
                <w:sz w:val="16"/>
                <w:szCs w:val="16"/>
                <w:color w:val="auto"/>
              </w:rPr>
              <w:t>174,750 common shares</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61"/>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gridSpan w:val="2"/>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0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8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 xml:space="preserve">18,215,750 common shares </w:t>
            </w:r>
            <w:r>
              <w:rPr>
                <w:rFonts w:ascii="Arial" w:cs="Arial" w:eastAsia="Arial" w:hAnsi="Arial"/>
                <w:sz w:val="30"/>
                <w:szCs w:val="30"/>
                <w:color w:val="auto"/>
                <w:vertAlign w:val="superscript"/>
              </w:rPr>
              <w:t>(4)</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27.0%</w:t>
            </w:r>
            <w:r>
              <w:rPr>
                <w:rFonts w:ascii="Arial" w:cs="Arial" w:eastAsia="Arial" w:hAnsi="Arial"/>
                <w:sz w:val="30"/>
                <w:szCs w:val="30"/>
                <w:color w:val="auto"/>
                <w:w w:val="97"/>
                <w:vertAlign w:val="superscript"/>
              </w:rPr>
              <w:t>(5)</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shares held directly by Dr. Hettich through his personal accounts, of which he has sole voting and dispositive power.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174,750 common shares held directly by Dr. Hettich, of which he has sole voting and dispositive power and (ii) 18,041,000 common shares held of record by dievini, of which Dr. Hettich shares voting and dispositive power as a managing director of dievini.</w:t>
      </w:r>
    </w:p>
    <w:p>
      <w:pPr>
        <w:ind w:left="460" w:right="38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9" w:name="page10"/>
    <w:bookmarkEnd w:id="9"/>
    <w:p>
      <w:pPr>
        <w:ind w:left="160"/>
        <w:spacing w:after="0"/>
        <w:tabs>
          <w:tab w:leader="none" w:pos="5520" w:val="left"/>
          <w:tab w:leader="none" w:pos="830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1.</w:t>
            </w:r>
          </w:p>
        </w:tc>
        <w:tc>
          <w:tcPr>
            <w:tcW w:w="10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Dr. Mathias Hothum</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 w:type="dxa"/>
            <w:vAlign w:val="bottom"/>
            <w:tcBorders>
              <w:bottom w:val="single" w:sz="8" w:color="auto"/>
            </w:tcBorders>
          </w:tcPr>
          <w:p>
            <w:pPr>
              <w:jc w:val="right"/>
              <w:ind w:right="150"/>
              <w:spacing w:after="0" w:line="345" w:lineRule="exact"/>
              <w:rPr>
                <w:sz w:val="20"/>
                <w:szCs w:val="20"/>
                <w:color w:val="auto"/>
              </w:rPr>
            </w:pPr>
            <w:r>
              <w:rPr>
                <w:rFonts w:ascii="Arial" w:cs="Arial" w:eastAsia="Arial" w:hAnsi="Arial"/>
                <w:sz w:val="18"/>
                <w:szCs w:val="18"/>
                <w:color w:val="auto"/>
                <w:w w:val="96"/>
              </w:rPr>
              <w:t xml:space="preserve">(b)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w:t>
            </w:r>
            <w:r>
              <w:rPr>
                <w:rFonts w:ascii="Arial" w:cs="Arial" w:eastAsia="Arial" w:hAnsi="Arial"/>
                <w:sz w:val="30"/>
                <w:szCs w:val="30"/>
                <w:color w:val="auto"/>
                <w:w w:val="96"/>
                <w:vertAlign w:val="superscript"/>
              </w:rPr>
              <w:t>(1)</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Germany</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5"/>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36,500 common shares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5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2"/>
                <w:szCs w:val="22"/>
                <w:color w:val="auto"/>
              </w:rPr>
            </w:pPr>
          </w:p>
        </w:tc>
        <w:tc>
          <w:tcPr>
            <w:tcW w:w="9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8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tcBorders>
            <w:gridSpan w:val="2"/>
          </w:tcPr>
          <w:p>
            <w:pPr>
              <w:jc w:val="center"/>
              <w:ind w:left="670"/>
              <w:spacing w:after="0" w:line="189" w:lineRule="exact"/>
              <w:rPr>
                <w:sz w:val="20"/>
                <w:szCs w:val="20"/>
                <w:color w:val="auto"/>
              </w:rPr>
            </w:pPr>
            <w:r>
              <w:rPr>
                <w:rFonts w:ascii="Arial" w:cs="Arial" w:eastAsia="Arial" w:hAnsi="Arial"/>
                <w:sz w:val="18"/>
                <w:szCs w:val="18"/>
                <w:color w:val="auto"/>
                <w:w w:val="87"/>
              </w:rPr>
              <w:t>Each</w:t>
            </w:r>
          </w:p>
        </w:tc>
        <w:tc>
          <w:tcPr>
            <w:tcW w:w="6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520" w:type="dxa"/>
            <w:vAlign w:val="bottom"/>
            <w:tcBorders>
              <w:right w:val="single" w:sz="8" w:color="auto"/>
            </w:tcBorders>
          </w:tcPr>
          <w:p>
            <w:pPr>
              <w:ind w:left="100"/>
              <w:spacing w:after="0" w:line="230" w:lineRule="exact"/>
              <w:rPr>
                <w:sz w:val="20"/>
                <w:szCs w:val="20"/>
                <w:color w:val="auto"/>
              </w:rPr>
            </w:pPr>
            <w:r>
              <w:rPr>
                <w:rFonts w:ascii="Arial" w:cs="Arial" w:eastAsia="Arial" w:hAnsi="Arial"/>
                <w:sz w:val="16"/>
                <w:szCs w:val="16"/>
                <w:color w:val="auto"/>
              </w:rPr>
              <w:t xml:space="preserve">36,500 common shares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61"/>
        </w:trPr>
        <w:tc>
          <w:tcPr>
            <w:tcW w:w="1160" w:type="dxa"/>
            <w:vAlign w:val="bottom"/>
            <w:tcBorders>
              <w:left w:val="single" w:sz="8" w:color="auto"/>
            </w:tcBorders>
            <w:gridSpan w:val="2"/>
            <w:vMerge w:val="restart"/>
          </w:tcPr>
          <w:p>
            <w:pPr>
              <w:jc w:val="center"/>
              <w:ind w:left="65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gridSpan w:val="2"/>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0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8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 xml:space="preserve">18,077,500 common shares </w:t>
            </w:r>
            <w:r>
              <w:rPr>
                <w:rFonts w:ascii="Arial" w:cs="Arial" w:eastAsia="Arial" w:hAnsi="Arial"/>
                <w:sz w:val="30"/>
                <w:szCs w:val="30"/>
                <w:color w:val="auto"/>
                <w:vertAlign w:val="superscript"/>
              </w:rPr>
              <w:t>(4)</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6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26.8</w:t>
            </w:r>
            <w:r>
              <w:rPr>
                <w:rFonts w:ascii="Arial" w:cs="Arial" w:eastAsia="Arial" w:hAnsi="Arial"/>
                <w:sz w:val="30"/>
                <w:szCs w:val="30"/>
                <w:color w:val="auto"/>
                <w:w w:val="94"/>
                <w:vertAlign w:val="superscript"/>
              </w:rPr>
              <w:t>(5)</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w:t>
            </w:r>
          </w:p>
        </w:tc>
        <w:tc>
          <w:tcPr>
            <w:tcW w:w="9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held directly by Dr. Hothum through his personal accounts, of which he has sole voting and dispositive power.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36,500 common shares held directly by Dr. Hothum, of which he has sole voting and dispositive power and (ii) 18,041,000 common shares held of record by dievini, of which Dr. Hothum shares voting and dispositive power as a managing director of dievini.</w:t>
      </w:r>
    </w:p>
    <w:p>
      <w:pPr>
        <w:ind w:left="34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10" w:name="page11"/>
    <w:bookmarkEnd w:id="10"/>
    <w:p>
      <w:pPr>
        <w:ind w:left="160"/>
        <w:spacing w:after="0"/>
        <w:tabs>
          <w:tab w:leader="none" w:pos="5520" w:val="left"/>
          <w:tab w:leader="none" w:pos="82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Introductory Note: This Amendment No. 1 to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in respect of common shares of AC Immune SA.</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 Immune SA</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EPFL Innovation Park</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Switzerland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Items 2(a)</w:t>
      </w:r>
      <w:r>
        <w:rPr>
          <w:sz w:val="20"/>
          <w:szCs w:val="20"/>
          <w:color w:val="auto"/>
        </w:rPr>
        <w:tab/>
      </w:r>
      <w:r>
        <w:rPr>
          <w:rFonts w:ascii="Arial" w:cs="Arial" w:eastAsia="Arial" w:hAnsi="Arial"/>
          <w:sz w:val="16"/>
          <w:szCs w:val="16"/>
          <w:b w:val="1"/>
          <w:bCs w:val="1"/>
          <w:color w:val="auto"/>
        </w:rPr>
        <w:t>Name of Reporting Persons filing: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dievini Hopp BioTech holding GmbH &amp; Co. KG (“dievini”)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DH-Capital GmbH &amp; Co. KG (“DH-Capital”)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OH Beteiligungen GmbH &amp; Co. KG (“OH Beteiligungen”)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Dietmar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Oliver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Daniel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Prof. Dr. Friedrich von Bohlen und Halbach (“Dr. von Bohlen”)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Prof. Dr. Christof Hettich (“Dr. Hettich”)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Dr. Mathias Hothum (“Dr. Hothum”)</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ectPr>
          <w:pgSz w:w="11900" w:h="16838" w:orient="portrait"/>
          <w:cols w:equalWidth="0" w:num="1">
            <w:col w:w="11420"/>
          </w:cols>
          <w:pgMar w:left="240" w:top="113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address of the principal business office of dievini, Dietmar Hopp, Dr. von Bohlen, Dr. Hettich and Dr. Hothum is c/o dievini Hopp BioTech holding GmbH &amp; Co. KG, Johann-Jakob-Astor Straße 57, 69190 Walldorf, Germany.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address of the principal business office of DH-Capital GmbH &amp; Co. KG and OH Beteiligungen GmbH &amp; Co. KG is Heidelberger Straße 43, 69168 Wiesloch, Germany.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Oliver Hopp is Johann-Jakob-Astor-Straße 59, 69190 Walldorf, 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Daniel Hopp is Johann-Jakob-Astor-Straße 57, 69190 Walldorf, Germany.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Citizenship:</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Citizenship or Place of Organization</w:t>
      </w:r>
    </w:p>
    <w:p>
      <w:pPr>
        <w:spacing w:after="0" w:line="54" w:lineRule="exact"/>
        <w:rPr>
          <w:sz w:val="20"/>
          <w:szCs w:val="20"/>
          <w:color w:val="auto"/>
        </w:rPr>
      </w:pPr>
    </w:p>
    <w:p>
      <w:pPr>
        <w:sectPr>
          <w:pgSz w:w="11900" w:h="16838" w:orient="portrait"/>
          <w:cols w:equalWidth="0" w:num="2">
            <w:col w:w="700" w:space="280"/>
            <w:col w:w="10440"/>
          </w:cols>
          <w:pgMar w:left="240" w:top="1138"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Dievini</w:t>
            </w:r>
          </w:p>
        </w:tc>
        <w:tc>
          <w:tcPr>
            <w:tcW w:w="120" w:type="dxa"/>
            <w:vAlign w:val="bottom"/>
            <w:tcBorders>
              <w:top w:val="single" w:sz="8" w:color="CCEEFF"/>
            </w:tcBorders>
            <w:shd w:val="clear" w:color="auto" w:fill="CCEEFF"/>
          </w:tcPr>
          <w:p>
            <w:pPr>
              <w:spacing w:after="0"/>
              <w:rPr>
                <w:sz w:val="19"/>
                <w:szCs w:val="19"/>
                <w:color w:val="auto"/>
              </w:rPr>
            </w:pPr>
          </w:p>
        </w:tc>
        <w:tc>
          <w:tcPr>
            <w:tcW w:w="9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DH-Capital</w:t>
            </w:r>
          </w:p>
        </w:tc>
        <w:tc>
          <w:tcPr>
            <w:tcW w:w="95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 Beteiligungen</w:t>
            </w: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Dietmar Hopp</w:t>
            </w:r>
          </w:p>
        </w:tc>
        <w:tc>
          <w:tcPr>
            <w:tcW w:w="95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Hopp</w:t>
            </w: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Daniel Hopp</w:t>
            </w:r>
          </w:p>
        </w:tc>
        <w:tc>
          <w:tcPr>
            <w:tcW w:w="95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von Bohlen</w:t>
            </w: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Dr. Hettich</w:t>
            </w:r>
          </w:p>
        </w:tc>
        <w:tc>
          <w:tcPr>
            <w:tcW w:w="95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Hothum</w:t>
            </w: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682"/>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8" w:right="239" w:bottom="1440" w:gutter="0" w:footer="0" w:header="0"/>
          <w:type w:val="continuous"/>
        </w:sectPr>
      </w:pPr>
    </w:p>
    <w:bookmarkStart w:id="11" w:name="page12"/>
    <w:bookmarkEnd w:id="11"/>
    <w:p>
      <w:pPr>
        <w:ind w:left="160"/>
        <w:spacing w:after="0"/>
        <w:tabs>
          <w:tab w:leader="none" w:pos="5520" w:val="left"/>
          <w:tab w:leader="none" w:pos="82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12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shares, nominal value CHF 0.02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H00263105</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filings is a:</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80" w:right="500"/>
        <w:spacing w:after="0" w:line="277" w:lineRule="auto"/>
        <w:rPr>
          <w:sz w:val="20"/>
          <w:szCs w:val="20"/>
          <w:color w:val="auto"/>
        </w:rPr>
      </w:pPr>
      <w:r>
        <w:rPr>
          <w:rFonts w:ascii="Arial" w:cs="Arial" w:eastAsia="Arial" w:hAnsi="Arial"/>
          <w:sz w:val="18"/>
          <w:szCs w:val="18"/>
          <w:color w:val="auto"/>
        </w:rPr>
        <w:t>The following information with respect to the ownership of common shares of the Issuer by the Reporting Persons filing this statement on Schedule 13G is provided as of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Shared</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Sole</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Shared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85"/>
              </w:rPr>
              <w:t>Percentage of</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Shares Held</w:t>
            </w:r>
          </w:p>
        </w:tc>
        <w:tc>
          <w:tcPr>
            <w:tcW w:w="1060" w:type="dxa"/>
            <w:vAlign w:val="bottom"/>
            <w:gridSpan w:val="2"/>
          </w:tcPr>
          <w:p>
            <w:pPr>
              <w:jc w:val="right"/>
              <w:ind w:right="200"/>
              <w:spacing w:after="0" w:line="181" w:lineRule="exact"/>
              <w:rPr>
                <w:sz w:val="20"/>
                <w:szCs w:val="20"/>
                <w:color w:val="auto"/>
              </w:rPr>
            </w:pPr>
            <w:r>
              <w:rPr>
                <w:rFonts w:ascii="Arial" w:cs="Arial" w:eastAsia="Arial" w:hAnsi="Arial"/>
                <w:sz w:val="18"/>
                <w:szCs w:val="18"/>
                <w:b w:val="1"/>
                <w:bCs w:val="1"/>
                <w:color w:val="auto"/>
                <w:w w:val="84"/>
              </w:rPr>
              <w:t>Sole Voting</w:t>
            </w:r>
          </w:p>
        </w:tc>
        <w:tc>
          <w:tcPr>
            <w:tcW w:w="1100" w:type="dxa"/>
            <w:vAlign w:val="bottom"/>
            <w:gridSpan w:val="2"/>
          </w:tcPr>
          <w:p>
            <w:pPr>
              <w:jc w:val="right"/>
              <w:ind w:right="400"/>
              <w:spacing w:after="0" w:line="181" w:lineRule="exact"/>
              <w:rPr>
                <w:sz w:val="20"/>
                <w:szCs w:val="20"/>
                <w:color w:val="auto"/>
              </w:rPr>
            </w:pPr>
            <w:r>
              <w:rPr>
                <w:rFonts w:ascii="Arial" w:cs="Arial" w:eastAsia="Arial" w:hAnsi="Arial"/>
                <w:sz w:val="18"/>
                <w:szCs w:val="18"/>
                <w:b w:val="1"/>
                <w:bCs w:val="1"/>
                <w:color w:val="auto"/>
              </w:rPr>
              <w:t>Voting</w:t>
            </w:r>
          </w:p>
        </w:tc>
        <w:tc>
          <w:tcPr>
            <w:tcW w:w="104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7"/>
              </w:rPr>
              <w:t>Dispositive</w:t>
            </w:r>
          </w:p>
        </w:tc>
        <w:tc>
          <w:tcPr>
            <w:tcW w:w="108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7"/>
              </w:rPr>
              <w:t>Dispositive</w:t>
            </w:r>
          </w:p>
        </w:tc>
        <w:tc>
          <w:tcPr>
            <w:tcW w:w="1100" w:type="dxa"/>
            <w:vAlign w:val="bottom"/>
            <w:gridSpan w:val="2"/>
          </w:tcPr>
          <w:p>
            <w:pPr>
              <w:ind w:left="80"/>
              <w:spacing w:after="0" w:line="181" w:lineRule="exact"/>
              <w:rPr>
                <w:sz w:val="20"/>
                <w:szCs w:val="20"/>
                <w:color w:val="auto"/>
              </w:rPr>
            </w:pPr>
            <w:r>
              <w:rPr>
                <w:rFonts w:ascii="Arial" w:cs="Arial" w:eastAsia="Arial" w:hAnsi="Arial"/>
                <w:sz w:val="18"/>
                <w:szCs w:val="18"/>
                <w:b w:val="1"/>
                <w:bCs w:val="1"/>
                <w:color w:val="auto"/>
              </w:rPr>
              <w:t>Beneficial</w:t>
            </w: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Reporting Persons</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Directly</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Power</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Power</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Power</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Power</w:t>
            </w: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Ownership</w:t>
            </w:r>
          </w:p>
        </w:tc>
        <w:tc>
          <w:tcPr>
            <w:tcW w:w="1200" w:type="dxa"/>
            <w:vAlign w:val="bottom"/>
            <w:gridSpan w:val="2"/>
          </w:tcPr>
          <w:p>
            <w:pPr>
              <w:jc w:val="right"/>
              <w:ind w:right="380"/>
              <w:spacing w:after="0" w:line="269" w:lineRule="exact"/>
              <w:rPr>
                <w:sz w:val="20"/>
                <w:szCs w:val="20"/>
                <w:color w:val="auto"/>
              </w:rPr>
            </w:pPr>
            <w:r>
              <w:rPr>
                <w:rFonts w:ascii="Arial" w:cs="Arial" w:eastAsia="Arial" w:hAnsi="Arial"/>
                <w:sz w:val="18"/>
                <w:szCs w:val="18"/>
                <w:b w:val="1"/>
                <w:bCs w:val="1"/>
                <w:color w:val="auto"/>
              </w:rPr>
              <w:t>Class</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05"/>
        </w:trPr>
        <w:tc>
          <w:tcPr>
            <w:tcW w:w="35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dievini Hopp BioTech holding GmbH &amp; Co.</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640" w:type="dxa"/>
            <w:vAlign w:val="bottom"/>
            <w:gridSpan w:val="2"/>
            <w:shd w:val="clear" w:color="auto" w:fill="CCEEFF"/>
          </w:tcPr>
          <w:p>
            <w:pPr>
              <w:ind w:left="220"/>
              <w:spacing w:after="0" w:line="266" w:lineRule="exact"/>
              <w:rPr>
                <w:sz w:val="20"/>
                <w:szCs w:val="20"/>
                <w:color w:val="auto"/>
              </w:rPr>
            </w:pPr>
            <w:r>
              <w:rPr>
                <w:rFonts w:ascii="Arial" w:cs="Arial" w:eastAsia="Arial" w:hAnsi="Arial"/>
                <w:sz w:val="30"/>
                <w:szCs w:val="30"/>
                <w:color w:val="auto"/>
                <w:vertAlign w:val="subscript"/>
              </w:rPr>
              <w:t>KG</w:t>
            </w:r>
            <w:r>
              <w:rPr>
                <w:rFonts w:ascii="Arial" w:cs="Arial" w:eastAsia="Arial" w:hAnsi="Arial"/>
                <w:sz w:val="14"/>
                <w:szCs w:val="14"/>
                <w:color w:val="auto"/>
              </w:rPr>
              <w:t>(2)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18,041,000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18,041,000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18,041,000</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18,041,000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7"/>
        </w:trPr>
        <w:tc>
          <w:tcPr>
            <w:tcW w:w="3640" w:type="dxa"/>
            <w:vAlign w:val="bottom"/>
            <w:gridSpan w:val="2"/>
          </w:tcPr>
          <w:p>
            <w:pPr>
              <w:spacing w:after="0" w:line="256" w:lineRule="exact"/>
              <w:rPr>
                <w:sz w:val="20"/>
                <w:szCs w:val="20"/>
                <w:color w:val="auto"/>
              </w:rPr>
            </w:pPr>
            <w:r>
              <w:rPr>
                <w:rFonts w:ascii="Arial" w:cs="Arial" w:eastAsia="Arial" w:hAnsi="Arial"/>
                <w:sz w:val="18"/>
                <w:szCs w:val="18"/>
                <w:color w:val="auto"/>
              </w:rPr>
              <w:t>DH-Capital GmbH &amp; Co. KG</w:t>
            </w:r>
            <w:r>
              <w:rPr>
                <w:rFonts w:ascii="Arial" w:cs="Arial" w:eastAsia="Arial" w:hAnsi="Arial"/>
                <w:sz w:val="29"/>
                <w:szCs w:val="29"/>
                <w:color w:val="auto"/>
                <w:vertAlign w:val="superscript"/>
              </w:rPr>
              <w:t>(3)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18,041,000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18,041,000</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18,041,000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OH Beteiligungen GmbH &amp; Co. KG</w:t>
            </w:r>
            <w:r>
              <w:rPr>
                <w:rFonts w:ascii="Arial" w:cs="Arial" w:eastAsia="Arial" w:hAnsi="Arial"/>
                <w:sz w:val="29"/>
                <w:szCs w:val="29"/>
                <w:color w:val="auto"/>
                <w:vertAlign w:val="superscript"/>
              </w:rPr>
              <w:t>(3)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18,041,000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18,041,000</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18,041,000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7"/>
        </w:trPr>
        <w:tc>
          <w:tcPr>
            <w:tcW w:w="3640" w:type="dxa"/>
            <w:vAlign w:val="bottom"/>
            <w:gridSpan w:val="2"/>
          </w:tcPr>
          <w:p>
            <w:pPr>
              <w:spacing w:after="0" w:line="256" w:lineRule="exact"/>
              <w:rPr>
                <w:sz w:val="20"/>
                <w:szCs w:val="20"/>
                <w:color w:val="auto"/>
              </w:rPr>
            </w:pPr>
            <w:r>
              <w:rPr>
                <w:rFonts w:ascii="Arial" w:cs="Arial" w:eastAsia="Arial" w:hAnsi="Arial"/>
                <w:sz w:val="18"/>
                <w:szCs w:val="18"/>
                <w:color w:val="auto"/>
              </w:rPr>
              <w:t>Dietmar Hopp</w:t>
            </w:r>
            <w:r>
              <w:rPr>
                <w:rFonts w:ascii="Arial" w:cs="Arial" w:eastAsia="Arial" w:hAnsi="Arial"/>
                <w:sz w:val="29"/>
                <w:szCs w:val="29"/>
                <w:color w:val="auto"/>
                <w:vertAlign w:val="superscript"/>
              </w:rPr>
              <w:t>(3)(4)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18,041,000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18,041,000</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18,041,000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Oliver Hopp</w:t>
            </w:r>
            <w:r>
              <w:rPr>
                <w:rFonts w:ascii="Arial" w:cs="Arial" w:eastAsia="Arial" w:hAnsi="Arial"/>
                <w:sz w:val="29"/>
                <w:szCs w:val="29"/>
                <w:color w:val="auto"/>
                <w:vertAlign w:val="superscript"/>
              </w:rPr>
              <w:t>(3)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18,041,000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18,041,000</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18,041,000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7"/>
        </w:trPr>
        <w:tc>
          <w:tcPr>
            <w:tcW w:w="3640" w:type="dxa"/>
            <w:vAlign w:val="bottom"/>
            <w:gridSpan w:val="2"/>
          </w:tcPr>
          <w:p>
            <w:pPr>
              <w:spacing w:after="0" w:line="256" w:lineRule="exact"/>
              <w:rPr>
                <w:sz w:val="20"/>
                <w:szCs w:val="20"/>
                <w:color w:val="auto"/>
              </w:rPr>
            </w:pPr>
            <w:r>
              <w:rPr>
                <w:rFonts w:ascii="Arial" w:cs="Arial" w:eastAsia="Arial" w:hAnsi="Arial"/>
                <w:sz w:val="18"/>
                <w:szCs w:val="18"/>
                <w:color w:val="auto"/>
              </w:rPr>
              <w:t>Daniel Hopp</w:t>
            </w:r>
            <w:r>
              <w:rPr>
                <w:rFonts w:ascii="Arial" w:cs="Arial" w:eastAsia="Arial" w:hAnsi="Arial"/>
                <w:sz w:val="29"/>
                <w:szCs w:val="29"/>
                <w:color w:val="auto"/>
                <w:vertAlign w:val="superscript"/>
              </w:rPr>
              <w:t>(5)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18,041,000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18,041,000</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18,041,000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2"/>
              </w:rPr>
              <w:t>Prof. Dr. Friedrich von Bohlen und Halbach</w:t>
            </w:r>
            <w:r>
              <w:rPr>
                <w:rFonts w:ascii="Arial" w:cs="Arial" w:eastAsia="Arial" w:hAnsi="Arial"/>
                <w:sz w:val="29"/>
                <w:szCs w:val="29"/>
                <w:color w:val="auto"/>
                <w:w w:val="92"/>
                <w:vertAlign w:val="superscript"/>
              </w:rPr>
              <w:t>(3)(4)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18,041,000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18,041,000</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18,052,828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7"/>
        </w:trPr>
        <w:tc>
          <w:tcPr>
            <w:tcW w:w="3640" w:type="dxa"/>
            <w:vAlign w:val="bottom"/>
            <w:gridSpan w:val="2"/>
          </w:tcPr>
          <w:p>
            <w:pPr>
              <w:spacing w:after="0" w:line="256" w:lineRule="exact"/>
              <w:rPr>
                <w:sz w:val="20"/>
                <w:szCs w:val="20"/>
                <w:color w:val="auto"/>
              </w:rPr>
            </w:pPr>
            <w:r>
              <w:rPr>
                <w:rFonts w:ascii="Arial" w:cs="Arial" w:eastAsia="Arial" w:hAnsi="Arial"/>
                <w:sz w:val="18"/>
                <w:szCs w:val="18"/>
                <w:color w:val="auto"/>
              </w:rPr>
              <w:t>Prof. Dr. Christof Hettich</w:t>
            </w:r>
            <w:r>
              <w:rPr>
                <w:rFonts w:ascii="Arial" w:cs="Arial" w:eastAsia="Arial" w:hAnsi="Arial"/>
                <w:sz w:val="29"/>
                <w:szCs w:val="29"/>
                <w:color w:val="auto"/>
                <w:vertAlign w:val="superscript"/>
              </w:rPr>
              <w:t>(3)(4)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174,750</w:t>
            </w:r>
            <w:r>
              <w:rPr>
                <w:rFonts w:ascii="Arial" w:cs="Arial" w:eastAsia="Arial" w:hAnsi="Arial"/>
                <w:sz w:val="15"/>
                <w:szCs w:val="15"/>
                <w:color w:val="auto"/>
              </w:rPr>
              <w:t>(6)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174,750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18,041,000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174,750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18,041,000</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18,215,750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ind w:left="1500"/>
              <w:spacing w:after="0" w:line="135" w:lineRule="exact"/>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260"/>
              <w:spacing w:after="0" w:line="162" w:lineRule="exact"/>
              <w:rPr>
                <w:sz w:val="20"/>
                <w:szCs w:val="20"/>
                <w:color w:val="auto"/>
              </w:rPr>
            </w:pPr>
            <w:r>
              <w:rPr>
                <w:rFonts w:ascii="Arial" w:cs="Arial" w:eastAsia="Arial" w:hAnsi="Arial"/>
                <w:sz w:val="18"/>
                <w:szCs w:val="18"/>
                <w:color w:val="auto"/>
              </w:rPr>
              <w:t>36,500</w:t>
            </w:r>
          </w:p>
        </w:tc>
        <w:tc>
          <w:tcPr>
            <w:tcW w:w="1060" w:type="dxa"/>
            <w:vAlign w:val="bottom"/>
            <w:gridSpan w:val="2"/>
            <w:vMerge w:val="restart"/>
            <w:shd w:val="clear" w:color="auto" w:fill="CCEEFF"/>
          </w:tcPr>
          <w:p>
            <w:pPr>
              <w:jc w:val="right"/>
              <w:ind w:right="200"/>
              <w:spacing w:after="0" w:line="162" w:lineRule="exact"/>
              <w:rPr>
                <w:sz w:val="20"/>
                <w:szCs w:val="20"/>
                <w:color w:val="auto"/>
              </w:rPr>
            </w:pPr>
            <w:r>
              <w:rPr>
                <w:rFonts w:ascii="Arial" w:cs="Arial" w:eastAsia="Arial" w:hAnsi="Arial"/>
                <w:sz w:val="18"/>
                <w:szCs w:val="18"/>
                <w:color w:val="auto"/>
              </w:rPr>
              <w:t>36,500</w:t>
            </w:r>
          </w:p>
        </w:tc>
        <w:tc>
          <w:tcPr>
            <w:tcW w:w="1100" w:type="dxa"/>
            <w:vAlign w:val="bottom"/>
            <w:gridSpan w:val="2"/>
            <w:vMerge w:val="restart"/>
            <w:shd w:val="clear" w:color="auto" w:fill="CCEEFF"/>
          </w:tcPr>
          <w:p>
            <w:pPr>
              <w:jc w:val="right"/>
              <w:ind w:right="200"/>
              <w:spacing w:after="0" w:line="162" w:lineRule="exact"/>
              <w:rPr>
                <w:sz w:val="20"/>
                <w:szCs w:val="20"/>
                <w:color w:val="auto"/>
              </w:rPr>
            </w:pPr>
            <w:r>
              <w:rPr>
                <w:rFonts w:ascii="Arial" w:cs="Arial" w:eastAsia="Arial" w:hAnsi="Arial"/>
                <w:sz w:val="18"/>
                <w:szCs w:val="18"/>
                <w:color w:val="auto"/>
                <w:w w:val="97"/>
              </w:rPr>
              <w:t>18,041,000</w:t>
            </w:r>
          </w:p>
        </w:tc>
        <w:tc>
          <w:tcPr>
            <w:tcW w:w="1040" w:type="dxa"/>
            <w:vAlign w:val="bottom"/>
            <w:gridSpan w:val="2"/>
            <w:vMerge w:val="restart"/>
            <w:shd w:val="clear" w:color="auto" w:fill="CCEEFF"/>
          </w:tcPr>
          <w:p>
            <w:pPr>
              <w:jc w:val="right"/>
              <w:ind w:right="200"/>
              <w:spacing w:after="0" w:line="162" w:lineRule="exact"/>
              <w:rPr>
                <w:sz w:val="20"/>
                <w:szCs w:val="20"/>
                <w:color w:val="auto"/>
              </w:rPr>
            </w:pPr>
            <w:r>
              <w:rPr>
                <w:rFonts w:ascii="Arial" w:cs="Arial" w:eastAsia="Arial" w:hAnsi="Arial"/>
                <w:sz w:val="18"/>
                <w:szCs w:val="18"/>
                <w:color w:val="auto"/>
              </w:rPr>
              <w:t>36,500</w:t>
            </w:r>
          </w:p>
        </w:tc>
        <w:tc>
          <w:tcPr>
            <w:tcW w:w="1080" w:type="dxa"/>
            <w:vAlign w:val="bottom"/>
            <w:gridSpan w:val="2"/>
            <w:vMerge w:val="restart"/>
            <w:shd w:val="clear" w:color="auto" w:fill="CCEEFF"/>
          </w:tcPr>
          <w:p>
            <w:pPr>
              <w:jc w:val="right"/>
              <w:ind w:right="180"/>
              <w:spacing w:after="0" w:line="162" w:lineRule="exact"/>
              <w:rPr>
                <w:sz w:val="20"/>
                <w:szCs w:val="20"/>
                <w:color w:val="auto"/>
              </w:rPr>
            </w:pPr>
            <w:r>
              <w:rPr>
                <w:rFonts w:ascii="Arial" w:cs="Arial" w:eastAsia="Arial" w:hAnsi="Arial"/>
                <w:sz w:val="18"/>
                <w:szCs w:val="18"/>
                <w:color w:val="auto"/>
                <w:w w:val="97"/>
              </w:rPr>
              <w:t>18,041,000</w:t>
            </w:r>
          </w:p>
        </w:tc>
        <w:tc>
          <w:tcPr>
            <w:tcW w:w="1100" w:type="dxa"/>
            <w:vAlign w:val="bottom"/>
            <w:gridSpan w:val="2"/>
            <w:vMerge w:val="restart"/>
            <w:shd w:val="clear" w:color="auto" w:fill="CCEEFF"/>
          </w:tcPr>
          <w:p>
            <w:pPr>
              <w:ind w:left="100"/>
              <w:spacing w:after="0" w:line="162" w:lineRule="exact"/>
              <w:rPr>
                <w:sz w:val="20"/>
                <w:szCs w:val="20"/>
                <w:color w:val="auto"/>
              </w:rPr>
            </w:pPr>
            <w:r>
              <w:rPr>
                <w:rFonts w:ascii="Arial" w:cs="Arial" w:eastAsia="Arial" w:hAnsi="Arial"/>
                <w:sz w:val="18"/>
                <w:szCs w:val="18"/>
                <w:color w:val="auto"/>
              </w:rPr>
              <w:t>18,077,500</w:t>
            </w:r>
          </w:p>
        </w:tc>
        <w:tc>
          <w:tcPr>
            <w:tcW w:w="1200" w:type="dxa"/>
            <w:vAlign w:val="bottom"/>
            <w:gridSpan w:val="2"/>
            <w:vMerge w:val="restart"/>
            <w:shd w:val="clear" w:color="auto" w:fill="CCEEFF"/>
          </w:tcPr>
          <w:p>
            <w:pPr>
              <w:jc w:val="right"/>
              <w:ind w:right="20"/>
              <w:spacing w:after="0" w:line="16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364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Dr. Mathias Hothum</w:t>
            </w:r>
          </w:p>
        </w:tc>
        <w:tc>
          <w:tcPr>
            <w:tcW w:w="1200" w:type="dxa"/>
            <w:vAlign w:val="bottom"/>
            <w:gridSpan w:val="2"/>
            <w:vMerge w:val="continue"/>
            <w:shd w:val="clear" w:color="auto" w:fill="CCEEFF"/>
          </w:tcPr>
          <w:p>
            <w:pPr>
              <w:spacing w:after="0"/>
              <w:rPr>
                <w:sz w:val="2"/>
                <w:szCs w:val="2"/>
                <w:color w:val="auto"/>
              </w:rPr>
            </w:pPr>
          </w:p>
        </w:tc>
        <w:tc>
          <w:tcPr>
            <w:tcW w:w="1060" w:type="dxa"/>
            <w:vAlign w:val="bottom"/>
            <w:gridSpan w:val="2"/>
            <w:vMerge w:val="continue"/>
            <w:shd w:val="clear" w:color="auto" w:fill="CCEEFF"/>
          </w:tcPr>
          <w:p>
            <w:pPr>
              <w:spacing w:after="0"/>
              <w:rPr>
                <w:sz w:val="2"/>
                <w:szCs w:val="2"/>
                <w:color w:val="auto"/>
              </w:rPr>
            </w:pPr>
          </w:p>
        </w:tc>
        <w:tc>
          <w:tcPr>
            <w:tcW w:w="110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1080" w:type="dxa"/>
            <w:vAlign w:val="bottom"/>
            <w:gridSpan w:val="2"/>
            <w:vMerge w:val="continue"/>
            <w:shd w:val="clear" w:color="auto" w:fill="CCEEFF"/>
          </w:tcPr>
          <w:p>
            <w:pPr>
              <w:spacing w:after="0"/>
              <w:rPr>
                <w:sz w:val="2"/>
                <w:szCs w:val="2"/>
                <w:color w:val="auto"/>
              </w:rPr>
            </w:pPr>
          </w:p>
        </w:tc>
        <w:tc>
          <w:tcPr>
            <w:tcW w:w="1100" w:type="dxa"/>
            <w:vAlign w:val="bottom"/>
            <w:gridSpan w:val="2"/>
            <w:vMerge w:val="continue"/>
            <w:shd w:val="clear" w:color="auto" w:fill="CCEEFF"/>
          </w:tcPr>
          <w:p>
            <w:pPr>
              <w:spacing w:after="0"/>
              <w:rPr>
                <w:sz w:val="2"/>
                <w:szCs w:val="2"/>
                <w:color w:val="auto"/>
              </w:rPr>
            </w:pPr>
          </w:p>
        </w:tc>
        <w:tc>
          <w:tcPr>
            <w:tcW w:w="12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(7)</w:t>
            </w: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percentage is calculated based on 67,562,333 shares of the Issuer’s common shares reported to be issued by the Issuer in its Annual Report on Form 20-F filed with the Securities and Exchange Commission on March 21, 2019.</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18,041,000 common shares of the Issuer are held of record by dievini.</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DH-Capital, OH Beteiligungen, Dr. von Bohlen and Dr. Hettich are collectively the holders of 100% of the limited partner interest in dievini. DH-Capital and OH Beteiligungen each hold a 40% limited partner interest in dievini and therefore, control the voting and dispositive decisions of dievini together and may be deemed to beneficially own the shares held by dievini. Dietmar Hopp and Oliver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sole general partner of dievini with the authorization to represent is dievini Verwaltungs GmbH; however, 100% of the shares of dievini Verwaltungs GmbH are held by dievini so dievini Verwaltungs GmbH is not considered to have control over dievini. The managing directors of dievini Verwaltungs GmbH are Dietmar Hopp, Dr. von Bohlen, Dr. Hettich and Dr. Hothum. Voting and dispositive decisions made within dievini Verwaltungs GmbH regarding the securities held by dievini are made by at least two managing directors acting together; however, Dietmar Hopp is entitled to represent dievini Verwaltungs GmbH solely. Therefore, in their capacity as managing directors, Dietmar Hopp, Dr. von Bohlen, Dr. Hettich and Dr. Hothum share voting and dispositive power over the shares held by dievini, and may be deemed to beneficially own such shares held by dievini; however, each of Dietmar Hopp, Dr. von Bohlen, Dr. Hettich and Dr. Hothum disclaims beneficial ownership of the shares held by dievini except to the extent of their pecuniary interests therein.</w:t>
      </w:r>
    </w:p>
    <w:p>
      <w:pPr>
        <w:spacing w:after="0" w:line="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Daniel Hopp has shared control of DH-Capital and he may therefore be deemed to beneficially own the shares held by dievini; however, Daniel Hopp disclaims beneficial ownership of the shares held by dievini except to the extent of his pecuniary interests therein.</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held through personal accounts, of which the holder has sole voting and dispositive power.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held directly by Dr. Hothum through his personal accounts, of which he has sole voting and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type w:val="continuous"/>
        </w:sectPr>
      </w:pPr>
    </w:p>
    <w:bookmarkStart w:id="12" w:name="page13"/>
    <w:bookmarkEnd w:id="12"/>
    <w:p>
      <w:pPr>
        <w:ind w:left="160"/>
        <w:spacing w:after="0"/>
        <w:tabs>
          <w:tab w:leader="none" w:pos="5520" w:val="left"/>
          <w:tab w:leader="none" w:pos="82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60" w:type="dxa"/>
            <w:vAlign w:val="bottom"/>
          </w:tcPr>
          <w:p>
            <w:pPr>
              <w:ind w:left="28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85"/>
        </w:trPr>
        <w:tc>
          <w:tcPr>
            <w:tcW w:w="86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If this statement is being filed to report the fact that as of the date hereof, the reporting person has ceased to be the beneficial owner of more</w:t>
            </w:r>
          </w:p>
        </w:tc>
      </w:tr>
      <w:tr>
        <w:trPr>
          <w:trHeight w:val="283"/>
        </w:trPr>
        <w:tc>
          <w:tcPr>
            <w:tcW w:w="860" w:type="dxa"/>
            <w:vAlign w:val="bottom"/>
          </w:tcPr>
          <w:p>
            <w:pPr>
              <w:spacing w:after="0"/>
              <w:rPr>
                <w:sz w:val="24"/>
                <w:szCs w:val="24"/>
                <w:color w:val="auto"/>
              </w:rPr>
            </w:pPr>
          </w:p>
        </w:tc>
        <w:tc>
          <w:tcPr>
            <w:tcW w:w="105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than five percent of the class of securities, check the following: </w:t>
            </w:r>
            <w:r>
              <w:rPr>
                <w:rFonts w:ascii="MS PGothic" w:cs="MS PGothic" w:eastAsia="MS PGothic" w:hAnsi="MS PGothic"/>
                <w:sz w:val="18"/>
                <w:szCs w:val="18"/>
                <w:color w:val="auto"/>
              </w:rPr>
              <w:t>☐</w:t>
            </w:r>
          </w:p>
        </w:tc>
      </w:tr>
      <w:tr>
        <w:trPr>
          <w:trHeight w:val="412"/>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2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86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14"/>
        </w:trPr>
        <w:tc>
          <w:tcPr>
            <w:tcW w:w="8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60" w:type="dxa"/>
            <w:vAlign w:val="bottom"/>
          </w:tcPr>
          <w:p>
            <w:pPr>
              <w:ind w:left="28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 Company</w:t>
            </w:r>
          </w:p>
        </w:tc>
      </w:tr>
      <w:tr>
        <w:trPr>
          <w:trHeight w:val="234"/>
        </w:trPr>
        <w:tc>
          <w:tcPr>
            <w:tcW w:w="8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b w:val="1"/>
                <w:bCs w:val="1"/>
                <w:color w:val="auto"/>
              </w:rPr>
              <w:t>or Control Person</w:t>
            </w:r>
          </w:p>
        </w:tc>
      </w:tr>
      <w:tr>
        <w:trPr>
          <w:trHeight w:val="432"/>
        </w:trPr>
        <w:tc>
          <w:tcPr>
            <w:tcW w:w="86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60" w:type="dxa"/>
            <w:vAlign w:val="bottom"/>
          </w:tcPr>
          <w:p>
            <w:pPr>
              <w:ind w:left="28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86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60" w:type="dxa"/>
            <w:vAlign w:val="bottom"/>
          </w:tcPr>
          <w:p>
            <w:pPr>
              <w:ind w:left="28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86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60" w:type="dxa"/>
            <w:vAlign w:val="bottom"/>
          </w:tcPr>
          <w:p>
            <w:pPr>
              <w:ind w:left="280"/>
              <w:spacing w:after="0"/>
              <w:rPr>
                <w:sz w:val="20"/>
                <w:szCs w:val="20"/>
                <w:color w:val="auto"/>
              </w:rPr>
            </w:pPr>
            <w:r>
              <w:rPr>
                <w:rFonts w:ascii="Arial" w:cs="Arial" w:eastAsia="Arial" w:hAnsi="Arial"/>
                <w:sz w:val="18"/>
                <w:szCs w:val="18"/>
                <w:b w:val="1"/>
                <w:bCs w:val="1"/>
                <w:color w:val="auto"/>
              </w:rPr>
              <w:t>Certifications</w:t>
            </w:r>
          </w:p>
        </w:tc>
      </w:tr>
      <w:tr>
        <w:trPr>
          <w:trHeight w:val="432"/>
        </w:trPr>
        <w:tc>
          <w:tcPr>
            <w:tcW w:w="86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66"/>
        </w:trPr>
        <w:tc>
          <w:tcPr>
            <w:tcW w:w="86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8" w:right="239" w:bottom="1440" w:gutter="0" w:footer="0" w:header="0"/>
          <w:type w:val="continuous"/>
        </w:sectPr>
      </w:pPr>
    </w:p>
    <w:bookmarkStart w:id="13" w:name="page14"/>
    <w:bookmarkEnd w:id="13"/>
    <w:p>
      <w:pPr>
        <w:ind w:left="160"/>
        <w:spacing w:after="0"/>
        <w:tabs>
          <w:tab w:leader="none" w:pos="5520" w:val="left"/>
          <w:tab w:leader="none" w:pos="8260" w:val="left"/>
        </w:tabs>
        <w:rPr>
          <w:sz w:val="20"/>
          <w:szCs w:val="20"/>
          <w:color w:val="auto"/>
        </w:rPr>
      </w:pPr>
      <w:r>
        <w:rPr>
          <w:rFonts w:ascii="Arial" w:cs="Arial" w:eastAsia="Arial" w:hAnsi="Arial"/>
          <w:sz w:val="18"/>
          <w:szCs w:val="18"/>
          <w:color w:val="auto"/>
        </w:rPr>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26376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17145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2020</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DIEVINI HOPP BIOTECH HOLDING GMBH &amp; CO.</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KG</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dievini Verwaltungs GmbH</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8420" cy="2603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Dr. Marc Hauser</w:t>
      </w:r>
    </w:p>
    <w:p>
      <w:pPr>
        <w:spacing w:after="0" w:line="23" w:lineRule="exact"/>
        <w:rPr>
          <w:sz w:val="20"/>
          <w:szCs w:val="20"/>
          <w:color w:val="auto"/>
        </w:rPr>
      </w:pPr>
    </w:p>
    <w:p>
      <w:pPr>
        <w:jc w:val="center"/>
        <w:ind w:left="7320"/>
        <w:spacing w:after="0"/>
        <w:tabs>
          <w:tab w:leader="none" w:pos="160" w:val="left"/>
        </w:tabs>
        <w:rPr>
          <w:sz w:val="20"/>
          <w:szCs w:val="20"/>
          <w:color w:val="auto"/>
        </w:rPr>
      </w:pPr>
      <w:r>
        <w:rPr>
          <w:rFonts w:ascii="Arial" w:cs="Arial" w:eastAsia="Arial" w:hAnsi="Arial"/>
          <w:sz w:val="18"/>
          <w:szCs w:val="18"/>
          <w:color w:val="auto"/>
        </w:rPr>
        <w:t>Title:</w:t>
        <w:tab/>
        <w:t>Attorney-in-fact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DH-CAPITAL GMBH &amp; CO. KG</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DH Verwaltungs GmbH</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8420" cy="2603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Dr. Marc Hauser</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Attorney-in-fact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OH BETEILIGUNGEN GMBH &amp; CO. KG</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OH Verwaltungs GmbH</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8420" cy="2603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Dr. Marc Hauser</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DIETMAR HOPP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OLIVER HOPP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DANIEL HOPP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FRIEDRICH VON BOHLEN UND HALBACH</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CHRISTOF HETTICH</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MATHIAS HOTHUM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Power of Attorney</w:t>
            </w:r>
          </w:p>
        </w:tc>
        <w:tc>
          <w:tcPr>
            <w:tcW w:w="9020" w:type="dxa"/>
            <w:vAlign w:val="bottom"/>
            <w:gridSpan w:val="3"/>
            <w:shd w:val="clear" w:color="auto" w:fill="CCEEFF"/>
          </w:tcPr>
          <w:p>
            <w:pPr>
              <w:spacing w:after="0"/>
              <w:rPr>
                <w:rFonts w:ascii="Arial" w:cs="Arial" w:eastAsia="Arial" w:hAnsi="Arial"/>
                <w:sz w:val="18"/>
                <w:szCs w:val="18"/>
                <w:color w:val="0000EE"/>
                <w:w w:val="94"/>
              </w:rPr>
            </w:pPr>
            <w:hyperlink r:id="rId48">
              <w:r>
                <w:rPr>
                  <w:rFonts w:ascii="Arial" w:cs="Arial" w:eastAsia="Arial" w:hAnsi="Arial"/>
                  <w:sz w:val="18"/>
                  <w:szCs w:val="18"/>
                  <w:color w:val="0000EE"/>
                  <w:w w:val="94"/>
                </w:rPr>
                <w:t>Incorporated by reference to Exhibit 99.1 to the Schedule 13G filed by the Reporting Persons on February 14, 2017 with</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86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respect to the common shares of the Issuer.</w:t>
              </w:r>
            </w:hyperlink>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2</w:t>
            </w:r>
          </w:p>
        </w:tc>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Joint Filing Statement</w:t>
            </w:r>
          </w:p>
        </w:tc>
        <w:tc>
          <w:tcPr>
            <w:tcW w:w="9020" w:type="dxa"/>
            <w:vAlign w:val="bottom"/>
            <w:gridSpan w:val="3"/>
            <w:shd w:val="clear" w:color="auto" w:fill="CCEEFF"/>
          </w:tcPr>
          <w:p>
            <w:pPr>
              <w:spacing w:after="0" w:line="176" w:lineRule="exact"/>
              <w:rPr>
                <w:rFonts w:ascii="Arial" w:cs="Arial" w:eastAsia="Arial" w:hAnsi="Arial"/>
                <w:sz w:val="18"/>
                <w:szCs w:val="18"/>
                <w:color w:val="0000EE"/>
                <w:w w:val="94"/>
              </w:rPr>
            </w:pPr>
            <w:hyperlink r:id="rId49">
              <w:r>
                <w:rPr>
                  <w:rFonts w:ascii="Arial" w:cs="Arial" w:eastAsia="Arial" w:hAnsi="Arial"/>
                  <w:sz w:val="18"/>
                  <w:szCs w:val="18"/>
                  <w:color w:val="0000EE"/>
                  <w:w w:val="94"/>
                </w:rPr>
                <w:t>Incorporated by reference to Exhibit 99.2 to the Schedule 13G filed by the Reporting Persons on February 14, 2017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86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respect to the common shares of the Issuer.</w:t>
              </w:r>
            </w:hyperlink>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0000EE"/>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3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3"/>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hyperlink" Target="http://www.sec.gov/Archives/edgar/data/1651625/000119312517043364/d302629dex991.htm" TargetMode="External"/><Relationship Id="rId49" Type="http://schemas.openxmlformats.org/officeDocument/2006/relationships/hyperlink" Target="http://www.sec.gov/Archives/edgar/data/1651625/000119312517043364/d302629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2020-02-06T14:18:35Z</dcterms:created>
  <dcterms:modified xsi:type="dcterms:W3CDTF">2020-02-06T14:18:35Z</dcterms:modified>
</cp:coreProperties>
</file>