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 PURSUANT TO RULE 13a-16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 15d-16 UNDER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March,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229870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EPFL Innovation Park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Building B</w:t>
      </w:r>
    </w:p>
    <w:p>
      <w:pPr>
        <w:jc w:val="center"/>
        <w:spacing w:after="0" w:line="230" w:lineRule="auto"/>
        <w:rPr>
          <w:sz w:val="20"/>
          <w:szCs w:val="20"/>
          <w:color w:val="auto"/>
        </w:rPr>
      </w:pPr>
      <w:r>
        <w:rPr>
          <w:rFonts w:ascii="Arial" w:cs="Arial" w:eastAsia="Arial" w:hAnsi="Arial"/>
          <w:sz w:val="22"/>
          <w:szCs w:val="22"/>
          <w:b w:val="1"/>
          <w:bCs w:val="1"/>
          <w:color w:val="auto"/>
        </w:rPr>
        <w:t>1015 Lausanne,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42" w:lineRule="exact"/>
        <w:rPr>
          <w:sz w:val="24"/>
          <w:szCs w:val="24"/>
          <w:color w:val="auto"/>
        </w:rPr>
      </w:pPr>
    </w:p>
    <w:p>
      <w:pPr>
        <w:ind w:left="3020"/>
        <w:spacing w:after="0" w:line="207" w:lineRule="exact"/>
        <w:tabs>
          <w:tab w:leader="none" w:pos="4420" w:val="left"/>
          <w:tab w:leader="none" w:pos="6360" w:val="left"/>
          <w:tab w:leader="none" w:pos="77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242" w:lineRule="exact"/>
        <w:rPr>
          <w:sz w:val="24"/>
          <w:szCs w:val="24"/>
          <w:color w:val="auto"/>
        </w:rPr>
      </w:pPr>
    </w:p>
    <w:p>
      <w:pPr>
        <w:ind w:left="3260"/>
        <w:spacing w:after="0" w:line="207" w:lineRule="exact"/>
        <w:tabs>
          <w:tab w:leader="none" w:pos="4440" w:val="left"/>
          <w:tab w:leader="none" w:pos="6640" w:val="left"/>
          <w:tab w:leader="none" w:pos="778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242" w:lineRule="exact"/>
        <w:rPr>
          <w:sz w:val="24"/>
          <w:szCs w:val="24"/>
          <w:color w:val="auto"/>
        </w:rPr>
      </w:pPr>
    </w:p>
    <w:p>
      <w:pPr>
        <w:ind w:left="3260"/>
        <w:spacing w:after="0" w:line="207" w:lineRule="exact"/>
        <w:tabs>
          <w:tab w:leader="none" w:pos="4440" w:val="left"/>
          <w:tab w:leader="none" w:pos="6640" w:val="left"/>
          <w:tab w:leader="none" w:pos="778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258445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353060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498475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580" w:top="535" w:right="5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0450" cy="17145"/>
                    </a:xfrm>
                    <a:prstGeom prst="rect">
                      <a:avLst/>
                    </a:prstGeom>
                    <a:noFill/>
                  </pic:spPr>
                </pic:pic>
              </a:graphicData>
            </a:graphic>
          </wp:anchor>
        </w:drawing>
      </w:r>
    </w:p>
    <w:p>
      <w:pPr>
        <w:spacing w:after="0" w:line="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0" cy="17145"/>
                    </a:xfrm>
                    <a:prstGeom prst="rect">
                      <a:avLst/>
                    </a:prstGeom>
                    <a:noFill/>
                  </pic:spPr>
                </pic:pic>
              </a:graphicData>
            </a:graphic>
          </wp:anchor>
        </w:drawing>
      </w:r>
    </w:p>
    <w:p>
      <w:pPr>
        <w:spacing w:after="0" w:line="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17741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80" w:type="dxa"/>
            <w:vAlign w:val="bottom"/>
          </w:tcPr>
          <w:p>
            <w:pPr>
              <w:jc w:val="center"/>
              <w:ind w:right="1870"/>
              <w:spacing w:after="0"/>
              <w:rPr>
                <w:sz w:val="20"/>
                <w:szCs w:val="20"/>
                <w:color w:val="auto"/>
              </w:rPr>
            </w:pPr>
            <w:r>
              <w:rPr>
                <w:rFonts w:ascii="Arial" w:cs="Arial" w:eastAsia="Arial" w:hAnsi="Arial"/>
                <w:sz w:val="22"/>
                <w:szCs w:val="22"/>
                <w:b w:val="1"/>
                <w:bCs w:val="1"/>
                <w:color w:val="auto"/>
              </w:rPr>
              <w:t>EXHIBIT INDEX</w:t>
            </w:r>
          </w:p>
        </w:tc>
      </w:tr>
      <w:tr>
        <w:trPr>
          <w:trHeight w:val="469"/>
        </w:trPr>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Number</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520" w:type="dxa"/>
            <w:vAlign w:val="bottom"/>
          </w:tcPr>
          <w:p>
            <w:pPr>
              <w:spacing w:after="0"/>
              <w:rPr>
                <w:sz w:val="15"/>
                <w:szCs w:val="15"/>
                <w:color w:val="auto"/>
              </w:rPr>
            </w:pPr>
          </w:p>
        </w:tc>
        <w:tc>
          <w:tcPr>
            <w:tcW w:w="320" w:type="dxa"/>
            <w:vAlign w:val="bottom"/>
            <w:tcBorders>
              <w:bottom w:val="single" w:sz="8" w:color="0000EE"/>
            </w:tcBorders>
          </w:tcPr>
          <w:p>
            <w:pPr>
              <w:jc w:val="right"/>
              <w:spacing w:after="0" w:line="17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60" w:type="dxa"/>
            <w:vAlign w:val="bottom"/>
            <w:gridSpan w:val="2"/>
          </w:tcPr>
          <w:p>
            <w:pPr>
              <w:spacing w:after="0" w:line="176" w:lineRule="exact"/>
              <w:rPr>
                <w:sz w:val="20"/>
                <w:szCs w:val="20"/>
                <w:color w:val="auto"/>
              </w:rPr>
            </w:pPr>
            <w:r>
              <w:rPr>
                <w:rFonts w:ascii="Arial" w:cs="Arial" w:eastAsia="Arial" w:hAnsi="Arial"/>
                <w:sz w:val="18"/>
                <w:szCs w:val="18"/>
                <w:color w:val="auto"/>
              </w:rPr>
              <w:t>Press Release dated March 22, 2022</w:t>
            </w:r>
          </w:p>
        </w:tc>
      </w:tr>
      <w:tr>
        <w:trPr>
          <w:trHeight w:val="196"/>
        </w:trPr>
        <w:tc>
          <w:tcPr>
            <w:tcW w:w="520" w:type="dxa"/>
            <w:vAlign w:val="bottom"/>
          </w:tcPr>
          <w:p>
            <w:pPr>
              <w:spacing w:after="0"/>
              <w:rPr>
                <w:sz w:val="17"/>
                <w:szCs w:val="17"/>
                <w:color w:val="auto"/>
              </w:rPr>
            </w:pPr>
          </w:p>
        </w:tc>
        <w:tc>
          <w:tcPr>
            <w:tcW w:w="32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520" w:type="dxa"/>
            <w:vAlign w:val="bottom"/>
          </w:tcPr>
          <w:p>
            <w:pPr>
              <w:spacing w:after="0"/>
              <w:rPr>
                <w:sz w:val="17"/>
                <w:szCs w:val="17"/>
                <w:color w:val="auto"/>
              </w:rPr>
            </w:pPr>
          </w:p>
        </w:tc>
        <w:tc>
          <w:tcPr>
            <w:tcW w:w="60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89"/>
              </w:rPr>
              <w:t>2021</w:t>
            </w:r>
          </w:p>
        </w:tc>
        <w:tc>
          <w:tcPr>
            <w:tcW w:w="9280" w:type="dxa"/>
            <w:vAlign w:val="bottom"/>
          </w:tcPr>
          <w:p>
            <w:pPr>
              <w:ind w:left="40"/>
              <w:spacing w:after="0" w:line="196" w:lineRule="exact"/>
              <w:rPr>
                <w:sz w:val="20"/>
                <w:szCs w:val="20"/>
                <w:color w:val="auto"/>
              </w:rPr>
            </w:pPr>
            <w:r>
              <w:rPr>
                <w:rFonts w:ascii="Arial" w:cs="Arial" w:eastAsia="Arial" w:hAnsi="Arial"/>
                <w:sz w:val="18"/>
                <w:szCs w:val="18"/>
                <w:color w:val="auto"/>
              </w:rPr>
              <w:t>IFRS Consolidated Financial Statements</w:t>
            </w:r>
          </w:p>
        </w:tc>
      </w:tr>
      <w:tr>
        <w:trPr>
          <w:trHeight w:val="196"/>
        </w:trPr>
        <w:tc>
          <w:tcPr>
            <w:tcW w:w="520" w:type="dxa"/>
            <w:vAlign w:val="bottom"/>
          </w:tcPr>
          <w:p>
            <w:pPr>
              <w:spacing w:after="0"/>
              <w:rPr>
                <w:sz w:val="17"/>
                <w:szCs w:val="17"/>
                <w:color w:val="auto"/>
              </w:rPr>
            </w:pPr>
          </w:p>
        </w:tc>
        <w:tc>
          <w:tcPr>
            <w:tcW w:w="32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5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hyperlink>
          </w:p>
        </w:tc>
        <w:tc>
          <w:tcPr>
            <w:tcW w:w="520" w:type="dxa"/>
            <w:vAlign w:val="bottom"/>
          </w:tcPr>
          <w:p>
            <w:pPr>
              <w:spacing w:after="0"/>
              <w:rPr>
                <w:sz w:val="17"/>
                <w:szCs w:val="17"/>
                <w:color w:val="auto"/>
              </w:rPr>
            </w:pPr>
          </w:p>
        </w:tc>
        <w:tc>
          <w:tcPr>
            <w:tcW w:w="60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89"/>
              </w:rPr>
              <w:t>2021</w:t>
            </w:r>
          </w:p>
        </w:tc>
        <w:tc>
          <w:tcPr>
            <w:tcW w:w="9280" w:type="dxa"/>
            <w:vAlign w:val="bottom"/>
          </w:tcPr>
          <w:p>
            <w:pPr>
              <w:ind w:left="40"/>
              <w:spacing w:after="0" w:line="196" w:lineRule="exact"/>
              <w:rPr>
                <w:sz w:val="20"/>
                <w:szCs w:val="20"/>
                <w:color w:val="auto"/>
              </w:rPr>
            </w:pPr>
            <w:r>
              <w:rPr>
                <w:rFonts w:ascii="Arial" w:cs="Arial" w:eastAsia="Arial" w:hAnsi="Arial"/>
                <w:sz w:val="18"/>
                <w:szCs w:val="18"/>
                <w:color w:val="auto"/>
              </w:rPr>
              <w:t>Statutory Annual Report</w:t>
            </w:r>
          </w:p>
        </w:tc>
      </w:tr>
      <w:tr>
        <w:trPr>
          <w:trHeight w:val="196"/>
        </w:trPr>
        <w:tc>
          <w:tcPr>
            <w:tcW w:w="840" w:type="dxa"/>
            <w:vAlign w:val="bottom"/>
            <w:gridSpan w:val="2"/>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99.</w:t>
              </w:r>
              <w:r>
                <w:rPr>
                  <w:rFonts w:ascii="Arial" w:cs="Arial" w:eastAsia="Arial" w:hAnsi="Arial"/>
                  <w:sz w:val="18"/>
                  <w:szCs w:val="18"/>
                  <w:u w:val="single" w:color="auto"/>
                  <w:color w:val="0000EE"/>
                </w:rPr>
                <w:t>4</w:t>
              </w:r>
            </w:hyperlink>
          </w:p>
        </w:tc>
        <w:tc>
          <w:tcPr>
            <w:tcW w:w="520" w:type="dxa"/>
            <w:vAlign w:val="bottom"/>
          </w:tcPr>
          <w:p>
            <w:pPr>
              <w:spacing w:after="0"/>
              <w:rPr>
                <w:sz w:val="17"/>
                <w:szCs w:val="17"/>
                <w:color w:val="auto"/>
              </w:rPr>
            </w:pPr>
          </w:p>
        </w:tc>
        <w:tc>
          <w:tcPr>
            <w:tcW w:w="60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89"/>
              </w:rPr>
              <w:t>2021</w:t>
            </w:r>
          </w:p>
        </w:tc>
        <w:tc>
          <w:tcPr>
            <w:tcW w:w="9280" w:type="dxa"/>
            <w:vAlign w:val="bottom"/>
          </w:tcPr>
          <w:p>
            <w:pPr>
              <w:ind w:left="40"/>
              <w:spacing w:after="0" w:line="196" w:lineRule="exact"/>
              <w:rPr>
                <w:sz w:val="20"/>
                <w:szCs w:val="20"/>
                <w:color w:val="auto"/>
              </w:rPr>
            </w:pPr>
            <w:r>
              <w:rPr>
                <w:rFonts w:ascii="Arial" w:cs="Arial" w:eastAsia="Arial" w:hAnsi="Arial"/>
                <w:sz w:val="18"/>
                <w:szCs w:val="18"/>
                <w:color w:val="auto"/>
              </w:rPr>
              <w:t>Compensation Report</w:t>
            </w:r>
          </w:p>
        </w:tc>
      </w:tr>
      <w:tr>
        <w:trPr>
          <w:trHeight w:val="576"/>
        </w:trPr>
        <w:tc>
          <w:tcPr>
            <w:tcW w:w="5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80" w:type="dxa"/>
            <w:vAlign w:val="bottom"/>
          </w:tcPr>
          <w:p>
            <w:pPr>
              <w:jc w:val="right"/>
              <w:ind w:right="5490"/>
              <w:spacing w:after="0"/>
              <w:rPr>
                <w:sz w:val="20"/>
                <w:szCs w:val="20"/>
                <w:color w:val="auto"/>
              </w:rPr>
            </w:pPr>
            <w:r>
              <w:rPr>
                <w:rFonts w:ascii="Arial" w:cs="Arial" w:eastAsia="Arial" w:hAnsi="Arial"/>
                <w:sz w:val="14"/>
                <w:szCs w:val="14"/>
                <w:color w:val="auto"/>
              </w:rPr>
              <w:t>3</w:t>
            </w:r>
          </w:p>
        </w:tc>
      </w:tr>
      <w:tr>
        <w:trPr>
          <w:trHeight w:val="100"/>
        </w:trPr>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56845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Immune Reports Full Year 2021 Financial Results and Provides Corporate Update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Seven clinical data readouts expected in 2022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Three vaccines, targeting Tau, Abeta and alpha-synuclein, advancing in 2022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Semorinemab Phase 2 Lauriet trial: additional fluid biomarker data expected in H2 2022</w:t>
      </w:r>
    </w:p>
    <w:p>
      <w:pPr>
        <w:spacing w:after="0" w:line="233" w:lineRule="exact"/>
        <w:rPr>
          <w:sz w:val="20"/>
          <w:szCs w:val="20"/>
          <w:color w:val="auto"/>
        </w:rPr>
      </w:pPr>
    </w:p>
    <w:p>
      <w:pPr>
        <w:jc w:val="center"/>
        <w:ind w:left="340" w:right="100"/>
        <w:spacing w:after="0" w:line="250" w:lineRule="auto"/>
        <w:rPr>
          <w:sz w:val="20"/>
          <w:szCs w:val="20"/>
          <w:color w:val="auto"/>
        </w:rPr>
      </w:pPr>
      <w:r>
        <w:rPr>
          <w:rFonts w:ascii="Arial" w:cs="Arial" w:eastAsia="Arial" w:hAnsi="Arial"/>
          <w:sz w:val="22"/>
          <w:szCs w:val="22"/>
          <w:i w:val="1"/>
          <w:iCs w:val="1"/>
          <w:color w:val="auto"/>
        </w:rPr>
        <w:t>Initiation of ACI-24 anti-Abeta vaccine Phase 1b/2 trial in patients with Alzheimer’s disease (AD) and people living with Down syndrome (DS) expected in H1 2022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AD/PD™ Conference: ACI-12589 identified as a reliable and accurate PET tracer for alpha-synucleinopathies (e.g. MSA)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Strong financial position of CHF 198.2 million ensures the Company is fully financed through at least Q1 2024</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Lausanne, Switzerland, March 22, 2022 </w:t>
      </w:r>
      <w:r>
        <w:rPr>
          <w:rFonts w:ascii="Arial" w:cs="Arial" w:eastAsia="Arial" w:hAnsi="Arial"/>
          <w:sz w:val="22"/>
          <w:szCs w:val="22"/>
          <w:color w:val="auto"/>
        </w:rPr>
        <w:t>– AC Immune SA (NASDAQ: ACIU), a clinical-stage biopharmaceutical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pioneering precision medicine for neurodegenerative diseases, today reported its financial results for the year ended December 31, 2021, and provided a corporate update, highlighting progress in its broad pipeline of products to treat and diagnose neurodegenerative diseases.</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Prof. Andrea Pfeifer, CEO of AC Immune SA, commented: </w:t>
      </w:r>
      <w:r>
        <w:rPr>
          <w:rFonts w:ascii="Arial" w:cs="Arial" w:eastAsia="Arial" w:hAnsi="Arial"/>
          <w:sz w:val="22"/>
          <w:szCs w:val="22"/>
          <w:color w:val="auto"/>
        </w:rPr>
        <w:t>“We are off to a strong start in 2022 with the second of seven</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data readouts presented last week at the AD/PD™ 2022 conference. The first-in-human study of our alpha-synuclein diagnostic, ACI-12589, showed it has strong potential to become the first reliable and accurate PET tracer for alpha-synucleinopathies (e.g. multiple system atrophy, MSA).”</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“Pairing cutting-edge diagnostics with highly targeted and selective therapeutic agents, such as our vaccines targeting alpha-synuclein, phosphorylated-Tau, and Abeta, which are all advancing into later-stage development this year, we aim to shift the therapeutic paradigm of neurodegenerative diseases towards earlier, more accurate diagnosis, treatment, and prevention,” Prof. Pfeifer said.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 and Subsequent Highlights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Pipeline progress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Tau</w:t>
      </w:r>
    </w:p>
    <w:p>
      <w:pPr>
        <w:spacing w:after="0" w:line="19" w:lineRule="exact"/>
        <w:rPr>
          <w:sz w:val="20"/>
          <w:szCs w:val="20"/>
          <w:color w:val="auto"/>
        </w:rPr>
      </w:pPr>
    </w:p>
    <w:p>
      <w:pPr>
        <w:jc w:val="both"/>
        <w:ind w:left="660" w:hanging="328"/>
        <w:spacing w:after="0" w:line="25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Expanded the Phase 1b/2a trial evaluating the first-in-class anti-phosphorylated-Tau (pTau) vaccine candidate ACI-35.030 for the treatment of AD in collaboration with Janssen Pharmaceuticals, Inc. The decision to expand the trial, which was made to support plans to advance ACI-35.030 into late-stage development, was based on encouraging interim safety, tolerability, and immunogenicity results</w:t>
      </w:r>
      <w:r>
        <w:rPr>
          <w:rFonts w:ascii="Arial" w:cs="Arial" w:eastAsia="Arial" w:hAnsi="Arial"/>
          <w:sz w:val="18"/>
          <w:szCs w:val="18"/>
          <w:color w:val="0000FF"/>
        </w:rPr>
        <w:t>.</w:t>
      </w:r>
      <w:r>
        <w:rPr>
          <w:rFonts w:ascii="Arial" w:cs="Arial" w:eastAsia="Arial" w:hAnsi="Arial"/>
          <w:sz w:val="18"/>
          <w:szCs w:val="18"/>
          <w:color w:val="auto"/>
        </w:rPr>
        <w:t xml:space="preserve"> These showed that ACI-35.030 treatment was well tolerated and led to the strong induction of antibodies specific for pathological forms of Tau such as pTau and its aggregated form, enriched paired helical filaments (ePHF).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jc w:val="both"/>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Top line data from the Phase 2 Lauriet trial of semorinemab in mild-to-moderate AD presented at CTAD 2021 showed a statistically significant (p=0.0008) 42.2% reduction in cognitive decline vs. placebo as measured by ADAS-Cog11 at week 49, one of the trial’s co-primary endpoints. There were no statistically significant differences between semoribemab and placebo arms in the other co-primary endpoint, ADCS-ADL, or in the secondary endpoints (MMSE and CDR-SB). AC Immune’s partner Genentech, a member of the Roche Group, is continuing with the trial’s open-label extension. Additional fluid biomarker data are expected in H2 2022.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Abeta</w:t>
      </w:r>
    </w:p>
    <w:p>
      <w:pPr>
        <w:spacing w:after="0" w:line="19" w:lineRule="exact"/>
        <w:rPr>
          <w:sz w:val="20"/>
          <w:szCs w:val="20"/>
          <w:color w:val="auto"/>
        </w:rPr>
      </w:pPr>
    </w:p>
    <w:p>
      <w:pPr>
        <w:jc w:val="both"/>
        <w:ind w:left="620" w:hanging="302"/>
        <w:spacing w:after="0" w:line="26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Presented full results from the landmark Phase 1b clinical trial evaluating the anti-Abeta vaccine ACI-24 in subjects living with Down syndrome (DS) at the Alzheimer’s Association International Conference (AAIC) 2021. These results showed evidence of immunogenicity and pharmacodynamic response following ACI-24 treatment and demonstrated its favorable safety and tolerability profile.</w:t>
      </w:r>
    </w:p>
    <w:p>
      <w:pPr>
        <w:spacing w:after="0" w:line="1" w:lineRule="exact"/>
        <w:rPr>
          <w:rFonts w:ascii="Arial" w:cs="Arial" w:eastAsia="Arial" w:hAnsi="Arial"/>
          <w:sz w:val="17"/>
          <w:szCs w:val="17"/>
          <w:color w:val="auto"/>
        </w:rPr>
      </w:pPr>
    </w:p>
    <w:p>
      <w:pPr>
        <w:ind w:left="660" w:right="20" w:hanging="328"/>
        <w:spacing w:after="0" w:line="281"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Presented at CTAD 2021 full results of the Phase 2 study evaluating ACI-24 in patients with mild AD. This assessment confirmed earlier results showing no safety concerns nor evidence of inflammation or ARIA (amyloid-related imaging abnormalities) related to ACI-24 in any subject.</w:t>
      </w:r>
    </w:p>
    <w:p>
      <w:pPr>
        <w:spacing w:after="0" w:line="1" w:lineRule="exact"/>
        <w:rPr>
          <w:rFonts w:ascii="Arial" w:cs="Arial" w:eastAsia="Arial" w:hAnsi="Arial"/>
          <w:sz w:val="16"/>
          <w:szCs w:val="16"/>
          <w:color w:val="auto"/>
        </w:rPr>
      </w:pPr>
    </w:p>
    <w:p>
      <w:pPr>
        <w:jc w:val="both"/>
        <w:ind w:left="660" w:hanging="328"/>
        <w:spacing w:after="0" w:line="295"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New data on the optimized formulation of ACI-24 were published in a peer reviewed journal </w:t>
      </w:r>
      <w:r>
        <w:rPr>
          <w:rFonts w:ascii="Arial" w:cs="Arial" w:eastAsia="Arial" w:hAnsi="Arial"/>
          <w:sz w:val="16"/>
          <w:szCs w:val="16"/>
          <w:i w:val="1"/>
          <w:iCs w:val="1"/>
          <w:color w:val="auto"/>
        </w:rPr>
        <w:t>Brain Communications</w:t>
      </w:r>
      <w:r>
        <w:rPr>
          <w:rFonts w:ascii="Arial" w:cs="Arial" w:eastAsia="Arial" w:hAnsi="Arial"/>
          <w:sz w:val="16"/>
          <w:szCs w:val="16"/>
          <w:color w:val="auto"/>
        </w:rPr>
        <w:t>. The optimized formulation was well tolerated in preclinical models and generated a broad polyclonal anti-Abeta response with high titers of antibodies against neurotoxic pyroglutamate Abeta (pyroGlu-Abeta), a major component of Abeta plaques. Additional preclinical data on optimized ACI-24 were presented at AD/PD™ 2022 confirming its enhanced and sustained immunogenicity against another key pathological Abeta species, oligomeric Abeta.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A-syn</w:t>
      </w:r>
    </w:p>
    <w:p>
      <w:pPr>
        <w:spacing w:after="0" w:line="19" w:lineRule="exact"/>
        <w:rPr>
          <w:sz w:val="20"/>
          <w:szCs w:val="20"/>
          <w:color w:val="auto"/>
        </w:rPr>
      </w:pPr>
    </w:p>
    <w:p>
      <w:pPr>
        <w:jc w:val="both"/>
        <w:ind w:left="660" w:hanging="328"/>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PET image analyses and preclinical studies were presented at AD/PD™ 2022 suggest that ACI-12589 was retained in brain areas affected by disease processes involving a-synuclein (a-syn) aggregation, indicating the product-candidate has potential as the first non-invasive diagnostic for alpha-synucleinopathies (e.g. MSA).</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all-stock acquisition of Affiris’ portfolio of therapeutics targeting a-syn, notably PD01, a clinically validated active vaccine candidate that places AC Immune at the forefront of Parkinson’s disease (PD) drug development. ACI-7104, the optimized formulation of PD01, is on track to enter Phase 2 testing in early PD patients in H2 2022.</w:t>
      </w:r>
    </w:p>
    <w:p>
      <w:pPr>
        <w:spacing w:after="0" w:line="1" w:lineRule="exact"/>
        <w:rPr>
          <w:rFonts w:ascii="Arial" w:cs="Arial" w:eastAsia="Arial" w:hAnsi="Arial"/>
          <w:sz w:val="18"/>
          <w:szCs w:val="18"/>
          <w:color w:val="auto"/>
        </w:rPr>
      </w:pPr>
    </w:p>
    <w:p>
      <w:pPr>
        <w:ind w:left="660" w:hanging="328"/>
        <w:spacing w:after="0" w:line="18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Identified and characterized the first biologically active small molecule Morphomer</w:t>
      </w:r>
      <w:r>
        <w:rPr>
          <w:rFonts w:ascii="Courier New" w:cs="Courier New" w:eastAsia="Courier New" w:hAnsi="Courier New"/>
          <w:sz w:val="29"/>
          <w:szCs w:val="29"/>
          <w:color w:val="auto"/>
          <w:vertAlign w:val="superscript"/>
        </w:rPr>
        <w:t>®</w:t>
      </w:r>
      <w:r>
        <w:rPr>
          <w:rFonts w:ascii="Arial" w:cs="Arial" w:eastAsia="Arial" w:hAnsi="Arial"/>
          <w:sz w:val="18"/>
          <w:szCs w:val="18"/>
          <w:color w:val="auto"/>
        </w:rPr>
        <w:t xml:space="preserve"> a-syn aggregation inhibitors, showing that they significantly decreased a-syn aggregate formation in cellular assays by interfering with the fibrillation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NLRP3</w:t>
      </w:r>
    </w:p>
    <w:p>
      <w:pPr>
        <w:spacing w:after="0" w:line="20" w:lineRule="exact"/>
        <w:rPr>
          <w:sz w:val="20"/>
          <w:szCs w:val="20"/>
          <w:color w:val="auto"/>
        </w:rPr>
      </w:pPr>
    </w:p>
    <w:p>
      <w:pPr>
        <w:jc w:val="both"/>
        <w:ind w:left="660" w:hanging="328"/>
        <w:spacing w:after="0" w:line="19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key advancements for several therapeutic discovery programs targeting the (NOD)-like receptor protein 3 (NLRP3) inflammasome. Small molecule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inhibitors of NLRP3 showed the first evidence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in a model of peripheral inflammation, while high-affinity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monoclonal antibodies were shown to bind extracellular components (ASC) of the NLRP3 pathway and inhibit inflammasome-mediated immune responses </w:t>
      </w:r>
      <w:r>
        <w:rPr>
          <w:rFonts w:ascii="Arial" w:cs="Arial" w:eastAsia="Arial" w:hAnsi="Arial"/>
          <w:sz w:val="18"/>
          <w:szCs w:val="18"/>
          <w:i w:val="1"/>
          <w:iCs w:val="1"/>
          <w:color w:val="auto"/>
        </w:rPr>
        <w:t>in vitro.</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Strenthening Financial Position and Extend Shareholder Base</w:t>
      </w:r>
    </w:p>
    <w:p>
      <w:pPr>
        <w:spacing w:after="0" w:line="19" w:lineRule="exact"/>
        <w:rPr>
          <w:sz w:val="20"/>
          <w:szCs w:val="20"/>
          <w:color w:val="auto"/>
        </w:rPr>
      </w:pPr>
    </w:p>
    <w:p>
      <w:pPr>
        <w:ind w:left="660" w:hanging="328"/>
        <w:spacing w:after="0" w:line="28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Strengthened cash position via an equity financing, adding the three lead investors in Covid-19 vaccine innovator BioNTech SE, Athos Service GmbH (Strüngmann family office), First Capital Partner GmbH (Egger Family Office), and MIG Fonds, as part of the Affiris deal.</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Strengthening of Board</w:t>
      </w:r>
    </w:p>
    <w:p>
      <w:pPr>
        <w:spacing w:after="0" w:line="19" w:lineRule="exact"/>
        <w:rPr>
          <w:sz w:val="20"/>
          <w:szCs w:val="20"/>
          <w:color w:val="auto"/>
        </w:rPr>
      </w:pPr>
    </w:p>
    <w:p>
      <w:pPr>
        <w:jc w:val="both"/>
        <w:ind w:left="660" w:hanging="328"/>
        <w:spacing w:after="0" w:line="29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Appointed Alan Colowick, M.D., Monica Shaw, M.D., and Prof. Monika Bütler, Dr. oec., to the Company’s Board of Directors. Dr. Colowick is a biotech and investment executive with more than 20 years of experience in large and emerging biotech companies. Dr. Shaw is a pharmaceutical industry expert who has been involved in advancing more than 15 therapeutic products from first-in-human studies through commercialization. Prof. Bütler is a leading Swiss economist and former Vice President of the independent Swiss COVID-19 Science Taskforce.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Thought Leadership and Collaborations</w:t>
      </w:r>
    </w:p>
    <w:p>
      <w:pPr>
        <w:spacing w:after="0" w:line="19" w:lineRule="exact"/>
        <w:rPr>
          <w:sz w:val="20"/>
          <w:szCs w:val="20"/>
          <w:color w:val="auto"/>
        </w:rPr>
      </w:pPr>
    </w:p>
    <w:p>
      <w:pPr>
        <w:jc w:val="both"/>
        <w:ind w:left="660" w:hanging="328"/>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Swiss Economic Forum (SEF) awarded AC Immune Co-Founder and CEO Prof. Andrea Pfeifer with the first SEF.WomenAward for CEO of the Year. This award recognizes women with an excellent entrepreneurial track record, giving greater prominence to role models who can inspire the next generation of businesswomen.</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Expanded the Company’s research collaboration with leading scientists at the Center for Neurodegenerative Disease Research at the Perelman School of Medicine at the University of Pennsylvania. This partnership aims to advance therapeutic strategies targeting TAR DNA-binding protein 43 (TDP-43), a major driver of neurodegenerative diseases.</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Received two Michael J. Fox Foundation grants to accelerate the development of first-in-class brain penetrant small molecules to inhibit alpha-synuclein aggregation and NLRP3 inflammasome activation in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Our strategy for 2022</w:t>
      </w:r>
    </w:p>
    <w:p>
      <w:pPr>
        <w:spacing w:after="0" w:line="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AC Immune’s execution strategy is to advance late-stage AD programs with partners, accelerate its non-AD and NeuroOrphan programs in-house, and advance development of its suite of potentially best-in-class diagnostics to enable precision medicine. The Company intends to maintain program leadership over its wholly-owned AD and PD vaccine programs until Phase 3 or beyond, and expects to initiate two mid-stage clinical trials in 2022:</w:t>
      </w:r>
    </w:p>
    <w:p>
      <w:pPr>
        <w:spacing w:after="0" w:line="222"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ACI-7104 anti-a-syn vaccine candidate is on track to enter an adaptive, placebo-controlled, and biomarker-based Phase 1b/2 study in patients with early PD in H2 2022. The two part study will evaluate safety, immunogenicity, and measure biomarkers of pathological alpha-synuclein in Part 1, with a seamless transition to Part 2, which will aim to establish clinical proof-of-concept by monitoring progression of PD symptoms and biomarkers.</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Optimized ACI-24 Abeta vaccine is on track to enter a placebo-controlled Phase 1b/2 study evaluating different dosing regimens vs. placebo in up to four cohorts of patients with AD before being expanded to a separate cohort of people living with DS to address DS-related AD. Key outcome measures for the study will include assessments of safety, immunogenicity, pharmacodynamics, target engagement, Abeta-PET and clinical outcomes.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Clinical Milestones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8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ACI-12589</w:t>
            </w:r>
          </w:p>
        </w:tc>
        <w:tc>
          <w:tcPr>
            <w:tcW w:w="84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Reported results from first-in-human study at AD/PD™ 2022 conference</w:t>
            </w:r>
          </w:p>
        </w:tc>
      </w:tr>
      <w:tr>
        <w:trPr>
          <w:trHeight w:val="237"/>
        </w:trPr>
        <w:tc>
          <w:tcPr>
            <w:tcW w:w="2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a-syn-PET tracer</w:t>
            </w:r>
          </w:p>
        </w:tc>
        <w:tc>
          <w:tcPr>
            <w:tcW w:w="8400" w:type="dxa"/>
            <w:vAlign w:val="bottom"/>
            <w:tcBorders>
              <w:bottom w:val="single" w:sz="8" w:color="auto"/>
              <w:right w:val="single" w:sz="8" w:color="auto"/>
            </w:tcBorders>
          </w:tcPr>
          <w:p>
            <w:pPr>
              <w:spacing w:after="0"/>
              <w:rPr>
                <w:sz w:val="20"/>
                <w:szCs w:val="20"/>
                <w:color w:val="auto"/>
              </w:rPr>
            </w:pPr>
          </w:p>
        </w:tc>
      </w:tr>
      <w:tr>
        <w:trPr>
          <w:trHeight w:val="202"/>
        </w:trPr>
        <w:tc>
          <w:tcPr>
            <w:tcW w:w="284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ACI-35.030</w:t>
            </w:r>
          </w:p>
        </w:tc>
        <w:tc>
          <w:tcPr>
            <w:tcW w:w="8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Reported Phase 1b/2a interim analysis from highest dose group in Q1; disclose future late-stage development</w:t>
            </w:r>
          </w:p>
        </w:tc>
      </w:tr>
      <w:tr>
        <w:trPr>
          <w:trHeight w:val="237"/>
        </w:trPr>
        <w:tc>
          <w:tcPr>
            <w:tcW w:w="2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anti-pTau vaccine</w:t>
            </w:r>
          </w:p>
        </w:tc>
        <w:tc>
          <w:tcPr>
            <w:tcW w:w="8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plans in H2</w:t>
            </w:r>
          </w:p>
        </w:tc>
      </w:tr>
      <w:tr>
        <w:trPr>
          <w:trHeight w:val="202"/>
        </w:trPr>
        <w:tc>
          <w:tcPr>
            <w:tcW w:w="284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ACI-24 (optimized)</w:t>
            </w:r>
          </w:p>
        </w:tc>
        <w:tc>
          <w:tcPr>
            <w:tcW w:w="8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ACI-24 (optimized vaccine formulation) Phase 1b/2a First-Patient-In (AD) in H1</w:t>
            </w:r>
          </w:p>
        </w:tc>
      </w:tr>
      <w:tr>
        <w:trPr>
          <w:trHeight w:val="237"/>
        </w:trPr>
        <w:tc>
          <w:tcPr>
            <w:tcW w:w="2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anti-Abeta vaccine</w:t>
            </w:r>
          </w:p>
        </w:tc>
        <w:tc>
          <w:tcPr>
            <w:tcW w:w="8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Phase 1b in AD readout and decision to move into DS in H2</w:t>
            </w:r>
          </w:p>
        </w:tc>
      </w:tr>
      <w:tr>
        <w:trPr>
          <w:trHeight w:val="202"/>
        </w:trPr>
        <w:tc>
          <w:tcPr>
            <w:tcW w:w="284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Crenezumab</w:t>
            </w:r>
          </w:p>
        </w:tc>
        <w:tc>
          <w:tcPr>
            <w:tcW w:w="8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line Phase 2 results from AD prevention trial in patients with autosomal dominant AD in H1</w:t>
            </w:r>
          </w:p>
        </w:tc>
      </w:tr>
      <w:tr>
        <w:trPr>
          <w:trHeight w:val="237"/>
        </w:trPr>
        <w:tc>
          <w:tcPr>
            <w:tcW w:w="2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anti-Abeta antibody</w:t>
            </w:r>
          </w:p>
        </w:tc>
        <w:tc>
          <w:tcPr>
            <w:tcW w:w="8400" w:type="dxa"/>
            <w:vAlign w:val="bottom"/>
            <w:tcBorders>
              <w:bottom w:val="single" w:sz="8" w:color="auto"/>
              <w:right w:val="single" w:sz="8" w:color="auto"/>
            </w:tcBorders>
          </w:tcPr>
          <w:p>
            <w:pPr>
              <w:spacing w:after="0"/>
              <w:rPr>
                <w:sz w:val="20"/>
                <w:szCs w:val="20"/>
                <w:color w:val="auto"/>
              </w:rPr>
            </w:pPr>
          </w:p>
        </w:tc>
      </w:tr>
      <w:tr>
        <w:trPr>
          <w:trHeight w:val="202"/>
        </w:trPr>
        <w:tc>
          <w:tcPr>
            <w:tcW w:w="284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Semorinemab</w:t>
            </w:r>
          </w:p>
        </w:tc>
        <w:tc>
          <w:tcPr>
            <w:tcW w:w="8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Additional fluid biomarker data from the Phase 2 Lauriet study in mild-to-moderate AD in H2</w:t>
            </w:r>
          </w:p>
        </w:tc>
      </w:tr>
      <w:tr>
        <w:trPr>
          <w:trHeight w:val="237"/>
        </w:trPr>
        <w:tc>
          <w:tcPr>
            <w:tcW w:w="2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anti-Tau antibody</w:t>
            </w:r>
          </w:p>
        </w:tc>
        <w:tc>
          <w:tcPr>
            <w:tcW w:w="8400" w:type="dxa"/>
            <w:vAlign w:val="bottom"/>
            <w:tcBorders>
              <w:bottom w:val="single" w:sz="8" w:color="auto"/>
              <w:right w:val="single" w:sz="8" w:color="auto"/>
            </w:tcBorders>
          </w:tcPr>
          <w:p>
            <w:pPr>
              <w:spacing w:after="0"/>
              <w:rPr>
                <w:sz w:val="20"/>
                <w:szCs w:val="20"/>
                <w:color w:val="auto"/>
              </w:rPr>
            </w:pPr>
          </w:p>
        </w:tc>
      </w:tr>
      <w:tr>
        <w:trPr>
          <w:trHeight w:val="202"/>
        </w:trPr>
        <w:tc>
          <w:tcPr>
            <w:tcW w:w="284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PI-2620</w:t>
            </w:r>
          </w:p>
        </w:tc>
        <w:tc>
          <w:tcPr>
            <w:tcW w:w="8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Phase 2 and Phase 1 results in AD and progressive supranuclear palsy (PSP) respectively, in H2</w:t>
            </w:r>
          </w:p>
        </w:tc>
      </w:tr>
      <w:tr>
        <w:trPr>
          <w:trHeight w:val="237"/>
        </w:trPr>
        <w:tc>
          <w:tcPr>
            <w:tcW w:w="2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Tau-PET tracer</w:t>
            </w:r>
          </w:p>
        </w:tc>
        <w:tc>
          <w:tcPr>
            <w:tcW w:w="8400" w:type="dxa"/>
            <w:vAlign w:val="bottom"/>
            <w:tcBorders>
              <w:bottom w:val="single" w:sz="8" w:color="auto"/>
              <w:right w:val="single" w:sz="8" w:color="auto"/>
            </w:tcBorders>
          </w:tcPr>
          <w:p>
            <w:pPr>
              <w:spacing w:after="0"/>
              <w:rPr>
                <w:sz w:val="20"/>
                <w:szCs w:val="20"/>
                <w:color w:val="auto"/>
              </w:rPr>
            </w:pPr>
          </w:p>
        </w:tc>
      </w:tr>
      <w:tr>
        <w:trPr>
          <w:trHeight w:val="202"/>
        </w:trPr>
        <w:tc>
          <w:tcPr>
            <w:tcW w:w="284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ACI-7104</w:t>
            </w:r>
          </w:p>
        </w:tc>
        <w:tc>
          <w:tcPr>
            <w:tcW w:w="8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Initiate Phase 2 trial in early PD in H2</w:t>
            </w:r>
          </w:p>
        </w:tc>
      </w:tr>
      <w:tr>
        <w:trPr>
          <w:trHeight w:val="237"/>
        </w:trPr>
        <w:tc>
          <w:tcPr>
            <w:tcW w:w="2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anti-a-syn vaccine</w:t>
            </w:r>
          </w:p>
        </w:tc>
        <w:tc>
          <w:tcPr>
            <w:tcW w:w="8400" w:type="dxa"/>
            <w:vAlign w:val="bottom"/>
            <w:tcBorders>
              <w:bottom w:val="single" w:sz="8" w:color="auto"/>
              <w:right w:val="single" w:sz="8" w:color="auto"/>
            </w:tcBorders>
          </w:tcPr>
          <w:p>
            <w:pPr>
              <w:spacing w:after="0"/>
              <w:rPr>
                <w:sz w:val="20"/>
                <w:szCs w:val="20"/>
                <w:color w:val="auto"/>
              </w:rPr>
            </w:pPr>
          </w:p>
        </w:tc>
      </w:tr>
    </w:tbl>
    <w:p>
      <w:pPr>
        <w:spacing w:after="0" w:line="21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Analysis of Financial Statements for the year ended December 31, 2021</w:t>
      </w:r>
    </w:p>
    <w:p>
      <w:pPr>
        <w:spacing w:after="0" w:line="19" w:lineRule="exact"/>
        <w:rPr>
          <w:sz w:val="20"/>
          <w:szCs w:val="20"/>
          <w:color w:val="auto"/>
        </w:rPr>
      </w:pPr>
    </w:p>
    <w:p>
      <w:pPr>
        <w:jc w:val="both"/>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198.2 million, composed of CHF 82.2 million in cash and cash equivalents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CHF 116.0 million in short-term financial assets. This compares to a total cash balance of CHF 225.9 million as of December 31, 2020. The Company’s cash balance provides enough capital resources to progress through at least Q1 2024 without consideration of potential incoming 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ind w:left="660" w:hanging="328"/>
        <w:spacing w:after="0" w:line="289"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Contract Revenues: </w:t>
      </w:r>
      <w:r>
        <w:rPr>
          <w:rFonts w:ascii="Arial" w:cs="Arial" w:eastAsia="Arial" w:hAnsi="Arial"/>
          <w:sz w:val="16"/>
          <w:szCs w:val="16"/>
          <w:color w:val="auto"/>
        </w:rPr>
        <w:t>The Company did not record contract revenues for the year ended December 31, 2021, a decrease of CHF 15.4 million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comparable period in 2020. The overall decrease is predominantly related to a CHF 10 million milestone payment as well as CHF 4.3 million associated with R&amp;D activities in our agreement with Lilly that were recognized in 2020 and did not repeat in the current period.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increased by CHF 2.8 million for the year ended December 31, 2021, to CHF 62.3 million.</w:t>
      </w:r>
    </w:p>
    <w:p>
      <w:pPr>
        <w:spacing w:after="0" w:line="9" w:lineRule="exact"/>
        <w:rPr>
          <w:sz w:val="20"/>
          <w:szCs w:val="20"/>
          <w:color w:val="auto"/>
        </w:rPr>
      </w:pPr>
    </w:p>
    <w:p>
      <w:pPr>
        <w:jc w:val="both"/>
        <w:ind w:left="1300" w:hanging="320"/>
        <w:spacing w:after="0" w:line="250"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Discovery and preclinical expenses (- CHF 0.4 million): </w:t>
      </w:r>
      <w:r>
        <w:rPr>
          <w:rFonts w:ascii="Arial" w:cs="Arial" w:eastAsia="Arial" w:hAnsi="Arial"/>
          <w:sz w:val="18"/>
          <w:szCs w:val="18"/>
          <w:color w:val="auto"/>
        </w:rPr>
        <w:t>The Company decreased expenditures across a variety of its discovery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programs. This was predominantly led by a decrease in investment for the research of alpha-synuclein antibodies and other discovery programs.</w:t>
      </w:r>
    </w:p>
    <w:p>
      <w:pPr>
        <w:spacing w:after="0" w:line="1"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Clinical expenses (- CHF 2.3 million): </w:t>
      </w:r>
      <w:r>
        <w:rPr>
          <w:rFonts w:ascii="Arial" w:cs="Arial" w:eastAsia="Arial" w:hAnsi="Arial"/>
          <w:sz w:val="17"/>
          <w:szCs w:val="17"/>
          <w:color w:val="auto"/>
        </w:rPr>
        <w:t>The Company decreased expenditures across multiple clinical programs, notably for Phase 1</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associated with our Morphomer Tau compound and expenses. These decreases were offset predominantly by ACI-35.030, which was driven by R&amp;D cost sharing and increased patient enrollments into the Phase 1b/2a study.</w:t>
      </w:r>
    </w:p>
    <w:p>
      <w:pPr>
        <w:ind w:left="1300" w:hanging="320"/>
        <w:spacing w:after="0" w:line="250"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Salary- and benefit-related costs (+ CHF 2.3 million): </w:t>
      </w:r>
      <w:r>
        <w:rPr>
          <w:rFonts w:ascii="Arial" w:cs="Arial" w:eastAsia="Arial" w:hAnsi="Arial"/>
          <w:sz w:val="18"/>
          <w:szCs w:val="18"/>
          <w:color w:val="auto"/>
        </w:rPr>
        <w:t>The Company’s salary- and benefit-related costs increased primarily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reallocation of certain employees’ salaries and the annualization of 2020 hires.</w:t>
      </w: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For the year December 31, 2021, G&amp;A decreased by CHF 0.6 million to CHF 17.9 million. This decrease is predominantly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a reallocation of CHF 2.8 million of certain IT and facilities costs offset by transaction costs incurred to complete the asset acquisition for Affiris' alpha-synuclein portfolio.</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Other Operating Income: </w:t>
      </w:r>
      <w:r>
        <w:rPr>
          <w:rFonts w:ascii="Arial" w:cs="Arial" w:eastAsia="Arial" w:hAnsi="Arial"/>
          <w:sz w:val="17"/>
          <w:szCs w:val="17"/>
          <w:color w:val="auto"/>
        </w:rPr>
        <w:t>The Company recognized CHF 1.2 million in grant income for R&amp;D activities performed under our Michael J. Fox</w:t>
      </w:r>
      <w:r>
        <w:rPr>
          <w:rFonts w:ascii="Arial" w:cs="Arial" w:eastAsia="Arial" w:hAnsi="Arial"/>
          <w:sz w:val="17"/>
          <w:szCs w:val="17"/>
          <w:b w:val="1"/>
          <w:bCs w:val="1"/>
          <w:color w:val="auto"/>
        </w:rPr>
        <w:t xml:space="preserve"> </w:t>
      </w:r>
      <w:r>
        <w:rPr>
          <w:rFonts w:ascii="Arial" w:cs="Arial" w:eastAsia="Arial" w:hAnsi="Arial"/>
          <w:sz w:val="17"/>
          <w:szCs w:val="17"/>
          <w:color w:val="auto"/>
        </w:rPr>
        <w:t>Foundation for Parkinson’s Research (MJFF) and Target ALS grants, a decrease of CHF 0.1 million compared to the prior period.</w:t>
      </w: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IFRS Loss for the Period: </w:t>
      </w:r>
      <w:r>
        <w:rPr>
          <w:rFonts w:ascii="Arial" w:cs="Arial" w:eastAsia="Arial" w:hAnsi="Arial"/>
          <w:sz w:val="18"/>
          <w:szCs w:val="18"/>
          <w:color w:val="auto"/>
        </w:rPr>
        <w:t>The Company reported a net loss after taxes of CHF 73.0 million for the year ended December 31, 2021,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 net loss of CHF 61.9 million for the comparable period in 2020.</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Financial Guidance</w:t>
      </w:r>
    </w:p>
    <w:p>
      <w:pPr>
        <w:spacing w:after="0" w:line="19" w:lineRule="exact"/>
        <w:rPr>
          <w:sz w:val="20"/>
          <w:szCs w:val="20"/>
          <w:color w:val="auto"/>
        </w:rPr>
      </w:pPr>
    </w:p>
    <w:p>
      <w:pPr>
        <w:jc w:val="both"/>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full year 2022, the Company expects its total cash burn to be in the range, CHF 75 million to CHF 80 million. The Company defines cash burn as operating expenditures adjusted to include capital expenditures and offset by significant non-cash items (including share-based compensation and 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AC Immune SA</w:t>
      </w:r>
    </w:p>
    <w:p>
      <w:pPr>
        <w:spacing w:after="0" w:line="15" w:lineRule="exact"/>
        <w:rPr>
          <w:sz w:val="20"/>
          <w:szCs w:val="20"/>
          <w:color w:val="auto"/>
        </w:rPr>
      </w:pPr>
    </w:p>
    <w:p>
      <w:pPr>
        <w:jc w:val="both"/>
        <w:spacing w:after="0" w:line="210" w:lineRule="auto"/>
        <w:rPr>
          <w:sz w:val="20"/>
          <w:szCs w:val="20"/>
          <w:color w:val="auto"/>
        </w:rPr>
      </w:pPr>
      <w:r>
        <w:rPr>
          <w:rFonts w:ascii="Arial" w:cs="Arial" w:eastAsia="Arial" w:hAnsi="Arial"/>
          <w:sz w:val="21"/>
          <w:szCs w:val="21"/>
          <w:color w:val="auto"/>
        </w:rPr>
        <w:t>AC Immune SA is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w:t>
      </w:r>
      <w:r>
        <w:rPr>
          <w:rFonts w:ascii="Arial" w:cs="Arial" w:eastAsia="Arial" w:hAnsi="Arial"/>
          <w:sz w:val="34"/>
          <w:szCs w:val="34"/>
          <w:color w:val="auto"/>
          <w:vertAlign w:val="superscript"/>
        </w:rPr>
        <w:t>®</w:t>
      </w:r>
      <w:r>
        <w:rPr>
          <w:rFonts w:ascii="Arial" w:cs="Arial" w:eastAsia="Arial" w:hAnsi="Arial"/>
          <w:sz w:val="21"/>
          <w:szCs w:val="21"/>
          <w:color w:val="auto"/>
        </w:rPr>
        <w:t xml:space="preserve"> and Morphomer</w:t>
      </w:r>
      <w:r>
        <w:rPr>
          <w:rFonts w:ascii="Arial" w:cs="Arial" w:eastAsia="Arial" w:hAnsi="Arial"/>
          <w:sz w:val="34"/>
          <w:szCs w:val="34"/>
          <w:color w:val="auto"/>
          <w:vertAlign w:val="superscript"/>
        </w:rPr>
        <w:t>®</w:t>
      </w:r>
      <w:r>
        <w:rPr>
          <w:rFonts w:ascii="Arial" w:cs="Arial" w:eastAsia="Arial" w:hAnsi="Arial"/>
          <w:sz w:val="21"/>
          <w:szCs w:val="21"/>
          <w:color w:val="auto"/>
        </w:rPr>
        <w:t>, fuel its broad and diversified pipeline of first- 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color w:val="auto"/>
        </w:rPr>
        <w:t>SupraAntigen</w:t>
      </w:r>
      <w:r>
        <w:rPr>
          <w:rFonts w:ascii="Arial" w:cs="Arial" w:eastAsia="Arial" w:hAnsi="Arial"/>
          <w:sz w:val="34"/>
          <w:szCs w:val="34"/>
          <w:color w:val="auto"/>
          <w:vertAlign w:val="superscript"/>
        </w:rPr>
        <w:t>®</w:t>
      </w:r>
      <w:r>
        <w:rPr>
          <w:rFonts w:ascii="Arial" w:cs="Arial" w:eastAsia="Arial" w:hAnsi="Arial"/>
          <w:sz w:val="21"/>
          <w:szCs w:val="21"/>
          <w:color w:val="auto"/>
        </w:rPr>
        <w:t xml:space="preserve"> is a registered trademark of AC Immune SA in the following territories: AU, EU, CH, GB, JP and RU.</w:t>
      </w:r>
    </w:p>
    <w:p>
      <w:pPr>
        <w:spacing w:after="0"/>
        <w:rPr>
          <w:sz w:val="20"/>
          <w:szCs w:val="20"/>
          <w:color w:val="auto"/>
        </w:rPr>
      </w:pPr>
      <w:r>
        <w:rPr>
          <w:rFonts w:ascii="Arial" w:cs="Arial" w:eastAsia="Arial" w:hAnsi="Arial"/>
          <w:sz w:val="22"/>
          <w:szCs w:val="22"/>
          <w:color w:val="auto"/>
        </w:rPr>
        <w:t>Morphomer</w:t>
      </w:r>
      <w:r>
        <w:rPr>
          <w:rFonts w:ascii="Arial" w:cs="Arial" w:eastAsia="Arial" w:hAnsi="Arial"/>
          <w:sz w:val="35"/>
          <w:szCs w:val="35"/>
          <w:color w:val="auto"/>
          <w:vertAlign w:val="superscript"/>
        </w:rPr>
        <w:t>®</w:t>
      </w:r>
      <w:r>
        <w:rPr>
          <w:rFonts w:ascii="Arial" w:cs="Arial" w:eastAsia="Arial" w:hAnsi="Arial"/>
          <w:sz w:val="22"/>
          <w:szCs w:val="22"/>
          <w:color w:val="auto"/>
        </w:rPr>
        <w:t xml:space="preserve"> is a registered trademark of AC Immune SA in CN, CH, GB, JP, and NO.</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further information, please contact: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5400" w:type="dxa"/>
            <w:vAlign w:val="bottom"/>
            <w:gridSpan w:val="2"/>
          </w:tcPr>
          <w:p>
            <w:pPr>
              <w:ind w:left="2560"/>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Saoyuth Nidh</w:t>
            </w:r>
          </w:p>
        </w:tc>
        <w:tc>
          <w:tcPr>
            <w:tcW w:w="5400" w:type="dxa"/>
            <w:vAlign w:val="bottom"/>
            <w:gridSpan w:val="2"/>
          </w:tcPr>
          <w:p>
            <w:pPr>
              <w:ind w:left="2560"/>
              <w:spacing w:after="0"/>
              <w:rPr>
                <w:sz w:val="20"/>
                <w:szCs w:val="20"/>
                <w:color w:val="auto"/>
              </w:rPr>
            </w:pPr>
            <w:r>
              <w:rPr>
                <w:rFonts w:ascii="Arial" w:cs="Arial" w:eastAsia="Arial" w:hAnsi="Arial"/>
                <w:sz w:val="18"/>
                <w:szCs w:val="18"/>
                <w:color w:val="auto"/>
              </w:rPr>
              <w:t>Gary Waanders, Ph.D., MBA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AC Immune</w:t>
            </w:r>
          </w:p>
        </w:tc>
        <w:tc>
          <w:tcPr>
            <w:tcW w:w="5400" w:type="dxa"/>
            <w:vAlign w:val="bottom"/>
            <w:gridSpan w:val="2"/>
          </w:tcPr>
          <w:p>
            <w:pPr>
              <w:ind w:left="2560"/>
              <w:spacing w:after="0"/>
              <w:rPr>
                <w:sz w:val="20"/>
                <w:szCs w:val="20"/>
                <w:color w:val="auto"/>
              </w:rPr>
            </w:pPr>
            <w:r>
              <w:rPr>
                <w:rFonts w:ascii="Arial" w:cs="Arial" w:eastAsia="Arial" w:hAnsi="Arial"/>
                <w:sz w:val="18"/>
                <w:szCs w:val="18"/>
                <w:color w:val="auto"/>
              </w:rPr>
              <w:t>AC Immune</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Phone: +41 21 345 91 34</w:t>
            </w:r>
          </w:p>
        </w:tc>
        <w:tc>
          <w:tcPr>
            <w:tcW w:w="5400" w:type="dxa"/>
            <w:vAlign w:val="bottom"/>
            <w:gridSpan w:val="2"/>
          </w:tcPr>
          <w:p>
            <w:pPr>
              <w:ind w:left="2560"/>
              <w:spacing w:after="0"/>
              <w:rPr>
                <w:sz w:val="20"/>
                <w:szCs w:val="20"/>
                <w:color w:val="auto"/>
              </w:rPr>
            </w:pPr>
            <w:r>
              <w:rPr>
                <w:rFonts w:ascii="Arial" w:cs="Arial" w:eastAsia="Arial" w:hAnsi="Arial"/>
                <w:sz w:val="18"/>
                <w:szCs w:val="18"/>
                <w:color w:val="auto"/>
              </w:rPr>
              <w:t>Phone: +41 21 345 91 91</w:t>
            </w:r>
          </w:p>
        </w:tc>
      </w:tr>
      <w:tr>
        <w:trPr>
          <w:trHeight w:val="190"/>
        </w:trPr>
        <w:tc>
          <w:tcPr>
            <w:tcW w:w="2720" w:type="dxa"/>
            <w:vAlign w:val="bottom"/>
            <w:gridSpan w:val="2"/>
          </w:tcPr>
          <w:p>
            <w:pPr>
              <w:spacing w:after="0" w:line="190" w:lineRule="exact"/>
              <w:rPr>
                <w:sz w:val="20"/>
                <w:szCs w:val="20"/>
                <w:color w:val="auto"/>
              </w:rPr>
            </w:pPr>
            <w:r>
              <w:rPr>
                <w:rFonts w:ascii="Arial" w:cs="Arial" w:eastAsia="Arial" w:hAnsi="Arial"/>
                <w:sz w:val="18"/>
                <w:szCs w:val="18"/>
                <w:color w:val="auto"/>
                <w:w w:val="90"/>
              </w:rPr>
              <w:t>Email: saoyuth.nidh@acimmune.com</w:t>
            </w:r>
          </w:p>
        </w:tc>
        <w:tc>
          <w:tcPr>
            <w:tcW w:w="5400" w:type="dxa"/>
            <w:vAlign w:val="bottom"/>
            <w:gridSpan w:val="2"/>
          </w:tcPr>
          <w:p>
            <w:pPr>
              <w:ind w:left="2560"/>
              <w:spacing w:after="0" w:line="190" w:lineRule="exact"/>
              <w:rPr>
                <w:sz w:val="20"/>
                <w:szCs w:val="20"/>
                <w:color w:val="auto"/>
              </w:rPr>
            </w:pPr>
            <w:r>
              <w:rPr>
                <w:rFonts w:ascii="Arial" w:cs="Arial" w:eastAsia="Arial" w:hAnsi="Arial"/>
                <w:sz w:val="18"/>
                <w:szCs w:val="18"/>
                <w:color w:val="auto"/>
                <w:w w:val="89"/>
              </w:rPr>
              <w:t>Email: gary.waanders@acimmune.com</w:t>
            </w:r>
          </w:p>
        </w:tc>
      </w:tr>
      <w:tr>
        <w:trPr>
          <w:trHeight w:val="20"/>
        </w:trPr>
        <w:tc>
          <w:tcPr>
            <w:tcW w:w="5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920" w:type="dxa"/>
            <w:vAlign w:val="bottom"/>
            <w:gridSpan w:val="2"/>
          </w:tcPr>
          <w:p>
            <w:pPr>
              <w:ind w:left="2360"/>
              <w:spacing w:after="0"/>
              <w:rPr>
                <w:sz w:val="20"/>
                <w:szCs w:val="20"/>
                <w:color w:val="auto"/>
              </w:rPr>
            </w:pPr>
            <w:r>
              <w:rPr>
                <w:rFonts w:ascii="Arial" w:cs="Arial" w:eastAsia="Arial" w:hAnsi="Arial"/>
                <w:sz w:val="18"/>
                <w:szCs w:val="18"/>
                <w:b w:val="1"/>
                <w:bCs w:val="1"/>
                <w:color w:val="auto"/>
              </w:rPr>
              <w:t>U.S. Investors</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Shani Lewis</w:t>
            </w:r>
          </w:p>
        </w:tc>
        <w:tc>
          <w:tcPr>
            <w:tcW w:w="4920" w:type="dxa"/>
            <w:vAlign w:val="bottom"/>
            <w:gridSpan w:val="2"/>
          </w:tcPr>
          <w:p>
            <w:pPr>
              <w:ind w:left="2360"/>
              <w:spacing w:after="0"/>
              <w:rPr>
                <w:sz w:val="20"/>
                <w:szCs w:val="20"/>
                <w:color w:val="auto"/>
              </w:rPr>
            </w:pPr>
            <w:r>
              <w:rPr>
                <w:rFonts w:ascii="Arial" w:cs="Arial" w:eastAsia="Arial" w:hAnsi="Arial"/>
                <w:sz w:val="18"/>
                <w:szCs w:val="18"/>
                <w:color w:val="auto"/>
              </w:rPr>
              <w:t>Corey Davis, Ph.D.</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LaVoieHealthScience</w:t>
            </w:r>
          </w:p>
        </w:tc>
        <w:tc>
          <w:tcPr>
            <w:tcW w:w="4920" w:type="dxa"/>
            <w:vAlign w:val="bottom"/>
            <w:gridSpan w:val="2"/>
          </w:tcPr>
          <w:p>
            <w:pPr>
              <w:ind w:left="2360"/>
              <w:spacing w:after="0"/>
              <w:rPr>
                <w:sz w:val="20"/>
                <w:szCs w:val="20"/>
                <w:color w:val="auto"/>
              </w:rPr>
            </w:pPr>
            <w:r>
              <w:rPr>
                <w:rFonts w:ascii="Arial" w:cs="Arial" w:eastAsia="Arial" w:hAnsi="Arial"/>
                <w:sz w:val="18"/>
                <w:szCs w:val="18"/>
                <w:color w:val="auto"/>
              </w:rPr>
              <w:t>LifeSci Advisors</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Phone: +1 609 516 5761</w:t>
            </w:r>
          </w:p>
        </w:tc>
        <w:tc>
          <w:tcPr>
            <w:tcW w:w="4920" w:type="dxa"/>
            <w:vAlign w:val="bottom"/>
            <w:gridSpan w:val="2"/>
          </w:tcPr>
          <w:p>
            <w:pPr>
              <w:ind w:left="2360"/>
              <w:spacing w:after="0"/>
              <w:rPr>
                <w:sz w:val="20"/>
                <w:szCs w:val="20"/>
                <w:color w:val="auto"/>
              </w:rPr>
            </w:pPr>
            <w:r>
              <w:rPr>
                <w:rFonts w:ascii="Arial" w:cs="Arial" w:eastAsia="Arial" w:hAnsi="Arial"/>
                <w:sz w:val="18"/>
                <w:szCs w:val="18"/>
                <w:color w:val="auto"/>
              </w:rPr>
              <w:t>Phone: +1 212 915 2577</w:t>
            </w:r>
          </w:p>
        </w:tc>
      </w:tr>
      <w:tr>
        <w:trPr>
          <w:trHeight w:val="190"/>
        </w:trPr>
        <w:tc>
          <w:tcPr>
            <w:tcW w:w="2920" w:type="dxa"/>
            <w:vAlign w:val="bottom"/>
            <w:gridSpan w:val="2"/>
          </w:tcPr>
          <w:p>
            <w:pPr>
              <w:spacing w:after="0" w:line="190" w:lineRule="exact"/>
              <w:rPr>
                <w:sz w:val="20"/>
                <w:szCs w:val="20"/>
                <w:color w:val="auto"/>
              </w:rPr>
            </w:pPr>
            <w:r>
              <w:rPr>
                <w:rFonts w:ascii="Arial" w:cs="Arial" w:eastAsia="Arial" w:hAnsi="Arial"/>
                <w:sz w:val="18"/>
                <w:szCs w:val="18"/>
                <w:color w:val="auto"/>
                <w:w w:val="91"/>
              </w:rPr>
              <w:t>Email: slewis@lavoiehealthscience.com</w:t>
            </w:r>
          </w:p>
        </w:tc>
        <w:tc>
          <w:tcPr>
            <w:tcW w:w="4920" w:type="dxa"/>
            <w:vAlign w:val="bottom"/>
            <w:gridSpan w:val="2"/>
          </w:tcPr>
          <w:p>
            <w:pPr>
              <w:ind w:left="2360"/>
              <w:spacing w:after="0" w:line="190" w:lineRule="exact"/>
              <w:rPr>
                <w:sz w:val="20"/>
                <w:szCs w:val="20"/>
                <w:color w:val="auto"/>
              </w:rPr>
            </w:pPr>
            <w:r>
              <w:rPr>
                <w:rFonts w:ascii="Arial" w:cs="Arial" w:eastAsia="Arial" w:hAnsi="Arial"/>
                <w:sz w:val="18"/>
                <w:szCs w:val="18"/>
                <w:color w:val="auto"/>
                <w:w w:val="92"/>
              </w:rPr>
              <w:t>Email: cdavis@lifesciadvisors.com</w:t>
            </w:r>
          </w:p>
        </w:tc>
      </w:tr>
      <w:tr>
        <w:trPr>
          <w:trHeight w:val="20"/>
        </w:trPr>
        <w:tc>
          <w:tcPr>
            <w:tcW w:w="5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CHF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As of December 31,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As of December 31,</w:t>
            </w:r>
          </w:p>
        </w:tc>
      </w:tr>
      <w:tr>
        <w:trPr>
          <w:trHeight w:val="241"/>
        </w:trPr>
        <w:tc>
          <w:tcPr>
            <w:tcW w:w="794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794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Right-of-use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2,914</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Pr>
          <w:p>
            <w:pPr>
              <w:ind w:left="160"/>
              <w:spacing w:after="0"/>
              <w:rPr>
                <w:sz w:val="20"/>
                <w:szCs w:val="20"/>
                <w:color w:val="auto"/>
              </w:rPr>
            </w:pPr>
            <w:r>
              <w:rPr>
                <w:rFonts w:ascii="Arial" w:cs="Arial" w:eastAsia="Arial" w:hAnsi="Arial"/>
                <w:sz w:val="18"/>
                <w:szCs w:val="18"/>
                <w:color w:val="auto"/>
              </w:rPr>
              <w:t>Long-term financial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5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58,809</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Accrued income</w:t>
            </w:r>
          </w:p>
        </w:tc>
        <w:tc>
          <w:tcPr>
            <w:tcW w:w="1500" w:type="dxa"/>
            <w:vAlign w:val="bottom"/>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receivables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Short-term financial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116,000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202,634</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231,767</w:t>
            </w:r>
          </w:p>
        </w:tc>
      </w:tr>
      <w:tr>
        <w:trPr>
          <w:trHeight w:val="21"/>
        </w:trPr>
        <w:tc>
          <w:tcPr>
            <w:tcW w:w="79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261,443</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7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capital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Share premium</w:t>
            </w:r>
          </w:p>
        </w:tc>
        <w:tc>
          <w:tcPr>
            <w:tcW w:w="1500" w:type="dxa"/>
            <w:vAlign w:val="bottom"/>
          </w:tcPr>
          <w:p>
            <w:pPr>
              <w:jc w:val="right"/>
              <w:spacing w:after="0"/>
              <w:rPr>
                <w:sz w:val="20"/>
                <w:szCs w:val="20"/>
                <w:color w:val="auto"/>
              </w:rPr>
            </w:pPr>
            <w:r>
              <w:rPr>
                <w:rFonts w:ascii="Arial" w:cs="Arial" w:eastAsia="Arial" w:hAnsi="Arial"/>
                <w:sz w:val="18"/>
                <w:szCs w:val="18"/>
                <w:color w:val="auto"/>
              </w:rPr>
              <w:t>431,251</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346,890</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shares</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7940" w:type="dxa"/>
            <w:vAlign w:val="bottom"/>
          </w:tcPr>
          <w:p>
            <w:pPr>
              <w:ind w:left="160"/>
              <w:spacing w:after="0"/>
              <w:rPr>
                <w:sz w:val="20"/>
                <w:szCs w:val="20"/>
                <w:color w:val="auto"/>
              </w:rPr>
            </w:pPr>
            <w:r>
              <w:rPr>
                <w:rFonts w:ascii="Arial" w:cs="Arial" w:eastAsia="Arial" w:hAnsi="Arial"/>
                <w:sz w:val="18"/>
                <w:szCs w:val="18"/>
                <w:color w:val="auto"/>
              </w:rPr>
              <w:t>Accumulated losses</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(200,942)</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(132,850)</w:t>
            </w:r>
          </w:p>
        </w:tc>
      </w:tr>
      <w:tr>
        <w:trPr>
          <w:trHeight w:val="25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231,979</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Long-term lease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1,780</w:t>
            </w: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employee defined-benefit liabilities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9,438</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9,244</w:t>
            </w:r>
          </w:p>
        </w:tc>
      </w:tr>
      <w:tr>
        <w:trPr>
          <w:trHeight w:val="20"/>
        </w:trPr>
        <w:tc>
          <w:tcPr>
            <w:tcW w:w="79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and other payables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500" w:type="dxa"/>
            <w:vAlign w:val="bottom"/>
          </w:tcPr>
          <w:p>
            <w:pPr>
              <w:jc w:val="right"/>
              <w:spacing w:after="0"/>
              <w:rPr>
                <w:sz w:val="20"/>
                <w:szCs w:val="20"/>
                <w:color w:val="auto"/>
              </w:rPr>
            </w:pPr>
            <w:r>
              <w:rPr>
                <w:rFonts w:ascii="Arial" w:cs="Arial" w:eastAsia="Arial" w:hAnsi="Arial"/>
                <w:sz w:val="18"/>
                <w:szCs w:val="18"/>
                <w:color w:val="auto"/>
              </w:rPr>
              <w:t>16,736</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11,085</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23"/>
        </w:trPr>
        <w:tc>
          <w:tcPr>
            <w:tcW w:w="7940" w:type="dxa"/>
            <w:vAlign w:val="bottom"/>
          </w:tcPr>
          <w:p>
            <w:pPr>
              <w:ind w:left="160"/>
              <w:spacing w:after="0"/>
              <w:rPr>
                <w:sz w:val="20"/>
                <w:szCs w:val="20"/>
                <w:color w:val="auto"/>
              </w:rPr>
            </w:pPr>
            <w:r>
              <w:rPr>
                <w:rFonts w:ascii="Arial" w:cs="Arial" w:eastAsia="Arial" w:hAnsi="Arial"/>
                <w:sz w:val="18"/>
                <w:szCs w:val="18"/>
                <w:color w:val="auto"/>
              </w:rPr>
              <w:t>Short-term lease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5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29,464</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23,262</w:t>
            </w:r>
          </w:p>
        </w:tc>
      </w:tr>
      <w:tr>
        <w:trPr>
          <w:trHeight w:val="20"/>
        </w:trPr>
        <w:tc>
          <w:tcPr>
            <w:tcW w:w="79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261,443</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9"/>
        </w:trPr>
        <w:tc>
          <w:tcPr>
            <w:tcW w:w="7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Consolidated Statements of Income/(Loss)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 CHF thousands, except for per-share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4"/>
          </w:tcPr>
          <w:p>
            <w:pPr>
              <w:jc w:val="center"/>
              <w:ind w:left="103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revenue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110,456</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15,431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110,456</w:t>
            </w:r>
          </w:p>
        </w:tc>
      </w:tr>
      <w:tr>
        <w:trPr>
          <w:trHeight w:val="21"/>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&amp; development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(62,282)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(59,487)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(50,432)</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General &amp;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(17,910)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(18,557)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(16,058)</w:t>
            </w:r>
          </w:p>
        </w:tc>
      </w:tr>
      <w:tr>
        <w:trPr>
          <w:trHeight w:val="22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income/(expense)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7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(79,010)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(76,691)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(65,920)</w:t>
            </w:r>
          </w:p>
        </w:tc>
      </w:tr>
      <w:tr>
        <w:trPr>
          <w:trHeight w:val="210"/>
        </w:trPr>
        <w:tc>
          <w:tcPr>
            <w:tcW w:w="7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(79,010)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44,536</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Financial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6,485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Change in fair value of conversion feature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differences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Finance result, net</w:t>
            </w:r>
          </w:p>
        </w:tc>
        <w:tc>
          <w:tcPr>
            <w:tcW w:w="1160" w:type="dxa"/>
            <w:vAlign w:val="bottom"/>
          </w:tcPr>
          <w:p>
            <w:pPr>
              <w:jc w:val="right"/>
              <w:spacing w:after="0"/>
              <w:rPr>
                <w:sz w:val="20"/>
                <w:szCs w:val="20"/>
                <w:color w:val="auto"/>
              </w:rPr>
            </w:pPr>
            <w:r>
              <w:rPr>
                <w:rFonts w:ascii="Arial" w:cs="Arial" w:eastAsia="Arial" w:hAnsi="Arial"/>
                <w:sz w:val="18"/>
                <w:szCs w:val="18"/>
                <w:color w:val="auto"/>
              </w:rPr>
              <w:t>6,017</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1"/>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before tax</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Income/(loss) for the period</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Earnings/(loss) per share: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income/(loss) for the period attributable to equity holders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Diluted income/(loss) for the period attributable to equity holders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(0.97)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r>
        <w:trPr>
          <w:trHeight w:val="444"/>
        </w:trPr>
        <w:tc>
          <w:tcPr>
            <w:tcW w:w="8700" w:type="dxa"/>
            <w:vAlign w:val="bottom"/>
            <w:gridSpan w:val="3"/>
          </w:tcPr>
          <w:p>
            <w:pPr>
              <w:ind w:left="2940"/>
              <w:spacing w:after="0"/>
              <w:rPr>
                <w:sz w:val="20"/>
                <w:szCs w:val="20"/>
                <w:color w:val="auto"/>
              </w:rPr>
            </w:pPr>
            <w:r>
              <w:rPr>
                <w:rFonts w:ascii="Arial" w:cs="Arial" w:eastAsia="Arial" w:hAnsi="Arial"/>
                <w:sz w:val="22"/>
                <w:szCs w:val="22"/>
                <w:b w:val="1"/>
                <w:bCs w:val="1"/>
                <w:color w:val="auto"/>
                <w:w w:val="92"/>
              </w:rPr>
              <w:t>Consolidated Statements of Comprehensive Income/(Loss)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7320" w:type="dxa"/>
            <w:vAlign w:val="bottom"/>
          </w:tcPr>
          <w:p>
            <w:pPr>
              <w:ind w:left="4700"/>
              <w:spacing w:after="0"/>
              <w:rPr>
                <w:sz w:val="20"/>
                <w:szCs w:val="20"/>
                <w:color w:val="auto"/>
              </w:rPr>
            </w:pPr>
            <w:r>
              <w:rPr>
                <w:rFonts w:ascii="Arial" w:cs="Arial" w:eastAsia="Arial" w:hAnsi="Arial"/>
                <w:sz w:val="22"/>
                <w:szCs w:val="22"/>
                <w:b w:val="1"/>
                <w:bCs w:val="1"/>
                <w:color w:val="auto"/>
              </w:rPr>
              <w:t>(In CHF thousands)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7320" w:type="dxa"/>
            <w:vAlign w:val="bottom"/>
          </w:tcPr>
          <w:p>
            <w:pPr>
              <w:spacing w:after="0"/>
              <w:rPr>
                <w:sz w:val="24"/>
                <w:szCs w:val="24"/>
                <w:color w:val="auto"/>
              </w:rPr>
            </w:pPr>
          </w:p>
        </w:tc>
        <w:tc>
          <w:tcPr>
            <w:tcW w:w="2700" w:type="dxa"/>
            <w:vAlign w:val="bottom"/>
            <w:gridSpan w:val="4"/>
          </w:tcPr>
          <w:p>
            <w:pPr>
              <w:jc w:val="center"/>
              <w:ind w:left="103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Income/(loss) for the period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Items that may be reclassified to income or loss in subsequent periods (net of tax):</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Items that will not be reclassified to income or loss in subsequent periods (net of tax):</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Re-measurement gains/(losses) on defined-benefit plans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(1,304)</w:t>
            </w:r>
          </w:p>
        </w:tc>
      </w:tr>
      <w:tr>
        <w:trPr>
          <w:trHeight w:val="20"/>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net of tax</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1" w:name="page12"/>
    <w:bookmarkEnd w:id="11"/>
    <w:p>
      <w:pPr>
        <w:ind w:left="2800" w:right="2800" w:firstLine="47"/>
        <w:spacing w:after="0" w:line="335" w:lineRule="auto"/>
        <w:rPr>
          <w:sz w:val="20"/>
          <w:szCs w:val="20"/>
          <w:color w:val="auto"/>
        </w:rPr>
      </w:pPr>
      <w:r>
        <w:rPr>
          <w:rFonts w:ascii="Arial" w:cs="Arial" w:eastAsia="Arial" w:hAnsi="Arial"/>
          <w:sz w:val="19"/>
          <w:szCs w:val="19"/>
          <w:b w:val="1"/>
          <w:bCs w:val="1"/>
          <w:color w:val="auto"/>
        </w:rPr>
        <w:t>Reconciliation of income/(loss) to adjusted income/(loss) and earnings/(loss) per share to adjusted earnings/(loss)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144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Income/(loss)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(72,996)</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(61,921)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Non-cash share-based payments</w:t>
            </w:r>
            <w:r>
              <w:rPr>
                <w:rFonts w:ascii="Arial" w:cs="Arial" w:eastAsia="Arial" w:hAnsi="Arial"/>
                <w:sz w:val="25"/>
                <w:szCs w:val="25"/>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7320" w:type="dxa"/>
            <w:vAlign w:val="bottom"/>
            <w:gridSpan w:val="2"/>
          </w:tcPr>
          <w:p>
            <w:pPr>
              <w:ind w:left="160"/>
              <w:spacing w:after="0" w:line="216" w:lineRule="exact"/>
              <w:rPr>
                <w:sz w:val="20"/>
                <w:szCs w:val="20"/>
                <w:color w:val="auto"/>
              </w:rPr>
            </w:pPr>
            <w:r>
              <w:rPr>
                <w:rFonts w:ascii="Arial" w:cs="Arial" w:eastAsia="Arial" w:hAnsi="Arial"/>
                <w:sz w:val="16"/>
                <w:szCs w:val="16"/>
                <w:color w:val="auto"/>
              </w:rPr>
              <w:t>Foreign currency (gains)/losses</w:t>
            </w:r>
            <w:r>
              <w:rPr>
                <w:rFonts w:ascii="Arial" w:cs="Arial" w:eastAsia="Arial" w:hAnsi="Arial"/>
                <w:sz w:val="25"/>
                <w:szCs w:val="25"/>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73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Change in fair value of derivative financial assets</w:t>
            </w:r>
            <w:r>
              <w:rPr>
                <w:rFonts w:ascii="Arial" w:cs="Arial" w:eastAsia="Arial" w:hAnsi="Arial"/>
                <w:sz w:val="25"/>
                <w:szCs w:val="25"/>
                <w:color w:val="auto"/>
                <w:vertAlign w:val="superscript"/>
              </w:rPr>
              <w:t>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6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5"/>
                <w:szCs w:val="25"/>
                <w:color w:val="auto"/>
                <w:vertAlign w:val="superscript"/>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Effective interest expenses</w:t>
            </w:r>
            <w:r>
              <w:rPr>
                <w:rFonts w:ascii="Arial" w:cs="Arial" w:eastAsia="Arial" w:hAnsi="Arial"/>
                <w:sz w:val="25"/>
                <w:szCs w:val="25"/>
                <w:color w:val="auto"/>
                <w:vertAlign w:val="superscript"/>
              </w:rPr>
              <w:t>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r>
      <w:tr>
        <w:trPr>
          <w:trHeight w:val="223"/>
        </w:trPr>
        <w:tc>
          <w:tcPr>
            <w:tcW w:w="7320" w:type="dxa"/>
            <w:vAlign w:val="bottom"/>
            <w:gridSpan w:val="2"/>
          </w:tcPr>
          <w:p>
            <w:pPr>
              <w:ind w:left="160"/>
              <w:spacing w:after="0" w:line="216" w:lineRule="exact"/>
              <w:rPr>
                <w:sz w:val="20"/>
                <w:szCs w:val="20"/>
                <w:color w:val="auto"/>
              </w:rPr>
            </w:pPr>
            <w:r>
              <w:rPr>
                <w:rFonts w:ascii="Arial" w:cs="Arial" w:eastAsia="Arial" w:hAnsi="Arial"/>
                <w:sz w:val="16"/>
                <w:szCs w:val="16"/>
                <w:color w:val="auto"/>
              </w:rPr>
              <w:t>Change in fair value of conversion feature</w:t>
            </w:r>
            <w:r>
              <w:rPr>
                <w:rFonts w:ascii="Arial" w:cs="Arial" w:eastAsia="Arial" w:hAnsi="Arial"/>
                <w:sz w:val="25"/>
                <w:szCs w:val="25"/>
                <w:color w:val="auto"/>
                <w:vertAlign w:val="superscript"/>
              </w:rPr>
              <w:t>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(4,542)</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income/(loss)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(74,115)</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(57,130)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Earnings/(loss) per share – basic</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Earnings/(loss) per share –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(0.97)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 to earnings/(loss) per share – basic</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Adjustment to earnings/(loss) per share –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earnings/(loss) per share – basic</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(0.99)</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earnings/(loss) per share –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adjusted loss per share – basic</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74,951,833</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71,900,212</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70,603,611</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Weighted-average number of shares used to compute adjusted loss per share – diluted</w:t>
            </w:r>
          </w:p>
        </w:tc>
        <w:tc>
          <w:tcPr>
            <w:tcW w:w="1140" w:type="dxa"/>
            <w:vAlign w:val="bottom"/>
          </w:tcPr>
          <w:p>
            <w:pPr>
              <w:jc w:val="right"/>
              <w:spacing w:after="0"/>
              <w:rPr>
                <w:sz w:val="20"/>
                <w:szCs w:val="20"/>
                <w:color w:val="auto"/>
              </w:rPr>
            </w:pPr>
            <w:r>
              <w:rPr>
                <w:rFonts w:ascii="Arial" w:cs="Arial" w:eastAsia="Arial" w:hAnsi="Arial"/>
                <w:sz w:val="18"/>
                <w:szCs w:val="18"/>
                <w:color w:val="auto"/>
              </w:rPr>
              <w:t>74,951,833</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71,900,212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71,103,341</w:t>
            </w:r>
          </w:p>
        </w:tc>
      </w:tr>
    </w:tbl>
    <w:p>
      <w:pPr>
        <w:spacing w:after="0" w:line="201" w:lineRule="exact"/>
        <w:rPr>
          <w:sz w:val="20"/>
          <w:szCs w:val="20"/>
          <w:color w:val="auto"/>
        </w:rPr>
      </w:pPr>
    </w:p>
    <w:p>
      <w:pPr>
        <w:jc w:val="both"/>
        <w:spacing w:after="0" w:line="196" w:lineRule="auto"/>
        <w:rPr>
          <w:sz w:val="20"/>
          <w:szCs w:val="20"/>
          <w:color w:val="auto"/>
        </w:rPr>
      </w:pPr>
      <w:r>
        <w:rPr>
          <w:rFonts w:ascii="Arial" w:cs="Arial" w:eastAsia="Arial" w:hAnsi="Arial"/>
          <w:sz w:val="35"/>
          <w:szCs w:val="35"/>
          <w:color w:val="auto"/>
          <w:vertAlign w:val="superscript"/>
        </w:rPr>
        <w:t>1</w:t>
      </w:r>
      <w:r>
        <w:rPr>
          <w:rFonts w:ascii="Arial" w:cs="Arial" w:eastAsia="Arial" w:hAnsi="Arial"/>
          <w:sz w:val="22"/>
          <w:szCs w:val="22"/>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3" w:lineRule="exact"/>
        <w:rPr>
          <w:sz w:val="20"/>
          <w:szCs w:val="20"/>
          <w:color w:val="auto"/>
        </w:rPr>
      </w:pPr>
    </w:p>
    <w:p>
      <w:pPr>
        <w:jc w:val="both"/>
        <w:spacing w:after="0" w:line="184" w:lineRule="auto"/>
        <w:rPr>
          <w:sz w:val="20"/>
          <w:szCs w:val="20"/>
          <w:color w:val="auto"/>
        </w:rPr>
      </w:pPr>
      <w:r>
        <w:rPr>
          <w:rFonts w:ascii="Arial" w:cs="Arial" w:eastAsia="Arial" w:hAnsi="Arial"/>
          <w:sz w:val="34"/>
          <w:szCs w:val="34"/>
          <w:color w:val="auto"/>
          <w:vertAlign w:val="superscript"/>
        </w:rPr>
        <w:t>2</w:t>
      </w:r>
      <w:r>
        <w:rPr>
          <w:rFonts w:ascii="Arial" w:cs="Arial" w:eastAsia="Arial" w:hAnsi="Arial"/>
          <w:sz w:val="21"/>
          <w:szCs w:val="21"/>
          <w:color w:val="auto"/>
        </w:rPr>
        <w:t>Reflects foreign currency re-measurement gains and losses for the period, predominantly impacted by the change in the exchange rate between the US Dollar and the Swiss Franc.</w:t>
      </w:r>
    </w:p>
    <w:p>
      <w:pPr>
        <w:spacing w:after="0" w:line="1" w:lineRule="exact"/>
        <w:rPr>
          <w:sz w:val="20"/>
          <w:szCs w:val="20"/>
          <w:color w:val="auto"/>
        </w:rPr>
      </w:pPr>
    </w:p>
    <w:p>
      <w:pPr>
        <w:ind w:firstLine="8"/>
        <w:spacing w:after="0" w:line="184" w:lineRule="auto"/>
        <w:tabs>
          <w:tab w:leader="none" w:pos="144" w:val="left"/>
        </w:tabs>
        <w:numPr>
          <w:ilvl w:val="0"/>
          <w:numId w:val="14"/>
        </w:numPr>
        <w:rPr>
          <w:rFonts w:ascii="Arial" w:cs="Arial" w:eastAsia="Arial" w:hAnsi="Arial"/>
          <w:sz w:val="35"/>
          <w:szCs w:val="35"/>
          <w:color w:val="auto"/>
          <w:vertAlign w:val="superscript"/>
        </w:rPr>
      </w:pPr>
      <w:r>
        <w:rPr>
          <w:rFonts w:ascii="Arial" w:cs="Arial" w:eastAsia="Arial" w:hAnsi="Arial"/>
          <w:sz w:val="21"/>
          <w:szCs w:val="21"/>
          <w:color w:val="auto"/>
        </w:rPr>
        <w:t>Reflects the change in the fair value of the derivative financial instruments associated with two convertible notes sold to certain Affiris affiliated entities.</w:t>
      </w:r>
    </w:p>
    <w:p>
      <w:pPr>
        <w:spacing w:after="0" w:line="181" w:lineRule="auto"/>
        <w:rPr>
          <w:rFonts w:ascii="Arial" w:cs="Arial" w:eastAsia="Arial" w:hAnsi="Arial"/>
          <w:sz w:val="35"/>
          <w:szCs w:val="35"/>
          <w:color w:val="auto"/>
          <w:vertAlign w:val="superscript"/>
        </w:rPr>
      </w:pPr>
      <w:r>
        <w:rPr>
          <w:rFonts w:ascii="Arial" w:cs="Arial" w:eastAsia="Arial" w:hAnsi="Arial"/>
          <w:sz w:val="28"/>
          <w:szCs w:val="28"/>
          <w:color w:val="auto"/>
          <w:vertAlign w:val="superscript"/>
        </w:rPr>
        <w:t>4</w:t>
      </w:r>
      <w:r>
        <w:rPr>
          <w:rFonts w:ascii="Arial" w:cs="Arial" w:eastAsia="Arial" w:hAnsi="Arial"/>
          <w:sz w:val="18"/>
          <w:szCs w:val="18"/>
          <w:color w:val="auto"/>
        </w:rPr>
        <w:t>Reflects transaction costs associated with our asset acquisition for a portfolio of therapeutics targeting alpha-synuclein.</w:t>
      </w:r>
    </w:p>
    <w:p>
      <w:pPr>
        <w:spacing w:after="0" w:line="184" w:lineRule="auto"/>
        <w:rPr>
          <w:rFonts w:ascii="Arial" w:cs="Arial" w:eastAsia="Arial" w:hAnsi="Arial"/>
          <w:sz w:val="35"/>
          <w:szCs w:val="35"/>
          <w:color w:val="auto"/>
          <w:vertAlign w:val="superscript"/>
        </w:rPr>
      </w:pPr>
      <w:r>
        <w:rPr>
          <w:rFonts w:ascii="Arial" w:cs="Arial" w:eastAsia="Arial" w:hAnsi="Arial"/>
          <w:sz w:val="34"/>
          <w:szCs w:val="34"/>
          <w:color w:val="auto"/>
          <w:vertAlign w:val="superscript"/>
        </w:rPr>
        <w:t>5</w:t>
      </w:r>
      <w:r>
        <w:rPr>
          <w:rFonts w:ascii="Arial" w:cs="Arial" w:eastAsia="Arial" w:hAnsi="Arial"/>
          <w:sz w:val="21"/>
          <w:szCs w:val="21"/>
          <w:color w:val="auto"/>
        </w:rPr>
        <w:t>Effective interest expense for the period relates to the accretion of the Company’s convertible loan in accordance with the effective interest method.</w:t>
      </w:r>
    </w:p>
    <w:p>
      <w:pPr>
        <w:spacing w:after="0" w:line="1" w:lineRule="exact"/>
        <w:rPr>
          <w:rFonts w:ascii="Arial" w:cs="Arial" w:eastAsia="Arial" w:hAnsi="Arial"/>
          <w:sz w:val="35"/>
          <w:szCs w:val="35"/>
          <w:color w:val="auto"/>
          <w:vertAlign w:val="superscript"/>
        </w:rPr>
      </w:pPr>
    </w:p>
    <w:p>
      <w:pPr>
        <w:spacing w:after="0"/>
        <w:rPr>
          <w:rFonts w:ascii="Arial" w:cs="Arial" w:eastAsia="Arial" w:hAnsi="Arial"/>
          <w:sz w:val="35"/>
          <w:szCs w:val="35"/>
          <w:color w:val="auto"/>
          <w:vertAlign w:val="superscript"/>
        </w:rPr>
      </w:pPr>
      <w:r>
        <w:rPr>
          <w:rFonts w:ascii="Arial" w:cs="Arial" w:eastAsia="Arial" w:hAnsi="Arial"/>
          <w:sz w:val="35"/>
          <w:szCs w:val="35"/>
          <w:color w:val="auto"/>
          <w:vertAlign w:val="superscript"/>
        </w:rPr>
        <w:t>6</w:t>
      </w:r>
      <w:r>
        <w:rPr>
          <w:rFonts w:ascii="Arial" w:cs="Arial" w:eastAsia="Arial" w:hAnsi="Arial"/>
          <w:sz w:val="22"/>
          <w:szCs w:val="22"/>
          <w:color w:val="auto"/>
        </w:rPr>
        <w:t>Change in fair value of conversion feature that is bifurcated from the convertible loan host debt with Lilly.</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Adjustments for the years ended December 31, 2021, 2020 and 2019 increased net loss by CHF 1.1 million, decreased net loss by CHF 4.8 million and increased net income by CHF 0.5 million, respectively. The Company recorded share-based compensation expenses of CHF 4.1 million, CHF 4.1 million and CHF 2.8 million for the years ended December 31, 2021, 2020 and 2019, respectively. There were foreign currency re-measurement losses of CHF 0.1 million, CHF 0.7 million and CHF 0.8 million for the years ended December 31, 2021, 2020 and 2019, respectively, predominantly related to the cash balance of the Company as a result of fluctuations of the US Dollar against the Swiss Franc. The Company recognized a CHF 6.5 million gain on the change in fair value of the derivative financial assets associated with two convertible notes with Affiris affiliated entities in 2021. This gain did not arise in the comparable prior periods. The Company also incurred CHF 1.1 million in transaction costs associated with its acquisition of a portfolio of therapeutics targeting alpha-synuclein, which did not arise in the comparable prior periods. Finally, related to the Company’s convertible note settled with Lilly in 2019, we recorded CHF 1.4 million for amortization of effective interest for the year ended December 31, 2019 and recognized a CHF 4.5 million gain for the change in fair value of the liability related to the conversion feature in 2019. There were no comparable expenses or gains in 2021 nor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68"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Audited consolidated financial statements — AC IMMUNE SA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60" w:type="dxa"/>
            <w:vAlign w:val="bottom"/>
            <w:shd w:val="clear" w:color="auto" w:fill="CCEEFF"/>
          </w:tcPr>
          <w:p>
            <w:pPr>
              <w:spacing w:after="0"/>
              <w:rPr>
                <w:sz w:val="18"/>
                <w:szCs w:val="18"/>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Consolidated Balance Sheets as of December 31, 2021 and 2020</w:t>
            </w:r>
          </w:p>
        </w:tc>
        <w:tc>
          <w:tcPr>
            <w:tcW w:w="460" w:type="dxa"/>
            <w:vAlign w:val="bottom"/>
          </w:tcPr>
          <w:p>
            <w:pPr>
              <w:ind w:left="220"/>
              <w:spacing w:after="0"/>
              <w:rPr>
                <w:sz w:val="20"/>
                <w:szCs w:val="20"/>
                <w:color w:val="auto"/>
              </w:rPr>
            </w:pPr>
            <w:r>
              <w:rPr>
                <w:rFonts w:ascii="Arial" w:cs="Arial" w:eastAsia="Arial" w:hAnsi="Arial"/>
                <w:sz w:val="18"/>
                <w:szCs w:val="18"/>
                <w:color w:val="auto"/>
                <w:w w:val="81"/>
              </w:rPr>
              <w:t>F-3</w:t>
            </w:r>
          </w:p>
        </w:tc>
      </w:tr>
      <w:tr>
        <w:trPr>
          <w:trHeight w:val="202"/>
        </w:trPr>
        <w:tc>
          <w:tcPr>
            <w:tcW w:w="10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Consolidated Statements of Income/(Loss) and Consolidated Statements of Comprehensive Income/(Loss) for the fiscal years ended December 31,</w:t>
            </w:r>
          </w:p>
        </w:tc>
        <w:tc>
          <w:tcPr>
            <w:tcW w:w="4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81"/>
              </w:rPr>
              <w:t>F-4</w:t>
            </w:r>
          </w:p>
        </w:tc>
      </w:tr>
      <w:tr>
        <w:trPr>
          <w:trHeight w:val="230"/>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2021, 2020 and 2019</w:t>
            </w:r>
          </w:p>
        </w:tc>
        <w:tc>
          <w:tcPr>
            <w:tcW w:w="460" w:type="dxa"/>
            <w:vAlign w:val="bottom"/>
            <w:shd w:val="clear" w:color="auto" w:fill="CCEEFF"/>
          </w:tcPr>
          <w:p>
            <w:pPr>
              <w:spacing w:after="0"/>
              <w:rPr>
                <w:sz w:val="20"/>
                <w:szCs w:val="20"/>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Consolidated Statements of Changes in Equity for the fiscal years ended December 31, 2021, 2020 and 2019</w:t>
            </w:r>
          </w:p>
        </w:tc>
        <w:tc>
          <w:tcPr>
            <w:tcW w:w="460" w:type="dxa"/>
            <w:vAlign w:val="bottom"/>
          </w:tcPr>
          <w:p>
            <w:pPr>
              <w:ind w:left="220"/>
              <w:spacing w:after="0"/>
              <w:rPr>
                <w:sz w:val="20"/>
                <w:szCs w:val="20"/>
                <w:color w:val="auto"/>
              </w:rPr>
            </w:pPr>
            <w:r>
              <w:rPr>
                <w:rFonts w:ascii="Arial" w:cs="Arial" w:eastAsia="Arial" w:hAnsi="Arial"/>
                <w:sz w:val="18"/>
                <w:szCs w:val="18"/>
                <w:color w:val="auto"/>
                <w:w w:val="81"/>
              </w:rPr>
              <w:t>F-5</w:t>
            </w: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fiscal years ended December 31, 2021, 2020 and 2019</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1"/>
              </w:rPr>
              <w:t>F-6</w:t>
            </w:r>
          </w:p>
        </w:tc>
      </w:tr>
      <w:tr>
        <w:trPr>
          <w:trHeight w:val="230"/>
        </w:trPr>
        <w:tc>
          <w:tcPr>
            <w:tcW w:w="1078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460" w:type="dxa"/>
            <w:vAlign w:val="bottom"/>
          </w:tcPr>
          <w:p>
            <w:pPr>
              <w:ind w:left="220"/>
              <w:spacing w:after="0"/>
              <w:rPr>
                <w:sz w:val="20"/>
                <w:szCs w:val="20"/>
                <w:color w:val="auto"/>
              </w:rPr>
            </w:pPr>
            <w:r>
              <w:rPr>
                <w:rFonts w:ascii="Arial" w:cs="Arial" w:eastAsia="Arial" w:hAnsi="Arial"/>
                <w:sz w:val="18"/>
                <w:szCs w:val="18"/>
                <w:color w:val="auto"/>
                <w:w w:val="81"/>
              </w:rPr>
              <w:t>F-7</w:t>
            </w:r>
          </w:p>
        </w:tc>
      </w:tr>
      <w:tr>
        <w:trPr>
          <w:trHeight w:val="411"/>
        </w:trPr>
        <w:tc>
          <w:tcPr>
            <w:tcW w:w="10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AC Immune SA</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Ecublens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Report of the statutory auditor to the General Meeting</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on the consolidated financial statements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1121410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1011555" cy="848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84899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Report of the statutory auditor</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to the General Meeting of AC Immune SA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Ecublens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the audit of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w:t>
      </w:r>
    </w:p>
    <w:p>
      <w:pPr>
        <w:spacing w:after="0" w:line="239"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We have audited the consolidated financial statements of AC Immune SA and its subsidiary (the Group), which comprise the consolidated balance sheets as at 31 December 2021 and the consolidated statements of income/(loss) and consolidated statements of comprehensive income/(loss), consolidated statement of changes in equity and consolidated statements of cash flows for the year then ended, and notes to the consolidated financial statements, including a summary of significant accounting policies.</w:t>
      </w:r>
    </w:p>
    <w:p>
      <w:pPr>
        <w:spacing w:after="0" w:line="214"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In our opinion, the accompanying consolidated financial statements give a true and fair view of the consolidated financial position of the Group as at 31 December 2021 and its consolidated financial performance and its consolidated cash flows for the year then ended in accordance with the International Financial Reporting Standards (IFRS) and comply with Swiss law.</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conducted our audit in accordance with Swiss law, International Standards on Auditing (ISAs) and Swiss Auditing Standards. Our responsibilities under those provisions and standards are further described in the “Auditor’s responsibilities for the audit of the consolidated financial statements” section of our report.</w:t>
      </w:r>
    </w:p>
    <w:p>
      <w:pPr>
        <w:spacing w:after="0" w:line="213"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We are independent of the Group in accordance with the provisions of Swiss law and the requirements of the Swiss audit profession, as well as the International Code of Ethics for Professional Accountants (including International Independence Standards) of the International Ethics Standards Board for Accountants (IESBA Code), and we have fulfilled our other ethical responsibilities in accordance with these requirements. We believe that the audit evidence we have obtained is sufficient and appropriate to provide a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audit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320165" cy="2245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0165" cy="2245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Overall Group materiality: CHF 2,900 thousand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conducted full scope audit procedures on the Swiss entity. Our audit scope addressed over 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Group’s total assets.</w:t>
      </w:r>
    </w:p>
    <w:p>
      <w:pPr>
        <w:spacing w:after="0" w:line="200" w:lineRule="exact"/>
        <w:rPr>
          <w:sz w:val="20"/>
          <w:szCs w:val="20"/>
          <w:color w:val="auto"/>
        </w:rPr>
      </w:pPr>
    </w:p>
    <w:p>
      <w:pPr>
        <w:sectPr>
          <w:pgSz w:w="11900" w:h="16838" w:orient="portrait"/>
          <w:cols w:equalWidth="0" w:num="2">
            <w:col w:w="3240" w:space="720"/>
            <w:col w:w="724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key audit matter the following area of focus has been identified: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Intangible asset -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940"/>
        <w:spacing w:after="0" w:line="277" w:lineRule="auto"/>
        <w:rPr>
          <w:sz w:val="20"/>
          <w:szCs w:val="20"/>
          <w:color w:val="auto"/>
        </w:rPr>
      </w:pPr>
      <w:r>
        <w:rPr>
          <w:rFonts w:ascii="Arial" w:cs="Arial" w:eastAsia="Arial" w:hAnsi="Arial"/>
          <w:sz w:val="18"/>
          <w:szCs w:val="18"/>
          <w:i w:val="1"/>
          <w:iCs w:val="1"/>
          <w:color w:val="auto"/>
        </w:rPr>
        <w:t>PricewaterhouseCoopers SA, avenue C.-F. Ramuz 45, case postale, CH-1001 Lausanne, Switzerland Téléphone: +41 58 792 81 00, Téléfax: +41 58 792 81 10, www.pwc.ch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SA is a member of the global PricewaterhouseCoopers network of firms,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Materiality</w:t>
      </w:r>
    </w:p>
    <w:p>
      <w:pPr>
        <w:spacing w:after="0" w:line="240"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The scope of our audit was influenced by our application of materiality. Our audit opinion aims to provide reasonable assurance that the consolidated financial statements are free from material misstatement. Misstatements may arise due to fraud or error. They are considered material if, individually or in aggregate, they could reasonably be expected to influence the economic decisions of users taken on the basis of the consolidated financial statements.</w:t>
      </w:r>
    </w:p>
    <w:p>
      <w:pPr>
        <w:spacing w:after="0" w:line="201"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Based on our professional judgement, we determined certain quantitative thresholds for materiality, including the overall Group materiality for the consolidated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consolidated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Group materiality</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CHF 2,900 thousand</w:t>
      </w:r>
    </w:p>
    <w:p>
      <w:pPr>
        <w:spacing w:after="0" w:line="207" w:lineRule="exact"/>
        <w:rPr>
          <w:sz w:val="20"/>
          <w:szCs w:val="20"/>
          <w:color w:val="auto"/>
        </w:rPr>
      </w:pPr>
    </w:p>
    <w:p>
      <w:pPr>
        <w:sectPr>
          <w:pgSz w:w="11900" w:h="16838" w:orient="portrait"/>
          <w:cols w:equalWidth="0" w:num="2">
            <w:col w:w="3240" w:space="720"/>
            <w:col w:w="7260"/>
          </w:cols>
          <w:pgMar w:left="320" w:top="112"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applied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Loss before tax</w:t>
      </w:r>
    </w:p>
    <w:p>
      <w:pPr>
        <w:spacing w:after="0" w:line="200" w:lineRule="exact"/>
        <w:rPr>
          <w:sz w:val="20"/>
          <w:szCs w:val="20"/>
          <w:color w:val="auto"/>
        </w:rPr>
      </w:pPr>
    </w:p>
    <w:p>
      <w:pPr>
        <w:sectPr>
          <w:pgSz w:w="11900" w:h="16838" w:orient="portrait"/>
          <w:cols w:equalWidth="0" w:num="2">
            <w:col w:w="3240" w:space="720"/>
            <w:col w:w="7260"/>
          </w:cols>
          <w:pgMar w:left="320" w:top="112" w:right="359" w:bottom="1440" w:gutter="0" w:footer="0" w:header="0"/>
          <w:type w:val="continuous"/>
        </w:sectPr>
      </w:pPr>
    </w:p>
    <w:p>
      <w:pPr>
        <w:spacing w:after="0" w:line="44" w:lineRule="exact"/>
        <w:rPr>
          <w:sz w:val="20"/>
          <w:szCs w:val="20"/>
          <w:color w:val="auto"/>
        </w:rPr>
      </w:pPr>
    </w:p>
    <w:p>
      <w:pPr>
        <w:ind w:right="1040"/>
        <w:spacing w:after="0" w:line="347" w:lineRule="auto"/>
        <w:rPr>
          <w:sz w:val="20"/>
          <w:szCs w:val="20"/>
          <w:color w:val="auto"/>
        </w:rPr>
      </w:pPr>
      <w:r>
        <w:rPr>
          <w:rFonts w:ascii="Arial" w:cs="Arial" w:eastAsia="Arial" w:hAnsi="Arial"/>
          <w:sz w:val="16"/>
          <w:szCs w:val="16"/>
          <w:b w:val="1"/>
          <w:bCs w:val="1"/>
          <w:color w:val="auto"/>
        </w:rPr>
        <w:t>Rationale for the materiality benchmark applied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Based on our analysis and professional judgment we determined loss before tax is the most appropriate benchmark. We chose loss before tax to align our materiality threshold with the common practice in the U.S. for clinical stage life science companies. In addition, in our view, the selected materiality threshold is aligned with investors and Audit &amp; Finance Committee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128270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260"/>
          </w:cols>
          <w:pgMar w:left="320" w:top="112" w:right="359" w:bottom="1440" w:gutter="0" w:footer="0" w:header="0"/>
          <w:type w:val="continuous"/>
        </w:sectPr>
      </w:pPr>
    </w:p>
    <w:p>
      <w:pPr>
        <w:spacing w:after="0" w:line="251" w:lineRule="exact"/>
        <w:rPr>
          <w:sz w:val="20"/>
          <w:szCs w:val="20"/>
          <w:color w:val="auto"/>
        </w:rPr>
      </w:pPr>
    </w:p>
    <w:p>
      <w:pPr>
        <w:jc w:val="both"/>
        <w:ind w:right="60"/>
        <w:spacing w:after="0" w:line="328" w:lineRule="auto"/>
        <w:rPr>
          <w:sz w:val="20"/>
          <w:szCs w:val="20"/>
          <w:color w:val="auto"/>
        </w:rPr>
      </w:pPr>
      <w:r>
        <w:rPr>
          <w:rFonts w:ascii="Arial" w:cs="Arial" w:eastAsia="Arial" w:hAnsi="Arial"/>
          <w:sz w:val="19"/>
          <w:szCs w:val="19"/>
          <w:color w:val="auto"/>
        </w:rPr>
        <w:t>We agreed with the Audit &amp; Finance Committee that we would report to them misstatements above CHF 290 thousand identified during our audit as well as any misstatements below that amount which, in our view, warranted reporting for qualitative reasons.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scope</w:t>
      </w:r>
    </w:p>
    <w:p>
      <w:pPr>
        <w:spacing w:after="0" w:line="239"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We tailored the scope of our audit in order to perform sufficient work to enable us to provide an opinion on the consolidated financial statements as a whole, taking into account the structure of the Group, the accounting processes and controls, and the industry in which the Group operates.</w:t>
      </w:r>
    </w:p>
    <w:p>
      <w:pPr>
        <w:spacing w:after="0" w:line="213" w:lineRule="exact"/>
        <w:rPr>
          <w:sz w:val="20"/>
          <w:szCs w:val="20"/>
          <w:color w:val="auto"/>
        </w:rPr>
      </w:pPr>
    </w:p>
    <w:p>
      <w:pPr>
        <w:jc w:val="both"/>
        <w:ind w:right="260"/>
        <w:spacing w:after="0" w:line="238" w:lineRule="auto"/>
        <w:rPr>
          <w:sz w:val="20"/>
          <w:szCs w:val="20"/>
          <w:color w:val="auto"/>
        </w:rPr>
      </w:pPr>
      <w:r>
        <w:rPr>
          <w:rFonts w:ascii="Arial" w:cs="Arial" w:eastAsia="Arial" w:hAnsi="Arial"/>
          <w:sz w:val="22"/>
          <w:szCs w:val="22"/>
          <w:color w:val="auto"/>
        </w:rPr>
        <w:t>The Group financial statements are a consolidation of 2 reporting entities. We identified 1 reporting entities that, in our view, required an audit of their complete financial information due to their size or risk characteristics. None of the reporting entities excluded from our Group audit scope individually contributed more than 1% to net sales or total assets. Audit procedures were also performed over Group consolidation.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audit matters</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Key audit matters are those matters that, in our professional judgement, were of most significance in our audit of the consolidated financial statements of the current period. These matters were addressed in the context of our audit of the consolidated financial statements as a whole, and in forming our opinion thereon, and we do not provide a separate opinion on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44577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770" cy="3429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Intangible asset -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b w:val="1"/>
          <w:bCs w:val="1"/>
          <w:color w:val="auto"/>
        </w:rPr>
        <w:t>Key audit matter</w:t>
      </w:r>
      <w:r>
        <w:rPr>
          <w:sz w:val="20"/>
          <w:szCs w:val="20"/>
          <w:color w:val="auto"/>
        </w:rPr>
        <w:tab/>
      </w:r>
      <w:r>
        <w:rPr>
          <w:rFonts w:ascii="Arial" w:cs="Arial" w:eastAsia="Arial" w:hAnsi="Arial"/>
          <w:sz w:val="16"/>
          <w:szCs w:val="16"/>
          <w:b w:val="1"/>
          <w:bCs w:val="1"/>
          <w:color w:val="auto"/>
        </w:rPr>
        <w:t>How our audit addressed the key audit matter</w:t>
      </w:r>
    </w:p>
    <w:p>
      <w:pPr>
        <w:sectPr>
          <w:pgSz w:w="11900" w:h="16838" w:orient="portrait"/>
          <w:cols w:equalWidth="0" w:num="1">
            <w:col w:w="11240"/>
          </w:cols>
          <w:pgMar w:left="320" w:top="337" w:right="339" w:bottom="1440" w:gutter="0" w:footer="0" w:header="0"/>
        </w:sectPr>
      </w:pP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described in Notes 6 and 7 to the consolidated financial statements, in Q4 2021, the Company closed its acquisition of an in-process research and development (IPR&amp;D) intangible asset of CHF 50,416 thousand and CHF 4,634 thousand in cash in exchange for 7,106,840 shares of the Company. As the acquisition is in scope of IFRS 2 ‘Share-based Payment’, management measured the fair value of the intangible asset received using a risk-adjusted discounted cash flow method (the “model”). The asset is defined as an intangible asset not yet ready for use. Therefore, in accordance with IAS 36 ‘Impairment of asset’, the IPR&amp;D asset is reviewed at least annually for impairment by assessing the fair value less costs to sell (recoverable amount) and comparing this to the carrying value of the asset. To determine the recoverable amount, management estimated the fair value less costs to sell of the intangible asset, using the same model used at the acquisition date. The significant assumptions used in the model include anticipated research and development costs, anticipated costs of goods and sales and marketing expenditures, probability of achieving clinical and regulatory development milestones in accordance with certain industry benchmarks, general commercialization expectations such as anticipated pricing and uptake, and the discount rate used to discount future cash flows.</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principal considerations for our determination that performing procedures relating to the intangible asset – valuation is a critical audit matter are the significant judgment by management when determining the value of the intangible asset. This in turn led to 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general commercialization expectations such as anticipated pricing and uptake, and the discount rate used to discount future cash flows. In addition, the audit effort involved the use of professionals with specialized skill and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445770"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577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procedures included testing the effectiveness of controls relating to management’s valuation of the intangible asset. These procedures also included, among others, (i) the involvement of professionals with specialized skill and knowledge to assist in developing an independent range of fair values for the intangible asset, (ii) comparing the independent estimate to management’s fair value estimate to evaluate the reasonableness of management’s assumptions and (iii) assessing that assumptions used did not require to be updated at year end for the purpose of the impairment assessment.</w:t>
      </w:r>
    </w:p>
    <w:p>
      <w:pPr>
        <w:spacing w:after="0" w:line="18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Developing the independent estimate involved testing the completeness and accuracy of inputs provided by man-agement and evaluating management’s assumptions based on external market and industry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2606675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052" w:lineRule="exact"/>
        <w:rPr>
          <w:sz w:val="20"/>
          <w:szCs w:val="20"/>
          <w:color w:val="auto"/>
        </w:rPr>
      </w:pPr>
    </w:p>
    <w:p>
      <w:pPr>
        <w:sectPr>
          <w:pgSz w:w="11900" w:h="16838" w:orient="portrait"/>
          <w:cols w:equalWidth="0" w:num="2">
            <w:col w:w="5380" w:space="460"/>
            <w:col w:w="5400"/>
          </w:cols>
          <w:pgMar w:left="320" w:top="337"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4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 information in the annual report</w:t>
      </w:r>
    </w:p>
    <w:p>
      <w:pPr>
        <w:spacing w:after="0" w:line="249" w:lineRule="exact"/>
        <w:rPr>
          <w:sz w:val="20"/>
          <w:szCs w:val="20"/>
          <w:color w:val="auto"/>
        </w:rPr>
      </w:pPr>
    </w:p>
    <w:p>
      <w:pPr>
        <w:ind w:right="360"/>
        <w:spacing w:after="0" w:line="257" w:lineRule="auto"/>
        <w:rPr>
          <w:sz w:val="20"/>
          <w:szCs w:val="20"/>
          <w:color w:val="auto"/>
        </w:rPr>
      </w:pPr>
      <w:r>
        <w:rPr>
          <w:rFonts w:ascii="Arial" w:cs="Arial" w:eastAsia="Arial" w:hAnsi="Arial"/>
          <w:sz w:val="21"/>
          <w:szCs w:val="21"/>
          <w:color w:val="auto"/>
        </w:rPr>
        <w:t>The Board of Directors is responsible for the other information in the annual report. The other information comprises all information included in the annual report, but does not include the consolidated financial statements, the stand-alone financial statements and the compensation report of AC Immune SA and our auditor’s reports thereon.</w:t>
      </w:r>
    </w:p>
    <w:p>
      <w:pPr>
        <w:spacing w:after="0" w:line="196"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Our opinion on the consolidated financial statements does not cover the other information in the annual report and we do not express any form of assurance conclusion thereon.</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In connection with our audit of the consolidated financial statements, our responsibility is to read the other information in the annual report and, in doing so, consider whether the other information is materially inconsistent with the consolidated financial statements or our knowledge obtained in the audit, or otherwise appears to be materially misstated. If, based on the work we have performed, we conclude that there is a material misstatement of this other information, we are required to report that fact. We have nothing to report in this regard.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Responsibilities of the Board of Directors for the consolidated financial statements</w:t>
      </w:r>
    </w:p>
    <w:p>
      <w:pPr>
        <w:spacing w:after="0" w:line="239"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Board of Directors is responsible for the preparation of the consolidated financial statements that give a true and fair view in accordance with IFRS and the provisions of Swiss law, and for such internal control as the Board of Directors determines is necessary to enable the preparation of consolidated financial statements that are free from material misstatement, whether due to fraud or error.</w:t>
      </w:r>
    </w:p>
    <w:p>
      <w:pPr>
        <w:spacing w:after="0" w:line="212" w:lineRule="exact"/>
        <w:rPr>
          <w:sz w:val="20"/>
          <w:szCs w:val="20"/>
          <w:color w:val="auto"/>
        </w:rPr>
      </w:pPr>
    </w:p>
    <w:p>
      <w:pPr>
        <w:ind w:right="500"/>
        <w:spacing w:after="0" w:line="238" w:lineRule="auto"/>
        <w:rPr>
          <w:sz w:val="20"/>
          <w:szCs w:val="20"/>
          <w:color w:val="auto"/>
        </w:rPr>
      </w:pPr>
      <w:r>
        <w:rPr>
          <w:rFonts w:ascii="Arial" w:cs="Arial" w:eastAsia="Arial" w:hAnsi="Arial"/>
          <w:sz w:val="22"/>
          <w:szCs w:val="22"/>
          <w:color w:val="auto"/>
        </w:rPr>
        <w:t>In preparing the consolidated financial statements, the Board of Directors is responsible for assessing the Group’s ability to continue as a going concern, disclosing, as applicable, matters related to going concern and using the going concern basis of accounting unless the Board of Directors either intends to liquidate the Group or to cease operations, or has no realistic alternative but to do so.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Auditor’s responsibilities for the audit of the consolidated financial statements</w:t>
      </w:r>
    </w:p>
    <w:p>
      <w:pPr>
        <w:spacing w:after="0" w:line="239"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ISAs and Swiss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77"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As part of an audit in accordance with Swiss law, ISAs and Swiss Auditing Standards, we exercise professional judgment and maintain professional scepticism throughout the audit. We also:</w:t>
      </w:r>
    </w:p>
    <w:p>
      <w:pPr>
        <w:spacing w:after="0" w:line="209" w:lineRule="exact"/>
        <w:rPr>
          <w:sz w:val="20"/>
          <w:szCs w:val="20"/>
          <w:color w:val="auto"/>
        </w:rPr>
      </w:pPr>
    </w:p>
    <w:p>
      <w:pPr>
        <w:ind w:left="220" w:right="240" w:hanging="212"/>
        <w:spacing w:after="0" w:line="25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213" w:lineRule="exact"/>
        <w:rPr>
          <w:rFonts w:ascii="Arial" w:cs="Arial" w:eastAsia="Arial" w:hAnsi="Arial"/>
          <w:sz w:val="18"/>
          <w:szCs w:val="18"/>
          <w:color w:val="auto"/>
        </w:rPr>
      </w:pPr>
    </w:p>
    <w:p>
      <w:pPr>
        <w:ind w:left="220" w:right="80" w:hanging="212"/>
        <w:spacing w:after="0" w:line="27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the Group’s internal control.</w:t>
      </w:r>
    </w:p>
    <w:p>
      <w:pPr>
        <w:spacing w:after="0" w:line="197"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w:t>
      </w:r>
    </w:p>
    <w:p>
      <w:pPr>
        <w:spacing w:after="0" w:line="252" w:lineRule="exact"/>
        <w:rPr>
          <w:rFonts w:ascii="Arial" w:cs="Arial" w:eastAsia="Arial" w:hAnsi="Arial"/>
          <w:sz w:val="18"/>
          <w:szCs w:val="18"/>
          <w:color w:val="auto"/>
        </w:rPr>
      </w:pPr>
    </w:p>
    <w:p>
      <w:pPr>
        <w:ind w:left="220" w:right="20" w:hanging="212"/>
        <w:spacing w:after="0" w:line="296" w:lineRule="auto"/>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Conclude on the appropriateness of the Board of Directors’ use of the going concern basis of accounting and, based on the audit evidence obtained, whether a material uncertainty exists related to events or conditions that may cast significant doubt on the Group’s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w:t>
      </w:r>
    </w:p>
    <w:p>
      <w:pPr>
        <w:spacing w:after="0" w:line="188" w:lineRule="exact"/>
        <w:rPr>
          <w:rFonts w:ascii="Arial" w:cs="Arial" w:eastAsia="Arial" w:hAnsi="Arial"/>
          <w:sz w:val="16"/>
          <w:szCs w:val="16"/>
          <w:color w:val="auto"/>
        </w:rPr>
      </w:pPr>
    </w:p>
    <w:p>
      <w:pPr>
        <w:ind w:left="220" w:right="100" w:hanging="212"/>
        <w:spacing w:after="0" w:line="27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197" w:lineRule="exact"/>
        <w:rPr>
          <w:rFonts w:ascii="Arial" w:cs="Arial" w:eastAsia="Arial" w:hAnsi="Arial"/>
          <w:sz w:val="18"/>
          <w:szCs w:val="18"/>
          <w:color w:val="auto"/>
        </w:rPr>
      </w:pPr>
    </w:p>
    <w:p>
      <w:pPr>
        <w:ind w:left="220" w:hanging="212"/>
        <w:spacing w:after="0" w:line="263"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sufficient appropriate audit evidence regarding the financial information of the entities or business activities within the Group to express an opinion on the consolidated financial statements. We are responsible for the direction, supervision and performance of the Group audit. We remain solely responsible for our audit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44577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5770" cy="3429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5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91" w:gutter="0" w:footer="0" w:header="0"/>
        </w:sectPr>
      </w:pPr>
    </w:p>
    <w:bookmarkStart w:id="18" w:name="page19"/>
    <w:bookmarkEnd w:id="18"/>
    <w:p>
      <w:pPr>
        <w:ind w:right="80"/>
        <w:spacing w:after="0"/>
        <w:rPr>
          <w:sz w:val="20"/>
          <w:szCs w:val="20"/>
          <w:color w:val="auto"/>
        </w:rPr>
      </w:pPr>
      <w:r>
        <w:rPr>
          <w:rFonts w:ascii="Arial" w:cs="Arial" w:eastAsia="Arial" w:hAnsi="Arial"/>
          <w:sz w:val="22"/>
          <w:szCs w:val="22"/>
          <w:color w:val="auto"/>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spacing w:after="0" w:line="214" w:lineRule="exact"/>
        <w:rPr>
          <w:sz w:val="20"/>
          <w:szCs w:val="20"/>
          <w:color w:val="auto"/>
        </w:rPr>
      </w:pPr>
    </w:p>
    <w:p>
      <w:pPr>
        <w:jc w:val="both"/>
        <w:ind w:right="340"/>
        <w:spacing w:after="0" w:line="297" w:lineRule="auto"/>
        <w:rPr>
          <w:sz w:val="20"/>
          <w:szCs w:val="20"/>
          <w:color w:val="auto"/>
        </w:rPr>
      </w:pPr>
      <w:r>
        <w:rPr>
          <w:rFonts w:ascii="Arial" w:cs="Arial" w:eastAsia="Arial" w:hAnsi="Arial"/>
          <w:sz w:val="19"/>
          <w:szCs w:val="19"/>
          <w:color w:val="auto"/>
        </w:rPr>
        <w:t>We also provide the Board of Directors or its relevant committee with a statement that we have complied with relevant ethical requirements regarding independence, and communicate with them all relationships and other matters that may reasonably be thought to bear on our independence, and where applicable, actions taken to eliminate threats or safeguards applied.</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From the matters communicated with the Board of Directors or its relevant committee,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other legal and regulatory requirements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article 728a paragraph 1 item 3 CO and Swiss Auditing Standard 890, we confirm that an internal control system exists which has been designed for the preparation of consolidated financial statements according to the instructions of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recommend that the consolidated financial statements submitted to you be approved.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SA</w:t>
      </w:r>
    </w:p>
    <w:p>
      <w:pPr>
        <w:sectPr>
          <w:pgSz w:w="11900" w:h="16838" w:orient="portrait"/>
          <w:cols w:equalWidth="0" w:num="1">
            <w:col w:w="11240"/>
          </w:cols>
          <w:pgMar w:left="320" w:top="118" w:right="3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Michael Foley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Auditor in charge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Justin Coppey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393" w:lineRule="exact"/>
        <w:rPr>
          <w:sz w:val="20"/>
          <w:szCs w:val="20"/>
          <w:color w:val="auto"/>
        </w:rPr>
      </w:pPr>
    </w:p>
    <w:p>
      <w:pPr>
        <w:sectPr>
          <w:pgSz w:w="11900" w:h="16838" w:orient="portrait"/>
          <w:cols w:equalWidth="0" w:num="2">
            <w:col w:w="3680" w:space="720"/>
            <w:col w:w="6840"/>
          </w:cols>
          <w:pgMar w:left="320" w:top="118"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Lausanne, 22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44577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5770" cy="3429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6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Consolidated Financial Statements (IFRS)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 Immune SA</w:t>
      </w:r>
    </w:p>
    <w:p>
      <w:pPr>
        <w:spacing w:after="0" w:line="230" w:lineRule="auto"/>
        <w:rPr>
          <w:sz w:val="20"/>
          <w:szCs w:val="20"/>
          <w:color w:val="auto"/>
        </w:rPr>
      </w:pPr>
      <w:r>
        <w:rPr>
          <w:rFonts w:ascii="Arial" w:cs="Arial" w:eastAsia="Arial" w:hAnsi="Arial"/>
          <w:sz w:val="22"/>
          <w:szCs w:val="22"/>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CHF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102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Note</w:t>
            </w:r>
          </w:p>
        </w:tc>
        <w:tc>
          <w:tcPr>
            <w:tcW w:w="134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6/7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Long-term financial assets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Accrued income</w:t>
            </w: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1"/>
              </w:rPr>
              <w:t>9/13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receivables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Short-term financial assets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8</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202,634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231,767</w:t>
            </w:r>
          </w:p>
        </w:tc>
      </w:tr>
      <w:tr>
        <w:trPr>
          <w:trHeight w:val="21"/>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261,443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Share premium</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431,251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346,890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shares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11</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Accumulated losses</w:t>
            </w:r>
          </w:p>
        </w:tc>
        <w:tc>
          <w:tcPr>
            <w:tcW w:w="114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(200,942)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(132,850)</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1,780</w:t>
            </w: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employee defined benefit liabilities</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17</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9,438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9,244</w:t>
            </w:r>
          </w:p>
        </w:tc>
      </w:tr>
      <w:tr>
        <w:trPr>
          <w:trHeight w:val="21"/>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and other payables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16,736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11,085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Short-term lease liabilities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29,464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23,262</w:t>
            </w: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261,443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AC Immune SA</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Income/(Loss)</w:t>
      </w: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 CHF thousands, except for per-share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For the Years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Note</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revenue</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13</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110,456</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15,431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110,456</w:t>
            </w:r>
          </w:p>
        </w:tc>
      </w:tr>
      <w:tr>
        <w:trPr>
          <w:trHeight w:val="21"/>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&amp; development expenses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(62,282)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(50,432)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&amp; administrative expenses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14</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(17,910)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(18,557)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(16,058)</w:t>
            </w: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income/(expense)</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13.2</w:t>
            </w:r>
          </w:p>
        </w:tc>
        <w:tc>
          <w:tcPr>
            <w:tcW w:w="2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(79,010)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(76,691)</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(65,920)</w:t>
            </w:r>
          </w:p>
        </w:tc>
      </w:tr>
      <w:tr>
        <w:trPr>
          <w:trHeight w:val="210"/>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(79,010)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Financial income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6,485</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expense</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conversion feature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14</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differences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Finance result, net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6,017</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1"/>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before tax</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16</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Income/(loss) for the period</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(72,996)</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Earnings/(loss) per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income/(loss) for the period attributable to equity holders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(0.97)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 income/(loss) for the period attributable to equity holders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20</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(0.97)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r>
        <w:trPr>
          <w:trHeight w:val="444"/>
        </w:trPr>
        <w:tc>
          <w:tcPr>
            <w:tcW w:w="5980" w:type="dxa"/>
            <w:vAlign w:val="bottom"/>
          </w:tcPr>
          <w:p>
            <w:pPr>
              <w:spacing w:after="0"/>
              <w:rPr>
                <w:sz w:val="20"/>
                <w:szCs w:val="20"/>
                <w:color w:val="auto"/>
              </w:rPr>
            </w:pPr>
            <w:r>
              <w:rPr>
                <w:rFonts w:ascii="Arial" w:cs="Arial" w:eastAsia="Arial" w:hAnsi="Arial"/>
                <w:sz w:val="22"/>
                <w:szCs w:val="22"/>
                <w:b w:val="1"/>
                <w:bCs w:val="1"/>
                <w:color w:val="auto"/>
                <w:w w:val="96"/>
              </w:rPr>
              <w:t>Consolidated Statements of Comprehensive Income/(Loss)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5980" w:type="dxa"/>
            <w:vAlign w:val="bottom"/>
          </w:tcPr>
          <w:p>
            <w:pPr>
              <w:spacing w:after="0"/>
              <w:rPr>
                <w:sz w:val="20"/>
                <w:szCs w:val="20"/>
                <w:color w:val="auto"/>
              </w:rPr>
            </w:pPr>
            <w:r>
              <w:rPr>
                <w:rFonts w:ascii="Arial" w:cs="Arial" w:eastAsia="Arial" w:hAnsi="Arial"/>
                <w:sz w:val="22"/>
                <w:szCs w:val="22"/>
                <w:b w:val="1"/>
                <w:bCs w:val="1"/>
                <w:color w:val="auto"/>
              </w:rPr>
              <w:t>(In CHF thousands)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jc w:val="center"/>
              <w:ind w:left="830"/>
              <w:spacing w:after="0"/>
              <w:rPr>
                <w:sz w:val="20"/>
                <w:szCs w:val="20"/>
                <w:color w:val="auto"/>
              </w:rPr>
            </w:pPr>
            <w:r>
              <w:rPr>
                <w:rFonts w:ascii="Arial" w:cs="Arial" w:eastAsia="Arial" w:hAnsi="Arial"/>
                <w:sz w:val="18"/>
                <w:szCs w:val="18"/>
                <w:b w:val="1"/>
                <w:bCs w:val="1"/>
                <w:color w:val="auto"/>
                <w:w w:val="90"/>
              </w:rPr>
              <w:t>For the Years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Note</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Income/(loss) for the period</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(72,996)</w:t>
            </w:r>
          </w:p>
        </w:tc>
        <w:tc>
          <w:tcPr>
            <w:tcW w:w="2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6"/>
              </w:rPr>
              <w:t>Items that may be reclassified to income or loss in subsequent periods (net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tax):</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Items that will not be reclassified to income or loss in subsequent periods (net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tax):</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Re-measurement gains/(losses) on defined-benefit plans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17</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(1,304)</w:t>
            </w:r>
          </w:p>
        </w:tc>
      </w:tr>
      <w:tr>
        <w:trPr>
          <w:trHeight w:val="21"/>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net of tax</w:t>
            </w: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AC Immune SA</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Equity</w:t>
      </w:r>
    </w:p>
    <w:p>
      <w:pPr>
        <w:spacing w:after="0"/>
        <w:rPr>
          <w:sz w:val="20"/>
          <w:szCs w:val="20"/>
          <w:color w:val="auto"/>
        </w:rPr>
      </w:pPr>
      <w:r>
        <w:rPr>
          <w:rFonts w:ascii="Arial" w:cs="Arial" w:eastAsia="Arial" w:hAnsi="Arial"/>
          <w:sz w:val="22"/>
          <w:szCs w:val="22"/>
          <w:b w:val="1"/>
          <w:bCs w:val="1"/>
          <w:color w:val="auto"/>
        </w:rPr>
        <w:t>(In CHF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Treasury</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2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premium</w:t>
            </w: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298,149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(121,877)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177,623</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45,442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45,442</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w:t>
            </w:r>
          </w:p>
        </w:tc>
      </w:tr>
      <w:tr>
        <w:trPr>
          <w:trHeight w:val="27"/>
        </w:trPr>
        <w:tc>
          <w:tcPr>
            <w:tcW w:w="3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44,138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44,138</w:t>
            </w:r>
          </w:p>
        </w:tc>
      </w:tr>
      <w:tr>
        <w:trPr>
          <w:trHeight w:val="21"/>
        </w:trPr>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Share-based payments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6"/>
              </w:rPr>
              <w:t>Issuance of shares, net of transaction costs: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Conversion note agreement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47,705</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47,778</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 awards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340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57"/>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Treasury</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premium</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20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272,442</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2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(61,921)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(61,921)</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r>
      <w:tr>
        <w:trPr>
          <w:trHeight w:val="27"/>
        </w:trPr>
        <w:tc>
          <w:tcPr>
            <w:tcW w:w="3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(61,195)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(61,195)</w:t>
            </w:r>
          </w:p>
        </w:tc>
      </w:tr>
      <w:tr>
        <w:trPr>
          <w:trHeight w:val="20"/>
        </w:trPr>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Share-based payments</w:t>
            </w:r>
          </w:p>
        </w:tc>
        <w:tc>
          <w:tcPr>
            <w:tcW w:w="1200" w:type="dxa"/>
            <w:vAlign w:val="bottom"/>
          </w:tcPr>
          <w:p>
            <w:pPr>
              <w:jc w:val="right"/>
              <w:ind w:right="570"/>
              <w:spacing w:after="0"/>
              <w:rPr>
                <w:sz w:val="20"/>
                <w:szCs w:val="20"/>
                <w:color w:val="auto"/>
              </w:rPr>
            </w:pPr>
            <w:r>
              <w:rPr>
                <w:rFonts w:ascii="Arial" w:cs="Arial" w:eastAsia="Arial" w:hAnsi="Arial"/>
                <w:sz w:val="18"/>
                <w:szCs w:val="18"/>
                <w:color w:val="auto"/>
              </w:rPr>
              <w:t>18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4,088</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7"/>
              </w:rPr>
              <w:t>Issuance of shares, net of transaction costs:</w:t>
            </w:r>
          </w:p>
        </w:tc>
        <w:tc>
          <w:tcPr>
            <w:tcW w:w="12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Held as treasury shares</w:t>
            </w: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 awards</w:t>
            </w:r>
          </w:p>
        </w:tc>
        <w:tc>
          <w:tcPr>
            <w:tcW w:w="1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200" w:type="dxa"/>
            <w:vAlign w:val="bottom"/>
          </w:tcPr>
          <w:p>
            <w:pPr>
              <w:jc w:val="right"/>
              <w:ind w:right="570"/>
              <w:spacing w:after="0"/>
              <w:rPr>
                <w:sz w:val="20"/>
                <w:szCs w:val="20"/>
                <w:color w:val="auto"/>
              </w:rPr>
            </w:pPr>
            <w:r>
              <w:rPr>
                <w:rFonts w:ascii="Arial" w:cs="Arial" w:eastAsia="Arial" w:hAnsi="Arial"/>
                <w:sz w:val="18"/>
                <w:szCs w:val="18"/>
                <w:color w:val="auto"/>
              </w:rPr>
              <w:t>18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56"/>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346,890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Treasury</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premium</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22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346,890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215,478</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(72,996)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(72,996)</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r>
      <w:tr>
        <w:trPr>
          <w:trHeight w:val="27"/>
        </w:trPr>
        <w:tc>
          <w:tcPr>
            <w:tcW w:w="3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(72,040)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(72,040)</w:t>
            </w:r>
          </w:p>
        </w:tc>
      </w:tr>
      <w:tr>
        <w:trPr>
          <w:trHeight w:val="20"/>
        </w:trPr>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9"/>
              </w:rPr>
              <w:t>18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4,126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sale of treasury shares in</w:t>
            </w:r>
          </w:p>
        </w:tc>
        <w:tc>
          <w:tcPr>
            <w:tcW w:w="12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offerings, net of underwriting fees</w:t>
            </w:r>
          </w:p>
        </w:tc>
        <w:tc>
          <w:tcPr>
            <w:tcW w:w="1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transaction costs</w:t>
            </w:r>
          </w:p>
        </w:tc>
        <w:tc>
          <w:tcPr>
            <w:tcW w:w="12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11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97"/>
              </w:rPr>
              <w:t>Issuance of shares, net of transaction costs:</w:t>
            </w: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asset purchase</w:t>
            </w:r>
          </w:p>
        </w:tc>
        <w:tc>
          <w:tcPr>
            <w:tcW w:w="12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1"/>
              </w:rPr>
              <w:t>6/11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49,871</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Asset acquisition – common shares</w:t>
            </w: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91"/>
              </w:rPr>
              <w:t>6/11</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4,587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4,599</w:t>
            </w: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note agreements</w:t>
            </w:r>
          </w:p>
        </w:tc>
        <w:tc>
          <w:tcPr>
            <w:tcW w:w="12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11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16,744</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Held as treasury shares</w:t>
            </w: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79"/>
              </w:rPr>
              <w:t>11</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 awards</w:t>
            </w:r>
          </w:p>
        </w:tc>
        <w:tc>
          <w:tcPr>
            <w:tcW w:w="12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18</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34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9"/>
              </w:rPr>
              <w:t>18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1,082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r>
      <w:tr>
        <w:trPr>
          <w:trHeight w:val="25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431,251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AC Immune SA</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22"/>
          <w:szCs w:val="22"/>
          <w:b w:val="1"/>
          <w:bCs w:val="1"/>
          <w:color w:val="auto"/>
        </w:rPr>
        <w:t>(In CHF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Note</w:t>
            </w:r>
          </w:p>
        </w:tc>
        <w:tc>
          <w:tcPr>
            <w:tcW w:w="13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income/(loss) for the period</w:t>
            </w: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(72,996)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45,442</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w w:val="92"/>
              </w:rPr>
              <w:t>Adjustments to reconcile net income/(loss) for the period to net cash flows: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of right-of-use assets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result, net</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4,126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net employee defined benefit liability</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conversion feature</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(4,542)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5/14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(Gain)/loss on sale of fixed assets</w:t>
            </w:r>
          </w:p>
        </w:tc>
        <w:tc>
          <w:tcPr>
            <w:tcW w:w="1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working capital:</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Decrease/(increase) in prepaid expenses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accrued income</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(Increase)/decrease in other current receivables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10</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accrued expenses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Increase /(decrease) in deferred income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(4,157)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(Decrease)/increase in trade and other payables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(1,845)</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Cash (used in)/provided by operating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(65,216)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(59,247)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55,227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1"/>
              </w:rPr>
              <w:t>5/14</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(465)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costs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cash flows (used in)/provided by operating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(65,689)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(59,517)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55,220</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financial assets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8</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4</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(2,635)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(1,706)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(1,885)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Rental deposits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5</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flows (used in)/provided by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(53,664)</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28,329</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loan</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23,463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50,278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 on issuance of shares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rPr>
              <w:t>Proceeds from issuance of treasury shares, net of underwriting fees and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12,121</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Proceeds from issuance of common shares – asset acquisition, net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w w:val="95"/>
              </w:rPr>
              <w:t>Proceeds from issuance of common shares – option plan, net of transaction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costs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lease obligations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Repayment of short-term financing obligation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the issuance of treasury shares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Proceeds from long-term financing obligation</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(78,607)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Arial" w:cs="Arial" w:eastAsia="Arial" w:hAnsi="Arial"/>
                <w:sz w:val="18"/>
                <w:szCs w:val="18"/>
                <w:color w:val="auto"/>
              </w:rPr>
              <w:t>Cash and cash equivalents at January 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160,893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193,587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156,462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losses on cash and cash equivalents</w:t>
            </w: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Cash and cash equivalents at December 31</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160,893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193,587</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(78,607)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(31,991)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37,951</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Supplemental non-cash activity</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 recorded in Accrued expenses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Issuance of shares for purchase of IPR&amp;D asset in asset acquisition</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5"/>
              </w:rPr>
              <w:t>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50,416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Transaction costs associated with issuance of shares in relation to the asset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recorded in Accrued expenses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Settlement of convertible notes recorded within Shareholders’ equity</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16,920</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48,288</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900" w:h="16838" w:orient="portrait"/>
          <w:cols w:equalWidth="0" w:num="1">
            <w:col w:w="11240"/>
          </w:cols>
          <w:pgMar w:left="320" w:top="111" w:right="339" w:bottom="276"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276" w:gutter="0" w:footer="0" w:header="0"/>
          <w:type w:val="continuous"/>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AC Immune SA</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rPr>
          <w:sz w:val="20"/>
          <w:szCs w:val="20"/>
          <w:color w:val="auto"/>
        </w:rPr>
      </w:pPr>
      <w:r>
        <w:rPr>
          <w:rFonts w:ascii="Arial" w:cs="Arial" w:eastAsia="Arial" w:hAnsi="Arial"/>
          <w:sz w:val="22"/>
          <w:szCs w:val="22"/>
          <w:b w:val="1"/>
          <w:bCs w:val="1"/>
          <w:color w:val="auto"/>
        </w:rPr>
        <w:t>(In CHF thousands except for share and per share data)</w:t>
      </w:r>
    </w:p>
    <w:p>
      <w:pPr>
        <w:spacing w:after="0" w:line="21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49"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AC Immune SA was founded in 2003. The Company controls a fully-owned subsidiary, AC Immune USA, Inc. (“AC Immune USA” or “Subsidiary” and, together with AC Immune SA, “AC Immune,” “ACIU,” “Company,” “we,” “our,” “ours,” “us”), which was registered and organized under the laws of Delaware, USA in June 2021. The Company and its Subsidiary form the Group (See “Note 2. Basis of Preparation”).</w:t>
      </w:r>
    </w:p>
    <w:p>
      <w:pPr>
        <w:spacing w:after="0" w:line="212" w:lineRule="exact"/>
        <w:rPr>
          <w:sz w:val="20"/>
          <w:szCs w:val="20"/>
          <w:color w:val="auto"/>
        </w:rPr>
      </w:pPr>
    </w:p>
    <w:p>
      <w:pPr>
        <w:ind w:right="60" w:firstLine="324"/>
        <w:spacing w:after="0" w:line="245" w:lineRule="auto"/>
        <w:rPr>
          <w:sz w:val="20"/>
          <w:szCs w:val="20"/>
          <w:color w:val="auto"/>
        </w:rPr>
      </w:pPr>
      <w:r>
        <w:rPr>
          <w:rFonts w:ascii="Arial" w:cs="Arial" w:eastAsia="Arial" w:hAnsi="Arial"/>
          <w:sz w:val="21"/>
          <w:szCs w:val="21"/>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211" w:lineRule="exact"/>
        <w:rPr>
          <w:sz w:val="20"/>
          <w:szCs w:val="20"/>
          <w:color w:val="auto"/>
        </w:rPr>
      </w:pPr>
    </w:p>
    <w:p>
      <w:pPr>
        <w:ind w:right="180" w:firstLine="324"/>
        <w:spacing w:after="0"/>
        <w:rPr>
          <w:sz w:val="20"/>
          <w:szCs w:val="20"/>
          <w:color w:val="auto"/>
        </w:rPr>
      </w:pPr>
      <w:r>
        <w:rPr>
          <w:rFonts w:ascii="Arial" w:cs="Arial" w:eastAsia="Arial" w:hAnsi="Arial"/>
          <w:sz w:val="22"/>
          <w:szCs w:val="22"/>
          <w:color w:val="auto"/>
        </w:rPr>
        <w:t>The Company was initially incorporated as a limited liability company on February 13, 2003 in Basel, and effective August 25, 2003 was transformed into a stock company. The Company’s corporate headquarters are located at EPFL Innovation Park Building B, 1015 Lausanne, Switzerland.</w:t>
      </w:r>
    </w:p>
    <w:p>
      <w:pPr>
        <w:spacing w:after="0" w:line="21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Going concern</w:t>
      </w:r>
    </w:p>
    <w:p>
      <w:pPr>
        <w:spacing w:after="0" w:line="233" w:lineRule="exact"/>
        <w:rPr>
          <w:sz w:val="20"/>
          <w:szCs w:val="20"/>
          <w:color w:val="auto"/>
        </w:rPr>
      </w:pPr>
    </w:p>
    <w:p>
      <w:pPr>
        <w:ind w:right="80" w:firstLine="324"/>
        <w:spacing w:after="0" w:line="297" w:lineRule="auto"/>
        <w:rPr>
          <w:sz w:val="20"/>
          <w:szCs w:val="20"/>
          <w:color w:val="auto"/>
        </w:rPr>
      </w:pPr>
      <w:r>
        <w:rPr>
          <w:rFonts w:ascii="Arial" w:cs="Arial" w:eastAsia="Arial" w:hAnsi="Arial"/>
          <w:sz w:val="19"/>
          <w:szCs w:val="19"/>
          <w:color w:val="auto"/>
        </w:rPr>
        <w:t>The Company believes that it will be able to meet all of its obligations as they fall due for at least 12 months from December 31, 2021, after considering the Company’s cash position of CHF 82.2 million and short-term financial assets of CHF 116.0 million as of December 31, 2021. Hence, these consolidated financial statements have been prepared on a going-concern basis.</w:t>
      </w:r>
    </w:p>
    <w:p>
      <w:pPr>
        <w:spacing w:after="0" w:line="161"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To date, the Company has financed its cash requirements primarily from its public offerings, share issuances, contract revenues from license and collaboration agreements and grants.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spacing w:after="0" w:line="3" w:lineRule="exact"/>
        <w:rPr>
          <w:sz w:val="20"/>
          <w:szCs w:val="20"/>
          <w:color w:val="auto"/>
        </w:rPr>
      </w:pPr>
    </w:p>
    <w:p>
      <w:pPr>
        <w:ind w:firstLine="8"/>
        <w:spacing w:after="0" w:line="234" w:lineRule="auto"/>
        <w:tabs>
          <w:tab w:leader="none" w:pos="258" w:val="left"/>
        </w:tabs>
        <w:numPr>
          <w:ilvl w:val="0"/>
          <w:numId w:val="18"/>
        </w:numPr>
        <w:rPr>
          <w:rFonts w:ascii="Arial" w:cs="Arial" w:eastAsia="Arial" w:hAnsi="Arial"/>
          <w:sz w:val="22"/>
          <w:szCs w:val="22"/>
          <w:color w:val="auto"/>
        </w:rPr>
      </w:pPr>
      <w:r>
        <w:rPr>
          <w:rFonts w:ascii="Arial" w:cs="Arial" w:eastAsia="Arial" w:hAnsi="Arial"/>
          <w:sz w:val="22"/>
          <w:szCs w:val="22"/>
          <w:color w:val="auto"/>
        </w:rPr>
        <w:t>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214"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compliance</w:t>
      </w:r>
    </w:p>
    <w:p>
      <w:pPr>
        <w:spacing w:after="0" w:line="239" w:lineRule="exact"/>
        <w:rPr>
          <w:sz w:val="20"/>
          <w:szCs w:val="20"/>
          <w:color w:val="auto"/>
        </w:rPr>
      </w:pPr>
    </w:p>
    <w:p>
      <w:pPr>
        <w:jc w:val="both"/>
        <w:ind w:right="320" w:firstLine="324"/>
        <w:spacing w:after="0"/>
        <w:rPr>
          <w:sz w:val="20"/>
          <w:szCs w:val="20"/>
          <w:color w:val="auto"/>
        </w:rPr>
      </w:pPr>
      <w:r>
        <w:rPr>
          <w:rFonts w:ascii="Arial" w:cs="Arial" w:eastAsia="Arial" w:hAnsi="Arial"/>
          <w:sz w:val="22"/>
          <w:szCs w:val="22"/>
          <w:color w:val="auto"/>
        </w:rPr>
        <w:t>The consolidated financial statements have been prepared in accordance with International Financial Reporting Standards (IFRS) as issued by the International Accounting Standards Board (IASB). These consolidated financial statements have been approved for issue by the Board of Directors on March 18, 2022.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measurement</w:t>
      </w:r>
    </w:p>
    <w:p>
      <w:pPr>
        <w:spacing w:after="0" w:line="239" w:lineRule="exact"/>
        <w:rPr>
          <w:sz w:val="20"/>
          <w:szCs w:val="20"/>
          <w:color w:val="auto"/>
        </w:rPr>
      </w:pPr>
    </w:p>
    <w:p>
      <w:pPr>
        <w:ind w:right="600" w:firstLine="324"/>
        <w:spacing w:after="0" w:line="250" w:lineRule="auto"/>
        <w:rPr>
          <w:sz w:val="20"/>
          <w:szCs w:val="20"/>
          <w:color w:val="auto"/>
        </w:rPr>
      </w:pPr>
      <w:r>
        <w:rPr>
          <w:rFonts w:ascii="Arial" w:cs="Arial" w:eastAsia="Arial" w:hAnsi="Arial"/>
          <w:sz w:val="22"/>
          <w:szCs w:val="22"/>
          <w:color w:val="auto"/>
        </w:rPr>
        <w:t>The consolidated financial statements have been prepared under the historical cost convention except for items that are required to be accounted for at fair value.</w:t>
      </w:r>
    </w:p>
    <w:p>
      <w:pPr>
        <w:sectPr>
          <w:pgSz w:w="11900" w:h="16838" w:orient="portrait"/>
          <w:cols w:equalWidth="0" w:num="1">
            <w:col w:w="11200"/>
          </w:cols>
          <w:pgMar w:left="320" w:top="111" w:right="37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type w:val="continuous"/>
        </w:sectPr>
      </w:pPr>
    </w:p>
    <w:bookmarkStart w:id="24" w:name="page25"/>
    <w:bookmarkEnd w:id="24"/>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principal accounting policies adopted in the preparation of these consolidated financial statements are set out below.</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These policies have been consistently applied to all the years presented, unless otherwise stated.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Functional and reporting currency</w:t>
      </w:r>
    </w:p>
    <w:p>
      <w:pPr>
        <w:spacing w:after="0" w:line="233"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These consolidated financial statements and accompanying notes are presented in Swiss Francs (“CHF”), which is AC Immune SA’s functional currency and the Group’s reporting currency. The Company’s subsidiary has a functional currency of the US Dollar (“USD”). The respective functional currency represents the primary economic environment in which the entities operate.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following exchange rates have been used for the translation of the financial statements of AC Immune USA: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88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90"/>
              </w:rPr>
              <w:t>For the Years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CHF/USD</w:t>
            </w:r>
          </w:p>
        </w:tc>
        <w:tc>
          <w:tcPr>
            <w:tcW w:w="1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Closing rate, USD 1</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0.923</w:t>
            </w:r>
          </w:p>
        </w:tc>
        <w:tc>
          <w:tcPr>
            <w:tcW w:w="16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Average exchange rate, USD 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0.929</w:t>
            </w:r>
          </w:p>
        </w:tc>
        <w:tc>
          <w:tcPr>
            <w:tcW w:w="1620" w:type="dxa"/>
            <w:vAlign w:val="bottom"/>
          </w:tcPr>
          <w:p>
            <w:pPr>
              <w:ind w:left="9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N/A</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results and financial position of AC Immune USA are translated into the presentation currency as follows:</w:t>
      </w:r>
    </w:p>
    <w:p>
      <w:pPr>
        <w:spacing w:after="0" w:line="24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assets and liabilities for each balance sheet presented are translated at the closing rate at the date of that balance sheet;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and expenses for each statement of income/(loss) are translated at average exchange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in other comprehensive income/(loss), within cumulative translation differences.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Basis of consolidation</w:t>
      </w:r>
    </w:p>
    <w:p>
      <w:pPr>
        <w:spacing w:after="0" w:line="233"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The annual closing date of the individual financial statements is December 31. The Company wholly-owns its Subsidiary and fully consolidates its financial statements into these consolidated financial statements. All intercompany transactions have been eliminated.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transactions</w:t>
      </w:r>
    </w:p>
    <w:p>
      <w:pPr>
        <w:spacing w:after="0" w:line="239"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Foreign currency transactions are translated into the respective functional currency using prevailing exchange rates at the dates of the transactions. Foreign exchange gains and losses resulting from the settlement of such transactions and from the translation at year-end exchange rates of monetary assets and liabilities denominated in foreign currencies are recognized in the consolidated statements of income/(loss). Any gains or losses from these translations are included in the consolidated statements of income/(loss) in the period in which they arise.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Current vs. non-current classification</w:t>
      </w:r>
    </w:p>
    <w:p>
      <w:pPr>
        <w:spacing w:after="0" w:line="239" w:lineRule="exact"/>
        <w:rPr>
          <w:sz w:val="20"/>
          <w:szCs w:val="20"/>
          <w:color w:val="auto"/>
        </w:rPr>
      </w:pPr>
    </w:p>
    <w:p>
      <w:pPr>
        <w:jc w:val="both"/>
        <w:ind w:right="360" w:firstLine="324"/>
        <w:spacing w:after="0"/>
        <w:rPr>
          <w:sz w:val="20"/>
          <w:szCs w:val="20"/>
          <w:color w:val="auto"/>
        </w:rPr>
      </w:pPr>
      <w:r>
        <w:rPr>
          <w:rFonts w:ascii="Arial" w:cs="Arial" w:eastAsia="Arial" w:hAnsi="Arial"/>
          <w:sz w:val="22"/>
          <w:szCs w:val="22"/>
          <w:color w:val="auto"/>
        </w:rPr>
        <w:t>The Company presents assets and liabilities in the consolidated balance sheets based on current/non-current classification. The Company classifies all amounts to be realized or settled within 12 months after the reporting period to be current and all other amounts to be non-current.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 xml:space="preserve">The Company has adopted IFRS 15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ectPr>
          <w:pgSz w:w="11900" w:h="16838" w:orient="portrait"/>
          <w:cols w:equalWidth="0" w:num="1">
            <w:col w:w="11240"/>
          </w:cols>
          <w:pgMar w:left="320" w:top="121" w:right="339" w:bottom="735"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35" w:gutter="0" w:footer="0" w:header="0"/>
          <w:type w:val="continuous"/>
        </w:sectPr>
      </w:pPr>
    </w:p>
    <w:bookmarkStart w:id="25" w:name="page26"/>
    <w:bookmarkEnd w:id="25"/>
    <w:p>
      <w:pPr>
        <w:ind w:firstLine="324"/>
        <w:spacing w:after="0" w:line="277" w:lineRule="auto"/>
        <w:rPr>
          <w:sz w:val="20"/>
          <w:szCs w:val="20"/>
          <w:color w:val="auto"/>
        </w:rPr>
      </w:pPr>
      <w:r>
        <w:rPr>
          <w:rFonts w:ascii="Arial" w:cs="Arial" w:eastAsia="Arial" w:hAnsi="Arial"/>
          <w:sz w:val="19"/>
          <w:szCs w:val="19"/>
          <w:color w:val="auto"/>
        </w:rPr>
        <w:t>The Company enters into license and collaboration agreements (LCAs) which are within the scope of IFRS 15, under which it licenses certain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intellectual property. Each of these payments results in license, collaboration and other revenues, which are classified as contract revenue on the consolidated statements of income/(loss).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Licenses of intellectual property</w:t>
      </w:r>
    </w:p>
    <w:p>
      <w:pPr>
        <w:spacing w:after="0" w:line="233"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Milestone payments</w:t>
      </w:r>
    </w:p>
    <w:p>
      <w:pPr>
        <w:spacing w:after="0" w:line="233" w:lineRule="exact"/>
        <w:rPr>
          <w:sz w:val="20"/>
          <w:szCs w:val="20"/>
          <w:color w:val="auto"/>
        </w:rPr>
      </w:pPr>
    </w:p>
    <w:p>
      <w:pPr>
        <w:ind w:right="120" w:firstLine="324"/>
        <w:spacing w:after="0" w:line="246" w:lineRule="auto"/>
        <w:rPr>
          <w:sz w:val="20"/>
          <w:szCs w:val="20"/>
          <w:color w:val="auto"/>
        </w:rPr>
      </w:pPr>
      <w:r>
        <w:rPr>
          <w:rFonts w:ascii="Arial" w:cs="Arial" w:eastAsia="Arial" w:hAnsi="Arial"/>
          <w:sz w:val="21"/>
          <w:szCs w:val="21"/>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Research and development services</w:t>
      </w:r>
    </w:p>
    <w:p>
      <w:pPr>
        <w:spacing w:after="0" w:line="233"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The Company has certain arrangements with our collaboration partners that 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Sublicense revenues</w:t>
      </w:r>
    </w:p>
    <w:p>
      <w:pPr>
        <w:spacing w:after="0" w:line="233" w:lineRule="exact"/>
        <w:rPr>
          <w:sz w:val="20"/>
          <w:szCs w:val="20"/>
          <w:color w:val="auto"/>
        </w:rPr>
      </w:pPr>
    </w:p>
    <w:p>
      <w:pPr>
        <w:ind w:right="100" w:firstLine="324"/>
        <w:spacing w:after="0"/>
        <w:rPr>
          <w:sz w:val="20"/>
          <w:szCs w:val="20"/>
          <w:color w:val="auto"/>
        </w:rPr>
      </w:pPr>
      <w:r>
        <w:rPr>
          <w:rFonts w:ascii="Arial" w:cs="Arial" w:eastAsia="Arial" w:hAnsi="Arial"/>
          <w:sz w:val="22"/>
          <w:szCs w:val="22"/>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ind w:left="180"/>
        <w:spacing w:after="0"/>
        <w:rPr>
          <w:sz w:val="20"/>
          <w:szCs w:val="20"/>
          <w:color w:val="auto"/>
        </w:rPr>
      </w:pPr>
      <w:r>
        <w:rPr>
          <w:rFonts w:ascii="Arial" w:cs="Arial" w:eastAsia="Arial" w:hAnsi="Arial"/>
          <w:sz w:val="22"/>
          <w:szCs w:val="22"/>
          <w:b w:val="1"/>
          <w:bCs w:val="1"/>
          <w:i w:val="1"/>
          <w:iCs w:val="1"/>
          <w:color w:val="auto"/>
        </w:rPr>
        <w:t>Contract balances</w:t>
      </w:r>
    </w:p>
    <w:p>
      <w:pPr>
        <w:spacing w:after="0" w:line="23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For a complete discussion of accounting for contract revenue, see “Note 13. Contract revenues.”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expenses</w:t>
      </w:r>
    </w:p>
    <w:p>
      <w:pPr>
        <w:spacing w:after="0" w:line="239"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 xml:space="preserve">Given the stage of development of the Company’s products, all research and development expenditure is expensed as incurred as it does not meet the capitalization criteria outlined in IAS 38 </w:t>
      </w:r>
      <w:r>
        <w:rPr>
          <w:rFonts w:ascii="Arial" w:cs="Arial" w:eastAsia="Arial" w:hAnsi="Arial"/>
          <w:sz w:val="22"/>
          <w:szCs w:val="22"/>
          <w:i w:val="1"/>
          <w:iCs w:val="1"/>
          <w:color w:val="auto"/>
        </w:rPr>
        <w:t>Intangible Assets</w:t>
      </w:r>
      <w:r>
        <w:rPr>
          <w:rFonts w:ascii="Arial" w:cs="Arial" w:eastAsia="Arial" w:hAnsi="Arial"/>
          <w:sz w:val="22"/>
          <w:szCs w:val="22"/>
          <w:color w:val="auto"/>
        </w:rPr>
        <w:t>. The Company has not capitalized any R&amp;D expenses to date. Research and development expenditures include:</w:t>
      </w:r>
    </w:p>
    <w:p>
      <w:pPr>
        <w:spacing w:after="0" w:line="220" w:lineRule="exact"/>
        <w:rPr>
          <w:sz w:val="20"/>
          <w:szCs w:val="20"/>
          <w:color w:val="auto"/>
        </w:rPr>
      </w:pPr>
    </w:p>
    <w:p>
      <w:pPr>
        <w:ind w:left="660" w:right="3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97"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share-based compensation expenses;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allocated expenses such as facilities and information technology (IT) costs.</w:t>
      </w:r>
    </w:p>
    <w:p>
      <w:pPr>
        <w:spacing w:after="0" w:line="245" w:lineRule="exact"/>
        <w:rPr>
          <w:sz w:val="20"/>
          <w:szCs w:val="20"/>
          <w:color w:val="auto"/>
        </w:rPr>
      </w:pPr>
    </w:p>
    <w:p>
      <w:pPr>
        <w:ind w:right="20" w:firstLine="321"/>
        <w:spacing w:after="0" w:line="248" w:lineRule="auto"/>
        <w:rPr>
          <w:sz w:val="20"/>
          <w:szCs w:val="20"/>
          <w:color w:val="auto"/>
        </w:rPr>
      </w:pPr>
      <w:r>
        <w:rPr>
          <w:rFonts w:ascii="Arial" w:cs="Arial" w:eastAsia="Arial" w:hAnsi="Arial"/>
          <w:sz w:val="21"/>
          <w:szCs w:val="21"/>
          <w:color w:val="auto"/>
        </w:rPr>
        <w:t>For external research contracts, expenses include those associated with contract research organizations, or CROs, or contract manufacturing organizations, or CMOs. The invoicing from CROs or CMOs for services rendered do not always align with work performed. We accrue the cost of services rendered in connection with CRO or CMO activities based on our estimate of the “stage of completion” for such contracted services. We maintain regular communication with our CRO or CMO vendors to gauge the reasonableness of our estimates and accrue expenses as of the balance sheet date in the consolidated financial statements based on facts and circumstances known at the time.</w:t>
      </w:r>
    </w:p>
    <w:p>
      <w:pPr>
        <w:spacing w:after="0" w:line="204" w:lineRule="exact"/>
        <w:rPr>
          <w:sz w:val="20"/>
          <w:szCs w:val="20"/>
          <w:color w:val="auto"/>
        </w:rPr>
      </w:pPr>
    </w:p>
    <w:p>
      <w:pPr>
        <w:jc w:val="both"/>
        <w:ind w:right="180" w:firstLine="324"/>
        <w:spacing w:after="0"/>
        <w:rPr>
          <w:sz w:val="20"/>
          <w:szCs w:val="20"/>
          <w:color w:val="auto"/>
        </w:rPr>
      </w:pPr>
      <w:r>
        <w:rPr>
          <w:rFonts w:ascii="Arial" w:cs="Arial" w:eastAsia="Arial" w:hAnsi="Arial"/>
          <w:sz w:val="22"/>
          <w:szCs w:val="22"/>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and administrative expenses</w:t>
      </w:r>
    </w:p>
    <w:p>
      <w:pPr>
        <w:spacing w:after="0" w:line="239" w:lineRule="exact"/>
        <w:rPr>
          <w:sz w:val="20"/>
          <w:szCs w:val="20"/>
          <w:color w:val="auto"/>
        </w:rPr>
      </w:pPr>
    </w:p>
    <w:p>
      <w:pPr>
        <w:ind w:right="140" w:firstLine="324"/>
        <w:spacing w:after="0" w:line="252" w:lineRule="auto"/>
        <w:rPr>
          <w:sz w:val="20"/>
          <w:szCs w:val="20"/>
          <w:color w:val="auto"/>
        </w:rPr>
      </w:pPr>
      <w:r>
        <w:rPr>
          <w:rFonts w:ascii="Arial" w:cs="Arial" w:eastAsia="Arial" w:hAnsi="Arial"/>
          <w:sz w:val="21"/>
          <w:szCs w:val="21"/>
          <w:color w:val="auto"/>
        </w:rPr>
        <w:t>General and administrative expenses are expensed as incurred and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income</w:t>
      </w:r>
    </w:p>
    <w:p>
      <w:pPr>
        <w:spacing w:after="0" w:line="239"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The Company has received grants, from time to time, from the Michael J. Fox Foundation (MJFF), the Target ALS Foundation (Target ALS) and other institutions to support certain research projects. Grants are recorded at their fair value in the consolidated statements of income/(loss) within other operating income/(expenses)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ectPr>
          <w:pgSz w:w="11900" w:h="16838" w:orient="portrait"/>
          <w:cols w:equalWidth="0" w:num="1">
            <w:col w:w="11240"/>
          </w:cols>
          <w:pgMar w:left="320" w:top="118"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Leases</w:t>
      </w:r>
    </w:p>
    <w:p>
      <w:pPr>
        <w:spacing w:after="0" w:line="240" w:lineRule="exact"/>
        <w:rPr>
          <w:sz w:val="20"/>
          <w:szCs w:val="20"/>
          <w:color w:val="auto"/>
        </w:rPr>
      </w:pPr>
    </w:p>
    <w:p>
      <w:pPr>
        <w:ind w:right="40" w:firstLine="324"/>
        <w:spacing w:after="0" w:line="245" w:lineRule="auto"/>
        <w:rPr>
          <w:sz w:val="20"/>
          <w:szCs w:val="20"/>
          <w:color w:val="auto"/>
        </w:rPr>
      </w:pPr>
      <w:r>
        <w:rPr>
          <w:rFonts w:ascii="Arial" w:cs="Arial" w:eastAsia="Arial" w:hAnsi="Arial"/>
          <w:sz w:val="21"/>
          <w:szCs w:val="21"/>
          <w:color w:val="auto"/>
        </w:rPr>
        <w:t xml:space="preserve">Effective January 1, 2019, the Company adopted IFRS 16 </w:t>
      </w:r>
      <w:r>
        <w:rPr>
          <w:rFonts w:ascii="Arial" w:cs="Arial" w:eastAsia="Arial" w:hAnsi="Arial"/>
          <w:sz w:val="21"/>
          <w:szCs w:val="21"/>
          <w:i w:val="1"/>
          <w:iCs w:val="1"/>
          <w:color w:val="auto"/>
        </w:rPr>
        <w:t>Leases</w:t>
      </w:r>
      <w:r>
        <w:rPr>
          <w:rFonts w:ascii="Arial" w:cs="Arial" w:eastAsia="Arial" w:hAnsi="Arial"/>
          <w:sz w:val="21"/>
          <w:szCs w:val="21"/>
          <w:color w:val="auto"/>
        </w:rPr>
        <w:t>, which provides a new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The Company applied the modified retrospective approach, which required the recognition of the cumulative effect of initially applying IFRS 16 as of January 1, 2019 to accumulated losses and not restating previous years. As the Company recognized the right-of-use assets at the amount equal to the lease liabilities there was no impact to accumulated losses. In accordance with IFRS 16, the Company (i) does not recognize right-of-use assets and lease liabilities for leases of low value (i.e. approximate fair value of USD 5,000). For a complete discussion of accounting, see “Note 5. Right-of-use assets and lease liabilities.”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Right-of-use assets and lease liabilities</w:t>
      </w:r>
    </w:p>
    <w:p>
      <w:pPr>
        <w:spacing w:after="0" w:line="233" w:lineRule="exact"/>
        <w:rPr>
          <w:sz w:val="20"/>
          <w:szCs w:val="20"/>
          <w:color w:val="auto"/>
        </w:rPr>
      </w:pPr>
    </w:p>
    <w:p>
      <w:pPr>
        <w:ind w:right="360" w:firstLine="324"/>
        <w:spacing w:after="0" w:line="279" w:lineRule="auto"/>
        <w:rPr>
          <w:sz w:val="20"/>
          <w:szCs w:val="20"/>
          <w:color w:val="auto"/>
        </w:rPr>
      </w:pPr>
      <w:r>
        <w:rPr>
          <w:rFonts w:ascii="Arial" w:cs="Arial" w:eastAsia="Arial" w:hAnsi="Arial"/>
          <w:sz w:val="19"/>
          <w:szCs w:val="19"/>
          <w:color w:val="auto"/>
        </w:rPr>
        <w:t>At inception of a leasing contract, the Company assesses whether a contract is, or contains, a lease based on whether the contract conveys the right to control the use of an identified asset for a period of time in exchange for consideration. 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lease liabilities are classified as current or non-current based on the due dates of the underlying principal payments.</w:t>
      </w:r>
    </w:p>
    <w:p>
      <w:pPr>
        <w:spacing w:after="0" w:line="177"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Lease payments generally are fixed for the contract term. The lease liability is measured at amortized cost using the effective interest method. The lease liability is re-measured if there is a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214" w:lineRule="exact"/>
        <w:rPr>
          <w:sz w:val="20"/>
          <w:szCs w:val="20"/>
          <w:color w:val="auto"/>
        </w:rPr>
      </w:pPr>
    </w:p>
    <w:p>
      <w:pPr>
        <w:ind w:right="300" w:firstLine="324"/>
        <w:spacing w:after="0" w:line="235" w:lineRule="auto"/>
        <w:rPr>
          <w:sz w:val="20"/>
          <w:szCs w:val="20"/>
          <w:color w:val="auto"/>
        </w:rPr>
      </w:pPr>
      <w:r>
        <w:rPr>
          <w:rFonts w:ascii="Arial" w:cs="Arial" w:eastAsia="Arial" w:hAnsi="Arial"/>
          <w:sz w:val="22"/>
          <w:szCs w:val="22"/>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performed on as certain potential triggering events may arise (e.g. lease modifications). When the lease liability is re-measured, a corresponding adjustment is made to the carrying amount of the right-of-use asset or is recorded in profit or loss if the carrying amount of the right-of-use asset has been reduced to zero.</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estimated lease term by right-of-use asset categories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4"/>
              </w:rPr>
              <w:t>5 years</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Office equipment</w:t>
            </w:r>
          </w:p>
        </w:tc>
        <w:tc>
          <w:tcPr>
            <w:tcW w:w="1480" w:type="dxa"/>
            <w:vAlign w:val="bottom"/>
          </w:tcPr>
          <w:p>
            <w:pPr>
              <w:ind w:left="960"/>
              <w:spacing w:after="0"/>
              <w:rPr>
                <w:sz w:val="20"/>
                <w:szCs w:val="20"/>
                <w:color w:val="auto"/>
              </w:rPr>
            </w:pPr>
            <w:r>
              <w:rPr>
                <w:rFonts w:ascii="Arial" w:cs="Arial" w:eastAsia="Arial" w:hAnsi="Arial"/>
                <w:sz w:val="18"/>
                <w:szCs w:val="18"/>
                <w:color w:val="auto"/>
                <w:w w:val="84"/>
              </w:rPr>
              <w:t>5 years</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IT equipment</w:t>
            </w: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4"/>
              </w:rPr>
              <w:t>5 years</w:t>
            </w:r>
          </w:p>
        </w:tc>
      </w:tr>
      <w:tr>
        <w:trPr>
          <w:trHeight w:val="496"/>
        </w:trPr>
        <w:tc>
          <w:tcPr>
            <w:tcW w:w="9760" w:type="dxa"/>
            <w:vAlign w:val="bottom"/>
          </w:tcPr>
          <w:p>
            <w:pPr>
              <w:ind w:left="340"/>
              <w:spacing w:after="0"/>
              <w:rPr>
                <w:sz w:val="20"/>
                <w:szCs w:val="20"/>
                <w:color w:val="auto"/>
              </w:rPr>
            </w:pPr>
            <w:r>
              <w:rPr>
                <w:rFonts w:ascii="Arial" w:cs="Arial" w:eastAsia="Arial" w:hAnsi="Arial"/>
                <w:sz w:val="22"/>
                <w:szCs w:val="22"/>
                <w:color w:val="auto"/>
                <w:w w:val="97"/>
              </w:rPr>
              <w:t>Both the right-of-use-assets and lease liabilities are recognized in the consolidated balance sheets.</w:t>
            </w:r>
          </w:p>
        </w:tc>
        <w:tc>
          <w:tcPr>
            <w:tcW w:w="1480" w:type="dxa"/>
            <w:vAlign w:val="bottom"/>
          </w:tcPr>
          <w:p>
            <w:pPr>
              <w:spacing w:after="0"/>
              <w:rPr>
                <w:sz w:val="24"/>
                <w:szCs w:val="24"/>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239" w:lineRule="exact"/>
        <w:rPr>
          <w:sz w:val="20"/>
          <w:szCs w:val="20"/>
          <w:color w:val="auto"/>
        </w:rPr>
      </w:pPr>
    </w:p>
    <w:p>
      <w:pPr>
        <w:ind w:right="300" w:firstLine="324"/>
        <w:spacing w:after="0" w:line="238" w:lineRule="auto"/>
        <w:rPr>
          <w:sz w:val="20"/>
          <w:szCs w:val="20"/>
          <w:color w:val="auto"/>
        </w:rPr>
      </w:pPr>
      <w:r>
        <w:rPr>
          <w:rFonts w:ascii="Arial" w:cs="Arial" w:eastAsia="Arial" w:hAnsi="Arial"/>
          <w:sz w:val="22"/>
          <w:szCs w:val="22"/>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IT equipment</w:t>
            </w:r>
          </w:p>
        </w:tc>
        <w:tc>
          <w:tcPr>
            <w:tcW w:w="7240" w:type="dxa"/>
            <w:vAlign w:val="bottom"/>
            <w:shd w:val="clear" w:color="auto" w:fill="CCEEFF"/>
          </w:tcPr>
          <w:p>
            <w:pPr>
              <w:ind w:left="6720"/>
              <w:spacing w:after="0"/>
              <w:rPr>
                <w:sz w:val="20"/>
                <w:szCs w:val="20"/>
                <w:color w:val="auto"/>
              </w:rPr>
            </w:pPr>
            <w:r>
              <w:rPr>
                <w:rFonts w:ascii="Arial" w:cs="Arial" w:eastAsia="Arial" w:hAnsi="Arial"/>
                <w:sz w:val="18"/>
                <w:szCs w:val="18"/>
                <w:color w:val="auto"/>
                <w:w w:val="84"/>
              </w:rPr>
              <w:t>3 years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Laboratory equipment</w:t>
            </w:r>
          </w:p>
        </w:tc>
        <w:tc>
          <w:tcPr>
            <w:tcW w:w="7240" w:type="dxa"/>
            <w:vAlign w:val="bottom"/>
          </w:tcPr>
          <w:p>
            <w:pPr>
              <w:ind w:left="6720"/>
              <w:spacing w:after="0"/>
              <w:rPr>
                <w:sz w:val="20"/>
                <w:szCs w:val="20"/>
                <w:color w:val="auto"/>
              </w:rPr>
            </w:pPr>
            <w:r>
              <w:rPr>
                <w:rFonts w:ascii="Arial" w:cs="Arial" w:eastAsia="Arial" w:hAnsi="Arial"/>
                <w:sz w:val="18"/>
                <w:szCs w:val="18"/>
                <w:color w:val="auto"/>
                <w:w w:val="84"/>
              </w:rPr>
              <w:t>5 years</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improvements/furniture</w:t>
            </w:r>
          </w:p>
        </w:tc>
        <w:tc>
          <w:tcPr>
            <w:tcW w:w="7240" w:type="dxa"/>
            <w:vAlign w:val="bottom"/>
            <w:shd w:val="clear" w:color="auto" w:fill="CCEEFF"/>
          </w:tcPr>
          <w:p>
            <w:pPr>
              <w:ind w:left="6720"/>
              <w:spacing w:after="0"/>
              <w:rPr>
                <w:sz w:val="20"/>
                <w:szCs w:val="20"/>
                <w:color w:val="auto"/>
              </w:rPr>
            </w:pPr>
            <w:r>
              <w:rPr>
                <w:rFonts w:ascii="Arial" w:cs="Arial" w:eastAsia="Arial" w:hAnsi="Arial"/>
                <w:sz w:val="18"/>
                <w:szCs w:val="18"/>
                <w:color w:val="auto"/>
                <w:w w:val="84"/>
              </w:rPr>
              <w:t>5 years</w:t>
            </w:r>
          </w:p>
        </w:tc>
      </w:tr>
      <w:tr>
        <w:trPr>
          <w:trHeight w:val="582"/>
        </w:trPr>
        <w:tc>
          <w:tcPr>
            <w:tcW w:w="4000" w:type="dxa"/>
            <w:vAlign w:val="bottom"/>
          </w:tcPr>
          <w:p>
            <w:pPr>
              <w:spacing w:after="0"/>
              <w:rPr>
                <w:sz w:val="24"/>
                <w:szCs w:val="24"/>
                <w:color w:val="auto"/>
              </w:rPr>
            </w:pPr>
          </w:p>
        </w:tc>
        <w:tc>
          <w:tcPr>
            <w:tcW w:w="7240" w:type="dxa"/>
            <w:vAlign w:val="bottom"/>
          </w:tcPr>
          <w:p>
            <w:pPr>
              <w:ind w:left="1500"/>
              <w:spacing w:after="0"/>
              <w:rPr>
                <w:sz w:val="20"/>
                <w:szCs w:val="20"/>
                <w:color w:val="auto"/>
              </w:rPr>
            </w:pPr>
            <w:r>
              <w:rPr>
                <w:rFonts w:ascii="Arial" w:cs="Arial" w:eastAsia="Arial" w:hAnsi="Arial"/>
                <w:sz w:val="14"/>
                <w:szCs w:val="14"/>
                <w:color w:val="auto"/>
              </w:rPr>
              <w:t>F-11</w:t>
            </w:r>
          </w:p>
        </w:tc>
      </w:tr>
      <w:tr>
        <w:trPr>
          <w:trHeight w:val="46"/>
        </w:trPr>
        <w:tc>
          <w:tcPr>
            <w:tcW w:w="4000" w:type="dxa"/>
            <w:vAlign w:val="bottom"/>
            <w:tcBorders>
              <w:bottom w:val="single" w:sz="8" w:color="auto"/>
            </w:tcBorders>
          </w:tcPr>
          <w:p>
            <w:pPr>
              <w:spacing w:after="0"/>
              <w:rPr>
                <w:sz w:val="4"/>
                <w:szCs w:val="4"/>
                <w:color w:val="auto"/>
              </w:rPr>
            </w:pPr>
          </w:p>
        </w:tc>
        <w:tc>
          <w:tcPr>
            <w:tcW w:w="72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28" w:name="page29"/>
    <w:bookmarkEnd w:id="28"/>
    <w:p>
      <w:pPr>
        <w:ind w:right="300" w:firstLine="324"/>
        <w:spacing w:after="0" w:line="328" w:lineRule="auto"/>
        <w:rPr>
          <w:sz w:val="20"/>
          <w:szCs w:val="20"/>
          <w:color w:val="auto"/>
        </w:rPr>
      </w:pPr>
      <w:r>
        <w:rPr>
          <w:rFonts w:ascii="Arial" w:cs="Arial" w:eastAsia="Arial" w:hAnsi="Arial"/>
          <w:sz w:val="19"/>
          <w:szCs w:val="19"/>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3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Gains and losses on disposals are determined by comparing the disposal proceeds with the carrying amount and are included in the consolidated statements of income/(loss).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239"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 xml:space="preserve">AC Immune’s acquired in process research and development (IPR&amp;D) asset is stated at cost less any impairments. The Company does not deem this asset ready for use until the asset obtains market approval. Therefore, during the development period after the date of acquisition until market approval, the IPR&amp;D asset is not amortized. Upon market approval, the Company will determine the useful life of the asset, reclassify it from IPR&amp;D and commence amortization. If the associated R&amp;D effort is abandoned, the related IPR&amp;D will likely be written off and we will record the relevant impairment charge. Finally, the Company will not capitalize future development costs in respect to this IPR&amp;D asset until they meet the criteria for capitalization of research and development costs in accordance with IAS 38 </w:t>
      </w:r>
      <w:r>
        <w:rPr>
          <w:rFonts w:ascii="Arial" w:cs="Arial" w:eastAsia="Arial" w:hAnsi="Arial"/>
          <w:sz w:val="21"/>
          <w:szCs w:val="21"/>
          <w:i w:val="1"/>
          <w:iCs w:val="1"/>
          <w:color w:val="auto"/>
        </w:rPr>
        <w:t>Intangible Assets</w:t>
      </w:r>
      <w:r>
        <w:rPr>
          <w:rFonts w:ascii="Arial" w:cs="Arial" w:eastAsia="Arial" w:hAnsi="Arial"/>
          <w:sz w:val="21"/>
          <w:szCs w:val="21"/>
          <w:color w:val="auto"/>
        </w:rPr>
        <w:t>.</w:t>
      </w:r>
    </w:p>
    <w:p>
      <w:pPr>
        <w:spacing w:after="0" w:line="211" w:lineRule="exact"/>
        <w:rPr>
          <w:sz w:val="20"/>
          <w:szCs w:val="20"/>
          <w:color w:val="auto"/>
        </w:rPr>
      </w:pPr>
    </w:p>
    <w:p>
      <w:pPr>
        <w:jc w:val="both"/>
        <w:ind w:right="160" w:firstLine="324"/>
        <w:spacing w:after="0"/>
        <w:rPr>
          <w:sz w:val="20"/>
          <w:szCs w:val="20"/>
          <w:color w:val="auto"/>
        </w:rPr>
      </w:pPr>
      <w:r>
        <w:rPr>
          <w:rFonts w:ascii="Arial" w:cs="Arial" w:eastAsia="Arial" w:hAnsi="Arial"/>
          <w:sz w:val="22"/>
          <w:szCs w:val="22"/>
          <w:color w:val="auto"/>
        </w:rPr>
        <w:t>Our IPR&amp;D asset is subject to impairment testing at least annually or when there are indications that the carrying value may not be recoverable until the completion of the development process. The determination of the recoverable amounts include key estimates which are highly sensitive to, and dependent upon, key assumptions.</w:t>
      </w:r>
    </w:p>
    <w:p>
      <w:pPr>
        <w:spacing w:after="0" w:line="213" w:lineRule="exact"/>
        <w:rPr>
          <w:sz w:val="20"/>
          <w:szCs w:val="20"/>
          <w:color w:val="auto"/>
        </w:rPr>
      </w:pPr>
    </w:p>
    <w:p>
      <w:pPr>
        <w:ind w:right="240" w:firstLine="324"/>
        <w:spacing w:after="0" w:line="238" w:lineRule="auto"/>
        <w:rPr>
          <w:sz w:val="20"/>
          <w:szCs w:val="20"/>
          <w:color w:val="auto"/>
        </w:rPr>
      </w:pPr>
      <w:r>
        <w:rPr>
          <w:rFonts w:ascii="Arial" w:cs="Arial" w:eastAsia="Arial" w:hAnsi="Arial"/>
          <w:sz w:val="22"/>
          <w:szCs w:val="22"/>
          <w:color w:val="auto"/>
        </w:rPr>
        <w:t>The Company uses a discounted cash flow method to determine the fair value less costs to sell (recoverable amount) of our IPR&amp;D intangible asset. The Company starts with a forecast of all the expected net cash flows, which incorporates the consideration of a terminal value and then the Company applies a discount rate to arrive at a risk-adjusted net present value amount.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Any impairment losses are recognized immediately in the consolidated statements of income/(loss).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of financial assets and liabilities</w:t>
      </w:r>
    </w:p>
    <w:p>
      <w:pPr>
        <w:spacing w:after="0" w:line="239"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Receivables</w:t>
      </w:r>
    </w:p>
    <w:p>
      <w:pPr>
        <w:spacing w:after="0" w:line="233" w:lineRule="exact"/>
        <w:rPr>
          <w:sz w:val="20"/>
          <w:szCs w:val="20"/>
          <w:color w:val="auto"/>
        </w:rPr>
      </w:pPr>
    </w:p>
    <w:p>
      <w:pPr>
        <w:jc w:val="both"/>
        <w:ind w:right="520" w:firstLine="324"/>
        <w:spacing w:after="0" w:line="297" w:lineRule="auto"/>
        <w:rPr>
          <w:sz w:val="20"/>
          <w:szCs w:val="20"/>
          <w:color w:val="auto"/>
        </w:rPr>
      </w:pPr>
      <w:r>
        <w:rPr>
          <w:rFonts w:ascii="Arial" w:cs="Arial" w:eastAsia="Arial" w:hAnsi="Arial"/>
          <w:sz w:val="19"/>
          <w:szCs w:val="19"/>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ind w:left="180"/>
        <w:spacing w:after="0"/>
        <w:rPr>
          <w:sz w:val="20"/>
          <w:szCs w:val="20"/>
          <w:color w:val="auto"/>
        </w:rPr>
      </w:pPr>
      <w:r>
        <w:rPr>
          <w:rFonts w:ascii="Arial" w:cs="Arial" w:eastAsia="Arial" w:hAnsi="Arial"/>
          <w:sz w:val="22"/>
          <w:szCs w:val="22"/>
          <w:b w:val="1"/>
          <w:bCs w:val="1"/>
          <w:i w:val="1"/>
          <w:iCs w:val="1"/>
          <w:color w:val="auto"/>
        </w:rPr>
        <w:t>Short-term financial assets</w:t>
      </w:r>
    </w:p>
    <w:p>
      <w:pPr>
        <w:spacing w:after="0" w:line="234" w:lineRule="exact"/>
        <w:rPr>
          <w:sz w:val="20"/>
          <w:szCs w:val="20"/>
          <w:color w:val="auto"/>
        </w:rPr>
      </w:pPr>
    </w:p>
    <w:p>
      <w:pPr>
        <w:ind w:right="560" w:firstLine="324"/>
        <w:spacing w:after="0" w:line="250" w:lineRule="auto"/>
        <w:rPr>
          <w:sz w:val="20"/>
          <w:szCs w:val="20"/>
          <w:color w:val="auto"/>
        </w:rPr>
      </w:pPr>
      <w:r>
        <w:rPr>
          <w:rFonts w:ascii="Arial" w:cs="Arial" w:eastAsia="Arial" w:hAnsi="Arial"/>
          <w:sz w:val="22"/>
          <w:szCs w:val="22"/>
          <w:color w:val="auto"/>
        </w:rPr>
        <w:t>Short-term financial assets are held with external financial institutions and comprise fixed-term deposits with maturities ranging from more than 3 through 12 months in duration.</w:t>
      </w:r>
    </w:p>
    <w:p>
      <w:pPr>
        <w:spacing w:after="0" w:line="202" w:lineRule="exact"/>
        <w:rPr>
          <w:sz w:val="20"/>
          <w:szCs w:val="20"/>
          <w:color w:val="auto"/>
        </w:rPr>
      </w:pPr>
    </w:p>
    <w:p>
      <w:pPr>
        <w:ind w:right="200" w:firstLine="324"/>
        <w:spacing w:after="0" w:line="250" w:lineRule="auto"/>
        <w:rPr>
          <w:sz w:val="20"/>
          <w:szCs w:val="20"/>
          <w:color w:val="auto"/>
        </w:rPr>
      </w:pPr>
      <w:r>
        <w:rPr>
          <w:rFonts w:ascii="Arial" w:cs="Arial" w:eastAsia="Arial" w:hAnsi="Arial"/>
          <w:sz w:val="22"/>
          <w:szCs w:val="22"/>
          <w:color w:val="auto"/>
        </w:rPr>
        <w:t>The Company assesses whether there is objective evidence that financial assets are impaired annually or whenever potential impairment triggers may occur.</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233" w:lineRule="exact"/>
        <w:rPr>
          <w:sz w:val="20"/>
          <w:szCs w:val="20"/>
          <w:color w:val="auto"/>
        </w:rPr>
      </w:pPr>
    </w:p>
    <w:p>
      <w:pPr>
        <w:ind w:right="580" w:firstLine="324"/>
        <w:spacing w:after="0" w:line="250" w:lineRule="auto"/>
        <w:rPr>
          <w:sz w:val="20"/>
          <w:szCs w:val="20"/>
          <w:color w:val="auto"/>
        </w:rPr>
      </w:pPr>
      <w:r>
        <w:rPr>
          <w:rFonts w:ascii="Arial" w:cs="Arial" w:eastAsia="Arial" w:hAnsi="Arial"/>
          <w:sz w:val="22"/>
          <w:szCs w:val="22"/>
          <w:color w:val="auto"/>
        </w:rPr>
        <w:t>Cash and cash equivalents include deposits held with external financial institutions and cash on hand. All cash and cash equivalents are either in cash or in deposits with original duration of less than 3 months.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Trade payables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Trade payables are amounts due to third parties in the ordinary course of business.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capital and public offerings</w:t>
      </w:r>
    </w:p>
    <w:p>
      <w:pPr>
        <w:spacing w:after="0" w:line="239" w:lineRule="exact"/>
        <w:rPr>
          <w:sz w:val="20"/>
          <w:szCs w:val="20"/>
          <w:color w:val="auto"/>
        </w:rPr>
      </w:pPr>
    </w:p>
    <w:p>
      <w:pPr>
        <w:ind w:right="500" w:firstLine="324"/>
        <w:spacing w:after="0" w:line="297" w:lineRule="auto"/>
        <w:rPr>
          <w:sz w:val="20"/>
          <w:szCs w:val="20"/>
          <w:color w:val="auto"/>
        </w:rPr>
      </w:pPr>
      <w:r>
        <w:rPr>
          <w:rFonts w:ascii="Arial" w:cs="Arial" w:eastAsia="Arial" w:hAnsi="Arial"/>
          <w:sz w:val="19"/>
          <w:szCs w:val="19"/>
          <w:color w:val="auto"/>
        </w:rPr>
        <w:t>Common shares are classified as equity. Share issuance costs are capitalized as incurred and will be shown in equity as a deduction, net of tax, from the proceeds received from existing or future offerings. Should a planned equity offering not be assessed as probable, the issuance costs would be expensed immediately. See “Note 11. Share capital.”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Treasury Shares</w:t>
      </w:r>
    </w:p>
    <w:p>
      <w:pPr>
        <w:spacing w:after="0" w:line="239" w:lineRule="exact"/>
        <w:rPr>
          <w:sz w:val="20"/>
          <w:szCs w:val="20"/>
          <w:color w:val="auto"/>
        </w:rPr>
      </w:pPr>
    </w:p>
    <w:p>
      <w:pPr>
        <w:jc w:val="both"/>
        <w:ind w:firstLine="321"/>
        <w:spacing w:after="0"/>
        <w:rPr>
          <w:sz w:val="20"/>
          <w:szCs w:val="20"/>
          <w:color w:val="auto"/>
        </w:rPr>
      </w:pPr>
      <w:r>
        <w:rPr>
          <w:rFonts w:ascii="Arial" w:cs="Arial" w:eastAsia="Arial" w:hAnsi="Arial"/>
          <w:sz w:val="22"/>
          <w:szCs w:val="22"/>
          <w:color w:val="auto"/>
        </w:rPr>
        <w:t>Treasury shares are recognized at acquisition cost and deducted from shareholders’ equity at the time of acquisition, until they are subsequently resold, distributed or cancelled. Where such shares are subsequently sold, any consideration received is included in shareholders’ equity. See “Note 11. Share capital.”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Post-employment benefits</w:t>
      </w:r>
    </w:p>
    <w:p>
      <w:pPr>
        <w:spacing w:after="0" w:line="233" w:lineRule="exact"/>
        <w:rPr>
          <w:sz w:val="20"/>
          <w:szCs w:val="20"/>
          <w:color w:val="auto"/>
        </w:rPr>
      </w:pPr>
    </w:p>
    <w:p>
      <w:pPr>
        <w:ind w:right="180" w:firstLine="324"/>
        <w:spacing w:after="0" w:line="297" w:lineRule="auto"/>
        <w:rPr>
          <w:sz w:val="20"/>
          <w:szCs w:val="20"/>
          <w:color w:val="auto"/>
        </w:rPr>
      </w:pPr>
      <w:r>
        <w:rPr>
          <w:rFonts w:ascii="Arial" w:cs="Arial" w:eastAsia="Arial" w:hAnsi="Arial"/>
          <w:sz w:val="19"/>
          <w:szCs w:val="19"/>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61"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7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9"/>
          <w:szCs w:val="19"/>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ectPr>
          <w:pgSz w:w="11900" w:h="16838" w:orient="portrait"/>
          <w:cols w:equalWidth="0" w:num="1">
            <w:col w:w="11240"/>
          </w:cols>
          <w:pgMar w:left="320" w:top="118" w:right="3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ind w:left="180"/>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234"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79" w:lineRule="exact"/>
        <w:rPr>
          <w:sz w:val="20"/>
          <w:szCs w:val="20"/>
          <w:color w:val="auto"/>
        </w:rPr>
      </w:pPr>
    </w:p>
    <w:p>
      <w:pPr>
        <w:ind w:right="300" w:firstLine="324"/>
        <w:spacing w:after="0" w:line="238" w:lineRule="auto"/>
        <w:rPr>
          <w:sz w:val="20"/>
          <w:szCs w:val="20"/>
          <w:color w:val="auto"/>
        </w:rPr>
      </w:pPr>
      <w:r>
        <w:rPr>
          <w:rFonts w:ascii="Arial" w:cs="Arial" w:eastAsia="Arial" w:hAnsi="Arial"/>
          <w:sz w:val="22"/>
          <w:szCs w:val="22"/>
          <w:color w:val="auto"/>
        </w:rPr>
        <w:t>Stock options granted under the Company’s stock option plans C and the 2016 Stock Option and Incentive Plan are valued using the Black-Scholes option-pricing model (see “Note 18. Share-based compensation”). This valuation model as well as parameters used such as expected volatility and expected term of the stock options are partially based on management’s estimates.</w:t>
      </w:r>
    </w:p>
    <w:p>
      <w:pPr>
        <w:spacing w:after="0" w:line="212"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The proceeds received net of any directly attributable transaction costs are credited to share capital (nominal value) and share premium when the options are exercised.</w:t>
      </w:r>
    </w:p>
    <w:p>
      <w:pPr>
        <w:spacing w:after="0" w:line="202" w:lineRule="exact"/>
        <w:rPr>
          <w:sz w:val="20"/>
          <w:szCs w:val="20"/>
          <w:color w:val="auto"/>
        </w:rPr>
      </w:pPr>
    </w:p>
    <w:p>
      <w:pPr>
        <w:ind w:right="180" w:firstLine="324"/>
        <w:spacing w:after="0" w:line="235" w:lineRule="auto"/>
        <w:rPr>
          <w:sz w:val="20"/>
          <w:szCs w:val="20"/>
          <w:color w:val="auto"/>
        </w:rPr>
      </w:pPr>
      <w:r>
        <w:rPr>
          <w:rFonts w:ascii="Arial" w:cs="Arial" w:eastAsia="Arial" w:hAnsi="Arial"/>
          <w:sz w:val="22"/>
          <w:szCs w:val="22"/>
          <w:color w:val="auto"/>
        </w:rPr>
        <w:t>We estimate the fair value of restricted share units using a reasonable estimate of market value of the common shares on the date of the award. We classify our share-based payments as equity-classified awards as they are settled in common shares.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capital and share premium as the awards vest.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Provisions</w:t>
      </w:r>
    </w:p>
    <w:p>
      <w:pPr>
        <w:spacing w:after="0" w:line="239" w:lineRule="exact"/>
        <w:rPr>
          <w:sz w:val="20"/>
          <w:szCs w:val="20"/>
          <w:color w:val="auto"/>
        </w:rPr>
      </w:pPr>
    </w:p>
    <w:p>
      <w:pPr>
        <w:jc w:val="both"/>
        <w:ind w:right="80" w:firstLine="324"/>
        <w:spacing w:after="0"/>
        <w:rPr>
          <w:sz w:val="20"/>
          <w:szCs w:val="20"/>
          <w:color w:val="auto"/>
        </w:rPr>
      </w:pPr>
      <w:r>
        <w:rPr>
          <w:rFonts w:ascii="Arial" w:cs="Arial" w:eastAsia="Arial" w:hAnsi="Arial"/>
          <w:sz w:val="22"/>
          <w:szCs w:val="22"/>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w:t>
      </w:r>
    </w:p>
    <w:p>
      <w:pPr>
        <w:spacing w:after="0" w:line="239"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74"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74" w:lineRule="exact"/>
        <w:rPr>
          <w:sz w:val="20"/>
          <w:szCs w:val="20"/>
          <w:color w:val="auto"/>
        </w:rPr>
      </w:pPr>
    </w:p>
    <w:p>
      <w:pPr>
        <w:ind w:right="220" w:firstLine="324"/>
        <w:spacing w:after="0" w:line="249" w:lineRule="auto"/>
        <w:rPr>
          <w:sz w:val="20"/>
          <w:szCs w:val="20"/>
          <w:color w:val="auto"/>
        </w:rPr>
      </w:pPr>
      <w:r>
        <w:rPr>
          <w:rFonts w:ascii="Arial" w:cs="Arial" w:eastAsia="Arial" w:hAnsi="Arial"/>
          <w:sz w:val="21"/>
          <w:szCs w:val="21"/>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as the probability for use is low.</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Income taxes</w:t>
      </w:r>
    </w:p>
    <w:p>
      <w:pPr>
        <w:spacing w:after="0" w:line="233" w:lineRule="exact"/>
        <w:rPr>
          <w:sz w:val="20"/>
          <w:szCs w:val="20"/>
          <w:color w:val="auto"/>
        </w:rPr>
      </w:pPr>
    </w:p>
    <w:p>
      <w:pPr>
        <w:ind w:right="180" w:firstLine="324"/>
        <w:spacing w:after="0" w:line="238" w:lineRule="auto"/>
        <w:rPr>
          <w:sz w:val="20"/>
          <w:szCs w:val="20"/>
          <w:color w:val="auto"/>
        </w:rPr>
      </w:pPr>
      <w:r>
        <w:rPr>
          <w:rFonts w:ascii="Arial" w:cs="Arial" w:eastAsia="Arial" w:hAnsi="Arial"/>
          <w:sz w:val="22"/>
          <w:szCs w:val="22"/>
          <w:color w:val="auto"/>
        </w:rPr>
        <w:t>As disclosed in “Note 16. Income taxes,”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ectPr>
          <w:pgSz w:w="11900" w:h="16838" w:orient="portrait"/>
          <w:cols w:equalWidth="0" w:num="1">
            <w:col w:w="11220"/>
          </w:cols>
          <w:pgMar w:left="320" w:top="118" w:right="3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Earnings per share</w:t>
      </w:r>
    </w:p>
    <w:p>
      <w:pPr>
        <w:spacing w:after="0" w:line="240"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The Company presents basic earnings per share for each period in the consolidated financial statements. The earnings per share are calculated by dividing the earnings of the period by the weighted-average number of shares outstanding during the period. Diluted earnings per share reflect the potential dilution that could occur if dilutive securities such as share options or non-vested restricted share units were vested or exercised into common shares or resulted in the issuance of common shares that would participate in net income. Anti-dilutive shares are excluded from dilutive earnings per share calculation.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judgments and accounting estimates</w:t>
      </w:r>
    </w:p>
    <w:p>
      <w:pPr>
        <w:spacing w:after="0" w:line="239" w:lineRule="exact"/>
        <w:rPr>
          <w:sz w:val="20"/>
          <w:szCs w:val="20"/>
          <w:color w:val="auto"/>
        </w:rPr>
      </w:pPr>
    </w:p>
    <w:p>
      <w:pPr>
        <w:ind w:firstLine="324"/>
        <w:spacing w:after="0" w:line="328" w:lineRule="auto"/>
        <w:rPr>
          <w:sz w:val="20"/>
          <w:szCs w:val="20"/>
          <w:color w:val="auto"/>
        </w:rPr>
      </w:pPr>
      <w:r>
        <w:rPr>
          <w:rFonts w:ascii="Arial" w:cs="Arial" w:eastAsia="Arial" w:hAnsi="Arial"/>
          <w:sz w:val="19"/>
          <w:szCs w:val="19"/>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32" w:lineRule="exact"/>
        <w:rPr>
          <w:sz w:val="20"/>
          <w:szCs w:val="20"/>
          <w:color w:val="auto"/>
        </w:rPr>
      </w:pPr>
    </w:p>
    <w:p>
      <w:pPr>
        <w:ind w:right="500" w:firstLine="324"/>
        <w:spacing w:after="0" w:line="282" w:lineRule="auto"/>
        <w:rPr>
          <w:sz w:val="20"/>
          <w:szCs w:val="20"/>
          <w:color w:val="auto"/>
        </w:rPr>
      </w:pPr>
      <w:r>
        <w:rPr>
          <w:rFonts w:ascii="Arial" w:cs="Arial" w:eastAsia="Arial" w:hAnsi="Arial"/>
          <w:sz w:val="19"/>
          <w:szCs w:val="19"/>
          <w:color w:val="auto"/>
        </w:rPr>
        <w:t>The areas where AC Immune has had to make judgments, estimates and assumptions relate to (i) revenue recognition on LCAs, (ii) clinical development accruals, (iii) net employee defined benefit liability, (iv) income taxes, (v) share-based compensation, (vi) right-of-use assets and lease liabilities and (vii)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reporting</w:t>
      </w:r>
    </w:p>
    <w:p>
      <w:pPr>
        <w:spacing w:after="0" w:line="239" w:lineRule="exact"/>
        <w:rPr>
          <w:sz w:val="20"/>
          <w:szCs w:val="20"/>
          <w:color w:val="auto"/>
        </w:rPr>
      </w:pPr>
    </w:p>
    <w:p>
      <w:pPr>
        <w:ind w:right="780" w:firstLine="324"/>
        <w:spacing w:after="0" w:line="250" w:lineRule="auto"/>
        <w:rPr>
          <w:sz w:val="20"/>
          <w:szCs w:val="20"/>
          <w:color w:val="auto"/>
        </w:rPr>
      </w:pPr>
      <w:r>
        <w:rPr>
          <w:rFonts w:ascii="Arial" w:cs="Arial" w:eastAsia="Arial" w:hAnsi="Arial"/>
          <w:sz w:val="22"/>
          <w:szCs w:val="22"/>
          <w:color w:val="auto"/>
        </w:rPr>
        <w:t>The Company has one segment. The Company currently focuses most of its resources on discovering and developing therapeutic and diagnostic products targeting misfolded proteins.</w:t>
      </w:r>
    </w:p>
    <w:p>
      <w:pPr>
        <w:spacing w:after="0" w:line="202" w:lineRule="exact"/>
        <w:rPr>
          <w:sz w:val="20"/>
          <w:szCs w:val="20"/>
          <w:color w:val="auto"/>
        </w:rPr>
      </w:pPr>
    </w:p>
    <w:p>
      <w:pPr>
        <w:ind w:right="280" w:firstLine="324"/>
        <w:spacing w:after="0" w:line="238" w:lineRule="auto"/>
        <w:rPr>
          <w:sz w:val="20"/>
          <w:szCs w:val="20"/>
          <w:color w:val="auto"/>
        </w:rPr>
      </w:pPr>
      <w:r>
        <w:rPr>
          <w:rFonts w:ascii="Arial" w:cs="Arial" w:eastAsia="Arial" w:hAnsi="Arial"/>
          <w:sz w:val="22"/>
          <w:szCs w:val="22"/>
          <w:color w:val="auto"/>
        </w:rPr>
        <w:t>The Company is managed and operated as one business. A single management team that reports to the chief operating decision maker comprehensively manages the entire business. Accordingly, the Company views its business and manages its operations as one operating segment. Non-current assets are located in and revenue is attributable to the Company’s country of domicile, Switzerland.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policies, new standards, interpretations and amendments adopted by the Company</w:t>
      </w:r>
    </w:p>
    <w:p>
      <w:pPr>
        <w:spacing w:after="0" w:line="239" w:lineRule="exact"/>
        <w:rPr>
          <w:sz w:val="20"/>
          <w:szCs w:val="20"/>
          <w:color w:val="auto"/>
        </w:rPr>
      </w:pPr>
    </w:p>
    <w:p>
      <w:pPr>
        <w:ind w:right="260" w:firstLine="324"/>
        <w:spacing w:after="0"/>
        <w:rPr>
          <w:sz w:val="20"/>
          <w:szCs w:val="20"/>
          <w:color w:val="auto"/>
        </w:rPr>
      </w:pPr>
      <w:r>
        <w:rPr>
          <w:rFonts w:ascii="Arial" w:cs="Arial" w:eastAsia="Arial" w:hAnsi="Arial"/>
          <w:sz w:val="22"/>
          <w:szCs w:val="22"/>
          <w:color w:val="auto"/>
        </w:rPr>
        <w:t>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tables show the movements in the net book values of property, plant and equipment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2021 and 2020,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IT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Laboratory</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Leasehold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00" w:type="dxa"/>
            <w:vAlign w:val="bottom"/>
          </w:tcPr>
          <w:p>
            <w:pPr>
              <w:ind w:left="154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Furniture</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equipment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equipment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improvements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Acquisition cost:</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Acquisitions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12,666</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Depreciation expenses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(45)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(1,398)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(1,897)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(1,316)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(5,739)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(7,550)</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w:t>
            </w: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315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3,457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5,116</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IT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Laboratory</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Leasehold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00" w:type="dxa"/>
            <w:vAlign w:val="bottom"/>
          </w:tcPr>
          <w:p>
            <w:pPr>
              <w:ind w:left="154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Furniture</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equipment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equipment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improvements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Acquisition cost:</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Acquisitions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96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10,133</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Depreciation expenses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(33)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(1,092)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(1,535)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(970)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(4,405)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(5,717)</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Carrying amount: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w:t>
            </w: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153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527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4,416</w:t>
            </w:r>
          </w:p>
        </w:tc>
      </w:tr>
    </w:tbl>
    <w:p>
      <w:pPr>
        <w:spacing w:after="0" w:line="203"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AC Immune continues to enhance its laboratory equipment to support its R&amp;D functions. This effort has continued for the year ended December 31, 2021, with CHF 1.6 million invested in lab equipment, including the expansion of our leased lab space, and IT equipment, representing an increase of 16.6%.</w:t>
      </w:r>
    </w:p>
    <w:p>
      <w:pPr>
        <w:spacing w:after="0" w:line="213" w:lineRule="exact"/>
        <w:rPr>
          <w:sz w:val="20"/>
          <w:szCs w:val="20"/>
          <w:color w:val="auto"/>
        </w:rPr>
      </w:pPr>
    </w:p>
    <w:p>
      <w:pPr>
        <w:ind w:right="180" w:firstLine="324"/>
        <w:spacing w:after="0" w:line="250" w:lineRule="auto"/>
        <w:rPr>
          <w:sz w:val="20"/>
          <w:szCs w:val="20"/>
          <w:color w:val="auto"/>
        </w:rPr>
      </w:pPr>
      <w:r>
        <w:rPr>
          <w:rFonts w:ascii="Arial" w:cs="Arial" w:eastAsia="Arial" w:hAnsi="Arial"/>
          <w:sz w:val="22"/>
          <w:szCs w:val="22"/>
          <w:color w:val="auto"/>
        </w:rPr>
        <w:t>For the years ended December 31, 2021, 2020 and 2019, the Company incurred CHF 1.9 million, CHF 1.5 million and CHF 1.3 million in depreciation expenses, respectively.</w:t>
      </w:r>
    </w:p>
    <w:p>
      <w:pPr>
        <w:spacing w:after="0" w:line="20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4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The Company recognized additions and remeasurements of right-of-use of leased assets for buildings or for office equipment totaling CHF 1.2 million and CHF 0.4 million for the years ended December 31, 2021 and 2020, respectively. In 2021, these increases are predominantly associated with the remeasurement and expansion of our leased office space.</w:t>
      </w:r>
    </w:p>
    <w:p>
      <w:pPr>
        <w:spacing w:after="0" w:line="161" w:lineRule="exact"/>
        <w:rPr>
          <w:sz w:val="20"/>
          <w:szCs w:val="20"/>
          <w:color w:val="auto"/>
        </w:rPr>
      </w:pPr>
    </w:p>
    <w:p>
      <w:pPr>
        <w:jc w:val="both"/>
        <w:ind w:right="60" w:firstLine="324"/>
        <w:spacing w:after="0"/>
        <w:rPr>
          <w:sz w:val="20"/>
          <w:szCs w:val="20"/>
          <w:color w:val="auto"/>
        </w:rPr>
      </w:pPr>
      <w:r>
        <w:rPr>
          <w:rFonts w:ascii="Arial" w:cs="Arial" w:eastAsia="Arial" w:hAnsi="Arial"/>
          <w:sz w:val="22"/>
          <w:szCs w:val="22"/>
          <w:color w:val="auto"/>
        </w:rPr>
        <w:t>Regarding lease liabilities, the amortization depends on the rate implicit in the contract or the incremental borrowing rate for the respective lease component. The weighted averages of the incremental borrowing rates as of December 31, 2021 are 2.5% for buildings, 5.3% for office equipment and 2.6% for IT equipment.</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ind w:left="340"/>
        <w:spacing w:after="0"/>
        <w:rPr>
          <w:sz w:val="20"/>
          <w:szCs w:val="20"/>
          <w:color w:val="auto"/>
        </w:rPr>
      </w:pPr>
      <w:r>
        <w:rPr>
          <w:rFonts w:ascii="Arial" w:cs="Arial" w:eastAsia="Arial" w:hAnsi="Arial"/>
          <w:sz w:val="21"/>
          <w:szCs w:val="21"/>
          <w:color w:val="auto"/>
        </w:rPr>
        <w:t>The following tables show the movements in the net book values of right-of-use of leased assets for the years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2021 and 2020,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Office</w:t>
            </w:r>
          </w:p>
        </w:tc>
        <w:tc>
          <w:tcPr>
            <w:tcW w:w="1320" w:type="dxa"/>
            <w:vAlign w:val="bottom"/>
            <w:gridSpan w:val="2"/>
          </w:tcPr>
          <w:p>
            <w:pPr>
              <w:ind w:left="460"/>
              <w:spacing w:after="0"/>
              <w:rPr>
                <w:sz w:val="20"/>
                <w:szCs w:val="20"/>
                <w:color w:val="auto"/>
              </w:rPr>
            </w:pPr>
            <w:r>
              <w:rPr>
                <w:rFonts w:ascii="Arial" w:cs="Arial" w:eastAsia="Arial" w:hAnsi="Arial"/>
                <w:sz w:val="18"/>
                <w:szCs w:val="18"/>
                <w:b w:val="1"/>
                <w:bCs w:val="1"/>
                <w:color w:val="auto"/>
              </w:rPr>
              <w:t>IT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60" w:type="dxa"/>
            <w:vAlign w:val="bottom"/>
          </w:tcPr>
          <w:p>
            <w:pPr>
              <w:ind w:left="222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Buildings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equipment</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equipment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54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Additions and remeasurements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(474)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40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Office</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IT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60" w:type="dxa"/>
            <w:vAlign w:val="bottom"/>
          </w:tcPr>
          <w:p>
            <w:pPr>
              <w:ind w:left="222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Buildings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equipment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equipment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Additions and remeasurements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r>
    </w:tbl>
    <w:p>
      <w:pPr>
        <w:spacing w:after="0" w:line="203" w:lineRule="exact"/>
        <w:rPr>
          <w:sz w:val="20"/>
          <w:szCs w:val="20"/>
          <w:color w:val="auto"/>
        </w:rPr>
      </w:pPr>
    </w:p>
    <w:p>
      <w:pPr>
        <w:ind w:right="340" w:firstLine="324"/>
        <w:spacing w:after="0" w:line="250" w:lineRule="auto"/>
        <w:rPr>
          <w:sz w:val="20"/>
          <w:szCs w:val="20"/>
          <w:color w:val="auto"/>
        </w:rPr>
      </w:pPr>
      <w:r>
        <w:rPr>
          <w:rFonts w:ascii="Arial" w:cs="Arial" w:eastAsia="Arial" w:hAnsi="Arial"/>
          <w:sz w:val="22"/>
          <w:szCs w:val="22"/>
          <w:color w:val="auto"/>
        </w:rPr>
        <w:t>For the years ended December 31, 2021, and 2020, the impact on the Company’s consolidated statements of income/(loss) and consolidated statements of cash flows is detailed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Consolidated statements of income/(loss)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 on lease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Consolidated statements of cash flows</w:t>
            </w: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cash outflow for leases</w:t>
            </w:r>
          </w:p>
        </w:tc>
        <w:tc>
          <w:tcPr>
            <w:tcW w:w="1120" w:type="dxa"/>
            <w:vAlign w:val="bottom"/>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presents the contractual undiscounted cash flows for lease liabilities as of December 31,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Between 1 and 3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Between 3 and 5 years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3,101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00" w:firstLine="324"/>
        <w:spacing w:after="0" w:line="250" w:lineRule="auto"/>
        <w:rPr>
          <w:sz w:val="20"/>
          <w:szCs w:val="20"/>
          <w:color w:val="auto"/>
        </w:rPr>
      </w:pPr>
      <w:r>
        <w:rPr>
          <w:rFonts w:ascii="Arial" w:cs="Arial" w:eastAsia="Arial" w:hAnsi="Arial"/>
          <w:sz w:val="22"/>
          <w:szCs w:val="22"/>
          <w:color w:val="auto"/>
        </w:rPr>
        <w:t>The Company also has two deposits in escrow accounts totaling CHF 0.4 million and CHF 0.3 million for the lease of the Company’s premises as of December 31, 2021 and 2020, respectively.</w:t>
      </w:r>
    </w:p>
    <w:p>
      <w:pPr>
        <w:spacing w:after="0" w:line="20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w:t>
      </w:r>
    </w:p>
    <w:p>
      <w:pPr>
        <w:spacing w:after="0" w:line="249"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In Q4 2021, the Company closed its acquisition with Affiris AG (Affiris) for the program portfolio of therapeutics targeting a-syn, notably ACI-7104 (previously PD01), a clinically-validated active vaccine candidate for the treatment of Parkinson’s disease (the Transferred Assets). The Company acquired the Transferred Assets and USD 5.0 (CHF 4.6) million in cash in exchange for 7,106,840 shares of the Company at closing, for a total value of USD 58.7 (CHF 55.1)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With the closing of this transaction, the Company has recorded an IPR&amp;D intangible asset associated with ACI-7104 for USD</w:t>
      </w:r>
    </w:p>
    <w:p>
      <w:pPr>
        <w:spacing w:after="0" w:line="43"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53.7 (CHF 50.4) million. The Company used a risk-adjusted discounted cash flow method to determine the fair value of the intangible asset. See “Note 7. Intangible assets” for further details on assumptions used.</w:t>
      </w:r>
    </w:p>
    <w:p>
      <w:pPr>
        <w:sectPr>
          <w:pgSz w:w="11900" w:h="16838" w:orient="portrait"/>
          <w:cols w:equalWidth="0" w:num="1">
            <w:col w:w="11240"/>
          </w:cols>
          <w:pgMar w:left="320" w:top="118"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ind w:right="40" w:firstLine="324"/>
        <w:spacing w:after="0" w:line="251" w:lineRule="auto"/>
        <w:rPr>
          <w:sz w:val="20"/>
          <w:szCs w:val="20"/>
          <w:color w:val="auto"/>
        </w:rPr>
      </w:pPr>
      <w:r>
        <w:rPr>
          <w:rFonts w:ascii="Arial" w:cs="Arial" w:eastAsia="Arial" w:hAnsi="Arial"/>
          <w:sz w:val="22"/>
          <w:szCs w:val="22"/>
          <w:color w:val="auto"/>
        </w:rPr>
        <w:t xml:space="preserve">As the Company transferred its own equity instruments in consideration for the asset transferred, the acquisition was assessed in accordance with IFRS 2 </w:t>
      </w:r>
      <w:r>
        <w:rPr>
          <w:rFonts w:ascii="Arial" w:cs="Arial" w:eastAsia="Arial" w:hAnsi="Arial"/>
          <w:sz w:val="22"/>
          <w:szCs w:val="22"/>
          <w:i w:val="1"/>
          <w:iCs w:val="1"/>
          <w:color w:val="auto"/>
        </w:rPr>
        <w:t>Share-based Payment</w:t>
      </w:r>
      <w:r>
        <w:rPr>
          <w:rFonts w:ascii="Arial" w:cs="Arial" w:eastAsia="Arial" w:hAnsi="Arial"/>
          <w:sz w:val="22"/>
          <w:szCs w:val="22"/>
          <w:color w:val="auto"/>
        </w:rPr>
        <w:t>.</w:t>
      </w:r>
    </w:p>
    <w:p>
      <w:pPr>
        <w:spacing w:after="0" w:line="200"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color w:val="auto"/>
        </w:rPr>
        <w:t xml:space="preserve">The Company determined that the acquisition of the Transferred Assets did not qualify as a business combination in accordance with IFRS 3 </w:t>
      </w:r>
      <w:r>
        <w:rPr>
          <w:rFonts w:ascii="Arial" w:cs="Arial" w:eastAsia="Arial" w:hAnsi="Arial"/>
          <w:sz w:val="19"/>
          <w:szCs w:val="19"/>
          <w:i w:val="1"/>
          <w:iCs w:val="1"/>
          <w:color w:val="auto"/>
        </w:rPr>
        <w:t>Business Combinations</w:t>
      </w:r>
      <w:r>
        <w:rPr>
          <w:rFonts w:ascii="Arial" w:cs="Arial" w:eastAsia="Arial" w:hAnsi="Arial"/>
          <w:sz w:val="19"/>
          <w:szCs w:val="19"/>
          <w:color w:val="auto"/>
        </w:rPr>
        <w:t xml:space="preserve"> and therefore was accounted for as an asset acquisition. Most of the fair value of the Transferred Assets is attributable to a single identifiable asset which is the in-process research and development asset. The purchase consideration for the Transferred Assets was allocated based on their relative fair values.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the amounts of the Transferred Assets acquired: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20" w:type="dxa"/>
            <w:vAlign w:val="bottom"/>
          </w:tcPr>
          <w:p>
            <w:pPr>
              <w:spacing w:after="0"/>
              <w:rPr>
                <w:sz w:val="20"/>
                <w:szCs w:val="20"/>
                <w:color w:val="auto"/>
              </w:rPr>
            </w:pPr>
          </w:p>
        </w:tc>
        <w:tc>
          <w:tcPr>
            <w:tcW w:w="8620" w:type="dxa"/>
            <w:vAlign w:val="bottom"/>
            <w:gridSpan w:val="4"/>
          </w:tcPr>
          <w:p>
            <w:pPr>
              <w:ind w:left="1620"/>
              <w:spacing w:after="0"/>
              <w:rPr>
                <w:sz w:val="20"/>
                <w:szCs w:val="20"/>
                <w:color w:val="auto"/>
              </w:rPr>
            </w:pPr>
            <w:r>
              <w:rPr>
                <w:rFonts w:ascii="Arial" w:cs="Arial" w:eastAsia="Arial" w:hAnsi="Arial"/>
                <w:sz w:val="18"/>
                <w:szCs w:val="18"/>
                <w:b w:val="1"/>
                <w:bCs w:val="1"/>
                <w:color w:val="auto"/>
              </w:rPr>
              <w:t>In CHF thousands</w:t>
            </w:r>
          </w:p>
        </w:tc>
      </w:tr>
      <w:tr>
        <w:trPr>
          <w:trHeight w:val="216"/>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7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8"/>
                <w:szCs w:val="18"/>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IPR&amp;D Asset</w:t>
            </w: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50,416</w:t>
            </w:r>
          </w:p>
        </w:tc>
        <w:tc>
          <w:tcPr>
            <w:tcW w:w="100" w:type="dxa"/>
            <w:vAlign w:val="bottom"/>
          </w:tcPr>
          <w:p>
            <w:pPr>
              <w:spacing w:after="0"/>
              <w:rPr>
                <w:sz w:val="19"/>
                <w:szCs w:val="19"/>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55,050</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9" w:lineRule="exact"/>
        <w:rPr>
          <w:sz w:val="20"/>
          <w:szCs w:val="20"/>
          <w:color w:val="auto"/>
        </w:rPr>
      </w:pPr>
    </w:p>
    <w:p>
      <w:pPr>
        <w:ind w:right="360" w:firstLine="324"/>
        <w:spacing w:after="0"/>
        <w:rPr>
          <w:sz w:val="20"/>
          <w:szCs w:val="20"/>
          <w:color w:val="auto"/>
        </w:rPr>
      </w:pPr>
      <w:r>
        <w:rPr>
          <w:rFonts w:ascii="Arial" w:cs="Arial" w:eastAsia="Arial" w:hAnsi="Arial"/>
          <w:sz w:val="22"/>
          <w:szCs w:val="22"/>
          <w:color w:val="auto"/>
        </w:rPr>
        <w:t>AC Immune’s acquired IPR&amp;D asset is a clinically-validated active vaccine candidate for the treatment of Parkinson’s disease. The asset is not yet ready for use until the asset obtains market approval. The carrying amount and net book value are detailed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Borders>
              <w:bottom w:val="single" w:sz="8" w:color="auto"/>
            </w:tcBorders>
            <w:gridSpan w:val="4"/>
          </w:tcPr>
          <w:p>
            <w:pPr>
              <w:ind w:left="1960"/>
              <w:spacing w:after="0"/>
              <w:rPr>
                <w:sz w:val="20"/>
                <w:szCs w:val="20"/>
                <w:color w:val="auto"/>
              </w:rPr>
            </w:pPr>
            <w:r>
              <w:rPr>
                <w:rFonts w:ascii="Arial" w:cs="Arial" w:eastAsia="Arial" w:hAnsi="Arial"/>
                <w:sz w:val="18"/>
                <w:szCs w:val="18"/>
                <w:b w:val="1"/>
                <w:bCs w:val="1"/>
                <w:color w:val="auto"/>
              </w:rPr>
              <w:t>As of December 31, 2021</w:t>
            </w: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As of December 31, 2020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6"/>
              </w:rPr>
              <w:t>Net</w:t>
            </w:r>
          </w:p>
        </w:tc>
        <w:tc>
          <w:tcPr>
            <w:tcW w:w="13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Gross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Book</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Carrying</w:t>
            </w: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Book</w:t>
            </w:r>
          </w:p>
        </w:tc>
      </w:tr>
      <w:tr>
        <w:trPr>
          <w:trHeight w:val="241"/>
        </w:trPr>
        <w:tc>
          <w:tcPr>
            <w:tcW w:w="3160" w:type="dxa"/>
            <w:vAlign w:val="bottom"/>
          </w:tcPr>
          <w:p>
            <w:pPr>
              <w:ind w:left="88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3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IPR&amp;D Asset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50,416</w:t>
            </w:r>
          </w:p>
        </w:tc>
        <w:tc>
          <w:tcPr>
            <w:tcW w:w="260" w:type="dxa"/>
            <w:vAlign w:val="bottom"/>
          </w:tcPr>
          <w:p>
            <w:pPr>
              <w:spacing w:after="0"/>
              <w:rPr>
                <w:sz w:val="18"/>
                <w:szCs w:val="18"/>
                <w:color w:val="auto"/>
              </w:rPr>
            </w:pP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50,416</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80" w:firstLine="321"/>
        <w:spacing w:after="0" w:line="287" w:lineRule="auto"/>
        <w:rPr>
          <w:sz w:val="20"/>
          <w:szCs w:val="20"/>
          <w:color w:val="auto"/>
        </w:rPr>
      </w:pPr>
      <w:r>
        <w:rPr>
          <w:rFonts w:ascii="Arial" w:cs="Arial" w:eastAsia="Arial" w:hAnsi="Arial"/>
          <w:sz w:val="19"/>
          <w:szCs w:val="19"/>
          <w:color w:val="auto"/>
        </w:rPr>
        <w:t xml:space="preserve">In accordance with IAS 36 </w:t>
      </w:r>
      <w:r>
        <w:rPr>
          <w:rFonts w:ascii="Arial" w:cs="Arial" w:eastAsia="Arial" w:hAnsi="Arial"/>
          <w:sz w:val="19"/>
          <w:szCs w:val="19"/>
          <w:i w:val="1"/>
          <w:iCs w:val="1"/>
          <w:color w:val="auto"/>
        </w:rPr>
        <w:t>Impairment of Assets</w:t>
      </w:r>
      <w:r>
        <w:rPr>
          <w:rFonts w:ascii="Arial" w:cs="Arial" w:eastAsia="Arial" w:hAnsi="Arial"/>
          <w:sz w:val="19"/>
          <w:szCs w:val="19"/>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Arial" w:cs="Arial" w:eastAsia="Arial" w:hAnsi="Arial"/>
          <w:sz w:val="19"/>
          <w:szCs w:val="19"/>
          <w:i w:val="1"/>
          <w:iCs w:val="1"/>
          <w:color w:val="auto"/>
        </w:rPr>
        <w:t>Fair Value Measurement</w:t>
      </w:r>
      <w:r>
        <w:rPr>
          <w:rFonts w:ascii="Arial" w:cs="Arial" w:eastAsia="Arial" w:hAnsi="Arial"/>
          <w:sz w:val="19"/>
          <w:szCs w:val="19"/>
          <w:color w:val="auto"/>
        </w:rPr>
        <w:t xml:space="preserve"> due to unobservable inputs used in the valuation. The Company has not determined the IPR&amp;D asset to be impaired as of December 31, 2021.</w:t>
      </w:r>
    </w:p>
    <w:p>
      <w:pPr>
        <w:spacing w:after="0" w:line="170" w:lineRule="exact"/>
        <w:rPr>
          <w:sz w:val="20"/>
          <w:szCs w:val="20"/>
          <w:color w:val="auto"/>
        </w:rPr>
      </w:pPr>
    </w:p>
    <w:p>
      <w:pPr>
        <w:ind w:right="640" w:firstLine="321"/>
        <w:spacing w:after="0" w:line="250" w:lineRule="auto"/>
        <w:rPr>
          <w:sz w:val="20"/>
          <w:szCs w:val="20"/>
          <w:color w:val="auto"/>
        </w:rPr>
      </w:pPr>
      <w:r>
        <w:rPr>
          <w:rFonts w:ascii="Arial" w:cs="Arial" w:eastAsia="Arial" w:hAnsi="Arial"/>
          <w:sz w:val="22"/>
          <w:szCs w:val="22"/>
          <w:color w:val="auto"/>
        </w:rPr>
        <w:t>The key assumptions used in the valuation model in accordance with an income approach to determine the recoverable amount include observable and unobservable key inputs as follows:</w:t>
      </w:r>
    </w:p>
    <w:p>
      <w:pPr>
        <w:spacing w:after="0" w:line="209"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Anticipated research and development costs;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Anticipated costs of goods and sales and marketing expenditures;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Probability of achieving clinical and regulatory development milestones in accordance with certain industry benchmarks;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Target indication prevalence and incidence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Anticipated market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commercialization expectations such as anticipated pricing and uptake;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patent life and market exclusivity periods;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metrics such as the tax rate</w:t>
      </w:r>
    </w:p>
    <w:p>
      <w:pPr>
        <w:spacing w:after="0" w:line="231" w:lineRule="exact"/>
        <w:rPr>
          <w:sz w:val="20"/>
          <w:szCs w:val="20"/>
          <w:color w:val="auto"/>
        </w:rPr>
      </w:pPr>
    </w:p>
    <w:p>
      <w:pPr>
        <w:ind w:right="340" w:firstLine="321"/>
        <w:spacing w:after="0"/>
        <w:rPr>
          <w:sz w:val="20"/>
          <w:szCs w:val="20"/>
          <w:color w:val="auto"/>
        </w:rPr>
      </w:pPr>
      <w:r>
        <w:rPr>
          <w:rFonts w:ascii="Arial" w:cs="Arial" w:eastAsia="Arial" w:hAnsi="Arial"/>
          <w:sz w:val="22"/>
          <w:szCs w:val="22"/>
          <w:color w:val="auto"/>
        </w:rPr>
        <w:t>The Company’s valuation model calculates the risk-adjusted, net cash flows through the projected period of market exclusivity across target sales regions. The Company uses a discount rate of 15%, based on the assumed cost of capital for the Company over the forecast period.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See “Note 6. Asset acquisition” for further details.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49"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The Company’s cash and cash equivalents are maintained in the following respective currencies as of December 31,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160,893</w:t>
            </w:r>
          </w:p>
        </w:tc>
      </w:tr>
      <w:tr>
        <w:trPr>
          <w:trHeight w:val="20"/>
        </w:trPr>
        <w:tc>
          <w:tcPr>
            <w:tcW w:w="86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CHF</w:t>
            </w:r>
          </w:p>
        </w:tc>
        <w:tc>
          <w:tcPr>
            <w:tcW w:w="1120" w:type="dxa"/>
            <w:vAlign w:val="bottom"/>
          </w:tcPr>
          <w:p>
            <w:pPr>
              <w:jc w:val="right"/>
              <w:spacing w:after="0"/>
              <w:rPr>
                <w:sz w:val="20"/>
                <w:szCs w:val="20"/>
                <w:color w:val="auto"/>
              </w:rPr>
            </w:pPr>
            <w:r>
              <w:rPr>
                <w:rFonts w:ascii="Arial" w:cs="Arial" w:eastAsia="Arial" w:hAnsi="Arial"/>
                <w:sz w:val="18"/>
                <w:szCs w:val="18"/>
                <w:color w:val="auto"/>
              </w:rPr>
              <w:t>64,941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152,537</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EUR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USD</w:t>
            </w:r>
          </w:p>
        </w:tc>
        <w:tc>
          <w:tcPr>
            <w:tcW w:w="1120" w:type="dxa"/>
            <w:vAlign w:val="bottom"/>
          </w:tcPr>
          <w:p>
            <w:pPr>
              <w:jc w:val="right"/>
              <w:spacing w:after="0"/>
              <w:rPr>
                <w:sz w:val="20"/>
                <w:szCs w:val="20"/>
                <w:color w:val="auto"/>
              </w:rPr>
            </w:pPr>
            <w:r>
              <w:rPr>
                <w:rFonts w:ascii="Arial" w:cs="Arial" w:eastAsia="Arial" w:hAnsi="Arial"/>
                <w:sz w:val="18"/>
                <w:szCs w:val="18"/>
                <w:color w:val="auto"/>
              </w:rPr>
              <w:t>15,022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At the balance sheet dates, Company funds were held in CHF, EUR and USD currencies. As of December 31, 2021 and 2020, funds in EUR and USD were translated into CHF at a rate of 1.045 and 0.923 and 1.095 and 0.891, respectively, for each currency and year.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the Company’s short-term financial assets as of December 31, 2021 and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financial assets due in 1 year or less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Prepaid expenses and accrued income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Accrued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120" w:firstLine="324"/>
        <w:spacing w:after="0" w:line="274" w:lineRule="auto"/>
        <w:rPr>
          <w:sz w:val="20"/>
          <w:szCs w:val="20"/>
          <w:color w:val="auto"/>
        </w:rPr>
      </w:pPr>
      <w:r>
        <w:rPr>
          <w:rFonts w:ascii="Arial" w:cs="Arial" w:eastAsia="Arial" w:hAnsi="Arial"/>
          <w:sz w:val="21"/>
          <w:szCs w:val="21"/>
          <w:color w:val="auto"/>
        </w:rPr>
        <w:t>The prepaid expenses relate mainly to research contracts with down-payments at contract signature with the related activities to start or continue into 2022 as well as prepayment for our Director and Officer’s insurance coverage.</w:t>
      </w:r>
    </w:p>
    <w:p>
      <w:pPr>
        <w:spacing w:after="0" w:line="178" w:lineRule="exact"/>
        <w:rPr>
          <w:sz w:val="20"/>
          <w:szCs w:val="20"/>
          <w:color w:val="auto"/>
        </w:rPr>
      </w:pPr>
    </w:p>
    <w:p>
      <w:pPr>
        <w:ind w:right="460" w:firstLine="324"/>
        <w:spacing w:after="0" w:line="252" w:lineRule="auto"/>
        <w:rPr>
          <w:sz w:val="20"/>
          <w:szCs w:val="20"/>
          <w:color w:val="auto"/>
        </w:rPr>
      </w:pPr>
      <w:r>
        <w:rPr>
          <w:rFonts w:ascii="Arial" w:cs="Arial" w:eastAsia="Arial" w:hAnsi="Arial"/>
          <w:sz w:val="21"/>
          <w:szCs w:val="21"/>
          <w:color w:val="auto"/>
        </w:rPr>
        <w:t>Accrued income consists of CHF 0.9 million December 31, 2021 associated with our MJFF grants (see “Note 13.2 Grant income”). This amount represents 87% of our total accrued income as of December 31, 2021. As of December 31, 2020, the Company recorded CHF 1.1 million of accrued income associated with our Janssen collaboration. This amount represented 68.1% of our total accrued income as of December 31, 2020.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10. Other current receivables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receivable</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Swiss VAT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tcBorders>
          </w:tcPr>
          <w:p>
            <w:pPr>
              <w:spacing w:after="0"/>
              <w:rPr>
                <w:sz w:val="18"/>
                <w:szCs w:val="18"/>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520" w:firstLine="324"/>
        <w:spacing w:after="0" w:line="250" w:lineRule="auto"/>
        <w:rPr>
          <w:sz w:val="20"/>
          <w:szCs w:val="20"/>
          <w:color w:val="auto"/>
        </w:rPr>
      </w:pPr>
      <w:r>
        <w:rPr>
          <w:rFonts w:ascii="Arial" w:cs="Arial" w:eastAsia="Arial" w:hAnsi="Arial"/>
          <w:sz w:val="22"/>
          <w:szCs w:val="22"/>
          <w:color w:val="auto"/>
        </w:rPr>
        <w:t>The maturity of these assets is less than 3 months. The Company considers the counterparty risk as low and the carrying amount of these receivables is considered to approximate their fair value.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w:t>
      </w:r>
    </w:p>
    <w:p>
      <w:pPr>
        <w:spacing w:after="0" w:line="249" w:lineRule="exact"/>
        <w:rPr>
          <w:sz w:val="20"/>
          <w:szCs w:val="20"/>
          <w:color w:val="auto"/>
        </w:rPr>
      </w:pPr>
    </w:p>
    <w:p>
      <w:pPr>
        <w:ind w:right="120" w:firstLine="324"/>
        <w:spacing w:after="0"/>
        <w:rPr>
          <w:sz w:val="20"/>
          <w:szCs w:val="20"/>
          <w:color w:val="auto"/>
        </w:rPr>
      </w:pPr>
      <w:r>
        <w:rPr>
          <w:rFonts w:ascii="Arial" w:cs="Arial" w:eastAsia="Arial" w:hAnsi="Arial"/>
          <w:sz w:val="22"/>
          <w:szCs w:val="22"/>
          <w:color w:val="auto"/>
        </w:rPr>
        <w:t>As of December 31, 2021 and 2020, the issued share capital amounted to CHF 1,794,013 and CHF 1,538,896, respectively, and is composed of common shares of 83,479,013 and 71,936,738, respectively, and treasury shares of 6,221,617 and 5,000,000, respectively.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table below summarizes the Company’s capital structure: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2"/>
              </w:rPr>
              <w:t>In CHF thousands</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6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Treasury</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w:t>
            </w:r>
          </w:p>
        </w:tc>
        <w:tc>
          <w:tcPr>
            <w:tcW w:w="1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Treasury</w:t>
            </w:r>
          </w:p>
        </w:tc>
      </w:tr>
      <w:tr>
        <w:trPr>
          <w:trHeight w:val="241"/>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71,859,431</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Issuance of shares – incentive plans, net of RSU expiration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and forfeiture</w:t>
            </w:r>
          </w:p>
        </w:tc>
        <w:tc>
          <w:tcPr>
            <w:tcW w:w="1140" w:type="dxa"/>
            <w:vAlign w:val="bottom"/>
          </w:tcPr>
          <w:p>
            <w:pPr>
              <w:jc w:val="right"/>
              <w:spacing w:after="0"/>
              <w:rPr>
                <w:sz w:val="20"/>
                <w:szCs w:val="20"/>
                <w:color w:val="auto"/>
              </w:rPr>
            </w:pPr>
            <w:r>
              <w:rPr>
                <w:rFonts w:ascii="Arial" w:cs="Arial" w:eastAsia="Arial" w:hAnsi="Arial"/>
                <w:sz w:val="18"/>
                <w:szCs w:val="18"/>
                <w:color w:val="auto"/>
              </w:rPr>
              <w:t>77,307</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364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to be held as treasury shares, net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76,936,738</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(5,000,000)</w:t>
            </w:r>
          </w:p>
        </w:tc>
        <w:tc>
          <w:tcPr>
            <w:tcW w:w="1140" w:type="dxa"/>
            <w:vAlign w:val="bottom"/>
          </w:tcPr>
          <w:p>
            <w:pPr>
              <w:jc w:val="right"/>
              <w:spacing w:after="0"/>
              <w:rPr>
                <w:sz w:val="20"/>
                <w:szCs w:val="20"/>
                <w:color w:val="auto"/>
              </w:rPr>
            </w:pPr>
            <w:r>
              <w:rPr>
                <w:rFonts w:ascii="Arial" w:cs="Arial" w:eastAsia="Arial" w:hAnsi="Arial"/>
                <w:sz w:val="18"/>
                <w:szCs w:val="18"/>
                <w:color w:val="auto"/>
              </w:rPr>
              <w:t>1,538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346,890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Proceeds from sale of treasury shares in public offerings, net</w:t>
            </w: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underwriting fees and transaction costs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1,171,543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purchase agreement, net of transaction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7,106,840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54,328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 agreements, net of transaction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3,026,634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4"/>
              </w:rPr>
              <w:t>Issuance of shares – incentive plans, net of transaction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237,258</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1,253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to be held as treasury shares, net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2,393,160</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(2,393,160)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89,700,630</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(6,221,617)</w:t>
            </w:r>
          </w:p>
        </w:tc>
        <w:tc>
          <w:tcPr>
            <w:tcW w:w="1140" w:type="dxa"/>
            <w:vAlign w:val="bottom"/>
          </w:tcPr>
          <w:p>
            <w:pPr>
              <w:jc w:val="right"/>
              <w:spacing w:after="0"/>
              <w:rPr>
                <w:sz w:val="20"/>
                <w:szCs w:val="20"/>
                <w:color w:val="auto"/>
              </w:rPr>
            </w:pPr>
            <w:r>
              <w:rPr>
                <w:rFonts w:ascii="Arial" w:cs="Arial" w:eastAsia="Arial" w:hAnsi="Arial"/>
                <w:sz w:val="18"/>
                <w:szCs w:val="18"/>
                <w:color w:val="auto"/>
              </w:rPr>
              <w:t>1,794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431,251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40" w:firstLine="324"/>
        <w:spacing w:after="0"/>
        <w:rPr>
          <w:sz w:val="20"/>
          <w:szCs w:val="20"/>
          <w:color w:val="auto"/>
        </w:rPr>
      </w:pPr>
      <w:r>
        <w:rPr>
          <w:rFonts w:ascii="Arial" w:cs="Arial" w:eastAsia="Arial" w:hAnsi="Arial"/>
          <w:sz w:val="22"/>
          <w:szCs w:val="22"/>
          <w:color w:val="auto"/>
        </w:rPr>
        <w:t>The common shares and treasury shares have nominal values of CHF 0.02 per share. All shares have been fully paid. These treasury shares held by the Company are not considered outstanding shares as of December 31, 2021 or 2020. Additionally, 19,632 RSUs either expired or were forfeited in 2020.</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Authorized capital</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Company’s authorized capital is depleted as of December 31, 2021.</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Conditional share capital for bonds and similar debt instruments</w:t>
      </w:r>
    </w:p>
    <w:p>
      <w:pPr>
        <w:spacing w:after="0" w:line="233" w:lineRule="exact"/>
        <w:rPr>
          <w:sz w:val="20"/>
          <w:szCs w:val="20"/>
          <w:color w:val="auto"/>
        </w:rPr>
      </w:pPr>
    </w:p>
    <w:p>
      <w:pPr>
        <w:ind w:right="60" w:firstLine="321"/>
        <w:spacing w:after="0" w:line="287" w:lineRule="auto"/>
        <w:rPr>
          <w:sz w:val="20"/>
          <w:szCs w:val="20"/>
          <w:color w:val="auto"/>
        </w:rPr>
      </w:pPr>
      <w:r>
        <w:rPr>
          <w:rFonts w:ascii="Arial" w:cs="Arial" w:eastAsia="Arial" w:hAnsi="Arial"/>
          <w:sz w:val="19"/>
          <w:szCs w:val="19"/>
          <w:color w:val="auto"/>
        </w:rPr>
        <w:t>The Company’s share capital may be increased by a maximum aggregate amount of CHF 31,028.26 through the issuance of a maximum of 1,551,413 registered shares, payable in full, each with a nominal value of CHF 0.02 per share, through the exercise of conversion and/or option or warrant rights granted in connection with bonds or similar instruments, issued or to be issued by the Company or by subsidiaries of the Company, including convertible debt instruments.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180"/>
        <w:spacing w:after="0"/>
        <w:rPr>
          <w:sz w:val="20"/>
          <w:szCs w:val="20"/>
          <w:color w:val="auto"/>
        </w:rPr>
      </w:pPr>
      <w:r>
        <w:rPr>
          <w:rFonts w:ascii="Arial" w:cs="Arial" w:eastAsia="Arial" w:hAnsi="Arial"/>
          <w:sz w:val="22"/>
          <w:szCs w:val="22"/>
          <w:b w:val="1"/>
          <w:bCs w:val="1"/>
          <w:i w:val="1"/>
          <w:iCs w:val="1"/>
          <w:color w:val="auto"/>
        </w:rPr>
        <w:t>Conditional share capital for employee benefit plans</w:t>
      </w:r>
    </w:p>
    <w:p>
      <w:pPr>
        <w:spacing w:after="0" w:line="234"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color w:val="auto"/>
        </w:rPr>
        <w:t>The Company’s share capital may be increased by a maximum aggregate amount of CHF 64,577.72 through the issuance of not more than 3,228,886 common shares, payable in full, each with a nominal value of CHF 0.02 per share, by the exercise of options rights that have been granted to employees, consultants, members of the board of directors, or other person providing services to the Company or a subsidiary.</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Shelf registration statement</w:t>
      </w:r>
    </w:p>
    <w:p>
      <w:pPr>
        <w:spacing w:after="0" w:line="233" w:lineRule="exact"/>
        <w:rPr>
          <w:sz w:val="20"/>
          <w:szCs w:val="20"/>
          <w:color w:val="auto"/>
        </w:rPr>
      </w:pPr>
    </w:p>
    <w:p>
      <w:pPr>
        <w:jc w:val="center"/>
        <w:ind w:right="360"/>
        <w:spacing w:after="0" w:line="328" w:lineRule="auto"/>
        <w:rPr>
          <w:sz w:val="20"/>
          <w:szCs w:val="20"/>
          <w:color w:val="auto"/>
        </w:rPr>
      </w:pPr>
      <w:r>
        <w:rPr>
          <w:rFonts w:ascii="Arial" w:cs="Arial" w:eastAsia="Arial" w:hAnsi="Arial"/>
          <w:sz w:val="19"/>
          <w:szCs w:val="19"/>
          <w:color w:val="auto"/>
        </w:rPr>
        <w:t>On April 28, 2021, the Company filed a Shelf Registration Statement on Form F-3 (Reg. No. 333-255576) (the “Shelf Registration Statement”) with the SEC. The Shelf Registration Statement was declared effective by the SEC on May 5, 2021.</w:t>
      </w:r>
    </w:p>
    <w:p>
      <w:pPr>
        <w:spacing w:after="0" w:line="132" w:lineRule="exact"/>
        <w:rPr>
          <w:sz w:val="20"/>
          <w:szCs w:val="20"/>
          <w:color w:val="auto"/>
        </w:rPr>
      </w:pPr>
    </w:p>
    <w:p>
      <w:pPr>
        <w:ind w:right="20" w:firstLine="321"/>
        <w:spacing w:after="0" w:line="235" w:lineRule="auto"/>
        <w:rPr>
          <w:sz w:val="20"/>
          <w:szCs w:val="20"/>
          <w:color w:val="auto"/>
        </w:rPr>
      </w:pPr>
      <w:r>
        <w:rPr>
          <w:rFonts w:ascii="Arial" w:cs="Arial" w:eastAsia="Arial" w:hAnsi="Arial"/>
          <w:sz w:val="22"/>
          <w:szCs w:val="22"/>
          <w:color w:val="auto"/>
        </w:rPr>
        <w:t>The Shelf Registration Statement allows the Company to offer and sell, from time to time, up to USD 350,000,000 of common shares,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 Any offering of securities covered by the Shelf Registration Statement will be made only by means of a written prospectus and prospectus supplement authorized and filed by the Company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At the market equity offering</w:t>
      </w:r>
    </w:p>
    <w:p>
      <w:pPr>
        <w:spacing w:after="0" w:line="233"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color w:val="auto"/>
        </w:rPr>
        <w:t>In Q3 2020, AC Immune issued 5,000,000 common shares with a nominal value of CHF 0.02, which became treasury shares. The Company also established an “at the market offering program” (“ATM”) for the sale of up to USD 80.0 (CHF 74.5) million worth of our common shares issued from time to time by entering into an Open Market Sale Agreement (“Sales Agreement”) with Jefferies LLC (“Jefferies”) as the sales agent under a prior registration statement on Form F-3 which expired in Q2 2021.</w:t>
      </w:r>
    </w:p>
    <w:p>
      <w:pPr>
        <w:spacing w:after="0" w:line="170" w:lineRule="exact"/>
        <w:rPr>
          <w:sz w:val="20"/>
          <w:szCs w:val="20"/>
          <w:color w:val="auto"/>
        </w:rPr>
      </w:pPr>
    </w:p>
    <w:p>
      <w:pPr>
        <w:ind w:right="360" w:firstLine="324"/>
        <w:spacing w:after="0"/>
        <w:rPr>
          <w:sz w:val="20"/>
          <w:szCs w:val="20"/>
          <w:color w:val="auto"/>
        </w:rPr>
      </w:pPr>
      <w:r>
        <w:rPr>
          <w:rFonts w:ascii="Arial" w:cs="Arial" w:eastAsia="Arial" w:hAnsi="Arial"/>
          <w:sz w:val="22"/>
          <w:szCs w:val="22"/>
          <w:color w:val="auto"/>
        </w:rPr>
        <w:t>In Q2 2021, the Company filed a new registration statement on Form F-3 and an accompanying prospectus supplement in order to renew its ATM program. The Company also entered into a second Open Market Sale Agreement (the “new Sales Agreement”) with Jefferies to continue the ATM program.</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Q3, 2021, the Company issued 2,393,160 common shares with a nominal value of CHF 0.02 to be held as treasury shares.</w:t>
      </w:r>
    </w:p>
    <w:p>
      <w:pPr>
        <w:spacing w:after="0" w:line="268" w:lineRule="exact"/>
        <w:rPr>
          <w:sz w:val="20"/>
          <w:szCs w:val="20"/>
          <w:color w:val="auto"/>
        </w:rPr>
      </w:pPr>
    </w:p>
    <w:p>
      <w:pPr>
        <w:jc w:val="both"/>
        <w:ind w:right="180" w:firstLine="324"/>
        <w:spacing w:after="0" w:line="238" w:lineRule="auto"/>
        <w:rPr>
          <w:sz w:val="20"/>
          <w:szCs w:val="20"/>
          <w:color w:val="auto"/>
        </w:rPr>
      </w:pPr>
      <w:r>
        <w:rPr>
          <w:rFonts w:ascii="Arial" w:cs="Arial" w:eastAsia="Arial" w:hAnsi="Arial"/>
          <w:sz w:val="22"/>
          <w:szCs w:val="22"/>
          <w:color w:val="auto"/>
        </w:rPr>
        <w:t>For the year ended December 31, 2021, the Company has sold 1,171,543 common shares previously held as treasury shares pursuant to the new Sales Agreement, raising USD 13.3 (CHF 12.1) million, net of underwriting fees and transaction costs. We paid commissions to Jefferies totaling USD 0.4 (CHF 0.4) million as of December 31, 2021, for share issuances in accordance with our ATM programs.</w:t>
      </w:r>
    </w:p>
    <w:p>
      <w:pPr>
        <w:spacing w:after="0" w:line="212" w:lineRule="exact"/>
        <w:rPr>
          <w:sz w:val="20"/>
          <w:szCs w:val="20"/>
          <w:color w:val="auto"/>
        </w:rPr>
      </w:pPr>
    </w:p>
    <w:p>
      <w:pPr>
        <w:jc w:val="both"/>
        <w:ind w:right="200" w:firstLine="321"/>
        <w:spacing w:after="0" w:line="250" w:lineRule="auto"/>
        <w:rPr>
          <w:sz w:val="20"/>
          <w:szCs w:val="20"/>
          <w:color w:val="auto"/>
        </w:rPr>
      </w:pPr>
      <w:r>
        <w:rPr>
          <w:rFonts w:ascii="Arial" w:cs="Arial" w:eastAsia="Arial" w:hAnsi="Arial"/>
          <w:sz w:val="22"/>
          <w:szCs w:val="22"/>
          <w:color w:val="auto"/>
        </w:rPr>
        <w:t>For the years ended December 31, 2021, 2020 and 2019, the Company has expensed issuance costs of nil, CHF 0.5 million, and nil, respectively, in the consolidated statements of income/(loss).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Convertible note agreement</w:t>
      </w:r>
    </w:p>
    <w:p>
      <w:pPr>
        <w:spacing w:after="0" w:line="233"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color w:val="auto"/>
        </w:rPr>
        <w:t>Concurrently with the Asset Purchase Agreement, the Company entered into two separate Convertible Note Agreements with entities affiliated with each of Athos Service GmbH and First Capital Partner GmbH, both of which entities are shareholders of Affiris. Each Convertible Note Agreement provided for the sale of an unsecured subordinated Convertible Note of the Company with an aggregate principal amount of USD 12.5 (CHF 11.7) million for total net proceeds of USD 25 (CHF 23.5) million.</w:t>
      </w:r>
    </w:p>
    <w:p>
      <w:pPr>
        <w:spacing w:after="0" w:line="170"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In Q4 2021, the affiliated entities exercised their options to convert their respective USD 12.5 (CHF 11.7) million notes. As a result of these conversions, 1,513,317 common shares were issued to each Investor, totaling 3,026,634 common shares. The Company recorded an increase to its share capital for the nominal value of its shares and share premium for the difference associated with settlement of this liability. The Company also settled its derivative financial assets, which were embedded conversion features associated with the convertible debt, via an offset to its share premium. These convertible notes and derivative financial assets were fully settled in Q4 and there is no further equity or cash consideration due to the affiliated entities thereunder.</w:t>
      </w:r>
    </w:p>
    <w:p>
      <w:pPr>
        <w:sectPr>
          <w:pgSz w:w="11900" w:h="16838" w:orient="portrait"/>
          <w:cols w:equalWidth="0" w:num="1">
            <w:col w:w="11200"/>
          </w:cols>
          <w:pgMar w:left="320" w:top="118" w:right="37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12. Trade and other payables and accrued expenses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trade and other payables</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8"/>
                <w:szCs w:val="18"/>
                <w:color w:val="auto"/>
              </w:rPr>
            </w:pPr>
          </w:p>
        </w:tc>
      </w:tr>
      <w:tr>
        <w:trPr>
          <w:trHeight w:val="21"/>
        </w:trPr>
        <w:tc>
          <w:tcPr>
            <w:tcW w:w="868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gridSpan w:val="2"/>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research and development costs</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10,361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stamp duty</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accrued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9"/>
          <w:szCs w:val="19"/>
          <w:color w:val="auto"/>
        </w:rPr>
        <w:t>An accrual of CHF 3.7 million was recognized as part of our cost sharing arrangement with Janssen within accrued research and development costs, CHF 2.3 million was recognized for performance-related remuneration within accrued payroll expenses and CHF 0.8 million was recognized as accrued stamp duty for the issuance of shares as part of the Company’s asset acquisition as of December 31, 2021. This compares with nil, CHF 2.1 million and nil recognized respectively for the comparable period.</w:t>
      </w:r>
    </w:p>
    <w:p>
      <w:pPr>
        <w:spacing w:after="0" w:line="173"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revenues</w:t>
      </w:r>
    </w:p>
    <w:p>
      <w:pPr>
        <w:spacing w:after="0" w:line="249"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For the years ended December 31, 2021, 2020 and 2019, AC Immune generated contract revenues of nil, CHF 15.4 million and CHF 110.5 million, respectively. For comparability, the Company reclassified nil, CHF 0.3 million and CHF 0.6 million from contract revenues to other income/(expense) for the years ended December 31, 2021, 2020 and 2019, respectively for prior grants from the MJFF.</w:t>
      </w:r>
    </w:p>
    <w:p>
      <w:pPr>
        <w:spacing w:after="0" w:line="212" w:lineRule="exact"/>
        <w:rPr>
          <w:sz w:val="20"/>
          <w:szCs w:val="20"/>
          <w:color w:val="auto"/>
        </w:rPr>
      </w:pPr>
    </w:p>
    <w:p>
      <w:pPr>
        <w:ind w:right="460" w:firstLine="324"/>
        <w:spacing w:after="0" w:line="250" w:lineRule="auto"/>
        <w:rPr>
          <w:sz w:val="20"/>
          <w:szCs w:val="20"/>
          <w:color w:val="auto"/>
        </w:rPr>
      </w:pPr>
      <w:r>
        <w:rPr>
          <w:rFonts w:ascii="Arial" w:cs="Arial" w:eastAsia="Arial" w:hAnsi="Arial"/>
          <w:sz w:val="22"/>
          <w:szCs w:val="22"/>
          <w:color w:val="auto"/>
        </w:rPr>
        <w:t>The following tables provide contract revenue amounts from its LCAs for the years ended December 31, 2021, 2020 and 2019,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2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ind w:left="400"/>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Lilly</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Genentech</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Janssen</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Life Molecular Imaging</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Biogen</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contract revenue</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Lilly accounted for 93% and 96% of our contract revenues in 2020 and 2019, respectively.</w:t>
      </w:r>
    </w:p>
    <w:p>
      <w:pPr>
        <w:spacing w:after="0" w:line="233"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The following table presents changes in the Company’s contract assets and liabilities during the years ended December 31,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Balance at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the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end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the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reporting</w:t>
            </w:r>
          </w:p>
        </w:tc>
      </w:tr>
      <w:tr>
        <w:trPr>
          <w:trHeight w:val="241"/>
        </w:trPr>
        <w:tc>
          <w:tcPr>
            <w:tcW w:w="5860" w:type="dxa"/>
            <w:vAlign w:val="bottom"/>
          </w:tcPr>
          <w:p>
            <w:pPr>
              <w:ind w:left="220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Additions</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Deductions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w:t>
            </w:r>
          </w:p>
        </w:tc>
      </w:tr>
      <w:tr>
        <w:trPr>
          <w:trHeight w:val="216"/>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Twelve months ended December 31, 2021:</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1,591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Deferred income</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1,635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Twelve months ended December 31, 2020: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Deferred income</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4,477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(5,638)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bl>
    <w:p>
      <w:pPr>
        <w:spacing w:after="0" w:line="207" w:lineRule="exact"/>
        <w:rPr>
          <w:sz w:val="20"/>
          <w:szCs w:val="20"/>
          <w:color w:val="auto"/>
        </w:rPr>
      </w:pPr>
    </w:p>
    <w:p>
      <w:pPr>
        <w:ind w:right="320" w:firstLine="324"/>
        <w:spacing w:after="0" w:line="274" w:lineRule="auto"/>
        <w:rPr>
          <w:sz w:val="20"/>
          <w:szCs w:val="20"/>
          <w:color w:val="auto"/>
        </w:rPr>
      </w:pPr>
      <w:r>
        <w:rPr>
          <w:rFonts w:ascii="Arial" w:cs="Arial" w:eastAsia="Arial" w:hAnsi="Arial"/>
          <w:sz w:val="21"/>
          <w:szCs w:val="21"/>
          <w:color w:val="auto"/>
        </w:rPr>
        <w:t>During the years ended December 31, 2021, 2020 and 2019, the Company recognized the following contract revenues as a result of changes in the contract asset and the contract liability balances in the respective periods:</w:t>
      </w:r>
    </w:p>
    <w:p>
      <w:pPr>
        <w:sectPr>
          <w:pgSz w:w="11900" w:h="16838" w:orient="portrait"/>
          <w:cols w:equalWidth="0" w:num="1">
            <w:col w:w="11240"/>
          </w:cols>
          <w:pgMar w:left="320" w:top="121" w:right="339" w:bottom="11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0" w:type="dxa"/>
            <w:vAlign w:val="bottom"/>
          </w:tcPr>
          <w:p>
            <w:pPr>
              <w:spacing w:after="0"/>
              <w:rPr>
                <w:sz w:val="19"/>
                <w:szCs w:val="19"/>
                <w:color w:val="auto"/>
              </w:rPr>
            </w:pPr>
          </w:p>
        </w:tc>
        <w:tc>
          <w:tcPr>
            <w:tcW w:w="6840" w:type="dxa"/>
            <w:vAlign w:val="bottom"/>
            <w:gridSpan w:val="2"/>
          </w:tcPr>
          <w:p>
            <w:pPr>
              <w:ind w:left="242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Revenues recognized in the period from:</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r>
      <w:tr>
        <w:trPr>
          <w:trHeight w:val="445"/>
        </w:trPr>
        <w:tc>
          <w:tcPr>
            <w:tcW w:w="48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6840" w:type="dxa"/>
            <w:vAlign w:val="bottom"/>
            <w:gridSpan w:val="2"/>
          </w:tcPr>
          <w:p>
            <w:pPr>
              <w:ind w:left="180"/>
              <w:spacing w:after="0"/>
              <w:rPr>
                <w:sz w:val="20"/>
                <w:szCs w:val="20"/>
                <w:color w:val="auto"/>
              </w:rPr>
            </w:pPr>
            <w:r>
              <w:rPr>
                <w:rFonts w:ascii="Arial" w:cs="Arial" w:eastAsia="Arial" w:hAnsi="Arial"/>
                <w:sz w:val="18"/>
                <w:szCs w:val="18"/>
                <w:b w:val="1"/>
                <w:bCs w:val="1"/>
                <w:color w:val="auto"/>
              </w:rPr>
              <w:t>Licensing and collaboration agreements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Morphomer Tau small molecule – 2018 license agreement with Eli Lilly and Company</w:t>
      </w:r>
    </w:p>
    <w:p>
      <w:pPr>
        <w:spacing w:after="0" w:line="23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213" w:lineRule="exact"/>
        <w:rPr>
          <w:sz w:val="20"/>
          <w:szCs w:val="20"/>
          <w:color w:val="auto"/>
        </w:rPr>
      </w:pPr>
    </w:p>
    <w:p>
      <w:pPr>
        <w:jc w:val="both"/>
        <w:ind w:right="40" w:firstLine="324"/>
        <w:spacing w:after="0" w:line="297" w:lineRule="auto"/>
        <w:rPr>
          <w:sz w:val="20"/>
          <w:szCs w:val="20"/>
          <w:color w:val="auto"/>
        </w:rPr>
      </w:pPr>
      <w:r>
        <w:rPr>
          <w:rFonts w:ascii="Arial" w:cs="Arial" w:eastAsia="Arial" w:hAnsi="Arial"/>
          <w:sz w:val="19"/>
          <w:szCs w:val="19"/>
          <w:color w:val="auto"/>
        </w:rPr>
        <w:t>Per the terms of the agreement, the Company received an initial upfront payment of CHF 80 million in Q1 2019 for the rights granted by the Company to Lilly. To date, the Company has completed a Phase 1 clinical study with ACI-3024. The program will be expanded to NeuroOrphan indications and ACI-3024 will be further evaluated for efficacy in models of rare Tauopathies.</w:t>
      </w:r>
    </w:p>
    <w:p>
      <w:pPr>
        <w:spacing w:after="0" w:line="16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9"/>
          <w:szCs w:val="19"/>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70"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215"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 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right="160" w:firstLine="324"/>
        <w:spacing w:after="0" w:line="282" w:lineRule="auto"/>
        <w:rPr>
          <w:sz w:val="20"/>
          <w:szCs w:val="20"/>
          <w:color w:val="auto"/>
        </w:rPr>
      </w:pPr>
      <w:r>
        <w:rPr>
          <w:rFonts w:ascii="Arial" w:cs="Arial" w:eastAsia="Arial" w:hAnsi="Arial"/>
          <w:sz w:val="19"/>
          <w:szCs w:val="19"/>
          <w:color w:val="auto"/>
        </w:rPr>
        <w:t>The Company’s preclinical and Phase 1 activities did not represent integrated services with the licensed IP for which Lilly contracted. Lilly purchased a license to the Company’s Tau therapeutic small-molecule program, which was delivered at commencement of the agreement, and AC Immune’s preclinical and Phase 1 activities did not affect the form or functionality of this license. The Company’s objective for the Phase 1 activity was to assess safety and tolerability and did not modify or customize ACI-3024. The completion of these preclinical and Phase 1 activities does not affect the licensed IP.</w:t>
      </w:r>
    </w:p>
    <w:p>
      <w:pPr>
        <w:spacing w:after="0" w:line="175"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 (iii) 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207" w:lineRule="exact"/>
        <w:rPr>
          <w:sz w:val="20"/>
          <w:szCs w:val="20"/>
          <w:color w:val="auto"/>
        </w:rPr>
      </w:pPr>
    </w:p>
    <w:p>
      <w:pPr>
        <w:ind w:right="520" w:firstLine="324"/>
        <w:spacing w:after="0" w:line="250" w:lineRule="auto"/>
        <w:rPr>
          <w:sz w:val="20"/>
          <w:szCs w:val="20"/>
          <w:color w:val="auto"/>
        </w:rPr>
      </w:pPr>
      <w:r>
        <w:rPr>
          <w:rFonts w:ascii="Arial" w:cs="Arial" w:eastAsia="Arial" w:hAnsi="Arial"/>
          <w:sz w:val="22"/>
          <w:szCs w:val="22"/>
          <w:color w:val="auto"/>
        </w:rPr>
        <w:t>The valuation of each performance obligation involves estimates and assumptions with revenue recognition timing to be determined by either delivery or the provision of services.</w:t>
      </w:r>
    </w:p>
    <w:p>
      <w:pPr>
        <w:spacing w:after="0" w:line="202" w:lineRule="exact"/>
        <w:rPr>
          <w:sz w:val="20"/>
          <w:szCs w:val="20"/>
          <w:color w:val="auto"/>
        </w:rPr>
      </w:pPr>
    </w:p>
    <w:p>
      <w:pPr>
        <w:ind w:right="120" w:firstLine="324"/>
        <w:spacing w:after="0" w:line="245" w:lineRule="auto"/>
        <w:rPr>
          <w:sz w:val="20"/>
          <w:szCs w:val="20"/>
          <w:color w:val="auto"/>
        </w:rPr>
      </w:pPr>
      <w:r>
        <w:rPr>
          <w:rFonts w:ascii="Arial" w:cs="Arial" w:eastAsia="Arial" w:hAnsi="Arial"/>
          <w:sz w:val="21"/>
          <w:szCs w:val="21"/>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To date, the Company has cumulatively recognized CHF 6.9 million in contract revenue, resulting in no deferred income (contract liability) on the consolidated balance sheets. The remaining CHF 73.1 million from the upfront payment was allocated to the right-of-use license and recognized on the effective date.</w:t>
      </w:r>
    </w:p>
    <w:p>
      <w:pPr>
        <w:spacing w:after="0" w:line="21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9"/>
          <w:szCs w:val="19"/>
          <w:color w:val="auto"/>
        </w:rPr>
        <w:t>At inception of the agreement, none of the clinical, regulatory or commercial milestones had been included in the transaction price, as all milestone amounts were fully constrained. To date, the Company has recognized CHF 40 million from milestone payments triggered in Q3 2019 and Q1 2020 related to the right-of-use license for IP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8" w:lineRule="exact"/>
        <w:rPr>
          <w:sz w:val="20"/>
          <w:szCs w:val="20"/>
          <w:color w:val="auto"/>
        </w:rPr>
      </w:pPr>
    </w:p>
    <w:p>
      <w:pPr>
        <w:ind w:right="220" w:firstLine="324"/>
        <w:spacing w:after="0" w:line="250" w:lineRule="auto"/>
        <w:rPr>
          <w:sz w:val="20"/>
          <w:szCs w:val="20"/>
          <w:color w:val="auto"/>
        </w:rPr>
      </w:pPr>
      <w:r>
        <w:rPr>
          <w:rFonts w:ascii="Arial" w:cs="Arial" w:eastAsia="Arial" w:hAnsi="Arial"/>
          <w:sz w:val="22"/>
          <w:szCs w:val="22"/>
          <w:color w:val="auto"/>
        </w:rPr>
        <w:t>For the years ended December 31, 2021, 2020 and 2019, we have recognized nil, CHF 14.3 million and CHF 105.7 million, respectively from this arrangement.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Anti-Abeta antibody in AD – 2006 agreement with Genentech, a member of the Roche Group</w:t>
      </w:r>
    </w:p>
    <w:p>
      <w:pPr>
        <w:spacing w:after="0" w:line="233" w:lineRule="exact"/>
        <w:rPr>
          <w:sz w:val="20"/>
          <w:szCs w:val="20"/>
          <w:color w:val="auto"/>
        </w:rPr>
      </w:pPr>
    </w:p>
    <w:p>
      <w:pPr>
        <w:ind w:right="180" w:firstLine="324"/>
        <w:spacing w:after="0" w:line="236" w:lineRule="auto"/>
        <w:rPr>
          <w:sz w:val="20"/>
          <w:szCs w:val="20"/>
          <w:color w:val="auto"/>
        </w:rPr>
      </w:pPr>
      <w:r>
        <w:rPr>
          <w:rFonts w:ascii="Arial" w:cs="Arial" w:eastAsia="Arial" w:hAnsi="Arial"/>
          <w:sz w:val="22"/>
          <w:szCs w:val="22"/>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non-AD indication based on the same intellectual property and anti-Abeta antibody compound. The value of this partnership is potentially greater than USD 340 (CHF 314) million.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ind w:right="180" w:firstLine="324"/>
        <w:spacing w:after="0" w:line="287" w:lineRule="auto"/>
        <w:rPr>
          <w:sz w:val="20"/>
          <w:szCs w:val="20"/>
          <w:color w:val="auto"/>
        </w:rPr>
      </w:pPr>
      <w:r>
        <w:rPr>
          <w:rFonts w:ascii="Arial" w:cs="Arial" w:eastAsia="Arial" w:hAnsi="Arial"/>
          <w:sz w:val="19"/>
          <w:szCs w:val="19"/>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70"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Genentech commenced a first Phase 3 clinical study in March 2016 for crenezumab (CREAD). In March 2017, Genentech started a second Phase 3 clinical trial (CREAD 2). Since 2013, crenezumab has also been studied in a Phase 2 preventive trial in individuals who carry the PSEN1 E280A autosomal-dominant mutation and do not meet the criteria for mild cognitive impairment due to AD or dementia due to AD and are, thus, in a preclinical phase of AD (autosomal dominant AD (ADAD)). In 2019, Genentech initiated a Tau Positron Emission Tomography (PET) substudy to the ongoing Phase 2 trial in ADAD to evaluate the effect of crenezumab on Tau burden, which may also increase the understanding of disease progression in the preclinical stage of ADAD.</w:t>
      </w:r>
    </w:p>
    <w:p>
      <w:pPr>
        <w:spacing w:after="0" w:line="218"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If crenezumab receives regulatory approval, we will be entitled to receive royalties that are tied to annual sales volumes with different royalty rates applicable in the US and Europe ranging from the mid-single digits to mid-teens. To date, we have received total milestone payments of USD 65 million (CHF 70.1 million) comprised of an upfront payment of USD 25 (CHF 31.6) million and of USD 40 (CHF 38.2) million for clinical development milestones achieved all-in prior to January 1, 2017. Genentech may terminate the agreement at any time by providing 3 months’ notice to us. In such event all costs incurred are still refundable.</w:t>
      </w:r>
    </w:p>
    <w:p>
      <w:pPr>
        <w:spacing w:after="0" w:line="174" w:lineRule="exact"/>
        <w:rPr>
          <w:sz w:val="20"/>
          <w:szCs w:val="20"/>
          <w:color w:val="auto"/>
        </w:rPr>
      </w:pPr>
    </w:p>
    <w:p>
      <w:pPr>
        <w:ind w:right="400" w:firstLine="324"/>
        <w:spacing w:after="0" w:line="282" w:lineRule="auto"/>
        <w:rPr>
          <w:sz w:val="20"/>
          <w:szCs w:val="20"/>
          <w:color w:val="auto"/>
        </w:rPr>
      </w:pPr>
      <w:r>
        <w:rPr>
          <w:rFonts w:ascii="Arial" w:cs="Arial" w:eastAsia="Arial" w:hAnsi="Arial"/>
          <w:sz w:val="19"/>
          <w:szCs w:val="19"/>
          <w:color w:val="auto"/>
        </w:rPr>
        <w:t>AC Immune assessed this arrangement in accordance with IFRS 15 and concluded that Genentech is a customer. The Company identified the following performance obligations under the contract: (i) a right-of-use license and (ii) conducting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4" w:lineRule="exact"/>
        <w:rPr>
          <w:sz w:val="20"/>
          <w:szCs w:val="20"/>
          <w:color w:val="auto"/>
        </w:rPr>
      </w:pPr>
    </w:p>
    <w:p>
      <w:pPr>
        <w:ind w:right="360" w:firstLine="324"/>
        <w:spacing w:after="0" w:line="273" w:lineRule="auto"/>
        <w:rPr>
          <w:sz w:val="20"/>
          <w:szCs w:val="20"/>
          <w:color w:val="auto"/>
        </w:rPr>
      </w:pPr>
      <w:r>
        <w:rPr>
          <w:rFonts w:ascii="Arial" w:cs="Arial" w:eastAsia="Arial" w:hAnsi="Arial"/>
          <w:sz w:val="19"/>
          <w:szCs w:val="19"/>
          <w:color w:val="auto"/>
        </w:rPr>
        <w:t>At execution of the agreement, the transaction price included the upfront consideration received of USD 25 (CHF 31.6) million. At inception, none of the clinical or regulatory milestones had been included in the transaction price, as all milestone amounts were fully constrained. The Company has received three milestone payments since inception, totaling USD 40 (CHF</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38.2) million. The Company could receive greater than USD 275 (CHF 254)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215"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On January 30, 2019, we announced that Roche, the parent of Genentech, is discontinuing the CREAD and CREAD 2 (BN29552 and BN29553) Phase 3 studies of crenezumab in people with prodromal-to-mild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204" w:lineRule="exact"/>
        <w:rPr>
          <w:sz w:val="20"/>
          <w:szCs w:val="20"/>
          <w:color w:val="auto"/>
        </w:rPr>
      </w:pPr>
    </w:p>
    <w:p>
      <w:pPr>
        <w:jc w:val="both"/>
        <w:ind w:right="100" w:firstLine="324"/>
        <w:spacing w:after="0" w:line="238" w:lineRule="auto"/>
        <w:rPr>
          <w:sz w:val="20"/>
          <w:szCs w:val="20"/>
          <w:color w:val="auto"/>
        </w:rPr>
      </w:pPr>
      <w:r>
        <w:rPr>
          <w:rFonts w:ascii="Arial" w:cs="Arial" w:eastAsia="Arial" w:hAnsi="Arial"/>
          <w:sz w:val="22"/>
          <w:szCs w:val="22"/>
          <w:color w:val="auto"/>
        </w:rPr>
        <w:t>Crenezumab continues to be studied in the Phase 2 preventive trial, which began in 2013 in Colombia, of cognitively healthy individuals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For the years ended December 31, 2021, 2020 and 2019, we have recognized no revenues from this arrangement.</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Anti-Tau antibody in AD – 2012 agreement with Genentech, a member of the Roche Group</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right="100" w:firstLine="324"/>
        <w:spacing w:after="0" w:line="279" w:lineRule="auto"/>
        <w:rPr>
          <w:sz w:val="20"/>
          <w:szCs w:val="20"/>
          <w:color w:val="auto"/>
        </w:rPr>
      </w:pPr>
      <w:r>
        <w:rPr>
          <w:rFonts w:ascii="Arial" w:cs="Arial" w:eastAsia="Arial" w:hAnsi="Arial"/>
          <w:sz w:val="19"/>
          <w:szCs w:val="19"/>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low-double digits. The agreement also provides for collaboration on at least one additional therapeutic indication outside of AD built on the same anti-Tau antibody program as well an anti-Tau diagnostic product for AD.</w:t>
      </w:r>
    </w:p>
    <w:p>
      <w:pPr>
        <w:spacing w:after="0" w:line="178" w:lineRule="exact"/>
        <w:rPr>
          <w:sz w:val="20"/>
          <w:szCs w:val="20"/>
          <w:color w:val="auto"/>
        </w:rPr>
      </w:pPr>
    </w:p>
    <w:p>
      <w:pPr>
        <w:ind w:right="180" w:firstLine="324"/>
        <w:spacing w:after="0" w:line="287" w:lineRule="auto"/>
        <w:rPr>
          <w:sz w:val="20"/>
          <w:szCs w:val="20"/>
          <w:color w:val="auto"/>
        </w:rPr>
      </w:pPr>
      <w:r>
        <w:rPr>
          <w:rFonts w:ascii="Arial" w:cs="Arial" w:eastAsia="Arial" w:hAnsi="Arial"/>
          <w:sz w:val="19"/>
          <w:szCs w:val="19"/>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70"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To date, 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 As we met all performance obligations on reaching these milestones, we have recognized revenue in the respective periods. Genentech may terminate the agreement at any time by providing 3 months’ notice to us.</w:t>
      </w:r>
    </w:p>
    <w:p>
      <w:pPr>
        <w:spacing w:after="0" w:line="218" w:lineRule="exact"/>
        <w:rPr>
          <w:sz w:val="20"/>
          <w:szCs w:val="20"/>
          <w:color w:val="auto"/>
        </w:rPr>
      </w:pPr>
    </w:p>
    <w:p>
      <w:pPr>
        <w:ind w:right="680" w:firstLine="324"/>
        <w:spacing w:after="0" w:line="282" w:lineRule="auto"/>
        <w:rPr>
          <w:sz w:val="20"/>
          <w:szCs w:val="20"/>
          <w:color w:val="auto"/>
        </w:rPr>
      </w:pPr>
      <w:r>
        <w:rPr>
          <w:rFonts w:ascii="Arial" w:cs="Arial" w:eastAsia="Arial" w:hAnsi="Arial"/>
          <w:sz w:val="19"/>
          <w:szCs w:val="19"/>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4" w:lineRule="exact"/>
        <w:rPr>
          <w:sz w:val="20"/>
          <w:szCs w:val="20"/>
          <w:color w:val="auto"/>
        </w:rPr>
      </w:pPr>
    </w:p>
    <w:p>
      <w:pPr>
        <w:ind w:right="80" w:firstLine="324"/>
        <w:spacing w:after="0" w:line="274" w:lineRule="auto"/>
        <w:rPr>
          <w:sz w:val="20"/>
          <w:szCs w:val="20"/>
          <w:color w:val="auto"/>
        </w:rPr>
      </w:pPr>
      <w:r>
        <w:rPr>
          <w:rFonts w:ascii="Arial" w:cs="Arial" w:eastAsia="Arial" w:hAnsi="Arial"/>
          <w:sz w:val="19"/>
          <w:szCs w:val="19"/>
          <w:color w:val="auto"/>
        </w:rPr>
        <w:t>At execution of the agreement, the transaction price included an upfront consideration received of CHF 17 million.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200" w:lineRule="exact"/>
        <w:rPr>
          <w:sz w:val="20"/>
          <w:szCs w:val="20"/>
          <w:color w:val="auto"/>
        </w:rPr>
      </w:pPr>
    </w:p>
    <w:p>
      <w:pPr>
        <w:spacing w:after="0" w:line="228"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On September 23, 2020, the Company reported that Genentech informed us of top line results from a Phase 2 trial of the anti-Tau antibody, semorinemab, in early (prodromal to mild) Alzheimer’s disease (AD) which show that semorinemab did not meet its primary efficacy endpoint of reducing decline on Clinical Dementia Rating-Sum of Boxes (CDR-SB) compared to placebo. The primary safety endpoint was however met. Two secondary endpoints, Alzheimer’s Disease Assessment Scale-Cognitive Subscale 13 (ADAS-Cog13) and Alzheimer’s Disease Cooperative Study Group – Activities of Daily Living Inventory (ADCS-ADL), were not met.</w:t>
      </w:r>
    </w:p>
    <w:p>
      <w:pPr>
        <w:spacing w:after="0" w:line="215" w:lineRule="exact"/>
        <w:rPr>
          <w:sz w:val="20"/>
          <w:szCs w:val="20"/>
          <w:color w:val="auto"/>
        </w:rPr>
      </w:pPr>
    </w:p>
    <w:p>
      <w:pPr>
        <w:ind w:right="40" w:firstLine="378"/>
        <w:spacing w:after="0" w:line="257" w:lineRule="auto"/>
        <w:rPr>
          <w:sz w:val="20"/>
          <w:szCs w:val="20"/>
          <w:color w:val="auto"/>
        </w:rPr>
      </w:pPr>
      <w:r>
        <w:rPr>
          <w:rFonts w:ascii="Arial" w:cs="Arial" w:eastAsia="Arial" w:hAnsi="Arial"/>
          <w:sz w:val="21"/>
          <w:szCs w:val="21"/>
          <w:color w:val="auto"/>
        </w:rPr>
        <w:t>On August 31, 2021 the Company reported that Genentech had informed the Company that the Lauriet study had met one of its co-primary endpoints, ADAS-Cog 11. The second co-primary endpoint, ADCS-ADL, was not met. Safety data showed that semorinemab was well tolerated with an acceptable safety profile and no unanticipated safety signals. On November 10, 2021, the Company reported that Genentech had presented the full top-line data from the Lauriet study during a late-breaking session at the 14</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Clinical Trials on Alzheimer’s Disease conference.</w:t>
      </w:r>
    </w:p>
    <w:p>
      <w:pPr>
        <w:spacing w:after="0" w:line="5" w:lineRule="exact"/>
        <w:rPr>
          <w:sz w:val="20"/>
          <w:szCs w:val="20"/>
          <w:color w:val="auto"/>
        </w:rPr>
      </w:pPr>
    </w:p>
    <w:p>
      <w:pPr>
        <w:ind w:right="1120" w:firstLine="324"/>
        <w:spacing w:after="0" w:line="250" w:lineRule="auto"/>
        <w:rPr>
          <w:sz w:val="20"/>
          <w:szCs w:val="20"/>
          <w:color w:val="auto"/>
        </w:rPr>
      </w:pPr>
      <w:r>
        <w:rPr>
          <w:rFonts w:ascii="Arial" w:cs="Arial" w:eastAsia="Arial" w:hAnsi="Arial"/>
          <w:sz w:val="22"/>
          <w:szCs w:val="22"/>
          <w:color w:val="auto"/>
        </w:rPr>
        <w:t>For the years ended December 31, 2021, 2020 and 2019, we have recognized no revenues from this arrangement, respectively.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22"/>
          <w:szCs w:val="22"/>
          <w:i w:val="1"/>
          <w:iCs w:val="1"/>
          <w:color w:val="auto"/>
        </w:rPr>
        <w:t>Tau vaccine in AD – 2014 agreement with Janssen Pharmaceuticals, Inc.</w:t>
      </w:r>
    </w:p>
    <w:p>
      <w:pPr>
        <w:spacing w:after="0" w:line="234"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high-single digits to the mid-teens for the phospho-tau vaccine program.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are co-developing the second-generation lead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second-generation vaccines.</w:t>
      </w:r>
    </w:p>
    <w:p>
      <w:pPr>
        <w:spacing w:after="0" w:line="213" w:lineRule="exact"/>
        <w:rPr>
          <w:sz w:val="20"/>
          <w:szCs w:val="20"/>
          <w:color w:val="auto"/>
        </w:rPr>
      </w:pPr>
    </w:p>
    <w:p>
      <w:pPr>
        <w:ind w:right="380" w:firstLine="324"/>
        <w:spacing w:after="0"/>
        <w:rPr>
          <w:sz w:val="20"/>
          <w:szCs w:val="20"/>
          <w:color w:val="auto"/>
        </w:rPr>
      </w:pPr>
      <w:r>
        <w:rPr>
          <w:rFonts w:ascii="Arial" w:cs="Arial" w:eastAsia="Arial" w:hAnsi="Arial"/>
          <w:sz w:val="22"/>
          <w:szCs w:val="22"/>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213"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The agreement also allows for the expansion to a second indication based on the same anti-Tau vaccine program and based on intellectual property related to this program.</w:t>
      </w:r>
    </w:p>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21"/>
          <w:szCs w:val="21"/>
          <w:color w:val="auto"/>
        </w:rPr>
        <w:t>The Company received an upfront, non-refundable license fee of CHF 25.9 million, which we recognized as revenue in 2014. In May 2016, we received a payment of CHF 4.9 million for reaching a clinical milestone in the first Phase 1b study. As we met all performance obligations on reaching the milestone, we have recognized this income as revenue.</w:t>
      </w:r>
    </w:p>
    <w:p>
      <w:pPr>
        <w:spacing w:after="0" w:line="196"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211"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The Company did receive a payment of CHF 4.9 million for reaching a clinical milestone in the first Phase 1b study in May 2016. The Company could also receive up to more than CHF 458 million in clinical, regulatory and commercial milestones as well as tiered, high-single digits to mid-teen royalties on aggregate net sales for the phospho-tau vaccine program.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88" w:lineRule="exact"/>
        <w:rPr>
          <w:sz w:val="20"/>
          <w:szCs w:val="20"/>
          <w:color w:val="auto"/>
        </w:rPr>
      </w:pPr>
    </w:p>
    <w:p>
      <w:pPr>
        <w:ind w:right="520" w:firstLine="324"/>
        <w:spacing w:after="0" w:line="250" w:lineRule="auto"/>
        <w:rPr>
          <w:sz w:val="20"/>
          <w:szCs w:val="20"/>
          <w:color w:val="auto"/>
        </w:rPr>
      </w:pPr>
      <w:r>
        <w:rPr>
          <w:rFonts w:ascii="Arial" w:cs="Arial" w:eastAsia="Arial" w:hAnsi="Arial"/>
          <w:sz w:val="22"/>
          <w:szCs w:val="22"/>
          <w:color w:val="auto"/>
        </w:rPr>
        <w:t>For the years ended December 31, 2021, 2020 and 2019, we have recognized nil, CHF 1.1 million and CHF 1.2 million, respectively from this arrangement.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ind w:left="340"/>
        <w:spacing w:after="0"/>
        <w:rPr>
          <w:sz w:val="20"/>
          <w:szCs w:val="20"/>
          <w:color w:val="auto"/>
        </w:rPr>
      </w:pPr>
      <w:r>
        <w:rPr>
          <w:rFonts w:ascii="Arial" w:cs="Arial" w:eastAsia="Arial" w:hAnsi="Arial"/>
          <w:sz w:val="22"/>
          <w:szCs w:val="22"/>
          <w:i w:val="1"/>
          <w:iCs w:val="1"/>
          <w:color w:val="auto"/>
        </w:rPr>
        <w:t>Tau-PET imaging agent –2014 agreement with Life Molecular Imaging (LMI) (formerly Piramal Imaging SA)</w:t>
      </w:r>
    </w:p>
    <w:p>
      <w:pPr>
        <w:spacing w:after="0" w:line="234"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In May 2014,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167) million, plus royalties on sales at a percentage rate ranging from mid-single digits to low-teens. LMI may terminate the LCA at any time by providing 3 months’ notice to us.</w:t>
      </w:r>
    </w:p>
    <w:p>
      <w:pPr>
        <w:spacing w:after="0" w:line="215"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In connection with this agreement, AC Immune received a payment of EUR 500 (CHF 664) thousand, which was fully recognized in 2015. In Q1 2017, we recorded a milestone payment of EUR 1 (CHF 1.1) million related to the initiation of “Part B” of the first-in-man Phase 1 study. In Q3 2019, the Company recognized EUR 2 (CHF 2.2) million in connection with the initiation of a Phase 2 trial of Tau-PET tracer in patients with mild cognitive impairment and mild–to-moderate AD in comparison with non-demented control participants. The Company is eligible to receive variable consideration related to the achievement of certain clinical milestones totaling EUR 8 (CHF 8) million should the compound make it through Phase 3 clinical studies. We are also eligible to receive potential regulatory and sales-based milestones totaling EUR 148 (CHF 155) million. Finally, the Company is eligible for royalties from the mid-single digits to low-teens.</w:t>
      </w:r>
    </w:p>
    <w:p>
      <w:pPr>
        <w:spacing w:after="0" w:line="207"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21"/>
          <w:szCs w:val="21"/>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96" w:lineRule="exact"/>
        <w:rPr>
          <w:sz w:val="20"/>
          <w:szCs w:val="20"/>
          <w:color w:val="auto"/>
        </w:rPr>
      </w:pPr>
    </w:p>
    <w:p>
      <w:pPr>
        <w:ind w:right="80" w:firstLine="324"/>
        <w:spacing w:after="0" w:line="236" w:lineRule="auto"/>
        <w:rPr>
          <w:sz w:val="20"/>
          <w:szCs w:val="20"/>
          <w:color w:val="auto"/>
        </w:rPr>
      </w:pPr>
      <w:r>
        <w:rPr>
          <w:rFonts w:ascii="Arial" w:cs="Arial" w:eastAsia="Arial" w:hAnsi="Arial"/>
          <w:sz w:val="22"/>
          <w:szCs w:val="22"/>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214"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79" w:lineRule="exact"/>
        <w:rPr>
          <w:sz w:val="20"/>
          <w:szCs w:val="20"/>
          <w:color w:val="auto"/>
        </w:rPr>
      </w:pPr>
    </w:p>
    <w:p>
      <w:pPr>
        <w:ind w:right="920" w:firstLine="324"/>
        <w:spacing w:after="0" w:line="250" w:lineRule="auto"/>
        <w:rPr>
          <w:sz w:val="20"/>
          <w:szCs w:val="20"/>
          <w:color w:val="auto"/>
        </w:rPr>
      </w:pPr>
      <w:r>
        <w:rPr>
          <w:rFonts w:ascii="Arial" w:cs="Arial" w:eastAsia="Arial" w:hAnsi="Arial"/>
          <w:sz w:val="22"/>
          <w:szCs w:val="22"/>
          <w:color w:val="auto"/>
        </w:rPr>
        <w:t>For the years ended December 31, 2021, 2020 and 2019, the Company has recognized nil, nil and CHF 2.2 million, respectively, from this arrangement.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A-syn and TDP-43 PET tracers – 2016 agreement with Biogen</w:t>
      </w:r>
    </w:p>
    <w:p>
      <w:pPr>
        <w:spacing w:after="0" w:line="233" w:lineRule="exact"/>
        <w:rPr>
          <w:sz w:val="20"/>
          <w:szCs w:val="20"/>
          <w:color w:val="auto"/>
        </w:rPr>
      </w:pPr>
    </w:p>
    <w:p>
      <w:pPr>
        <w:ind w:right="200" w:firstLine="324"/>
        <w:spacing w:after="0" w:line="234" w:lineRule="auto"/>
        <w:rPr>
          <w:sz w:val="20"/>
          <w:szCs w:val="20"/>
          <w:color w:val="auto"/>
        </w:rPr>
      </w:pPr>
      <w:r>
        <w:rPr>
          <w:rFonts w:ascii="Arial" w:cs="Arial" w:eastAsia="Arial" w:hAnsi="Arial"/>
          <w:sz w:val="22"/>
          <w:szCs w:val="22"/>
          <w:color w:val="auto"/>
        </w:rPr>
        <w:t>On April 13, 2016, we entered into a non-exclusive research collaboration agreement with Biogen International GmbH, (Biogen). Under the agreement, we and Biogen have agreed to collaborate in the research and early clinical development of our a-syn PET tracer program for PD and other synucleinopathies, and a second program for the identification, research and development of novel PET ligands against TDP-43, a protein recently linked to neurodegeneration in diseases such as amyotrophic lateral sclerosis (ALS). In addition, we have agreed to share the costs of the collaboration, with Biogen primarily funding the majority of research costs, subject to a cap, which includes an upfront technology access fee and funding toward research and development personnel. We own all intellectual property rights to any invention relating to a-syn or TDP-43 PET tracers.</w:t>
      </w:r>
    </w:p>
    <w:p>
      <w:pPr>
        <w:spacing w:after="0" w:line="214"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CROs,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ectPr>
          <w:pgSz w:w="11900" w:h="16838" w:orient="portrait"/>
          <w:cols w:equalWidth="0" w:num="1">
            <w:col w:w="11220"/>
          </w:cols>
          <w:pgMar w:left="320" w:top="118" w:right="35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5" w:name="page46"/>
    <w:bookmarkEnd w:id="45"/>
    <w:p>
      <w:pPr>
        <w:ind w:right="940" w:firstLine="324"/>
        <w:spacing w:after="0" w:line="251" w:lineRule="auto"/>
        <w:rPr>
          <w:sz w:val="20"/>
          <w:szCs w:val="20"/>
          <w:color w:val="auto"/>
        </w:rPr>
      </w:pPr>
      <w:r>
        <w:rPr>
          <w:rFonts w:ascii="Arial" w:cs="Arial" w:eastAsia="Arial" w:hAnsi="Arial"/>
          <w:sz w:val="22"/>
          <w:szCs w:val="22"/>
          <w:color w:val="auto"/>
        </w:rPr>
        <w:t>For the years ended December 31, 2021, 2020 and 2019, the Company has recognized nil, nil and CHF 1.1 million, respectively, from this arrangement. This collaboration ended in April 2019.</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Grant income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Grants from the Michael J. Fox Foundation</w:t>
      </w:r>
    </w:p>
    <w:p>
      <w:pPr>
        <w:spacing w:after="0" w:line="233"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In Q3 2017, we formally signed a grant continuation with the MJFF. This grant provides funds for the development of PET tracers for pathological forms of the protein alpha-synuclein, to support the early diagnosis and clinical management of Parkinson’s disease. We subsequently signed two additional grants which facilitated the execution of a first-in-human study for a potential alpha-synuclein-PET tracer (PET tracer) with the current lead compound and to further develop the PET tracer. The Company retains its intellectual property rights for these alpha-synuclein-PET tracers. These grants concluded in Q2 2020.</w:t>
      </w:r>
    </w:p>
    <w:p>
      <w:pPr>
        <w:spacing w:after="0" w:line="174"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9"/>
          <w:szCs w:val="19"/>
          <w:color w:val="auto"/>
        </w:rPr>
        <w:t>In May 2020, the Company, as part of a joint arrangement with Skåne University Hospital (Skåne) in Sweden, was awarded a USD 3.2 (CHF 3.0) million grant from the MJFF’s Ken Griffin Alpha-synuclein Imaging Competition. As part of this grant, AC Immune is eligible to receive USD 2.5 (CHF 2.3 million directly from the MJFF. Skåne will receive USD 0.7 (CHF 0.7) million of the total grant directly from the MJFF over two years to conduct and support the clinical arm of the project.</w:t>
      </w:r>
    </w:p>
    <w:p>
      <w:pPr>
        <w:spacing w:after="0" w:line="170" w:lineRule="exact"/>
        <w:rPr>
          <w:sz w:val="20"/>
          <w:szCs w:val="20"/>
          <w:color w:val="auto"/>
        </w:rPr>
      </w:pPr>
    </w:p>
    <w:p>
      <w:pPr>
        <w:ind w:right="160" w:firstLine="324"/>
        <w:spacing w:after="0" w:line="274" w:lineRule="auto"/>
        <w:rPr>
          <w:sz w:val="20"/>
          <w:szCs w:val="20"/>
          <w:color w:val="auto"/>
        </w:rPr>
      </w:pPr>
      <w:r>
        <w:rPr>
          <w:rFonts w:ascii="Arial" w:cs="Arial" w:eastAsia="Arial" w:hAnsi="Arial"/>
          <w:sz w:val="21"/>
          <w:szCs w:val="21"/>
          <w:color w:val="auto"/>
        </w:rPr>
        <w:t>The MJFF expects that AC Immune and Skåne will complete tasks according to the agreed timelines. AC Immune’s funding is variable depending on the satisfactory achievement of these specific tasks within a specific period of time.</w:t>
      </w:r>
    </w:p>
    <w:p>
      <w:pPr>
        <w:spacing w:after="0" w:line="178" w:lineRule="exact"/>
        <w:rPr>
          <w:sz w:val="20"/>
          <w:szCs w:val="20"/>
          <w:color w:val="auto"/>
        </w:rPr>
      </w:pPr>
    </w:p>
    <w:p>
      <w:pPr>
        <w:ind w:right="240" w:firstLine="324"/>
        <w:spacing w:after="0" w:line="236" w:lineRule="auto"/>
        <w:rPr>
          <w:sz w:val="20"/>
          <w:szCs w:val="20"/>
          <w:color w:val="auto"/>
        </w:rPr>
      </w:pPr>
      <w:r>
        <w:rPr>
          <w:rFonts w:ascii="Arial" w:cs="Arial" w:eastAsia="Arial" w:hAnsi="Arial"/>
          <w:sz w:val="22"/>
          <w:szCs w:val="22"/>
          <w:color w:val="auto"/>
        </w:rPr>
        <w:t>In December 2021, the Company announced that it had been awarded two grants totaling USD 1.5 (CHF 1.4) million to advance small molecule PD programs. One award will support an existing early-stage program to develop small molecules that can prevent intracellular aggregation and spreading of a-syn. The other award will fund research on the therapeutic potential of chemically and mechanistically novel, brain penetrant small molecule inhibitors of NLRP3 inflammasome activation for the treatment of PD.</w:t>
      </w:r>
    </w:p>
    <w:p>
      <w:pPr>
        <w:spacing w:after="0" w:line="214" w:lineRule="exact"/>
        <w:rPr>
          <w:sz w:val="20"/>
          <w:szCs w:val="20"/>
          <w:color w:val="auto"/>
        </w:rPr>
      </w:pPr>
    </w:p>
    <w:p>
      <w:pPr>
        <w:ind w:right="80" w:firstLine="324"/>
        <w:spacing w:after="0"/>
        <w:rPr>
          <w:sz w:val="20"/>
          <w:szCs w:val="20"/>
          <w:color w:val="auto"/>
        </w:rPr>
      </w:pPr>
      <w:r>
        <w:rPr>
          <w:rFonts w:ascii="Arial" w:cs="Arial" w:eastAsia="Arial" w:hAnsi="Arial"/>
          <w:sz w:val="22"/>
          <w:szCs w:val="22"/>
          <w:color w:val="auto"/>
        </w:rPr>
        <w:t>For the years ended December 31, 2021, 2020 and 2019, the Company has recognized CHF 1.1 million, CHF 1.3 million and CHF 0.6 million, respectively, from its MJFF grants. As of December 31, 2021, the Company recorded CHF 0.9 million in accrued income and CHF 0.6 million in deferred income, respectively.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Grant from the Target ALS Foundation</w:t>
      </w:r>
    </w:p>
    <w:p>
      <w:pPr>
        <w:spacing w:after="0" w:line="233"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In Q1 2021, AC Immune was awarded a USD 0.3 (CHF 0.2) million grant from the Target ALS Foundation (“Target ALS”). This grant funds a collaboration between the Company and the Investigators at the Healey Center for ALS at Massachusetts General Hospital (“MGH”) to accelerate the development of the Company’s proprietary immunoassays to detect disease-associated forms of TDP-43 in CSF and blood samples.</w:t>
      </w:r>
    </w:p>
    <w:p>
      <w:pPr>
        <w:spacing w:after="0" w:line="212" w:lineRule="exact"/>
        <w:rPr>
          <w:sz w:val="20"/>
          <w:szCs w:val="20"/>
          <w:color w:val="auto"/>
        </w:rPr>
      </w:pPr>
    </w:p>
    <w:p>
      <w:pPr>
        <w:ind w:right="100" w:firstLine="324"/>
        <w:spacing w:after="0"/>
        <w:rPr>
          <w:sz w:val="20"/>
          <w:szCs w:val="20"/>
          <w:color w:val="auto"/>
        </w:rPr>
      </w:pPr>
      <w:r>
        <w:rPr>
          <w:rFonts w:ascii="Arial" w:cs="Arial" w:eastAsia="Arial" w:hAnsi="Arial"/>
          <w:sz w:val="22"/>
          <w:szCs w:val="22"/>
          <w:color w:val="auto"/>
        </w:rPr>
        <w:t>For the years ended December 31, 2021, 2020 and 2019, the Company recognized CHF 0.1 million, nil and nil in grant income, respectively. As of December 31, 2021, the Company recorded CHF 0.1 million in accrued income and CHF 0.1 million in deferred income,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Expenses by category</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44,289</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Payroll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16,465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12,382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62,282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59,487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50,432</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jc w:val="both"/>
        <w:ind w:right="160" w:firstLine="648"/>
        <w:spacing w:after="0" w:line="238" w:lineRule="auto"/>
        <w:rPr>
          <w:sz w:val="20"/>
          <w:szCs w:val="20"/>
          <w:color w:val="auto"/>
        </w:rPr>
      </w:pPr>
      <w:r>
        <w:rPr>
          <w:rFonts w:ascii="Arial" w:cs="Arial" w:eastAsia="Arial" w:hAnsi="Arial"/>
          <w:sz w:val="22"/>
          <w:szCs w:val="22"/>
          <w:color w:val="auto"/>
        </w:rPr>
        <w:t>For the year ended December 31, 2021, 2020 and 2019, the Company incurred CHF 62.3 million, CHF 59.5 million and CHF 50.4 million in research and development expenses, respectively. These increases are predominantly driven by increases in investments in our research and development projects, reallocation of certain IT and facilities expenditures and annualization of prior year full-time equivalent (FTEs) hiring.</w:t>
      </w:r>
    </w:p>
    <w:p>
      <w:pPr>
        <w:spacing w:after="0" w:line="21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For the years ended December 31, 2021, 2020 and 2019, the Company had 108.6, 115.3 and 102.7 FTEs in research and development.</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88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Payroll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8,281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8,274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7,172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17,910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18,557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16,058</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9"/>
          <w:szCs w:val="19"/>
          <w:color w:val="auto"/>
        </w:rPr>
        <w:t>For the years ended December 31, 2021, 2020 and 2019, the Company incurred CHF 17.9 million, CHF 18.6 million and CHF 16.1 million in general and administrative expenses, respectively. The decrease in 2021 compared with the prior year relates to the reallocation of certain IT and facilities expenditures that were not reclassified in the prior years.</w:t>
      </w:r>
    </w:p>
    <w:p>
      <w:pPr>
        <w:spacing w:after="0" w:line="161"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For the years ended December 31, 2021, 2020 and 2019, the Company had 27.3, 26.7 and 24.1 FTEs within its general and administrative functions.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Financial result,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(581)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(1,926)</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conversion feature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(555)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(2,013)</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result,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20" w:firstLine="329"/>
        <w:spacing w:after="0"/>
        <w:rPr>
          <w:sz w:val="20"/>
          <w:szCs w:val="20"/>
          <w:color w:val="auto"/>
        </w:rPr>
      </w:pPr>
      <w:r>
        <w:rPr>
          <w:rFonts w:ascii="Arial" w:cs="Arial" w:eastAsia="Arial" w:hAnsi="Arial"/>
          <w:sz w:val="22"/>
          <w:szCs w:val="22"/>
          <w:color w:val="auto"/>
        </w:rPr>
        <w:t>Our financial income and expense primarily consist of a gain on the fair value of our derivative financial asset associated with two convertible notes sold to certain Affiris affiliated entities and interest expense associated with our lease liabilities and short-term financial assets.</w:t>
      </w:r>
    </w:p>
    <w:p>
      <w:pPr>
        <w:spacing w:after="0" w:line="213" w:lineRule="exact"/>
        <w:rPr>
          <w:sz w:val="20"/>
          <w:szCs w:val="20"/>
          <w:color w:val="auto"/>
        </w:rPr>
      </w:pPr>
    </w:p>
    <w:p>
      <w:pPr>
        <w:ind w:right="100" w:firstLine="329"/>
        <w:spacing w:after="0"/>
        <w:rPr>
          <w:sz w:val="20"/>
          <w:szCs w:val="20"/>
          <w:color w:val="auto"/>
        </w:rPr>
      </w:pPr>
      <w:r>
        <w:rPr>
          <w:rFonts w:ascii="Arial" w:cs="Arial" w:eastAsia="Arial" w:hAnsi="Arial"/>
          <w:sz w:val="22"/>
          <w:szCs w:val="22"/>
          <w:color w:val="auto"/>
        </w:rPr>
        <w:t>For the year ended December 31, 2021, the increase in financial result, net related primarily to a CHF 6.5 million gain on the conversion features related to the Company’s convertible notes due to certain Affiris affiliated entities as a result of fair value remeasurements.</w:t>
      </w:r>
    </w:p>
    <w:p>
      <w:pPr>
        <w:spacing w:after="0" w:line="213" w:lineRule="exact"/>
        <w:rPr>
          <w:sz w:val="20"/>
          <w:szCs w:val="20"/>
          <w:color w:val="auto"/>
        </w:rPr>
      </w:pPr>
    </w:p>
    <w:p>
      <w:pPr>
        <w:ind w:right="120" w:firstLine="329"/>
        <w:spacing w:after="0" w:line="238" w:lineRule="auto"/>
        <w:rPr>
          <w:sz w:val="20"/>
          <w:szCs w:val="20"/>
          <w:color w:val="auto"/>
        </w:rPr>
      </w:pPr>
      <w:r>
        <w:rPr>
          <w:rFonts w:ascii="Arial" w:cs="Arial" w:eastAsia="Arial" w:hAnsi="Arial"/>
          <w:sz w:val="22"/>
          <w:szCs w:val="22"/>
          <w:color w:val="auto"/>
        </w:rPr>
        <w:t>Related to the Company’s convertible note settled with Lilly in 2019, we recorded CHF 1.4 million for amortization of effective interest for the year ended December 31, 2019 within financial expenses and recognized a CHF 4.5 million gain for the change in fair value of the liability related to the conversion feature. There were no comparable expenses or gains in 2021 nor 2020.</w:t>
      </w:r>
    </w:p>
    <w:p>
      <w:pPr>
        <w:spacing w:after="0" w:line="21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Board of director and executive management compensation</w:t>
      </w:r>
    </w:p>
    <w:p>
      <w:pPr>
        <w:spacing w:after="0" w:line="233" w:lineRule="exact"/>
        <w:rPr>
          <w:sz w:val="20"/>
          <w:szCs w:val="20"/>
          <w:color w:val="auto"/>
        </w:rPr>
      </w:pPr>
    </w:p>
    <w:p>
      <w:pPr>
        <w:ind w:right="180" w:firstLine="324"/>
        <w:spacing w:after="0" w:line="250" w:lineRule="auto"/>
        <w:rPr>
          <w:sz w:val="20"/>
          <w:szCs w:val="20"/>
          <w:color w:val="auto"/>
        </w:rPr>
      </w:pPr>
      <w:r>
        <w:rPr>
          <w:rFonts w:ascii="Arial" w:cs="Arial" w:eastAsia="Arial" w:hAnsi="Arial"/>
          <w:sz w:val="22"/>
          <w:szCs w:val="22"/>
          <w:color w:val="auto"/>
        </w:rPr>
        <w:t>For key management, including the board of directors (eight individuals excluding the CEO) and the executive management (six individuals including the CEO), compensation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Post-employment benefits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7,666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5,896</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492"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492" w:gutter="0" w:footer="0" w:header="0"/>
          <w:type w:val="continuous"/>
        </w:sectPr>
      </w:pPr>
    </w:p>
    <w:bookmarkStart w:id="47" w:name="page48"/>
    <w:bookmarkEnd w:id="47"/>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9" w:lineRule="exact"/>
        <w:rPr>
          <w:sz w:val="20"/>
          <w:szCs w:val="20"/>
          <w:color w:val="auto"/>
        </w:rPr>
      </w:pPr>
    </w:p>
    <w:p>
      <w:pPr>
        <w:ind w:right="240" w:firstLine="324"/>
        <w:spacing w:after="0" w:line="282" w:lineRule="auto"/>
        <w:rPr>
          <w:sz w:val="20"/>
          <w:szCs w:val="20"/>
          <w:color w:val="auto"/>
        </w:rPr>
      </w:pPr>
      <w:r>
        <w:rPr>
          <w:rFonts w:ascii="Arial" w:cs="Arial" w:eastAsia="Arial" w:hAnsi="Arial"/>
          <w:sz w:val="19"/>
          <w:szCs w:val="19"/>
          <w:color w:val="auto"/>
        </w:rPr>
        <w:t>The Group recognized less than CHF 0.1 million, nil and nil in income taxes and no deferred tax asset or liability positions for the years ended December 31, 2021, 2020, and 2019, respectively. The Group’s expected tax expense for each year is based on the applicable tax rates in each jurisdiction. In 2021, these rates ranged from 13.6% to 32.9% (13.6% for 2020 and 2019, respectively) in the Group’s respective tax jurisdictions. The weighted average tax rate applicable to the Group was 13.6% (13.6% for 2020 and 2019, respectively). The variance relates to the establishment of AC Immune USA, Inc. in 2021.</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Group’s income tax expense for each year can be reconciled to loss before tax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Income/(loss) before income tax</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(72,993)</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w w:val="99"/>
              </w:rPr>
              <w:t>Tax (benefit)/expense calculated at the domestic rates applicable in the respective countries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(9,930)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(8,441)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6,194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not subject to tax)/expenses not deductible for tax purposes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unused tax losses and tax offsets not recognized as deferred tax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10,308</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7,979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(6,132)</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(benefit)/expense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right="40" w:firstLine="324"/>
        <w:spacing w:after="0" w:line="328" w:lineRule="auto"/>
        <w:rPr>
          <w:sz w:val="20"/>
          <w:szCs w:val="20"/>
          <w:color w:val="auto"/>
        </w:rPr>
      </w:pPr>
      <w:r>
        <w:rPr>
          <w:rFonts w:ascii="Arial" w:cs="Arial" w:eastAsia="Arial" w:hAnsi="Arial"/>
          <w:sz w:val="19"/>
          <w:szCs w:val="19"/>
          <w:color w:val="auto"/>
        </w:rPr>
        <w:t>The Swiss tax rate used for the 2021 reconciliations is the corporate tax rate of 13.6% (13.6% in 2020 and 2019, respectively) payable by corporate entities in the Canton of Vaud, Switzerland on taxable profits under tax law in that jurisdiction.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9"/>
          <w:szCs w:val="19"/>
          <w:color w:val="auto"/>
        </w:rPr>
        <w:t>The below table details the total unrecognized deductible temporary differences, unused tax losses and unused tax credits: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2"/>
              </w:rPr>
              <w:t>Unrecognized deductible temporary differences, unused tax losses and unused tax credits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assets have been recognized are attributable to the following:</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Tax losses</w:t>
            </w:r>
          </w:p>
        </w:tc>
        <w:tc>
          <w:tcPr>
            <w:tcW w:w="1140" w:type="dxa"/>
            <w:vAlign w:val="bottom"/>
          </w:tcPr>
          <w:p>
            <w:pPr>
              <w:jc w:val="right"/>
              <w:spacing w:after="0"/>
              <w:rPr>
                <w:sz w:val="20"/>
                <w:szCs w:val="20"/>
                <w:color w:val="auto"/>
              </w:rPr>
            </w:pPr>
            <w:r>
              <w:rPr>
                <w:rFonts w:ascii="Arial" w:cs="Arial" w:eastAsia="Arial" w:hAnsi="Arial"/>
                <w:sz w:val="18"/>
                <w:szCs w:val="18"/>
                <w:color w:val="auto"/>
              </w:rPr>
              <w:t>197,152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121,948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64,125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Deductible temporary differences related to:</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Right-of-use assets and lease liabilities, net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Retirement benefit 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7,485</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204,250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129,412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71,610</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details the tax losses carry forwards of the Company and their respective expiry dates: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Tax losses split by expiry date:</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15,231</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December 31, 2025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48,894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48,894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48,894</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December 31, 2027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57,824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57,824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unrecorded tax loss carryforwards</w:t>
            </w:r>
          </w:p>
        </w:tc>
        <w:tc>
          <w:tcPr>
            <w:tcW w:w="1140" w:type="dxa"/>
            <w:vAlign w:val="bottom"/>
          </w:tcPr>
          <w:p>
            <w:pPr>
              <w:jc w:val="right"/>
              <w:spacing w:after="0"/>
              <w:rPr>
                <w:sz w:val="20"/>
                <w:szCs w:val="20"/>
                <w:color w:val="auto"/>
              </w:rPr>
            </w:pPr>
            <w:r>
              <w:rPr>
                <w:rFonts w:ascii="Arial" w:cs="Arial" w:eastAsia="Arial" w:hAnsi="Arial"/>
                <w:sz w:val="18"/>
                <w:szCs w:val="18"/>
                <w:color w:val="auto"/>
              </w:rPr>
              <w:t>197,153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121,949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64,125</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160" w:firstLine="324"/>
        <w:spacing w:after="0"/>
        <w:rPr>
          <w:sz w:val="20"/>
          <w:szCs w:val="20"/>
          <w:color w:val="auto"/>
        </w:rPr>
      </w:pPr>
      <w:r>
        <w:rPr>
          <w:rFonts w:ascii="Arial" w:cs="Arial" w:eastAsia="Arial" w:hAnsi="Arial"/>
          <w:sz w:val="22"/>
          <w:szCs w:val="22"/>
          <w:color w:val="auto"/>
        </w:rPr>
        <w:t>The tax losses available for future offset against taxable profits have increased by CHF 75.2 million from 2020, representing the amount of tax losses that are additionally available as an offset, subject to expiration as disclosed in the table above, against future taxable income.</w:t>
      </w:r>
    </w:p>
    <w:p>
      <w:pPr>
        <w:spacing w:after="0" w:line="213" w:lineRule="exact"/>
        <w:rPr>
          <w:sz w:val="20"/>
          <w:szCs w:val="20"/>
          <w:color w:val="auto"/>
        </w:rPr>
      </w:pPr>
    </w:p>
    <w:p>
      <w:pPr>
        <w:ind w:right="220" w:firstLine="324"/>
        <w:spacing w:after="0" w:line="250" w:lineRule="auto"/>
        <w:rPr>
          <w:sz w:val="20"/>
          <w:szCs w:val="20"/>
          <w:color w:val="auto"/>
        </w:rPr>
      </w:pPr>
      <w:r>
        <w:rPr>
          <w:rFonts w:ascii="Arial" w:cs="Arial" w:eastAsia="Arial" w:hAnsi="Arial"/>
          <w:sz w:val="22"/>
          <w:szCs w:val="22"/>
          <w:color w:val="auto"/>
        </w:rPr>
        <w:t>Consistent with prior years, the Company has not recorded any deferred tax assets in relation to the past tax losses available for offset against future profits as the recognition criteria were not met at the balance sheet date.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benefit plan</w:t>
      </w:r>
    </w:p>
    <w:p>
      <w:pPr>
        <w:spacing w:after="0" w:line="249"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The Company participates in a collective foundation covering all of its employees including its executive officers. In addition to retirement benefits, the plan provides death or long-term disability benefits.</w:t>
      </w:r>
    </w:p>
    <w:p>
      <w:pPr>
        <w:spacing w:after="0" w:line="202" w:lineRule="exact"/>
        <w:rPr>
          <w:sz w:val="20"/>
          <w:szCs w:val="20"/>
          <w:color w:val="auto"/>
        </w:rPr>
      </w:pPr>
    </w:p>
    <w:p>
      <w:pPr>
        <w:ind w:right="700" w:firstLine="324"/>
        <w:spacing w:after="0" w:line="250" w:lineRule="auto"/>
        <w:rPr>
          <w:sz w:val="20"/>
          <w:szCs w:val="20"/>
          <w:color w:val="auto"/>
        </w:rPr>
      </w:pPr>
      <w:r>
        <w:rPr>
          <w:rFonts w:ascii="Arial" w:cs="Arial" w:eastAsia="Arial" w:hAnsi="Arial"/>
          <w:sz w:val="22"/>
          <w:szCs w:val="22"/>
          <w:color w:val="auto"/>
        </w:rPr>
        <w:t>Contributions paid to the plan are computed as a percentage of salary, adjusted for the age of the employee and shared approximately 47% and 53% by employee and employer, respectively.</w:t>
      </w:r>
    </w:p>
    <w:p>
      <w:pPr>
        <w:spacing w:after="0" w:line="202" w:lineRule="exact"/>
        <w:rPr>
          <w:sz w:val="20"/>
          <w:szCs w:val="20"/>
          <w:color w:val="auto"/>
        </w:rPr>
      </w:pPr>
    </w:p>
    <w:p>
      <w:pPr>
        <w:ind w:right="100" w:firstLine="324"/>
        <w:spacing w:after="0" w:line="249" w:lineRule="auto"/>
        <w:rPr>
          <w:sz w:val="20"/>
          <w:szCs w:val="20"/>
          <w:color w:val="auto"/>
        </w:rPr>
      </w:pPr>
      <w:r>
        <w:rPr>
          <w:rFonts w:ascii="Arial" w:cs="Arial" w:eastAsia="Arial" w:hAnsi="Arial"/>
          <w:sz w:val="21"/>
          <w:szCs w:val="21"/>
          <w:color w:val="auto"/>
        </w:rPr>
        <w:t>This plan is governed by the Swiss Law on Occupational Retirement, Survivors and Disability Pension Plans (BVG), which requires contributions to be made to a separately administered fund. The fund has the legal form of a foundation and it is governed by a board of trustees, which consists of an equal number of employer and employee representatives of its members. The board of trustees is responsible for the administration of the plan assets and for the definition of the investment strategy. The Company has no direct influence on the investment strategy of the foundation board.</w:t>
      </w:r>
    </w:p>
    <w:p>
      <w:pPr>
        <w:spacing w:after="0" w:line="205" w:lineRule="exact"/>
        <w:rPr>
          <w:sz w:val="20"/>
          <w:szCs w:val="20"/>
          <w:color w:val="auto"/>
        </w:rPr>
      </w:pPr>
    </w:p>
    <w:p>
      <w:pPr>
        <w:ind w:right="40" w:firstLine="321"/>
        <w:spacing w:after="0" w:line="275" w:lineRule="auto"/>
        <w:rPr>
          <w:sz w:val="20"/>
          <w:szCs w:val="20"/>
          <w:color w:val="auto"/>
        </w:rPr>
      </w:pPr>
      <w:r>
        <w:rPr>
          <w:rFonts w:ascii="Arial" w:cs="Arial" w:eastAsia="Arial" w:hAnsi="Arial"/>
          <w:sz w:val="19"/>
          <w:szCs w:val="19"/>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as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ectPr>
          <w:pgSz w:w="11900" w:h="16838" w:orient="portrait"/>
          <w:cols w:equalWidth="0" w:num="1">
            <w:col w:w="11240"/>
          </w:cols>
          <w:pgMar w:left="320" w:top="118"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9" w:name="page50"/>
    <w:bookmarkEnd w:id="49"/>
    <w:p>
      <w:pPr>
        <w:ind w:right="600" w:firstLine="324"/>
        <w:spacing w:after="0" w:line="329" w:lineRule="auto"/>
        <w:rPr>
          <w:sz w:val="20"/>
          <w:szCs w:val="20"/>
          <w:color w:val="auto"/>
        </w:rPr>
      </w:pPr>
      <w:r>
        <w:rPr>
          <w:rFonts w:ascii="Arial" w:cs="Arial" w:eastAsia="Arial" w:hAnsi="Arial"/>
          <w:sz w:val="19"/>
          <w:szCs w:val="19"/>
          <w:color w:val="auto"/>
        </w:rPr>
        <w:t>The pension plan is exposed to Swiss inflation, interest rate risks and changes in the life expectancy for pensioners. For accounting purposes under IFRS, the plan is treated as a defined benefit plan in accordance with IAS 19.</w:t>
      </w:r>
    </w:p>
    <w:p>
      <w:pPr>
        <w:spacing w:after="0" w:line="131"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As of January 1, 2019, the Company changed from a fully insured plan to a plan for which the Company now bears investment and old age risks. The new plan has a higher statutory coverage ratio, which led to an increase in plan assets of 10% (CHF 1.2 million) for the year ended December 31, 2019. The increase is presented in Table B as part of the line “Return on plan assets excluding interest income.”</w:t>
      </w:r>
    </w:p>
    <w:p>
      <w:pPr>
        <w:spacing w:after="0" w:line="212" w:lineRule="exact"/>
        <w:rPr>
          <w:sz w:val="20"/>
          <w:szCs w:val="20"/>
          <w:color w:val="auto"/>
        </w:rPr>
      </w:pPr>
    </w:p>
    <w:p>
      <w:pPr>
        <w:ind w:right="920" w:firstLine="324"/>
        <w:spacing w:after="0" w:line="250" w:lineRule="auto"/>
        <w:rPr>
          <w:sz w:val="20"/>
          <w:szCs w:val="20"/>
          <w:color w:val="auto"/>
        </w:rPr>
      </w:pPr>
      <w:r>
        <w:rPr>
          <w:rFonts w:ascii="Arial" w:cs="Arial" w:eastAsia="Arial" w:hAnsi="Arial"/>
          <w:sz w:val="22"/>
          <w:szCs w:val="22"/>
          <w:color w:val="auto"/>
        </w:rPr>
        <w:t>The following table sets forth the status of the defined benefit pension plan and the amount that is recognized in the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(33,889)</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(30,213)</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26,791</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22,749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19,139</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amounts have been recorded as net pension cost in the consolidated statements of income/(loss):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Net pension cost</w:t>
            </w:r>
          </w:p>
        </w:tc>
        <w:tc>
          <w:tcPr>
            <w:tcW w:w="1140" w:type="dxa"/>
            <w:vAlign w:val="bottom"/>
          </w:tcPr>
          <w:p>
            <w:pPr>
              <w:jc w:val="right"/>
              <w:spacing w:after="0"/>
              <w:rPr>
                <w:sz w:val="20"/>
                <w:szCs w:val="20"/>
                <w:color w:val="auto"/>
              </w:rPr>
            </w:pPr>
            <w:r>
              <w:rPr>
                <w:rFonts w:ascii="Arial" w:cs="Arial" w:eastAsia="Arial" w:hAnsi="Arial"/>
                <w:sz w:val="18"/>
                <w:szCs w:val="18"/>
                <w:color w:val="auto"/>
              </w:rPr>
              <w:t>1,679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changes in defined benefit obligation, fair value of plan assets and unrecognized gains/(losses) are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Change in defined benefit obligation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0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In CHF thousands</w:t>
            </w:r>
          </w:p>
        </w:tc>
        <w:tc>
          <w:tcPr>
            <w:tcW w:w="2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Service cost</w:t>
            </w:r>
          </w:p>
        </w:tc>
        <w:tc>
          <w:tcPr>
            <w:tcW w:w="3800" w:type="dxa"/>
            <w:vAlign w:val="bottom"/>
            <w:gridSpan w:val="4"/>
          </w:tcPr>
          <w:p>
            <w:pPr>
              <w:jc w:val="right"/>
              <w:ind w:right="180"/>
              <w:spacing w:after="0"/>
              <w:rPr>
                <w:sz w:val="20"/>
                <w:szCs w:val="20"/>
                <w:color w:val="auto"/>
              </w:rPr>
            </w:pPr>
            <w:r>
              <w:rPr>
                <w:rFonts w:ascii="Arial" w:cs="Arial" w:eastAsia="Arial" w:hAnsi="Arial"/>
                <w:sz w:val="18"/>
                <w:szCs w:val="18"/>
                <w:color w:val="auto"/>
              </w:rPr>
              <w:t>(1,648)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(1,626)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1,138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3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Change in experience assumptions</w:t>
            </w:r>
          </w:p>
        </w:tc>
        <w:tc>
          <w:tcPr>
            <w:tcW w:w="3800" w:type="dxa"/>
            <w:vAlign w:val="bottom"/>
            <w:gridSpan w:val="4"/>
          </w:tcPr>
          <w:p>
            <w:pPr>
              <w:jc w:val="right"/>
              <w:ind w:right="180"/>
              <w:spacing w:after="0"/>
              <w:rPr>
                <w:sz w:val="20"/>
                <w:szCs w:val="20"/>
                <w:color w:val="auto"/>
              </w:rPr>
            </w:pPr>
            <w:r>
              <w:rPr>
                <w:rFonts w:ascii="Arial" w:cs="Arial" w:eastAsia="Arial" w:hAnsi="Arial"/>
                <w:sz w:val="18"/>
                <w:szCs w:val="18"/>
                <w:color w:val="auto"/>
              </w:rPr>
              <w:t>(252)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Benefits deposited</w:t>
            </w:r>
          </w:p>
        </w:tc>
        <w:tc>
          <w:tcPr>
            <w:tcW w:w="3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(894)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23"/>
        </w:trPr>
        <w:tc>
          <w:tcPr>
            <w:tcW w:w="4900" w:type="dxa"/>
            <w:vAlign w:val="bottom"/>
          </w:tcPr>
          <w:p>
            <w:pPr>
              <w:spacing w:after="0" w:line="202" w:lineRule="exact"/>
              <w:rPr>
                <w:sz w:val="20"/>
                <w:szCs w:val="20"/>
                <w:color w:val="auto"/>
              </w:rPr>
            </w:pPr>
            <w:r>
              <w:rPr>
                <w:rFonts w:ascii="Arial" w:cs="Arial" w:eastAsia="Arial" w:hAnsi="Arial"/>
                <w:sz w:val="18"/>
                <w:szCs w:val="18"/>
                <w:color w:val="auto"/>
              </w:rPr>
              <w:t>Employees’ contributions</w:t>
            </w:r>
          </w:p>
        </w:tc>
        <w:tc>
          <w:tcPr>
            <w:tcW w:w="380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(959)</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(851)</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(756)</w:t>
            </w:r>
          </w:p>
        </w:tc>
      </w:tr>
      <w:tr>
        <w:trPr>
          <w:trHeight w:val="281"/>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Defined benefit obligation as of December 31</w:t>
            </w:r>
          </w:p>
        </w:tc>
        <w:tc>
          <w:tcPr>
            <w:tcW w:w="2420" w:type="dxa"/>
            <w:vAlign w:val="bottom"/>
            <w:tcBorders>
              <w:bottom w:val="single" w:sz="8" w:color="CCEEFF"/>
            </w:tcBorders>
            <w:gridSpan w:val="2"/>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(33,889)</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(30,213)</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570"/>
        </w:trPr>
        <w:tc>
          <w:tcPr>
            <w:tcW w:w="490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gridSpan w:val="2"/>
          </w:tcPr>
          <w:p>
            <w:pPr>
              <w:ind w:left="580"/>
              <w:spacing w:after="0"/>
              <w:rPr>
                <w:sz w:val="20"/>
                <w:szCs w:val="20"/>
                <w:color w:val="auto"/>
              </w:rPr>
            </w:pPr>
            <w:r>
              <w:rPr>
                <w:rFonts w:ascii="Arial" w:cs="Arial" w:eastAsia="Arial" w:hAnsi="Arial"/>
                <w:sz w:val="14"/>
                <w:szCs w:val="14"/>
                <w:color w:val="auto"/>
              </w:rPr>
              <w:t>F-33</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490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  Change in fair value of plan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January 1</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22,749</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1,089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deposited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Return on plan assets excluding 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26,791</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22,749</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180" w:firstLine="324"/>
        <w:spacing w:after="0" w:line="250" w:lineRule="auto"/>
        <w:rPr>
          <w:sz w:val="20"/>
          <w:szCs w:val="20"/>
          <w:color w:val="auto"/>
        </w:rPr>
      </w:pPr>
      <w:r>
        <w:rPr>
          <w:rFonts w:ascii="Arial" w:cs="Arial" w:eastAsia="Arial" w:hAnsi="Arial"/>
          <w:sz w:val="22"/>
          <w:szCs w:val="22"/>
          <w:color w:val="auto"/>
        </w:rPr>
        <w:t>Expected contributions by the employer to be paid to the post-employment benefit plans during the annual period beginning after the end of the reporting period amount to approximately CHF 1.0 million.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left="103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January 1</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pension cost through statement of income/(loss)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1,679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other comprehensive income/(loss)</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Employer’s contribution</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(1,089)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r>
      <w:tr>
        <w:trPr>
          <w:trHeight w:val="25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7,098</w:t>
            </w:r>
          </w:p>
        </w:tc>
        <w:tc>
          <w:tcPr>
            <w:tcW w:w="220" w:type="dxa"/>
            <w:vAlign w:val="bottom"/>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220" w:type="dxa"/>
            <w:vAlign w:val="bottom"/>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CCEEFF"/>
          </w:tcPr>
          <w:p>
            <w:pPr>
              <w:spacing w:after="0"/>
              <w:rPr>
                <w:sz w:val="22"/>
                <w:szCs w:val="22"/>
                <w:color w:val="auto"/>
              </w:rPr>
            </w:pPr>
          </w:p>
        </w:tc>
      </w:tr>
      <w:tr>
        <w:trPr>
          <w:trHeight w:val="453"/>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D.  Other comprehensive gains/(losses)</w:t>
            </w: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1"/>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left="103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changes in demographic assumptions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changes in financial assumptions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156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(2,171)</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changes in experience assumptions</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Return on plan assets excluding interest income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gain/(loss)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780" w:firstLine="324"/>
        <w:spacing w:after="0" w:line="250" w:lineRule="auto"/>
        <w:rPr>
          <w:sz w:val="20"/>
          <w:szCs w:val="20"/>
          <w:color w:val="auto"/>
        </w:rPr>
      </w:pPr>
      <w:r>
        <w:rPr>
          <w:rFonts w:ascii="Arial" w:cs="Arial" w:eastAsia="Arial" w:hAnsi="Arial"/>
          <w:sz w:val="22"/>
          <w:szCs w:val="22"/>
          <w:color w:val="auto"/>
        </w:rPr>
        <w:t>The fair value of the plan assets is the cash surrender value of the insurance with the insurance company (AXA). The investment strategy defined by the board of trustees follows a conservative profile.</w:t>
      </w:r>
    </w:p>
    <w:p>
      <w:pPr>
        <w:spacing w:after="0" w:line="202" w:lineRule="exact"/>
        <w:rPr>
          <w:sz w:val="20"/>
          <w:szCs w:val="20"/>
          <w:color w:val="auto"/>
        </w:rPr>
      </w:pPr>
    </w:p>
    <w:p>
      <w:pPr>
        <w:ind w:right="380" w:firstLine="324"/>
        <w:spacing w:after="0" w:line="250" w:lineRule="auto"/>
        <w:rPr>
          <w:sz w:val="20"/>
          <w:szCs w:val="20"/>
          <w:color w:val="auto"/>
        </w:rPr>
      </w:pPr>
      <w:r>
        <w:rPr>
          <w:rFonts w:ascii="Arial" w:cs="Arial" w:eastAsia="Arial" w:hAnsi="Arial"/>
          <w:sz w:val="22"/>
          <w:szCs w:val="22"/>
          <w:color w:val="auto"/>
        </w:rPr>
        <w:t>The plan assets are primarily held within instruments with quoted market prices in an active market, with the exception of real estate and mortgages.</w:t>
      </w:r>
    </w:p>
    <w:p>
      <w:pPr>
        <w:spacing w:after="0" w:line="202" w:lineRule="exact"/>
        <w:rPr>
          <w:sz w:val="20"/>
          <w:szCs w:val="20"/>
          <w:color w:val="auto"/>
        </w:rPr>
      </w:pPr>
    </w:p>
    <w:p>
      <w:pPr>
        <w:ind w:right="340" w:firstLine="324"/>
        <w:spacing w:after="0" w:line="250" w:lineRule="auto"/>
        <w:rPr>
          <w:sz w:val="20"/>
          <w:szCs w:val="20"/>
          <w:color w:val="auto"/>
        </w:rPr>
      </w:pPr>
      <w:r>
        <w:rPr>
          <w:rFonts w:ascii="Arial" w:cs="Arial" w:eastAsia="Arial" w:hAnsi="Arial"/>
          <w:sz w:val="22"/>
          <w:szCs w:val="22"/>
          <w:color w:val="auto"/>
        </w:rPr>
        <w:t>The weighted-average duration of the defined benefit obligation is 17.1 years and 17.6 years as of December 31, 2021 and 2020, respectively.</w:t>
      </w:r>
    </w:p>
    <w:p>
      <w:pPr>
        <w:spacing w:after="0" w:line="20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The actuarial assumptions used for the calculation of the pension cost and the defined benefit obligation of the defined benefit pension plan for the years ended December 31, 2021, 2020 and 2019, respectively,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9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3420" w:type="dxa"/>
            <w:vAlign w:val="bottom"/>
            <w:gridSpan w:val="3"/>
          </w:tcPr>
          <w:p>
            <w:pPr>
              <w:jc w:val="right"/>
              <w:ind w:right="30"/>
              <w:spacing w:after="0"/>
              <w:rPr>
                <w:sz w:val="20"/>
                <w:szCs w:val="20"/>
                <w:color w:val="auto"/>
              </w:rPr>
            </w:pPr>
            <w:r>
              <w:rPr>
                <w:rFonts w:ascii="Arial" w:cs="Arial" w:eastAsia="Arial" w:hAnsi="Arial"/>
                <w:sz w:val="18"/>
                <w:szCs w:val="18"/>
                <w:color w:val="auto"/>
              </w:rPr>
              <w:t>1.75%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1.75%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3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rate on retirement savings capital</w:t>
            </w:r>
          </w:p>
        </w:tc>
        <w:tc>
          <w:tcPr>
            <w:tcW w:w="3420" w:type="dxa"/>
            <w:vAlign w:val="bottom"/>
            <w:gridSpan w:val="3"/>
          </w:tcPr>
          <w:p>
            <w:pPr>
              <w:jc w:val="right"/>
              <w:ind w:right="30"/>
              <w:spacing w:after="0"/>
              <w:rPr>
                <w:sz w:val="20"/>
                <w:szCs w:val="20"/>
                <w:color w:val="auto"/>
              </w:rPr>
            </w:pPr>
            <w:r>
              <w:rPr>
                <w:rFonts w:ascii="Arial" w:cs="Arial" w:eastAsia="Arial" w:hAnsi="Arial"/>
                <w:sz w:val="18"/>
                <w:szCs w:val="18"/>
                <w:color w:val="auto"/>
              </w:rPr>
              <w:t>0.75%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Mortality and disability rates</w:t>
            </w:r>
          </w:p>
        </w:tc>
        <w:tc>
          <w:tcPr>
            <w:tcW w:w="3420" w:type="dxa"/>
            <w:vAlign w:val="bottom"/>
            <w:gridSpan w:val="3"/>
            <w:shd w:val="clear" w:color="auto" w:fill="CCEEFF"/>
          </w:tcPr>
          <w:p>
            <w:pPr>
              <w:jc w:val="center"/>
              <w:ind w:left="1630"/>
              <w:spacing w:after="0"/>
              <w:rPr>
                <w:sz w:val="20"/>
                <w:szCs w:val="20"/>
                <w:color w:val="auto"/>
              </w:rPr>
            </w:pPr>
            <w:r>
              <w:rPr>
                <w:rFonts w:ascii="Arial" w:cs="Arial" w:eastAsia="Arial" w:hAnsi="Arial"/>
                <w:sz w:val="18"/>
                <w:szCs w:val="18"/>
                <w:color w:val="auto"/>
                <w:w w:val="96"/>
              </w:rPr>
              <w:t>BVG 2020-CMI</w:t>
            </w:r>
          </w:p>
        </w:tc>
        <w:tc>
          <w:tcPr>
            <w:tcW w:w="1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BVG 2020-CMI</w:t>
            </w:r>
          </w:p>
        </w:tc>
        <w:tc>
          <w:tcPr>
            <w:tcW w:w="13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BVG 2015-CMI</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ind w:left="340"/>
        <w:spacing w:after="0"/>
        <w:rPr>
          <w:sz w:val="20"/>
          <w:szCs w:val="20"/>
          <w:color w:val="auto"/>
        </w:rPr>
      </w:pPr>
      <w:r>
        <w:rPr>
          <w:rFonts w:ascii="Arial" w:cs="Arial" w:eastAsia="Arial" w:hAnsi="Arial"/>
          <w:sz w:val="19"/>
          <w:szCs w:val="19"/>
          <w:color w:val="auto"/>
        </w:rPr>
        <w:t>In defining the benefits, the minimum requirements of the Swiss BVG and its implementing provisions must be observed.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BVG defines the minimum pensionable salary and the minimum retirement credits.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quantitative sensitivity analysis for significant assumptions as of December 31, 2021 is shown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Future salary</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Interest rate on</w:t>
            </w:r>
          </w:p>
        </w:tc>
      </w:tr>
      <w:tr>
        <w:trPr>
          <w:trHeight w:val="241"/>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Discount rate</w:t>
            </w:r>
          </w:p>
        </w:tc>
        <w:tc>
          <w:tcPr>
            <w:tcW w:w="22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increase</w:t>
            </w:r>
          </w:p>
        </w:tc>
        <w:tc>
          <w:tcPr>
            <w:tcW w:w="2220" w:type="dxa"/>
            <w:vAlign w:val="bottom"/>
            <w:gridSpan w:val="4"/>
          </w:tcPr>
          <w:p>
            <w:pPr>
              <w:ind w:left="240"/>
              <w:spacing w:after="0"/>
              <w:rPr>
                <w:sz w:val="20"/>
                <w:szCs w:val="20"/>
                <w:color w:val="auto"/>
              </w:rPr>
            </w:pPr>
            <w:r>
              <w:rPr>
                <w:rFonts w:ascii="Arial" w:cs="Arial" w:eastAsia="Arial" w:hAnsi="Arial"/>
                <w:sz w:val="18"/>
                <w:szCs w:val="18"/>
                <w:b w:val="1"/>
                <w:bCs w:val="1"/>
                <w:color w:val="auto"/>
              </w:rPr>
              <w:t>Future pension cost</w:t>
            </w:r>
          </w:p>
        </w:tc>
        <w:tc>
          <w:tcPr>
            <w:tcW w:w="2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savings capital</w:t>
            </w: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7"/>
                <w:szCs w:val="17"/>
                <w:color w:val="auto"/>
              </w:rPr>
            </w:pPr>
          </w:p>
        </w:tc>
        <w:tc>
          <w:tcPr>
            <w:tcW w:w="9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7"/>
                <w:szCs w:val="17"/>
                <w:color w:val="auto"/>
              </w:rPr>
            </w:pPr>
          </w:p>
        </w:tc>
        <w:tc>
          <w:tcPr>
            <w:tcW w:w="900" w:type="dxa"/>
            <w:vAlign w:val="bottom"/>
            <w:tcBorders>
              <w:top w:val="single" w:sz="8" w:color="auto"/>
            </w:tcBorders>
          </w:tcPr>
          <w:p>
            <w:pPr>
              <w:ind w:left="240"/>
              <w:spacing w:after="0" w:line="198" w:lineRule="exact"/>
              <w:rPr>
                <w:sz w:val="20"/>
                <w:szCs w:val="20"/>
                <w:color w:val="auto"/>
              </w:rPr>
            </w:pPr>
            <w:r>
              <w:rPr>
                <w:rFonts w:ascii="Arial" w:cs="Arial" w:eastAsia="Arial" w:hAnsi="Arial"/>
                <w:sz w:val="18"/>
                <w:szCs w:val="18"/>
                <w:b w:val="1"/>
                <w:bCs w:val="1"/>
                <w:color w:val="auto"/>
              </w:rPr>
              <w:t>0.5%</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7"/>
                <w:szCs w:val="17"/>
                <w:color w:val="auto"/>
              </w:rPr>
            </w:pPr>
          </w:p>
        </w:tc>
        <w:tc>
          <w:tcPr>
            <w:tcW w:w="8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7"/>
                <w:szCs w:val="17"/>
                <w:color w:val="auto"/>
              </w:rPr>
            </w:pPr>
          </w:p>
        </w:tc>
      </w:tr>
      <w:tr>
        <w:trPr>
          <w:trHeight w:val="241"/>
        </w:trPr>
        <w:tc>
          <w:tcPr>
            <w:tcW w:w="22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Assumptions</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increase</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decrease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decrease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increase</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decrease</w:t>
            </w:r>
          </w:p>
        </w:tc>
        <w:tc>
          <w:tcPr>
            <w:tcW w:w="100" w:type="dxa"/>
            <w:vAlign w:val="bottom"/>
          </w:tcPr>
          <w:p>
            <w:pPr>
              <w:spacing w:after="0"/>
              <w:rPr>
                <w:sz w:val="20"/>
                <w:szCs w:val="20"/>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 CHF</w:t>
            </w:r>
          </w:p>
        </w:tc>
        <w:tc>
          <w:tcPr>
            <w:tcW w:w="11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81"/>
              </w:rPr>
              <w:t>thousands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Potential defined benefit</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obligation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31,190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37,006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34,578</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33,176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35,497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32,435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34,822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33,007</w:t>
            </w: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Decrease/(increase) from</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actual defined benefit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quantitative sensitivity analysis for significant assumptions as of December 31, 2020 is shown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Future salary</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Interest rate on</w:t>
            </w:r>
          </w:p>
        </w:tc>
      </w:tr>
      <w:tr>
        <w:trPr>
          <w:trHeight w:val="241"/>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Discount rate</w:t>
            </w:r>
          </w:p>
        </w:tc>
        <w:tc>
          <w:tcPr>
            <w:tcW w:w="22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increase</w:t>
            </w:r>
          </w:p>
        </w:tc>
        <w:tc>
          <w:tcPr>
            <w:tcW w:w="2220" w:type="dxa"/>
            <w:vAlign w:val="bottom"/>
            <w:gridSpan w:val="4"/>
          </w:tcPr>
          <w:p>
            <w:pPr>
              <w:ind w:left="240"/>
              <w:spacing w:after="0"/>
              <w:rPr>
                <w:sz w:val="20"/>
                <w:szCs w:val="20"/>
                <w:color w:val="auto"/>
              </w:rPr>
            </w:pPr>
            <w:r>
              <w:rPr>
                <w:rFonts w:ascii="Arial" w:cs="Arial" w:eastAsia="Arial" w:hAnsi="Arial"/>
                <w:sz w:val="18"/>
                <w:szCs w:val="18"/>
                <w:b w:val="1"/>
                <w:bCs w:val="1"/>
                <w:color w:val="auto"/>
              </w:rPr>
              <w:t>Future pension cost</w:t>
            </w:r>
          </w:p>
        </w:tc>
        <w:tc>
          <w:tcPr>
            <w:tcW w:w="2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savings capital</w:t>
            </w: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7"/>
                <w:szCs w:val="17"/>
                <w:color w:val="auto"/>
              </w:rPr>
            </w:pPr>
          </w:p>
        </w:tc>
        <w:tc>
          <w:tcPr>
            <w:tcW w:w="9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24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7"/>
                <w:szCs w:val="17"/>
                <w:color w:val="auto"/>
              </w:rPr>
            </w:pPr>
          </w:p>
        </w:tc>
        <w:tc>
          <w:tcPr>
            <w:tcW w:w="900" w:type="dxa"/>
            <w:vAlign w:val="bottom"/>
            <w:tcBorders>
              <w:top w:val="single" w:sz="8" w:color="auto"/>
            </w:tcBorders>
          </w:tcPr>
          <w:p>
            <w:pPr>
              <w:ind w:left="240"/>
              <w:spacing w:after="0" w:line="198" w:lineRule="exact"/>
              <w:rPr>
                <w:sz w:val="20"/>
                <w:szCs w:val="20"/>
                <w:color w:val="auto"/>
              </w:rPr>
            </w:pPr>
            <w:r>
              <w:rPr>
                <w:rFonts w:ascii="Arial" w:cs="Arial" w:eastAsia="Arial" w:hAnsi="Arial"/>
                <w:sz w:val="18"/>
                <w:szCs w:val="18"/>
                <w:b w:val="1"/>
                <w:bCs w:val="1"/>
                <w:color w:val="auto"/>
              </w:rPr>
              <w:t>0.5%</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7"/>
                <w:szCs w:val="17"/>
                <w:color w:val="auto"/>
              </w:rPr>
            </w:pPr>
          </w:p>
        </w:tc>
        <w:tc>
          <w:tcPr>
            <w:tcW w:w="8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7"/>
                <w:szCs w:val="17"/>
                <w:color w:val="auto"/>
              </w:rPr>
            </w:pPr>
          </w:p>
        </w:tc>
      </w:tr>
      <w:tr>
        <w:trPr>
          <w:trHeight w:val="241"/>
        </w:trPr>
        <w:tc>
          <w:tcPr>
            <w:tcW w:w="22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Assumptions</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increase</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decrease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decrease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increase</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decrease</w:t>
            </w:r>
          </w:p>
        </w:tc>
        <w:tc>
          <w:tcPr>
            <w:tcW w:w="100" w:type="dxa"/>
            <w:vAlign w:val="bottom"/>
          </w:tcPr>
          <w:p>
            <w:pPr>
              <w:spacing w:after="0"/>
              <w:rPr>
                <w:sz w:val="20"/>
                <w:szCs w:val="20"/>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in CHF</w:t>
            </w:r>
          </w:p>
        </w:tc>
        <w:tc>
          <w:tcPr>
            <w:tcW w:w="11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81"/>
              </w:rPr>
              <w:t>thousands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Potential defined benefit</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gridSpan w:val="2"/>
          </w:tcPr>
          <w:p>
            <w:pPr>
              <w:ind w:left="100"/>
              <w:spacing w:after="0"/>
              <w:rPr>
                <w:sz w:val="20"/>
                <w:szCs w:val="20"/>
                <w:color w:val="auto"/>
              </w:rPr>
            </w:pPr>
            <w:r>
              <w:rPr>
                <w:rFonts w:ascii="Arial" w:cs="Arial" w:eastAsia="Arial" w:hAnsi="Arial"/>
                <w:sz w:val="18"/>
                <w:szCs w:val="18"/>
                <w:color w:val="auto"/>
              </w:rPr>
              <w:t>obligation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27,740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33,080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30,912</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29,519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31,652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28,916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31,070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29,405</w:t>
            </w: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Decrease/(increase) from</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actual defined benefit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obligation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694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r>
    </w:tbl>
    <w:p>
      <w:pPr>
        <w:spacing w:after="0" w:line="222"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The sensitivity analyses above are subject to limitations and have been determined based on a method that extrapolates the impact on net defined benefit obligation as a result of reasonable changes in key assumptions occurring at the end of the reporting period.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Share-based option awards</w:t>
      </w:r>
    </w:p>
    <w:p>
      <w:pPr>
        <w:spacing w:after="0" w:line="233" w:lineRule="exact"/>
        <w:rPr>
          <w:sz w:val="20"/>
          <w:szCs w:val="20"/>
          <w:color w:val="auto"/>
        </w:rPr>
      </w:pPr>
    </w:p>
    <w:p>
      <w:pPr>
        <w:ind w:right="320" w:firstLine="324"/>
        <w:spacing w:after="0" w:line="250" w:lineRule="auto"/>
        <w:rPr>
          <w:sz w:val="20"/>
          <w:szCs w:val="20"/>
          <w:color w:val="auto"/>
        </w:rPr>
      </w:pPr>
      <w:r>
        <w:rPr>
          <w:rFonts w:ascii="Arial" w:cs="Arial" w:eastAsia="Arial" w:hAnsi="Arial"/>
          <w:sz w:val="22"/>
          <w:szCs w:val="22"/>
          <w:color w:val="auto"/>
        </w:rPr>
        <w:t>Through the year ended December 31, 2021, there are equity-based instruments outstanding that the Company has granted under four different plans.</w:t>
      </w:r>
    </w:p>
    <w:p>
      <w:pPr>
        <w:spacing w:after="0" w:line="202"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December 31, 2021.</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equity-settled share option grants for plans that existed during the period: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awarded (since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41"/>
        </w:trPr>
        <w:tc>
          <w:tcPr>
            <w:tcW w:w="3540" w:type="dxa"/>
            <w:vAlign w:val="bottom"/>
            <w:gridSpan w:val="2"/>
          </w:tcPr>
          <w:p>
            <w:pPr>
              <w:ind w:left="1480"/>
              <w:spacing w:after="0"/>
              <w:rPr>
                <w:sz w:val="20"/>
                <w:szCs w:val="20"/>
                <w:color w:val="auto"/>
              </w:rPr>
            </w:pPr>
            <w:r>
              <w:rPr>
                <w:rFonts w:ascii="Arial" w:cs="Arial" w:eastAsia="Arial" w:hAnsi="Arial"/>
                <w:sz w:val="18"/>
                <w:szCs w:val="18"/>
                <w:b w:val="1"/>
                <w:bCs w:val="1"/>
                <w:color w:val="auto"/>
              </w:rPr>
              <w:t>PLAN</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inception)</w:t>
            </w:r>
          </w:p>
        </w:tc>
        <w:tc>
          <w:tcPr>
            <w:tcW w:w="3920" w:type="dxa"/>
            <w:vAlign w:val="bottom"/>
            <w:gridSpan w:val="2"/>
          </w:tcPr>
          <w:p>
            <w:pPr>
              <w:ind w:left="1200"/>
              <w:spacing w:after="0"/>
              <w:rPr>
                <w:sz w:val="20"/>
                <w:szCs w:val="20"/>
                <w:color w:val="auto"/>
              </w:rPr>
            </w:pPr>
            <w:r>
              <w:rPr>
                <w:rFonts w:ascii="Arial" w:cs="Arial" w:eastAsia="Arial" w:hAnsi="Arial"/>
                <w:sz w:val="18"/>
                <w:szCs w:val="18"/>
                <w:b w:val="1"/>
                <w:bCs w:val="1"/>
                <w:color w:val="auto"/>
              </w:rPr>
              <w:t>Vesting conditions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life of options</w:t>
            </w:r>
          </w:p>
        </w:tc>
      </w:tr>
      <w:tr>
        <w:trPr>
          <w:trHeight w:val="216"/>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option plan C1</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84"/>
              </w:rPr>
              <w:t>6,775,250</w:t>
            </w:r>
          </w:p>
        </w:tc>
        <w:tc>
          <w:tcPr>
            <w:tcW w:w="12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jc w:val="center"/>
              <w:ind w:right="1450"/>
              <w:spacing w:after="0"/>
              <w:rPr>
                <w:sz w:val="20"/>
                <w:szCs w:val="20"/>
                <w:color w:val="auto"/>
              </w:rPr>
            </w:pPr>
            <w:r>
              <w:rPr>
                <w:rFonts w:ascii="Arial" w:cs="Arial" w:eastAsia="Arial" w:hAnsi="Arial"/>
                <w:sz w:val="18"/>
                <w:szCs w:val="18"/>
                <w:color w:val="auto"/>
                <w:w w:val="90"/>
              </w:rPr>
              <w:t>4 years’ service from grant date</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2016 SOIP:</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Executives and directors</w:t>
            </w:r>
          </w:p>
        </w:tc>
        <w:tc>
          <w:tcPr>
            <w:tcW w:w="6060" w:type="dxa"/>
            <w:vAlign w:val="bottom"/>
            <w:gridSpan w:val="4"/>
            <w:shd w:val="clear" w:color="auto" w:fill="CCEEFF"/>
          </w:tcPr>
          <w:p>
            <w:pPr>
              <w:ind w:left="1320"/>
              <w:spacing w:after="0" w:line="201" w:lineRule="exact"/>
              <w:rPr>
                <w:sz w:val="20"/>
                <w:szCs w:val="20"/>
                <w:color w:val="auto"/>
              </w:rPr>
            </w:pPr>
            <w:r>
              <w:rPr>
                <w:rFonts w:ascii="Arial" w:cs="Arial" w:eastAsia="Arial" w:hAnsi="Arial"/>
                <w:sz w:val="18"/>
                <w:szCs w:val="18"/>
                <w:color w:val="auto"/>
                <w:w w:val="96"/>
              </w:rPr>
              <w:t>2,643,984 1 year, 3 year and 4 years’ service from the date of</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10 years</w:t>
            </w: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jc w:val="center"/>
              <w:ind w:right="1680"/>
              <w:spacing w:after="0"/>
              <w:rPr>
                <w:sz w:val="20"/>
                <w:szCs w:val="20"/>
                <w:color w:val="auto"/>
              </w:rPr>
            </w:pPr>
            <w:r>
              <w:rPr>
                <w:rFonts w:ascii="Arial" w:cs="Arial" w:eastAsia="Arial" w:hAnsi="Arial"/>
                <w:sz w:val="18"/>
                <w:szCs w:val="18"/>
                <w:color w:val="auto"/>
                <w:w w:val="91"/>
              </w:rPr>
              <w:t>grant, quarterly and annually</w:t>
            </w:r>
          </w:p>
        </w:tc>
        <w:tc>
          <w:tcPr>
            <w:tcW w:w="1640" w:type="dxa"/>
            <w:vAlign w:val="bottom"/>
            <w:shd w:val="clear" w:color="auto" w:fill="CCEEFF"/>
          </w:tcPr>
          <w:p>
            <w:pPr>
              <w:spacing w:after="0"/>
              <w:rPr>
                <w:sz w:val="20"/>
                <w:szCs w:val="20"/>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6060" w:type="dxa"/>
            <w:vAlign w:val="bottom"/>
            <w:gridSpan w:val="4"/>
          </w:tcPr>
          <w:p>
            <w:pPr>
              <w:ind w:left="1320"/>
              <w:spacing w:after="0"/>
              <w:rPr>
                <w:sz w:val="20"/>
                <w:szCs w:val="20"/>
                <w:color w:val="auto"/>
              </w:rPr>
            </w:pPr>
            <w:r>
              <w:rPr>
                <w:rFonts w:ascii="Arial" w:cs="Arial" w:eastAsia="Arial" w:hAnsi="Arial"/>
                <w:sz w:val="18"/>
                <w:szCs w:val="18"/>
                <w:color w:val="auto"/>
              </w:rPr>
              <w:t>1,354,431 4 years’ service from the date of grant, annually</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2" w:name="page53"/>
    <w:bookmarkEnd w:id="52"/>
    <w:p>
      <w:pPr>
        <w:ind w:right="140" w:firstLine="324"/>
        <w:spacing w:after="0" w:line="251" w:lineRule="auto"/>
        <w:rPr>
          <w:sz w:val="20"/>
          <w:szCs w:val="20"/>
          <w:color w:val="auto"/>
        </w:rPr>
      </w:pPr>
      <w:r>
        <w:rPr>
          <w:rFonts w:ascii="Arial" w:cs="Arial" w:eastAsia="Arial" w:hAnsi="Arial"/>
          <w:sz w:val="22"/>
          <w:szCs w:val="22"/>
          <w:color w:val="auto"/>
        </w:rPr>
        <w:t>The number and weighted-average exercise prices (in CHF) of options under the share option programs for Plans C1 and the 2016 SOIP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term</w:t>
            </w:r>
          </w:p>
        </w:tc>
      </w:tr>
      <w:tr>
        <w:trPr>
          <w:trHeight w:val="241"/>
        </w:trPr>
        <w:tc>
          <w:tcPr>
            <w:tcW w:w="73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of options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price (CHF)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1,618,856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4.25</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(73,699)</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6.71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(616,833)</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160" w:type="dxa"/>
            <w:vAlign w:val="bottom"/>
          </w:tcPr>
          <w:p>
            <w:pPr>
              <w:jc w:val="right"/>
              <w:spacing w:after="0"/>
              <w:rPr>
                <w:sz w:val="20"/>
                <w:szCs w:val="20"/>
                <w:color w:val="auto"/>
              </w:rPr>
            </w:pPr>
            <w:r>
              <w:rPr>
                <w:rFonts w:ascii="Arial" w:cs="Arial" w:eastAsia="Arial" w:hAnsi="Arial"/>
                <w:sz w:val="18"/>
                <w:szCs w:val="18"/>
                <w:color w:val="auto"/>
              </w:rPr>
              <w:t>1,053,305</w:t>
            </w:r>
          </w:p>
        </w:tc>
        <w:tc>
          <w:tcPr>
            <w:tcW w:w="220" w:type="dxa"/>
            <w:vAlign w:val="bottom"/>
          </w:tcPr>
          <w:p>
            <w:pPr>
              <w:spacing w:after="0"/>
              <w:rPr>
                <w:sz w:val="19"/>
                <w:szCs w:val="19"/>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5.24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1,981,629</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5.93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Exercisable at December 31, 2019</w:t>
            </w:r>
          </w:p>
        </w:tc>
        <w:tc>
          <w:tcPr>
            <w:tcW w:w="1160" w:type="dxa"/>
            <w:vAlign w:val="bottom"/>
          </w:tcPr>
          <w:p>
            <w:pPr>
              <w:jc w:val="right"/>
              <w:spacing w:after="0"/>
              <w:rPr>
                <w:sz w:val="20"/>
                <w:szCs w:val="20"/>
                <w:color w:val="auto"/>
              </w:rPr>
            </w:pPr>
            <w:r>
              <w:rPr>
                <w:rFonts w:ascii="Arial" w:cs="Arial" w:eastAsia="Arial" w:hAnsi="Arial"/>
                <w:sz w:val="18"/>
                <w:szCs w:val="18"/>
                <w:color w:val="auto"/>
              </w:rPr>
              <w:t>602,218</w:t>
            </w: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4.94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1,981,629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5.93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(53,591)</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6.03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(26,729)</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(73,669)</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2.00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1,073,027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1160" w:type="dxa"/>
            <w:vAlign w:val="bottom"/>
          </w:tcPr>
          <w:p>
            <w:pPr>
              <w:jc w:val="right"/>
              <w:spacing w:after="0"/>
              <w:rPr>
                <w:sz w:val="20"/>
                <w:szCs w:val="20"/>
                <w:color w:val="auto"/>
              </w:rPr>
            </w:pPr>
            <w:r>
              <w:rPr>
                <w:rFonts w:ascii="Arial" w:cs="Arial" w:eastAsia="Arial" w:hAnsi="Arial"/>
                <w:sz w:val="18"/>
                <w:szCs w:val="18"/>
                <w:color w:val="auto"/>
              </w:rPr>
              <w:t>2,900,667</w:t>
            </w:r>
          </w:p>
        </w:tc>
        <w:tc>
          <w:tcPr>
            <w:tcW w:w="220" w:type="dxa"/>
            <w:vAlign w:val="bottom"/>
          </w:tcPr>
          <w:p>
            <w:pPr>
              <w:spacing w:after="0"/>
              <w:rPr>
                <w:sz w:val="19"/>
                <w:szCs w:val="19"/>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5.90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Exercisable at December 31, 2020</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1,099,015</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5.49</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Outstanding at January 1, 2021</w:t>
            </w:r>
          </w:p>
        </w:tc>
        <w:tc>
          <w:tcPr>
            <w:tcW w:w="1160" w:type="dxa"/>
            <w:vAlign w:val="bottom"/>
          </w:tcPr>
          <w:p>
            <w:pPr>
              <w:jc w:val="right"/>
              <w:spacing w:after="0"/>
              <w:rPr>
                <w:sz w:val="20"/>
                <w:szCs w:val="20"/>
                <w:color w:val="auto"/>
              </w:rPr>
            </w:pPr>
            <w:r>
              <w:rPr>
                <w:rFonts w:ascii="Arial" w:cs="Arial" w:eastAsia="Arial" w:hAnsi="Arial"/>
                <w:sz w:val="18"/>
                <w:szCs w:val="18"/>
                <w:color w:val="auto"/>
              </w:rPr>
              <w:t>2,900,667</w:t>
            </w: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5.90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(207,331)</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6.13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(218,561)</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4.97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1,110,914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Outstanding at December 31, 2021</w:t>
            </w:r>
          </w:p>
        </w:tc>
        <w:tc>
          <w:tcPr>
            <w:tcW w:w="1160" w:type="dxa"/>
            <w:vAlign w:val="bottom"/>
          </w:tcPr>
          <w:p>
            <w:pPr>
              <w:jc w:val="right"/>
              <w:spacing w:after="0"/>
              <w:rPr>
                <w:sz w:val="20"/>
                <w:szCs w:val="20"/>
                <w:color w:val="auto"/>
              </w:rPr>
            </w:pPr>
            <w:r>
              <w:rPr>
                <w:rFonts w:ascii="Arial" w:cs="Arial" w:eastAsia="Arial" w:hAnsi="Arial"/>
                <w:sz w:val="18"/>
                <w:szCs w:val="18"/>
                <w:color w:val="auto"/>
              </w:rPr>
              <w:t>3,585,689</w:t>
            </w:r>
          </w:p>
        </w:tc>
        <w:tc>
          <w:tcPr>
            <w:tcW w:w="220" w:type="dxa"/>
            <w:vAlign w:val="bottom"/>
          </w:tcPr>
          <w:p>
            <w:pPr>
              <w:spacing w:after="0"/>
              <w:rPr>
                <w:sz w:val="19"/>
                <w:szCs w:val="19"/>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6.21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Exercisable at December 31, 2021</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1,613,242</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6.13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outstanding stock options as of December 31, 2021 have the following range of exercise prices: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Range of</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expiration</w:t>
            </w:r>
          </w:p>
        </w:tc>
      </w:tr>
      <w:tr>
        <w:trPr>
          <w:trHeight w:val="241"/>
        </w:trPr>
        <w:tc>
          <w:tcPr>
            <w:tcW w:w="86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dates</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Range of exercise prices</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CHF 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208,125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2022–2026</w:t>
            </w: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CHF 9.53</w:t>
            </w:r>
          </w:p>
        </w:tc>
        <w:tc>
          <w:tcPr>
            <w:tcW w:w="1120" w:type="dxa"/>
            <w:vAlign w:val="bottom"/>
          </w:tcPr>
          <w:p>
            <w:pPr>
              <w:jc w:val="right"/>
              <w:spacing w:after="0"/>
              <w:rPr>
                <w:sz w:val="20"/>
                <w:szCs w:val="20"/>
                <w:color w:val="auto"/>
              </w:rPr>
            </w:pPr>
            <w:r>
              <w:rPr>
                <w:rFonts w:ascii="Arial" w:cs="Arial" w:eastAsia="Arial" w:hAnsi="Arial"/>
                <w:sz w:val="18"/>
                <w:szCs w:val="18"/>
                <w:color w:val="auto"/>
              </w:rPr>
              <w:t>223,646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r>
      <w:tr>
        <w:trPr>
          <w:trHeight w:val="223"/>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USD 5.04 to USD 12.30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3,153,918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2028–2031</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outstanding options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3,585,689</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60" w:firstLine="324"/>
        <w:spacing w:after="0" w:line="238" w:lineRule="auto"/>
        <w:rPr>
          <w:sz w:val="20"/>
          <w:szCs w:val="20"/>
          <w:color w:val="auto"/>
        </w:rPr>
      </w:pPr>
      <w:r>
        <w:rPr>
          <w:rFonts w:ascii="Arial" w:cs="Arial" w:eastAsia="Arial" w:hAnsi="Arial"/>
          <w:sz w:val="22"/>
          <w:szCs w:val="22"/>
          <w:color w:val="auto"/>
        </w:rPr>
        <w:t>The weighted-average exercise price for options granted in 2021, 2020 and 2019 is USD 6.95 (CHF 6.34), USD 7.11 (CHF 6.29) and USD 5.41 (CHF 5.24), respectively. The range of exercise prices for outstanding options was CHF 0.15 to CHF 9.53 for awards previously granted in CHF (prior to 2018) and USD 5.04 to USD 12.30 for awards granted in USD as of December 31, 2021.</w:t>
      </w:r>
    </w:p>
    <w:p>
      <w:pPr>
        <w:spacing w:after="0" w:line="212" w:lineRule="exact"/>
        <w:rPr>
          <w:sz w:val="20"/>
          <w:szCs w:val="20"/>
          <w:color w:val="auto"/>
        </w:rPr>
      </w:pPr>
    </w:p>
    <w:p>
      <w:pPr>
        <w:ind w:right="180" w:firstLine="324"/>
        <w:spacing w:after="0" w:line="238" w:lineRule="auto"/>
        <w:rPr>
          <w:sz w:val="20"/>
          <w:szCs w:val="20"/>
          <w:color w:val="auto"/>
        </w:rPr>
      </w:pPr>
      <w:r>
        <w:rPr>
          <w:rFonts w:ascii="Arial" w:cs="Arial" w:eastAsia="Arial" w:hAnsi="Arial"/>
          <w:sz w:val="22"/>
          <w:szCs w:val="22"/>
          <w:color w:val="auto"/>
        </w:rPr>
        <w:t>Prior to the IPO, the exercise price was set by the board of directors. The volatility is based on the historical trend of an appropriate sample of companies operating in the pharmaceutical and biopharmaceutical industries. The risk-free interest rate is based on the CHF swap rate for the expected life of the option. The weighted-average share price of common share options exercised in 2021 is USD 7.26 (CHF 6.62).</w:t>
      </w:r>
    </w:p>
    <w:p>
      <w:pPr>
        <w:spacing w:after="0" w:line="212" w:lineRule="exact"/>
        <w:rPr>
          <w:sz w:val="20"/>
          <w:szCs w:val="20"/>
          <w:color w:val="auto"/>
        </w:rPr>
      </w:pPr>
    </w:p>
    <w:p>
      <w:pPr>
        <w:jc w:val="both"/>
        <w:ind w:right="240" w:firstLine="324"/>
        <w:spacing w:after="0" w:line="257" w:lineRule="auto"/>
        <w:rPr>
          <w:sz w:val="20"/>
          <w:szCs w:val="20"/>
          <w:color w:val="auto"/>
        </w:rPr>
      </w:pPr>
      <w:r>
        <w:rPr>
          <w:rFonts w:ascii="Arial" w:cs="Arial" w:eastAsia="Arial" w:hAnsi="Arial"/>
          <w:sz w:val="21"/>
          <w:szCs w:val="21"/>
          <w:color w:val="auto"/>
        </w:rPr>
        <w:t>The weighted-average grant date fair values of the options granted in 2021, 2020 and 2019 are USD 5.23 (CHF 4.78), USD 5.25 (CHF 4.65) and USD 3.71 (CHF 3.59), respectively. The following table illustrates the weighted-average assumptions for the Black-Scholes option-pricing model used in determining the fair value of these awards: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7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5.31-7.72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5.04-9.16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5.15–5.54</w:t>
            </w: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Share price (weighted average)</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6.95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5.41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80%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5.1 - 6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5.5 - 6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5.5 - 6</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Restricted share awards</w:t>
      </w:r>
    </w:p>
    <w:p>
      <w:pPr>
        <w:sectPr>
          <w:pgSz w:w="11900" w:h="16838" w:orient="portrait"/>
          <w:cols w:equalWidth="0" w:num="1">
            <w:col w:w="11240"/>
          </w:cols>
          <w:pgMar w:left="320" w:top="118" w:right="339" w:bottom="627"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627" w:gutter="0" w:footer="0" w:header="0"/>
          <w:type w:val="continuous"/>
        </w:sectPr>
      </w:pPr>
    </w:p>
    <w:bookmarkStart w:id="53" w:name="page54"/>
    <w:bookmarkEnd w:id="53"/>
    <w:p>
      <w:pPr>
        <w:ind w:right="480" w:firstLine="324"/>
        <w:spacing w:after="0" w:line="251" w:lineRule="auto"/>
        <w:rPr>
          <w:sz w:val="20"/>
          <w:szCs w:val="20"/>
          <w:color w:val="auto"/>
        </w:rPr>
      </w:pPr>
      <w:r>
        <w:rPr>
          <w:rFonts w:ascii="Arial" w:cs="Arial" w:eastAsia="Arial" w:hAnsi="Arial"/>
          <w:sz w:val="22"/>
          <w:szCs w:val="22"/>
          <w:color w:val="auto"/>
        </w:rPr>
        <w:t>A summary of non-vested share awards (restricted share and restricted share units) activity as of December 31, 2021 and changes during the year then ended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life of</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awards</w:t>
            </w: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non-vested</w:t>
            </w:r>
          </w:p>
        </w:tc>
      </w:tr>
      <w:tr>
        <w:trPr>
          <w:trHeight w:val="241"/>
        </w:trPr>
        <w:tc>
          <w:tcPr>
            <w:tcW w:w="3500" w:type="dxa"/>
            <w:vAlign w:val="bottom"/>
            <w:gridSpan w:val="2"/>
          </w:tcPr>
          <w:p>
            <w:pPr>
              <w:ind w:left="1200"/>
              <w:spacing w:after="0"/>
              <w:rPr>
                <w:sz w:val="20"/>
                <w:szCs w:val="20"/>
                <w:color w:val="auto"/>
              </w:rPr>
            </w:pPr>
            <w:r>
              <w:rPr>
                <w:rFonts w:ascii="Arial" w:cs="Arial" w:eastAsia="Arial" w:hAnsi="Arial"/>
                <w:sz w:val="18"/>
                <w:szCs w:val="18"/>
                <w:b w:val="1"/>
                <w:bCs w:val="1"/>
                <w:color w:val="auto"/>
              </w:rPr>
              <w:t>Grantee type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granted</w:t>
            </w:r>
          </w:p>
        </w:tc>
        <w:tc>
          <w:tcPr>
            <w:tcW w:w="5380" w:type="dxa"/>
            <w:vAlign w:val="bottom"/>
            <w:gridSpan w:val="5"/>
          </w:tcPr>
          <w:p>
            <w:pPr>
              <w:ind w:left="1940"/>
              <w:spacing w:after="0"/>
              <w:rPr>
                <w:sz w:val="20"/>
                <w:szCs w:val="20"/>
                <w:color w:val="auto"/>
              </w:rPr>
            </w:pPr>
            <w:r>
              <w:rPr>
                <w:rFonts w:ascii="Arial" w:cs="Arial" w:eastAsia="Arial" w:hAnsi="Arial"/>
                <w:sz w:val="18"/>
                <w:szCs w:val="18"/>
                <w:b w:val="1"/>
                <w:bCs w:val="1"/>
                <w:color w:val="auto"/>
              </w:rPr>
              <w:t>Vesting conditions</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share awards</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Restricted share units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Directors</w:t>
            </w:r>
          </w:p>
        </w:tc>
        <w:tc>
          <w:tcPr>
            <w:tcW w:w="6620" w:type="dxa"/>
            <w:vAlign w:val="bottom"/>
            <w:gridSpan w:val="7"/>
          </w:tcPr>
          <w:p>
            <w:pPr>
              <w:ind w:left="640"/>
              <w:spacing w:after="0"/>
              <w:rPr>
                <w:sz w:val="20"/>
                <w:szCs w:val="20"/>
                <w:color w:val="auto"/>
              </w:rPr>
            </w:pPr>
            <w:r>
              <w:rPr>
                <w:rFonts w:ascii="Arial" w:cs="Arial" w:eastAsia="Arial" w:hAnsi="Arial"/>
                <w:sz w:val="18"/>
                <w:szCs w:val="18"/>
                <w:color w:val="auto"/>
              </w:rPr>
              <w:t>83,864 1 year service from date of grant, annually</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Executives</w:t>
            </w:r>
          </w:p>
        </w:tc>
        <w:tc>
          <w:tcPr>
            <w:tcW w:w="6620" w:type="dxa"/>
            <w:vAlign w:val="bottom"/>
            <w:gridSpan w:val="7"/>
            <w:shd w:val="clear" w:color="auto" w:fill="CCEEFF"/>
          </w:tcPr>
          <w:p>
            <w:pPr>
              <w:ind w:left="540"/>
              <w:spacing w:after="0"/>
              <w:rPr>
                <w:sz w:val="20"/>
                <w:szCs w:val="20"/>
                <w:color w:val="auto"/>
              </w:rPr>
            </w:pPr>
            <w:r>
              <w:rPr>
                <w:rFonts w:ascii="Arial" w:cs="Arial" w:eastAsia="Arial" w:hAnsi="Arial"/>
                <w:sz w:val="18"/>
                <w:szCs w:val="18"/>
                <w:color w:val="auto"/>
              </w:rPr>
              <w:t>110,839 4 years’ service from the date of grant, quarterly</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441"/>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grant date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7"/>
              </w:rPr>
              <w:t>non-vested</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fair value</w:t>
            </w:r>
          </w:p>
        </w:tc>
      </w:tr>
      <w:tr>
        <w:trPr>
          <w:trHeight w:val="241"/>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2"/>
              </w:rPr>
              <w:t>shares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(CHF)</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January 1, 2019</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4"/>
          </w:tcPr>
          <w:p>
            <w:pPr>
              <w:jc w:val="right"/>
              <w:ind w:right="160"/>
              <w:spacing w:after="0"/>
              <w:rPr>
                <w:sz w:val="20"/>
                <w:szCs w:val="20"/>
                <w:color w:val="auto"/>
              </w:rPr>
            </w:pPr>
            <w:r>
              <w:rPr>
                <w:rFonts w:ascii="Arial" w:cs="Arial" w:eastAsia="Arial" w:hAnsi="Arial"/>
                <w:sz w:val="18"/>
                <w:szCs w:val="18"/>
                <w:color w:val="auto"/>
              </w:rPr>
              <w:t>(66,278)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r>
      <w:tr>
        <w:trPr>
          <w:trHeight w:val="22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w w:val="89"/>
              </w:rPr>
              <w:t>Vested and exercisable at December 31, 2019</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130,290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r>
      <w:tr>
        <w:trPr>
          <w:trHeight w:val="20"/>
        </w:trPr>
        <w:tc>
          <w:tcPr>
            <w:tcW w:w="3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4"/>
          </w:tcPr>
          <w:p>
            <w:pPr>
              <w:jc w:val="right"/>
              <w:ind w:right="160"/>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Exercised during the year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4"/>
          </w:tcPr>
          <w:p>
            <w:pPr>
              <w:jc w:val="right"/>
              <w:ind w:right="160"/>
              <w:spacing w:after="0"/>
              <w:rPr>
                <w:sz w:val="20"/>
                <w:szCs w:val="20"/>
                <w:color w:val="auto"/>
              </w:rPr>
            </w:pPr>
            <w:r>
              <w:rPr>
                <w:rFonts w:ascii="Arial" w:cs="Arial" w:eastAsia="Arial" w:hAnsi="Arial"/>
                <w:sz w:val="18"/>
                <w:szCs w:val="18"/>
                <w:color w:val="auto"/>
              </w:rPr>
              <w:t>(84,638)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4"/>
          </w:tcPr>
          <w:p>
            <w:pPr>
              <w:jc w:val="right"/>
              <w:ind w:right="160"/>
              <w:spacing w:after="0"/>
              <w:rPr>
                <w:sz w:val="20"/>
                <w:szCs w:val="20"/>
                <w:color w:val="auto"/>
              </w:rPr>
            </w:pPr>
            <w:r>
              <w:rPr>
                <w:rFonts w:ascii="Arial" w:cs="Arial" w:eastAsia="Arial" w:hAnsi="Arial"/>
                <w:sz w:val="18"/>
                <w:szCs w:val="18"/>
                <w:color w:val="auto"/>
              </w:rPr>
              <w:t>(23,269)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r>
      <w:tr>
        <w:trPr>
          <w:trHeight w:val="22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w w:val="89"/>
              </w:rPr>
              <w:t>Vested and exercisable at December 31, 2020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49,289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1"/>
        </w:trPr>
        <w:tc>
          <w:tcPr>
            <w:tcW w:w="3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Exercised during the year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4"/>
          </w:tcPr>
          <w:p>
            <w:pPr>
              <w:jc w:val="right"/>
              <w:ind w:right="160"/>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(18,697)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Non-vested at December 31, 2021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r>
      <w:tr>
        <w:trPr>
          <w:trHeight w:val="257"/>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Vested and exercisable at December 31, 2021</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80" w:firstLine="324"/>
        <w:spacing w:after="0" w:line="236" w:lineRule="auto"/>
        <w:rPr>
          <w:sz w:val="20"/>
          <w:szCs w:val="20"/>
          <w:color w:val="auto"/>
        </w:rPr>
      </w:pPr>
      <w:r>
        <w:rPr>
          <w:rFonts w:ascii="Arial" w:cs="Arial" w:eastAsia="Arial" w:hAnsi="Arial"/>
          <w:sz w:val="22"/>
          <w:szCs w:val="22"/>
          <w:color w:val="auto"/>
        </w:rPr>
        <w:t>The Company did not grant restricted share awards in 2021, 2020 or 2019, respectively. The weighted-average grant date fair values of the remaining non-vested share awards as of the respective year end (restricted shares and restricted share units) was CHF 9.41, CHF 9.51 and CHF 9.52 for the years ended December 31, 2021, 2020 and 2019, respectively. These fair values of non-vested share awards granted have been determined using a reasonable estimate of market value of the common shares on the date of the award.</w:t>
      </w:r>
    </w:p>
    <w:p>
      <w:pPr>
        <w:spacing w:after="0" w:line="214" w:lineRule="exact"/>
        <w:rPr>
          <w:sz w:val="20"/>
          <w:szCs w:val="20"/>
          <w:color w:val="auto"/>
        </w:rPr>
      </w:pPr>
    </w:p>
    <w:p>
      <w:pPr>
        <w:ind w:right="160" w:firstLine="324"/>
        <w:spacing w:after="0"/>
        <w:rPr>
          <w:sz w:val="20"/>
          <w:szCs w:val="20"/>
          <w:color w:val="auto"/>
        </w:rPr>
      </w:pPr>
      <w:r>
        <w:rPr>
          <w:rFonts w:ascii="Arial" w:cs="Arial" w:eastAsia="Arial" w:hAnsi="Arial"/>
          <w:sz w:val="22"/>
          <w:szCs w:val="22"/>
          <w:color w:val="auto"/>
        </w:rPr>
        <w:t>The expense charged against the income statement was CHF 4.1 million, CHF 4.1 million and CHF 2.8 million for the years ended December 31, 2021, 2020 and 2019, respectively. The expense is revised by the Company based on the number of instruments that are expected to become exercisable.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49" w:lineRule="exact"/>
        <w:rPr>
          <w:sz w:val="20"/>
          <w:szCs w:val="20"/>
          <w:color w:val="auto"/>
        </w:rPr>
      </w:pPr>
    </w:p>
    <w:p>
      <w:pPr>
        <w:ind w:right="100" w:firstLine="324"/>
        <w:spacing w:after="0" w:line="252" w:lineRule="auto"/>
        <w:rPr>
          <w:sz w:val="20"/>
          <w:szCs w:val="20"/>
          <w:color w:val="auto"/>
        </w:rPr>
      </w:pPr>
      <w:r>
        <w:rPr>
          <w:rFonts w:ascii="Arial" w:cs="Arial" w:eastAsia="Arial" w:hAnsi="Arial"/>
          <w:sz w:val="21"/>
          <w:szCs w:val="21"/>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 As of December 31, 2021, external research projects included in the schedule below for 2022 total CHF 19.4 million that have been committed.</w:t>
      </w:r>
    </w:p>
    <w:p>
      <w:pPr>
        <w:spacing w:after="0" w:line="201" w:lineRule="exact"/>
        <w:rPr>
          <w:sz w:val="20"/>
          <w:szCs w:val="20"/>
          <w:color w:val="auto"/>
        </w:rPr>
      </w:pPr>
    </w:p>
    <w:p>
      <w:pPr>
        <w:ind w:right="140" w:firstLine="324"/>
        <w:spacing w:after="0" w:line="249" w:lineRule="auto"/>
        <w:rPr>
          <w:sz w:val="20"/>
          <w:szCs w:val="20"/>
          <w:color w:val="auto"/>
        </w:rPr>
      </w:pPr>
      <w:r>
        <w:rPr>
          <w:rFonts w:ascii="Arial" w:cs="Arial" w:eastAsia="Arial" w:hAnsi="Arial"/>
          <w:sz w:val="21"/>
          <w:szCs w:val="21"/>
          <w:color w:val="auto"/>
        </w:rPr>
        <w:t>We lease our corporate, laboratory and other facilities under multiple leases at the EPFL Innovation Park in Ecublens, near Lausanne, Canton of Vaud, Switzerland. Our lease agreements have no termination clauses longer than a 12-month contractual notice period. Since January 1, 2019, the Company has applied IFRS 16 and recognized a right-of-use asset for its leases, except for short-term and low-value leases as indicated in Note 3</w:t>
      </w:r>
      <w:r>
        <w:rPr>
          <w:rFonts w:ascii="Arial" w:cs="Arial" w:eastAsia="Arial" w:hAnsi="Arial"/>
          <w:sz w:val="21"/>
          <w:szCs w:val="21"/>
          <w:i w:val="1"/>
          <w:iCs w:val="1"/>
          <w:color w:val="auto"/>
        </w:rPr>
        <w:t>.</w:t>
      </w:r>
      <w:r>
        <w:rPr>
          <w:rFonts w:ascii="Arial" w:cs="Arial" w:eastAsia="Arial" w:hAnsi="Arial"/>
          <w:sz w:val="21"/>
          <w:szCs w:val="21"/>
          <w:color w:val="auto"/>
        </w:rPr>
        <w:t xml:space="preserve"> See “Note 5. Right-of-use assets and lease liabilities” for the contractual undiscounted cash flows for lease obligations.</w:t>
      </w:r>
    </w:p>
    <w:p>
      <w:pPr>
        <w:sectPr>
          <w:pgSz w:w="11900" w:h="16838" w:orient="portrait"/>
          <w:cols w:equalWidth="0" w:num="1">
            <w:col w:w="11240"/>
          </w:cols>
          <w:pgMar w:left="320" w:top="118" w:right="3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20" w:type="dxa"/>
            <w:vAlign w:val="bottom"/>
            <w:tcBorders>
              <w:bottom w:val="single" w:sz="8" w:color="auto"/>
            </w:tcBorders>
          </w:tcPr>
          <w:p>
            <w:pPr>
              <w:spacing w:after="0"/>
              <w:rPr>
                <w:sz w:val="19"/>
                <w:szCs w:val="19"/>
                <w:color w:val="auto"/>
              </w:rPr>
            </w:pPr>
          </w:p>
        </w:tc>
        <w:tc>
          <w:tcPr>
            <w:tcW w:w="6800" w:type="dxa"/>
            <w:vAlign w:val="bottom"/>
            <w:tcBorders>
              <w:bottom w:val="single" w:sz="8" w:color="auto"/>
            </w:tcBorders>
            <w:gridSpan w:val="2"/>
          </w:tcPr>
          <w:p>
            <w:pPr>
              <w:ind w:left="306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Between 1 and 3 years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8,885</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Between 3 and 5 years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More than 5 years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57"/>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23,699</w:t>
            </w:r>
          </w:p>
        </w:tc>
        <w:tc>
          <w:tcPr>
            <w:tcW w:w="220" w:type="dxa"/>
            <w:vAlign w:val="bottom"/>
            <w:tcBorders>
              <w:left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34,355</w:t>
            </w:r>
          </w:p>
        </w:tc>
        <w:tc>
          <w:tcPr>
            <w:tcW w:w="100" w:type="dxa"/>
            <w:vAlign w:val="bottom"/>
            <w:shd w:val="clear" w:color="auto" w:fill="CCEEFF"/>
          </w:tcPr>
          <w:p>
            <w:pPr>
              <w:spacing w:after="0"/>
              <w:rPr>
                <w:sz w:val="22"/>
                <w:szCs w:val="22"/>
                <w:color w:val="auto"/>
              </w:rPr>
            </w:pPr>
          </w:p>
        </w:tc>
      </w:tr>
      <w:tr>
        <w:trPr>
          <w:trHeight w:val="453"/>
        </w:trPr>
        <w:tc>
          <w:tcPr>
            <w:tcW w:w="5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20.</w:t>
            </w:r>
          </w:p>
        </w:tc>
        <w:tc>
          <w:tcPr>
            <w:tcW w:w="680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1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1"/>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0"/>
              </w:rPr>
              <w:t>For the Years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 w:type="dxa"/>
            <w:vAlign w:val="bottom"/>
          </w:tcPr>
          <w:p>
            <w:pPr>
              <w:spacing w:after="0"/>
              <w:rPr>
                <w:sz w:val="19"/>
                <w:szCs w:val="19"/>
                <w:color w:val="auto"/>
              </w:rPr>
            </w:pPr>
          </w:p>
        </w:tc>
        <w:tc>
          <w:tcPr>
            <w:tcW w:w="6800" w:type="dxa"/>
            <w:vAlign w:val="bottom"/>
            <w:gridSpan w:val="2"/>
          </w:tcPr>
          <w:p>
            <w:pPr>
              <w:ind w:left="98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8"/>
        </w:trPr>
        <w:tc>
          <w:tcPr>
            <w:tcW w:w="720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Basic income/(loss) per share (EPS):</w:t>
            </w: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Numerator: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income/(loss) attributable to equity holders of the Company</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(72,996)</w:t>
            </w: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45,442</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Denominator: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Weighted-average number of shares outstanding to equity holders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74,951,833</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71,900,212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70,603,611</w:t>
            </w:r>
          </w:p>
        </w:tc>
      </w:tr>
      <w:tr>
        <w:trPr>
          <w:trHeight w:val="27"/>
        </w:trPr>
        <w:tc>
          <w:tcPr>
            <w:tcW w:w="520" w:type="dxa"/>
            <w:vAlign w:val="bottom"/>
            <w:shd w:val="clear" w:color="auto" w:fill="CCEEFF"/>
          </w:tcPr>
          <w:p>
            <w:pPr>
              <w:spacing w:after="0"/>
              <w:rPr>
                <w:sz w:val="2"/>
                <w:szCs w:val="2"/>
                <w:color w:val="auto"/>
              </w:rPr>
            </w:pPr>
          </w:p>
        </w:tc>
        <w:tc>
          <w:tcPr>
            <w:tcW w:w="6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Basic income/(loss) for the period attributable to equity holders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r>
        <w:trPr>
          <w:trHeight w:val="21"/>
        </w:trPr>
        <w:tc>
          <w:tcPr>
            <w:tcW w:w="7320" w:type="dxa"/>
            <w:vAlign w:val="bottom"/>
            <w:gridSpan w:val="3"/>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gridSpan w:val="3"/>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Net income/(loss) attributable to equity holders of the Company</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(72,996)</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(61,921)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45,442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Weighted-average number of shares outstanding to equity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74,951,833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71,900,212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70,603,611</w:t>
            </w: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Effect of dilutive securities from equity incentive plans</w:t>
            </w:r>
          </w:p>
        </w:tc>
        <w:tc>
          <w:tcPr>
            <w:tcW w:w="13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499,730</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Weighted-average number of shares outstanding – diluted to equity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74,951,833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71,900,212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71,103,341</w:t>
            </w:r>
          </w:p>
        </w:tc>
      </w:tr>
      <w:tr>
        <w:trPr>
          <w:trHeight w:val="27"/>
        </w:trPr>
        <w:tc>
          <w:tcPr>
            <w:tcW w:w="7320" w:type="dxa"/>
            <w:vAlign w:val="bottom"/>
            <w:gridSpan w:val="3"/>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 income/(loss) for the period attributable to equity holders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0"/>
                <w:szCs w:val="20"/>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color w:val="auto"/>
        </w:rPr>
        <w:t>In periods for which we have a loss, basic net loss per share is the same as diluted net loss per share. We have excluded from our calculation of diluted loss per share all potentially dilutive in-the-money (i) share options, (ii) non-vested restricted share awards and (iii) shares that were issued upon conversion of two different convertible notes as their inclusion would have been anti-dilutive. Potentially dilutive securities that were not included in the diluted per share calculations because they would be anti-dilutive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options issued and outstanding (in-the-money)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1,140,388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412,191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1,081,836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140" w:type="dxa"/>
            <w:vAlign w:val="bottom"/>
          </w:tcPr>
          <w:p>
            <w:pPr>
              <w:jc w:val="right"/>
              <w:spacing w:after="0"/>
              <w:rPr>
                <w:sz w:val="20"/>
                <w:szCs w:val="20"/>
                <w:color w:val="auto"/>
              </w:rPr>
            </w:pPr>
            <w:r>
              <w:rPr>
                <w:rFonts w:ascii="Arial" w:cs="Arial" w:eastAsia="Arial" w:hAnsi="Arial"/>
                <w:sz w:val="18"/>
                <w:szCs w:val="18"/>
                <w:color w:val="auto"/>
              </w:rPr>
              <w:t>6,264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28,418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911,261</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1,188,113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440,609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1,993,097</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Financial instruments and risk management</w:t>
      </w:r>
    </w:p>
    <w:p>
      <w:pPr>
        <w:spacing w:after="0" w:line="249" w:lineRule="exact"/>
        <w:rPr>
          <w:sz w:val="20"/>
          <w:szCs w:val="20"/>
          <w:color w:val="auto"/>
        </w:rPr>
      </w:pPr>
    </w:p>
    <w:p>
      <w:pPr>
        <w:jc w:val="both"/>
        <w:ind w:right="520" w:firstLine="324"/>
        <w:spacing w:after="0" w:line="297" w:lineRule="auto"/>
        <w:rPr>
          <w:sz w:val="20"/>
          <w:szCs w:val="20"/>
          <w:color w:val="auto"/>
        </w:rPr>
      </w:pPr>
      <w:r>
        <w:rPr>
          <w:rFonts w:ascii="Arial" w:cs="Arial" w:eastAsia="Arial" w:hAnsi="Arial"/>
          <w:sz w:val="19"/>
          <w:szCs w:val="19"/>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340"/>
        <w:spacing w:after="0"/>
        <w:rPr>
          <w:sz w:val="20"/>
          <w:szCs w:val="20"/>
          <w:color w:val="auto"/>
        </w:rPr>
      </w:pPr>
      <w:r>
        <w:rPr>
          <w:rFonts w:ascii="Arial" w:cs="Arial" w:eastAsia="Arial" w:hAnsi="Arial"/>
          <w:sz w:val="22"/>
          <w:szCs w:val="22"/>
          <w:color w:val="auto"/>
        </w:rPr>
        <w:t>The following table shows the carrying amounts of financial assets and financial liabilities: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financial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Short-term financial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82,216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160,893</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201,921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228,779</w:t>
            </w:r>
          </w:p>
        </w:tc>
        <w:tc>
          <w:tcPr>
            <w:tcW w:w="10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lease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1120" w:type="dxa"/>
            <w:vAlign w:val="bottom"/>
          </w:tcPr>
          <w:p>
            <w:pPr>
              <w:jc w:val="right"/>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Short-term lease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Foreign exchange risk</w:t>
      </w:r>
    </w:p>
    <w:p>
      <w:pPr>
        <w:spacing w:after="0" w:line="233" w:lineRule="exact"/>
        <w:rPr>
          <w:sz w:val="20"/>
          <w:szCs w:val="20"/>
          <w:color w:val="auto"/>
        </w:rPr>
      </w:pPr>
    </w:p>
    <w:p>
      <w:pPr>
        <w:ind w:right="20" w:firstLine="168"/>
        <w:spacing w:after="0" w:line="235" w:lineRule="auto"/>
        <w:rPr>
          <w:sz w:val="20"/>
          <w:szCs w:val="20"/>
          <w:color w:val="auto"/>
        </w:rPr>
      </w:pPr>
      <w:r>
        <w:rPr>
          <w:rFonts w:ascii="Arial" w:cs="Arial" w:eastAsia="Arial" w:hAnsi="Arial"/>
          <w:sz w:val="22"/>
          <w:szCs w:val="22"/>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with lesser balances of EUR and USD (see “Note 8. Cash and cash equivalents and financial assets”). The Company recognized a loss of CHF 0.1 million, CHF 0.7 million and CHF 0.8 million for the years ended December 31, 2021, 2020 and 2019, respectively, within “Finance result, net.”</w:t>
      </w:r>
    </w:p>
    <w:p>
      <w:pPr>
        <w:spacing w:after="0" w:line="215" w:lineRule="exact"/>
        <w:rPr>
          <w:sz w:val="20"/>
          <w:szCs w:val="20"/>
          <w:color w:val="auto"/>
        </w:rPr>
      </w:pPr>
    </w:p>
    <w:p>
      <w:pPr>
        <w:ind w:right="300" w:firstLine="324"/>
        <w:spacing w:after="0" w:line="238" w:lineRule="auto"/>
        <w:rPr>
          <w:sz w:val="20"/>
          <w:szCs w:val="20"/>
          <w:color w:val="auto"/>
        </w:rPr>
      </w:pPr>
      <w:r>
        <w:rPr>
          <w:rFonts w:ascii="Arial" w:cs="Arial" w:eastAsia="Arial" w:hAnsi="Arial"/>
          <w:sz w:val="22"/>
          <w:szCs w:val="22"/>
          <w:color w:val="auto"/>
        </w:rPr>
        <w:t>As of December 31, 2021, if the CHF had strengthened/weakened by 10% against the EUR and the USD with all other variables held constant, the net loss for the period would have been lower/higher by CHF 1.7 million (2020: CHF 0.8 million), mainly as a result of foreign exchange gains/losses on predominantly EUR/USD denominated cash and cash equivalents and short-term financial assets.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Interest rates</w:t>
      </w:r>
    </w:p>
    <w:p>
      <w:pPr>
        <w:spacing w:after="0" w:line="233" w:lineRule="exact"/>
        <w:rPr>
          <w:sz w:val="20"/>
          <w:szCs w:val="20"/>
          <w:color w:val="auto"/>
        </w:rPr>
      </w:pPr>
    </w:p>
    <w:p>
      <w:pPr>
        <w:ind w:right="200" w:firstLine="324"/>
        <w:spacing w:after="0" w:line="287" w:lineRule="auto"/>
        <w:rPr>
          <w:sz w:val="20"/>
          <w:szCs w:val="20"/>
          <w:color w:val="auto"/>
        </w:rPr>
      </w:pPr>
      <w:r>
        <w:rPr>
          <w:rFonts w:ascii="Arial" w:cs="Arial" w:eastAsia="Arial" w:hAnsi="Arial"/>
          <w:sz w:val="19"/>
          <w:szCs w:val="19"/>
          <w:color w:val="auto"/>
        </w:rPr>
        <w:t>The Company’s CHF cash holdings (inclusive of those held in short-term financial assets) are subject to negative interest rates at certain counterparty thresholds. As of December 31, 2021 if the interest rates charged by the counterparties had increased/decreased by 10%, the net income for the period would have been higher/lower by less than CHF 0.2 million. Interest income and interest expense are recorded within finance results, net in our consolidated statements of income/(loss).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Credit risk</w:t>
      </w:r>
    </w:p>
    <w:p>
      <w:pPr>
        <w:spacing w:after="0" w:line="233"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The Company maintains a formal treasury risk and investment management policy to limit counterparty credit risk. As of December 31, 2021, the Company’s cash and cash equivalents and short-term financial assets are held with five financial institutions, each with a high credit rating ranging from A- to A+ assigned by international credit-rating agencies. The maximum amount of credit risk is the carrying amount of the financial assets. Trade and other receivables are fully performing, not past due and not impaired (see “Note 8. Cash and cash equivalents and financial assets” and “Note 10. Other current receivables”).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Liquidity risk</w:t>
      </w:r>
    </w:p>
    <w:p>
      <w:pPr>
        <w:spacing w:after="0" w:line="233"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ectPr>
          <w:pgSz w:w="11900" w:h="16838" w:orient="portrait"/>
          <w:cols w:equalWidth="0" w:num="1">
            <w:col w:w="11240"/>
          </w:cols>
          <w:pgMar w:left="320" w:top="118"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6" w:name="page57"/>
    <w:bookmarkEnd w:id="56"/>
    <w:p>
      <w:pPr>
        <w:ind w:firstLine="324"/>
        <w:spacing w:after="0" w:line="249" w:lineRule="auto"/>
        <w:rPr>
          <w:sz w:val="20"/>
          <w:szCs w:val="20"/>
          <w:color w:val="auto"/>
        </w:rPr>
      </w:pPr>
      <w:r>
        <w:rPr>
          <w:rFonts w:ascii="Arial" w:cs="Arial" w:eastAsia="Arial" w:hAnsi="Arial"/>
          <w:sz w:val="21"/>
          <w:szCs w:val="21"/>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 The Company has CHF 2.0 million in trade and other payables, which are due within 12 months from the reporting date. Finally, as it relates to the Company’s lease liabilities please see “Note 5. Right-of-use assets and lease liabilities” for detail of when corresponding lease liabilities are due.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Capital risk management</w:t>
      </w:r>
    </w:p>
    <w:p>
      <w:pPr>
        <w:spacing w:after="0" w:line="249" w:lineRule="exact"/>
        <w:rPr>
          <w:sz w:val="20"/>
          <w:szCs w:val="20"/>
          <w:color w:val="auto"/>
        </w:rPr>
      </w:pPr>
    </w:p>
    <w:p>
      <w:pPr>
        <w:ind w:firstLine="324"/>
        <w:spacing w:after="0" w:line="257" w:lineRule="auto"/>
        <w:rPr>
          <w:sz w:val="20"/>
          <w:szCs w:val="20"/>
          <w:color w:val="auto"/>
        </w:rPr>
      </w:pPr>
      <w:r>
        <w:rPr>
          <w:rFonts w:ascii="Arial" w:cs="Arial" w:eastAsia="Arial" w:hAnsi="Arial"/>
          <w:sz w:val="21"/>
          <w:szCs w:val="21"/>
          <w:color w:val="auto"/>
        </w:rPr>
        <w:t>The Company’s objectives when managing capital are to safeguard the Company’s ability to continue as a going concern and to preserve the capital on the required statutory level in order to succeed in developing a cure against (i) AD, (ii) focused non-Alzheimer’s neurodegenerative diseases including NeuroOrphan indications and (iii) diagnostics.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49" w:lineRule="exact"/>
        <w:rPr>
          <w:sz w:val="20"/>
          <w:szCs w:val="20"/>
          <w:color w:val="auto"/>
        </w:rPr>
      </w:pPr>
    </w:p>
    <w:p>
      <w:pPr>
        <w:ind w:right="380" w:firstLine="324"/>
        <w:spacing w:after="0" w:line="257" w:lineRule="auto"/>
        <w:rPr>
          <w:sz w:val="20"/>
          <w:szCs w:val="20"/>
          <w:color w:val="auto"/>
        </w:rPr>
      </w:pPr>
      <w:r>
        <w:rPr>
          <w:rFonts w:ascii="Arial" w:cs="Arial" w:eastAsia="Arial" w:hAnsi="Arial"/>
          <w:sz w:val="21"/>
          <w:szCs w:val="21"/>
          <w:color w:val="auto"/>
        </w:rPr>
        <w:t>Management has evaluated subsequent events after the balance sheet date, through the issuance of these consolidated financial statements, for appropriate accounting and disclosures. The Company has determined that there were no such other events that warrant disclosure ore recognition in these consolidated financial statements</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57" w:name="page58"/>
    <w:bookmarkEnd w:id="57"/>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187325</wp:posOffset>
            </wp:positionV>
            <wp:extent cx="2511425" cy="5740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1142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tcPr>
          <w:p>
            <w:pPr>
              <w:spacing w:after="0"/>
              <w:rPr>
                <w:sz w:val="21"/>
                <w:szCs w:val="21"/>
                <w:color w:val="auto"/>
              </w:rPr>
            </w:pPr>
          </w:p>
        </w:tc>
        <w:tc>
          <w:tcPr>
            <w:tcW w:w="3940" w:type="dxa"/>
            <w:vAlign w:val="bottom"/>
          </w:tcPr>
          <w:p>
            <w:pPr>
              <w:jc w:val="right"/>
              <w:spacing w:after="0"/>
              <w:rPr>
                <w:sz w:val="20"/>
                <w:szCs w:val="20"/>
                <w:color w:val="auto"/>
              </w:rPr>
            </w:pPr>
            <w:r>
              <w:rPr>
                <w:rFonts w:ascii="Arial" w:cs="Arial" w:eastAsia="Arial" w:hAnsi="Arial"/>
                <w:sz w:val="22"/>
                <w:szCs w:val="22"/>
                <w:color w:val="auto"/>
                <w:w w:val="94"/>
              </w:rPr>
              <w:t>Statutory Financial Statements (Swiss CO)</w:t>
            </w:r>
          </w:p>
        </w:tc>
      </w:tr>
      <w:tr>
        <w:trPr>
          <w:trHeight w:val="274"/>
        </w:trPr>
        <w:tc>
          <w:tcPr>
            <w:tcW w:w="7300" w:type="dxa"/>
            <w:vAlign w:val="bottom"/>
          </w:tcPr>
          <w:p>
            <w:pPr>
              <w:spacing w:after="0"/>
              <w:rPr>
                <w:sz w:val="23"/>
                <w:szCs w:val="23"/>
                <w:color w:val="auto"/>
              </w:rPr>
            </w:pPr>
          </w:p>
        </w:tc>
        <w:tc>
          <w:tcPr>
            <w:tcW w:w="3940" w:type="dxa"/>
            <w:vAlign w:val="bottom"/>
          </w:tcPr>
          <w:p>
            <w:pPr>
              <w:jc w:val="right"/>
              <w:spacing w:after="0"/>
              <w:rPr>
                <w:sz w:val="20"/>
                <w:szCs w:val="20"/>
                <w:color w:val="auto"/>
              </w:rPr>
            </w:pPr>
            <w:r>
              <w:rPr>
                <w:rFonts w:ascii="Arial" w:cs="Arial" w:eastAsia="Arial" w:hAnsi="Arial"/>
                <w:sz w:val="22"/>
                <w:szCs w:val="22"/>
                <w:color w:val="auto"/>
              </w:rPr>
              <w:t>1 January - 31 December 2021</w:t>
            </w:r>
          </w:p>
        </w:tc>
      </w:tr>
      <w:tr>
        <w:trPr>
          <w:trHeight w:val="105"/>
        </w:trPr>
        <w:tc>
          <w:tcPr>
            <w:tcW w:w="730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r>
        <w:trPr>
          <w:trHeight w:val="549"/>
        </w:trPr>
        <w:tc>
          <w:tcPr>
            <w:tcW w:w="7300" w:type="dxa"/>
            <w:vAlign w:val="bottom"/>
          </w:tcPr>
          <w:p>
            <w:pPr>
              <w:ind w:left="4500"/>
              <w:spacing w:after="0"/>
              <w:rPr>
                <w:sz w:val="20"/>
                <w:szCs w:val="20"/>
                <w:color w:val="auto"/>
              </w:rPr>
            </w:pPr>
            <w:r>
              <w:rPr>
                <w:rFonts w:ascii="Arial" w:cs="Arial" w:eastAsia="Arial" w:hAnsi="Arial"/>
                <w:sz w:val="18"/>
                <w:szCs w:val="18"/>
                <w:b w:val="1"/>
                <w:bCs w:val="1"/>
                <w:color w:val="auto"/>
              </w:rPr>
              <w:t>Financial Statements</w:t>
            </w: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34"/>
        </w:trPr>
        <w:tc>
          <w:tcPr>
            <w:tcW w:w="7300" w:type="dxa"/>
            <w:vAlign w:val="bottom"/>
          </w:tcPr>
          <w:p>
            <w:pPr>
              <w:ind w:left="4500"/>
              <w:spacing w:after="0"/>
              <w:rPr>
                <w:sz w:val="20"/>
                <w:szCs w:val="20"/>
                <w:color w:val="auto"/>
              </w:rPr>
            </w:pPr>
            <w:r>
              <w:rPr>
                <w:rFonts w:ascii="Arial" w:cs="Arial" w:eastAsia="Arial" w:hAnsi="Arial"/>
                <w:sz w:val="18"/>
                <w:szCs w:val="18"/>
                <w:b w:val="1"/>
                <w:bCs w:val="1"/>
                <w:color w:val="auto"/>
                <w:w w:val="96"/>
              </w:rPr>
              <w:t>Notes to the Financial Statements</w:t>
            </w: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59"/>
        </w:trPr>
        <w:tc>
          <w:tcPr>
            <w:tcW w:w="730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Arial" w:cs="Arial" w:eastAsia="Arial" w:hAnsi="Arial"/>
                <w:sz w:val="22"/>
                <w:szCs w:val="22"/>
                <w:b w:val="1"/>
                <w:bCs w:val="1"/>
                <w:color w:val="auto"/>
              </w:rPr>
              <w:t>AC Immune SA</w:t>
            </w:r>
          </w:p>
        </w:tc>
      </w:tr>
      <w:tr>
        <w:trPr>
          <w:trHeight w:val="243"/>
        </w:trPr>
        <w:tc>
          <w:tcPr>
            <w:tcW w:w="7300" w:type="dxa"/>
            <w:vAlign w:val="bottom"/>
          </w:tcPr>
          <w:p>
            <w:pPr>
              <w:spacing w:after="0"/>
              <w:rPr>
                <w:sz w:val="21"/>
                <w:szCs w:val="21"/>
                <w:color w:val="auto"/>
              </w:rPr>
            </w:pPr>
          </w:p>
        </w:tc>
        <w:tc>
          <w:tcPr>
            <w:tcW w:w="39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EPFL Innovation Park</w:t>
            </w:r>
          </w:p>
        </w:tc>
      </w:tr>
      <w:tr>
        <w:trPr>
          <w:trHeight w:val="243"/>
        </w:trPr>
        <w:tc>
          <w:tcPr>
            <w:tcW w:w="7300" w:type="dxa"/>
            <w:vAlign w:val="bottom"/>
          </w:tcPr>
          <w:p>
            <w:pPr>
              <w:spacing w:after="0"/>
              <w:rPr>
                <w:sz w:val="21"/>
                <w:szCs w:val="21"/>
                <w:color w:val="auto"/>
              </w:rPr>
            </w:pPr>
          </w:p>
        </w:tc>
        <w:tc>
          <w:tcPr>
            <w:tcW w:w="39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1015 Lausanne / Ecublens</w:t>
            </w:r>
          </w:p>
        </w:tc>
      </w:tr>
      <w:tr>
        <w:trPr>
          <w:trHeight w:val="280"/>
        </w:trPr>
        <w:tc>
          <w:tcPr>
            <w:tcW w:w="730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Arial" w:cs="Arial" w:eastAsia="Arial" w:hAnsi="Arial"/>
                <w:sz w:val="22"/>
                <w:szCs w:val="22"/>
                <w:b w:val="1"/>
                <w:bCs w:val="1"/>
                <w:color w:val="auto"/>
              </w:rPr>
              <w:t>Switzerland</w:t>
            </w:r>
          </w:p>
        </w:tc>
      </w:tr>
      <w:tr>
        <w:trPr>
          <w:trHeight w:val="415"/>
        </w:trPr>
        <w:tc>
          <w:tcPr>
            <w:tcW w:w="73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auto"/>
        </w:rPr>
        <w:t>AC Immune SA</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Ecublens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Report of the statutory auditor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to the General Meeting</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on the financial statements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1143635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908685" cy="6940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08685" cy="69405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the statutory auditor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to the General Meeting of AC Immune SA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Ecublens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the audit of the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w:t>
      </w:r>
    </w:p>
    <w:p>
      <w:pPr>
        <w:spacing w:after="0" w:line="239"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We have audited the financial statements of AC Immune SA, which comprise the balance sheet as at 31 December 2021, income statement and notes for the year then ended, including a summary of significant accounting policies.</w:t>
      </w:r>
    </w:p>
    <w:p>
      <w:pPr>
        <w:spacing w:after="0" w:line="178"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In our opinion, the accompanying financial statements as at 31 December 2021 comply with Swiss law and the company’s articles of incorporation.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We conducted our audit in accordance with Swiss law and Swiss Auditing Standards. Our responsibilities under those provisions and standards are further described in the “Auditor’s responsibilities for the audit of the financial statements” section of our report.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are independent of the entity in accordance with the provisions of Swiss law and the requirements of the Swiss audit profession and we have fulfilled our other ethical responsibilities in accordance with these requirements. We believe that the audit evidence we have obtained is sufficient and appropriate to provide a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audit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183005" cy="2091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83005" cy="2091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Overall Group materiality: CHF 2,900 thousand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tailored the scope of our audit in order to perform sufficient work to enable us to provide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opinion on the financial statements as a whole, taking into account the structure of the entity,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processes and controls, and the industry in which the entity operates.</w:t>
      </w:r>
    </w:p>
    <w:p>
      <w:pPr>
        <w:spacing w:after="0" w:line="200" w:lineRule="exact"/>
        <w:rPr>
          <w:sz w:val="20"/>
          <w:szCs w:val="20"/>
          <w:color w:val="auto"/>
        </w:rPr>
      </w:pPr>
    </w:p>
    <w:p>
      <w:pPr>
        <w:sectPr>
          <w:pgSz w:w="11900" w:h="16838" w:orient="portrait"/>
          <w:cols w:equalWidth="0" w:num="2">
            <w:col w:w="3240" w:space="720"/>
            <w:col w:w="72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key audit matter the following area of focus has been identified:</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Intangible asset -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Materiality</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scope of our audit was influenced by our application of materiality. Our audit opinion aims to provide reasonable assurance that the financial statements are free from material misstatement. Misstatements may arise due to fraud or error. They are considered material if, individually or in aggregate, they could reasonably be expected to influence the economic decisions of users taken on the basis of the financial statements.</w:t>
      </w:r>
    </w:p>
    <w:p>
      <w:pPr>
        <w:spacing w:after="0" w:line="165" w:lineRule="exact"/>
        <w:rPr>
          <w:sz w:val="20"/>
          <w:szCs w:val="20"/>
          <w:color w:val="auto"/>
        </w:rPr>
      </w:pPr>
    </w:p>
    <w:p>
      <w:pPr>
        <w:ind w:right="3980"/>
        <w:spacing w:after="0" w:line="277" w:lineRule="auto"/>
        <w:rPr>
          <w:sz w:val="20"/>
          <w:szCs w:val="20"/>
          <w:color w:val="auto"/>
        </w:rPr>
      </w:pPr>
      <w:r>
        <w:rPr>
          <w:rFonts w:ascii="Arial" w:cs="Arial" w:eastAsia="Arial" w:hAnsi="Arial"/>
          <w:sz w:val="18"/>
          <w:szCs w:val="18"/>
          <w:i w:val="1"/>
          <w:iCs w:val="1"/>
          <w:color w:val="auto"/>
        </w:rPr>
        <w:t>PricewaterhouseCoopers SA, avenue C.-F. Ramuz 45, case postale, CH-1001 Lausanne, Switzerland Téléphone: +41 58 792 81 00, Téléfax: +41 58 792 81 10, www.pwc.ch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SA is a member of the global PricewaterhouseCoopers network of firms,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ind w:right="120"/>
        <w:spacing w:after="0" w:line="252" w:lineRule="auto"/>
        <w:rPr>
          <w:sz w:val="20"/>
          <w:szCs w:val="20"/>
          <w:color w:val="auto"/>
        </w:rPr>
      </w:pPr>
      <w:r>
        <w:rPr>
          <w:rFonts w:ascii="Arial" w:cs="Arial" w:eastAsia="Arial" w:hAnsi="Arial"/>
          <w:sz w:val="21"/>
          <w:szCs w:val="21"/>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materiality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CHF 2,900 thousand</w:t>
      </w:r>
    </w:p>
    <w:p>
      <w:pPr>
        <w:spacing w:after="0" w:line="207" w:lineRule="exact"/>
        <w:rPr>
          <w:sz w:val="20"/>
          <w:szCs w:val="20"/>
          <w:color w:val="auto"/>
        </w:rPr>
      </w:pPr>
    </w:p>
    <w:p>
      <w:pPr>
        <w:sectPr>
          <w:pgSz w:w="11900" w:h="16838" w:orient="portrait"/>
          <w:cols w:equalWidth="0" w:num="2">
            <w:col w:w="3240" w:space="720"/>
            <w:col w:w="7240"/>
          </w:cols>
          <w:pgMar w:left="320" w:top="118" w:right="3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applied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Loss before tax</w:t>
      </w:r>
    </w:p>
    <w:p>
      <w:pPr>
        <w:spacing w:after="0" w:line="200" w:lineRule="exact"/>
        <w:rPr>
          <w:sz w:val="20"/>
          <w:szCs w:val="20"/>
          <w:color w:val="auto"/>
        </w:rPr>
      </w:pPr>
    </w:p>
    <w:p>
      <w:pPr>
        <w:sectPr>
          <w:pgSz w:w="11900" w:h="16838" w:orient="portrait"/>
          <w:cols w:equalWidth="0" w:num="2">
            <w:col w:w="3240" w:space="720"/>
            <w:col w:w="7240"/>
          </w:cols>
          <w:pgMar w:left="320" w:top="118" w:right="379" w:bottom="1440" w:gutter="0" w:footer="0" w:header="0"/>
          <w:type w:val="continuous"/>
        </w:sectPr>
      </w:pPr>
    </w:p>
    <w:p>
      <w:pPr>
        <w:spacing w:after="0" w:line="44" w:lineRule="exact"/>
        <w:rPr>
          <w:sz w:val="20"/>
          <w:szCs w:val="20"/>
          <w:color w:val="auto"/>
        </w:rPr>
      </w:pPr>
    </w:p>
    <w:p>
      <w:pPr>
        <w:ind w:right="1040"/>
        <w:spacing w:after="0" w:line="347" w:lineRule="auto"/>
        <w:rPr>
          <w:sz w:val="20"/>
          <w:szCs w:val="20"/>
          <w:color w:val="auto"/>
        </w:rPr>
      </w:pPr>
      <w:r>
        <w:rPr>
          <w:rFonts w:ascii="Arial" w:cs="Arial" w:eastAsia="Arial" w:hAnsi="Arial"/>
          <w:sz w:val="16"/>
          <w:szCs w:val="16"/>
          <w:b w:val="1"/>
          <w:bCs w:val="1"/>
          <w:color w:val="auto"/>
        </w:rPr>
        <w:t>Rationale for the materiality benchmark applied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Based on our analysis and professional judgment we determined loss before tax is the most appropriate benchmark. We chose loss before tax to align our materiality threshold with the common practice in the U.S. for clinical stage life science companies. In addition, in our view, the selected materiality threshold is aligned with investors and Audit &amp; Finance Committee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108585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240"/>
          </w:cols>
          <w:pgMar w:left="320" w:top="118" w:right="379" w:bottom="1440" w:gutter="0" w:footer="0" w:header="0"/>
          <w:type w:val="continuous"/>
        </w:sectPr>
      </w:pPr>
    </w:p>
    <w:p>
      <w:pPr>
        <w:spacing w:after="0" w:line="220" w:lineRule="exact"/>
        <w:rPr>
          <w:sz w:val="20"/>
          <w:szCs w:val="20"/>
          <w:color w:val="auto"/>
        </w:rPr>
      </w:pPr>
    </w:p>
    <w:p>
      <w:pPr>
        <w:jc w:val="both"/>
        <w:ind w:right="40"/>
        <w:spacing w:after="0" w:line="328" w:lineRule="auto"/>
        <w:rPr>
          <w:sz w:val="20"/>
          <w:szCs w:val="20"/>
          <w:color w:val="auto"/>
        </w:rPr>
      </w:pPr>
      <w:r>
        <w:rPr>
          <w:rFonts w:ascii="Arial" w:cs="Arial" w:eastAsia="Arial" w:hAnsi="Arial"/>
          <w:sz w:val="19"/>
          <w:szCs w:val="19"/>
          <w:color w:val="auto"/>
        </w:rPr>
        <w:t>We agreed with the Audit &amp; Finance Committee that we would report to them misstatements above CHF 290 thousand identified during our audit as well as any misstatements below that amount which, in our view, warranted reporting for qualitative reasons.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scope</w:t>
      </w:r>
    </w:p>
    <w:p>
      <w:pPr>
        <w:spacing w:after="0" w:line="239"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We designed our audit by determining materiality and assessing the risks of material misstatement in the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key audit matters based on the circular 1/2015 of the Federal Audit Oversight Authority</w:t>
      </w:r>
    </w:p>
    <w:p>
      <w:pPr>
        <w:spacing w:after="0" w:line="239" w:lineRule="exact"/>
        <w:rPr>
          <w:sz w:val="20"/>
          <w:szCs w:val="20"/>
          <w:color w:val="auto"/>
        </w:rPr>
      </w:pPr>
    </w:p>
    <w:p>
      <w:pPr>
        <w:ind w:right="120"/>
        <w:spacing w:after="0" w:line="257" w:lineRule="auto"/>
        <w:rPr>
          <w:sz w:val="20"/>
          <w:szCs w:val="20"/>
          <w:color w:val="auto"/>
        </w:rPr>
      </w:pPr>
      <w:r>
        <w:rPr>
          <w:rFonts w:ascii="Arial" w:cs="Arial" w:eastAsia="Arial" w:hAnsi="Arial"/>
          <w:sz w:val="21"/>
          <w:szCs w:val="21"/>
          <w:color w:val="auto"/>
        </w:rPr>
        <w:t>Key audit matters are those matters that, in our professional judgement,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445770" cy="342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5770" cy="342900"/>
                    </a:xfrm>
                    <a:prstGeom prst="rect">
                      <a:avLst/>
                    </a:prstGeom>
                    <a:noFill/>
                  </pic:spPr>
                </pic:pic>
              </a:graphicData>
            </a:graphic>
          </wp:anchor>
        </w:drawing>
      </w:r>
    </w:p>
    <w:p>
      <w:pPr>
        <w:spacing w:after="0" w:line="34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7"/>
          <w:szCs w:val="17"/>
          <w:color w:val="auto"/>
        </w:rPr>
        <w:t>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color w:val="auto"/>
        </w:rPr>
        <w:t>Intangible asset –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audit matter</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As described in Note 2 to the financial statements, in Q4 2021, the Company closed its acquisition of an in-process research and development (IPR&amp;D) intangible asset of CHF 50,416 thousand and CHF 4,634 thousand in cash in exchange for 7,106,840 shares of the Company. The asset is defined as an intangible asset not yet ready for use. Therefore, the IPR&amp;D asset is reviewed at least annually for impairment by assessing the fair value less costs to sell (recoverable amount) and comparing this to the carrying value of the asset. To determine the recoverable amount, management estimated the fair value less costs to sell of the intangible asset, using the same model used at the acquisition date. The significant assumptions used in the model include anticipated research and development costs, anticipated costs of goods and sales and marketing expenditures, probability of achieving clinical and regulatory development milestones in accordance with certain industry benchmarks, general commercialization expectations such as anticipated pricing and uptake, and the discount rate used to discount future cash flows.</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principal considerations for our determination that performing procedures relating to the intangible asset – valuation is a critical audit matter are the significant judgment by management when determining the value of the intangible asset. This in turn led to 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general commercialization expectations such as anticipated pricing and uptake, and the discount rate used to discount future cash flows. In addition, the audit effort involved the use of professionals with specialized skill and knowledge.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our audit addressed the key audit matter</w:t>
      </w:r>
    </w:p>
    <w:p>
      <w:pPr>
        <w:spacing w:after="0" w:line="239"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w:t>
      </w:r>
    </w:p>
    <w:p>
      <w:pPr>
        <w:spacing w:after="0" w:line="16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These procedures included testing the effectiveness of controls relating to management’s valuation of the intangible asset. These procedures also included, among others, (i) the involvement of professionals with specialized skill and knowledge to assist in developing an independent range of fair values for the intangible asset, (ii) comparing the independent estimate to management’s fair value estimate to evaluate the reasonableness of management’s assumptions and (iii) assessing that assumptions used did not require to be updated at year end for the purpose of the impairment assessment.</w:t>
      </w:r>
    </w:p>
    <w:p>
      <w:pPr>
        <w:spacing w:after="0" w:line="200" w:lineRule="exact"/>
        <w:rPr>
          <w:sz w:val="20"/>
          <w:szCs w:val="20"/>
          <w:color w:val="auto"/>
        </w:rPr>
      </w:pPr>
    </w:p>
    <w:p>
      <w:pPr>
        <w:spacing w:after="0" w:line="231"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color w:val="auto"/>
        </w:rPr>
        <w:t>Developing the independent estimate involved testing the completeness and accuracy of inputs provided by management and evaluating management’s assumptions based on external market and industry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2573020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074" w:lineRule="exact"/>
        <w:rPr>
          <w:sz w:val="20"/>
          <w:szCs w:val="20"/>
          <w:color w:val="auto"/>
        </w:rPr>
      </w:pPr>
    </w:p>
    <w:p>
      <w:pPr>
        <w:sectPr>
          <w:pgSz w:w="11900" w:h="16838" w:orient="portrait"/>
          <w:cols w:equalWidth="0" w:num="2">
            <w:col w:w="5380" w:space="460"/>
            <w:col w:w="5380"/>
          </w:cols>
          <w:pgMar w:left="320" w:top="125" w:right="35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Responsibilities of the Board of Directors for the financial statements</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Board of Directors is responsible for the preparation of the financial statements in accordance with the provisions of Swiss law and the company’s articles of incorporation, and for such internal control as the Board of Directors determines is necessary to enable the preparation of financial statements that are free from material misstatement, whether due to fraud or error.</w:t>
      </w:r>
    </w:p>
    <w:p>
      <w:pPr>
        <w:spacing w:after="0" w:line="161"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In preparing the financial statements, the Board of Directors is responsible for assessing the entity’s ability to continue as a going concern, disclosing, as applicable, matters related to going concern and using the going concern basis of accounting unless the Board of Directors either intends to liquidate the entity or to cease operations, or has no realistic alternative but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445770"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5770" cy="342900"/>
                    </a:xfrm>
                    <a:prstGeom prst="rect">
                      <a:avLst/>
                    </a:prstGeom>
                    <a:noFill/>
                  </pic:spPr>
                </pic:pic>
              </a:graphicData>
            </a:graphic>
          </wp:anchor>
        </w:drawing>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22"/>
          <w:szCs w:val="22"/>
          <w:b w:val="1"/>
          <w:bCs w:val="1"/>
          <w:color w:val="auto"/>
        </w:rPr>
        <w:t>Auditor’s responsibilities for the audit of the financial statements</w:t>
      </w:r>
    </w:p>
    <w:p>
      <w:pPr>
        <w:spacing w:after="0" w:line="240"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and Swiss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As part of an audit in accordance with Swiss law and Swiss Auditing Standards, we exercise professional judgment and maintain professional scepticism throughout the audit. We also:</w:t>
      </w:r>
    </w:p>
    <w:p>
      <w:pPr>
        <w:spacing w:after="0" w:line="209" w:lineRule="exact"/>
        <w:rPr>
          <w:sz w:val="20"/>
          <w:szCs w:val="20"/>
          <w:color w:val="auto"/>
        </w:rPr>
      </w:pPr>
    </w:p>
    <w:p>
      <w:pPr>
        <w:ind w:left="220" w:right="260" w:hanging="212"/>
        <w:spacing w:after="0" w:line="259"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213" w:lineRule="exact"/>
        <w:rPr>
          <w:rFonts w:ascii="Arial" w:cs="Arial" w:eastAsia="Arial" w:hAnsi="Arial"/>
          <w:sz w:val="18"/>
          <w:szCs w:val="18"/>
          <w:color w:val="auto"/>
        </w:rPr>
      </w:pPr>
    </w:p>
    <w:p>
      <w:pPr>
        <w:ind w:left="220" w:right="20" w:hanging="212"/>
        <w:spacing w:after="0" w:line="277"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the entity’s internal control.</w:t>
      </w:r>
    </w:p>
    <w:p>
      <w:pPr>
        <w:spacing w:after="0" w:line="19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w:t>
      </w:r>
    </w:p>
    <w:p>
      <w:pPr>
        <w:spacing w:after="0" w:line="252" w:lineRule="exact"/>
        <w:rPr>
          <w:rFonts w:ascii="Arial" w:cs="Arial" w:eastAsia="Arial" w:hAnsi="Arial"/>
          <w:sz w:val="18"/>
          <w:szCs w:val="18"/>
          <w:color w:val="auto"/>
        </w:rPr>
      </w:pPr>
    </w:p>
    <w:p>
      <w:pPr>
        <w:ind w:left="220" w:hanging="212"/>
        <w:spacing w:after="0" w:line="296" w:lineRule="auto"/>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Conclude on the appropriateness of the Board of Directors’ use of the going concern basis of accounting and, based on the audit evidence obtained, whether a material uncertainty exists related to events or conditions that may cast significant doubt on the entity’s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entity to cease to continue as a going concern.</w:t>
      </w:r>
    </w:p>
    <w:p>
      <w:pPr>
        <w:spacing w:after="0" w:line="181" w:lineRule="exact"/>
        <w:rPr>
          <w:sz w:val="20"/>
          <w:szCs w:val="20"/>
          <w:color w:val="auto"/>
        </w:rPr>
      </w:pPr>
    </w:p>
    <w:p>
      <w:pPr>
        <w:ind w:right="20"/>
        <w:spacing w:after="0"/>
        <w:rPr>
          <w:sz w:val="20"/>
          <w:szCs w:val="20"/>
          <w:color w:val="auto"/>
        </w:rPr>
      </w:pPr>
      <w:r>
        <w:rPr>
          <w:rFonts w:ascii="Arial" w:cs="Arial" w:eastAsia="Arial" w:hAnsi="Arial"/>
          <w:sz w:val="22"/>
          <w:szCs w:val="22"/>
          <w:color w:val="auto"/>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spacing w:after="0" w:line="213"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We also provide the Board of Directors or its relevant committee with a statement that we have complied with relevant ethical requirements regarding independence, and communicate with them all relationships and other matters that may reasonably be thought to bear on our independence, and where applicable, actions taken to eliminate threats or safeguards applied.</w:t>
      </w:r>
    </w:p>
    <w:p>
      <w:pPr>
        <w:spacing w:after="0" w:line="161"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From the matters communicated with the Board of Directors or its relevant committee,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other legal and regulatory requirements</w:t>
      </w:r>
    </w:p>
    <w:p>
      <w:pPr>
        <w:spacing w:after="0" w:line="239"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In accordance with article 728a paragraph 1 item 3 CO and Swiss Auditing Standard 890, we confirm that an internal control system exists which has been designed for the preparation of financial statements according to the instructions of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recommend that the financial statements submitted to you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445770" cy="3429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5770" cy="342900"/>
                    </a:xfrm>
                    <a:prstGeom prst="rect">
                      <a:avLst/>
                    </a:prstGeom>
                    <a:noFill/>
                  </pic:spPr>
                </pic:pic>
              </a:graphicData>
            </a:graphic>
          </wp:anchor>
        </w:drawing>
      </w: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5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auto"/>
        </w:rPr>
        <w:t>PricewaterhouseCoopers SA</w:t>
      </w:r>
    </w:p>
    <w:p>
      <w:pPr>
        <w:sectPr>
          <w:pgSz w:w="11900" w:h="16838" w:orient="portrait"/>
          <w:cols w:equalWidth="0" w:num="1">
            <w:col w:w="10139"/>
          </w:cols>
          <w:pgMar w:left="320" w:top="118" w:right="1440" w:bottom="1440" w:gutter="0" w:footer="0" w:header="0"/>
        </w:sect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 Michael Foley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 Justin Coppey</w:t>
      </w:r>
    </w:p>
    <w:p>
      <w:pPr>
        <w:spacing w:after="0" w:line="200" w:lineRule="exact"/>
        <w:rPr>
          <w:sz w:val="20"/>
          <w:szCs w:val="20"/>
          <w:color w:val="auto"/>
        </w:rPr>
      </w:pPr>
    </w:p>
    <w:p>
      <w:pPr>
        <w:sectPr>
          <w:pgSz w:w="11900" w:h="16838" w:orient="portrait"/>
          <w:cols w:equalWidth="0" w:num="2">
            <w:col w:w="4320" w:space="720"/>
            <w:col w:w="5099"/>
          </w:cols>
          <w:pgMar w:left="320" w:top="118" w:right="1440"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Audit expert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Auditor in charge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Audit expert</w:t>
      </w:r>
    </w:p>
    <w:p>
      <w:pPr>
        <w:spacing w:after="0" w:line="430" w:lineRule="exact"/>
        <w:rPr>
          <w:sz w:val="20"/>
          <w:szCs w:val="20"/>
          <w:color w:val="auto"/>
        </w:rPr>
      </w:pPr>
    </w:p>
    <w:p>
      <w:pPr>
        <w:sectPr>
          <w:pgSz w:w="11900" w:h="16838" w:orient="portrait"/>
          <w:cols w:equalWidth="0" w:num="2">
            <w:col w:w="4320" w:space="720"/>
            <w:col w:w="5099"/>
          </w:cols>
          <w:pgMar w:left="320" w:top="118"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rPr>
        <w:t>Lausanne, 22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445770"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5770" cy="342900"/>
                    </a:xfrm>
                    <a:prstGeom prst="rect">
                      <a:avLst/>
                    </a:prstGeom>
                    <a:noFill/>
                  </pic:spPr>
                </pic:pic>
              </a:graphicData>
            </a:graphic>
          </wp:anchor>
        </w:drawing>
      </w:r>
    </w:p>
    <w:p>
      <w:pPr>
        <w:spacing w:after="0" w:line="382" w:lineRule="exact"/>
        <w:rPr>
          <w:sz w:val="20"/>
          <w:szCs w:val="20"/>
          <w:color w:val="auto"/>
        </w:rPr>
      </w:pPr>
    </w:p>
    <w:p>
      <w:pPr>
        <w:jc w:val="right"/>
        <w:ind w:right="3439"/>
        <w:spacing w:after="0"/>
        <w:rPr>
          <w:sz w:val="20"/>
          <w:szCs w:val="20"/>
          <w:color w:val="auto"/>
        </w:rPr>
      </w:pPr>
      <w:r>
        <w:rPr>
          <w:rFonts w:ascii="Arial" w:cs="Arial" w:eastAsia="Arial" w:hAnsi="Arial"/>
          <w:sz w:val="18"/>
          <w:szCs w:val="18"/>
          <w:color w:val="auto"/>
        </w:rPr>
        <w:t>6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As at 31 December,</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Notes</w:t>
            </w: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160,893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 From third parties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 Intercompany</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Prepaid expenses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8</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3,954</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9</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202,625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231,767</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financial assets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4,420</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4</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55,895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4,754</w:t>
            </w:r>
          </w:p>
        </w:tc>
        <w:tc>
          <w:tcPr>
            <w:tcW w:w="100" w:type="dxa"/>
            <w:vAlign w:val="bottom"/>
          </w:tcPr>
          <w:p>
            <w:pPr>
              <w:spacing w:after="0"/>
              <w:rPr>
                <w:sz w:val="19"/>
                <w:szCs w:val="19"/>
                <w:color w:val="auto"/>
              </w:rPr>
            </w:pP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258,520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236,521</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 To third parties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Deferred income</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 capital</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Reserves from capital contributions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432,576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341,482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Accumulated losses brought forward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(119,975)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(62,151)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Loss for the year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(75,204)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(57,824)</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239,066</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222,945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258,520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96"/>
        </w:trPr>
        <w:tc>
          <w:tcPr>
            <w:tcW w:w="7320" w:type="dxa"/>
            <w:vAlign w:val="bottom"/>
          </w:tcPr>
          <w:p>
            <w:pPr>
              <w:spacing w:after="0"/>
              <w:rPr>
                <w:sz w:val="20"/>
                <w:szCs w:val="20"/>
                <w:color w:val="auto"/>
              </w:rPr>
            </w:pPr>
            <w:r>
              <w:rPr>
                <w:rFonts w:ascii="Arial" w:cs="Arial" w:eastAsia="Arial" w:hAnsi="Arial"/>
                <w:sz w:val="14"/>
                <w:szCs w:val="14"/>
                <w:color w:val="auto"/>
              </w:rPr>
              <w:t>Statutory Financial Statements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46"/>
        </w:trPr>
        <w:tc>
          <w:tcPr>
            <w:tcW w:w="7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right="28"/>
              <w:spacing w:after="0"/>
              <w:rPr>
                <w:sz w:val="20"/>
                <w:szCs w:val="20"/>
                <w:color w:val="auto"/>
              </w:rPr>
            </w:pPr>
            <w:r>
              <w:rPr>
                <w:rFonts w:ascii="Arial" w:cs="Arial" w:eastAsia="Arial" w:hAnsi="Arial"/>
                <w:sz w:val="18"/>
                <w:szCs w:val="18"/>
                <w:b w:val="1"/>
                <w:bCs w:val="1"/>
                <w:color w:val="auto"/>
                <w:w w:val="89"/>
              </w:rPr>
              <w:t>For the Years Ended 31</w:t>
            </w:r>
          </w:p>
        </w:tc>
      </w:tr>
      <w:tr>
        <w:trPr>
          <w:trHeight w:val="241"/>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6"/>
              </w:rPr>
              <w:t>December,</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16,766</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(24,086)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(22,681)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(50,124)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(49,833)</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(1,901)</w:t>
            </w: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(1,523)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(76,111)</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(74,037)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(74,863)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(57,271)</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102</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Financial expenses</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(655)</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financial expenses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(75,204)</w:t>
            </w: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(57,824)</w:t>
            </w:r>
          </w:p>
        </w:tc>
      </w:tr>
      <w:tr>
        <w:trPr>
          <w:trHeight w:val="595"/>
        </w:trPr>
        <w:tc>
          <w:tcPr>
            <w:tcW w:w="7320" w:type="dxa"/>
            <w:vAlign w:val="bottom"/>
          </w:tcPr>
          <w:p>
            <w:pPr>
              <w:spacing w:after="0"/>
              <w:rPr>
                <w:sz w:val="20"/>
                <w:szCs w:val="20"/>
                <w:color w:val="auto"/>
              </w:rPr>
            </w:pPr>
            <w:r>
              <w:rPr>
                <w:rFonts w:ascii="Arial" w:cs="Arial" w:eastAsia="Arial" w:hAnsi="Arial"/>
                <w:sz w:val="14"/>
                <w:szCs w:val="14"/>
                <w:color w:val="auto"/>
              </w:rPr>
              <w:t>Statutory Financial Statements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46"/>
        </w:trPr>
        <w:tc>
          <w:tcPr>
            <w:tcW w:w="7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58"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financial statements</w:t>
      </w:r>
    </w:p>
    <w:p>
      <w:pPr>
        <w:spacing w:after="0" w:line="24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information</w:t>
      </w:r>
    </w:p>
    <w:p>
      <w:pPr>
        <w:spacing w:after="0" w:line="245"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5"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Company was initially incorporated as a limited liability company on February 13, 2003 in Basel and effective August 25, 2003 was transitioned into a stock company. The Company’s corporate headquarters are located at EPFL Innovation Park Building B, 1015 Lausanne, Switzerland.</w:t>
      </w:r>
    </w:p>
    <w:p>
      <w:pPr>
        <w:spacing w:after="0" w:line="213" w:lineRule="exact"/>
        <w:rPr>
          <w:sz w:val="20"/>
          <w:szCs w:val="20"/>
          <w:color w:val="auto"/>
        </w:rPr>
      </w:pPr>
    </w:p>
    <w:p>
      <w:pPr>
        <w:ind w:right="420"/>
        <w:spacing w:after="0"/>
        <w:rPr>
          <w:sz w:val="20"/>
          <w:szCs w:val="20"/>
          <w:color w:val="auto"/>
        </w:rPr>
      </w:pPr>
      <w:r>
        <w:rPr>
          <w:rFonts w:ascii="Arial" w:cs="Arial" w:eastAsia="Arial" w:hAnsi="Arial"/>
          <w:sz w:val="22"/>
          <w:szCs w:val="22"/>
          <w:color w:val="auto"/>
        </w:rPr>
        <w:t>The statutory financial statements of AC Immune SA for the period ended 31 December 2021 were authorized for issue in accordance with a resolution of the Board of Directors on 18 March 2022 and will be submitted to the next Ordinary General Assembly.</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During 2021 and 2020, AC Immune had an annual average of more than 10 but less than 250 full time equivalent positions.</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Where necessary, comparative figures have been adjusted to conform with changes in presentation in the current year.</w:t>
      </w:r>
    </w:p>
    <w:p>
      <w:pPr>
        <w:spacing w:after="0" w:line="25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Summary of significant accounting principles</w:t>
      </w:r>
    </w:p>
    <w:p>
      <w:pPr>
        <w:spacing w:after="0" w:line="245" w:lineRule="exact"/>
        <w:rPr>
          <w:sz w:val="20"/>
          <w:szCs w:val="20"/>
          <w:color w:val="auto"/>
        </w:rPr>
      </w:pPr>
    </w:p>
    <w:p>
      <w:pPr>
        <w:jc w:val="both"/>
        <w:spacing w:after="0" w:line="200" w:lineRule="auto"/>
        <w:rPr>
          <w:sz w:val="20"/>
          <w:szCs w:val="20"/>
          <w:color w:val="auto"/>
        </w:rPr>
      </w:pPr>
      <w:r>
        <w:rPr>
          <w:rFonts w:ascii="Arial" w:cs="Arial" w:eastAsia="Arial" w:hAnsi="Arial"/>
          <w:sz w:val="22"/>
          <w:szCs w:val="22"/>
          <w:color w:val="auto"/>
        </w:rPr>
        <w:t>The present annual accounts have been prepared in accordance with the provisions of the Swiss law on accounting and financial reporting (32</w:t>
      </w:r>
      <w:r>
        <w:rPr>
          <w:rFonts w:ascii="Arial" w:cs="Arial" w:eastAsia="Arial" w:hAnsi="Arial"/>
          <w:sz w:val="35"/>
          <w:szCs w:val="35"/>
          <w:color w:val="auto"/>
          <w:vertAlign w:val="superscript"/>
        </w:rPr>
        <w:t>nd</w:t>
      </w:r>
      <w:r>
        <w:rPr>
          <w:rFonts w:ascii="Arial" w:cs="Arial" w:eastAsia="Arial" w:hAnsi="Arial"/>
          <w:sz w:val="22"/>
          <w:szCs w:val="22"/>
          <w:color w:val="auto"/>
        </w:rPr>
        <w:t xml:space="preserve"> Title of the Swiss Code of Obligations). The principal accounting policies are set out below. These policies have been consistently applied to all the years presented, unless otherwise stated.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Current vs. non-current classification</w:t>
      </w:r>
    </w:p>
    <w:p>
      <w:pPr>
        <w:spacing w:after="0" w:line="239"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transactions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the reporting date. Any gains or losses from these translations are included in the income statement in the period in which they arise.</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Revenue includes upfront fees, milestone payments as well as revenue from research and development agreements associated with collaborations with third parties and grants from public institutions and foundations.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License of intellectual property</w:t>
      </w:r>
    </w:p>
    <w:p>
      <w:pPr>
        <w:spacing w:after="0" w:line="233"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ectPr>
          <w:pgSz w:w="11900" w:h="16838" w:orient="portrait"/>
          <w:cols w:equalWidth="0" w:num="1">
            <w:col w:w="11240"/>
          </w:cols>
          <w:pgMar w:left="320" w:top="125" w:right="339" w:bottom="858" w:gutter="0" w:footer="0" w:header="0"/>
          <w:type w:val="continuous"/>
        </w:sectPr>
      </w:pPr>
    </w:p>
    <w:p>
      <w:pPr>
        <w:spacing w:after="0" w:line="353" w:lineRule="exact"/>
        <w:rPr>
          <w:sz w:val="20"/>
          <w:szCs w:val="20"/>
          <w:color w:val="auto"/>
        </w:rPr>
      </w:pPr>
    </w:p>
    <w:p>
      <w:pPr>
        <w:spacing w:after="0"/>
        <w:tabs>
          <w:tab w:leader="none" w:pos="11140" w:val="left"/>
        </w:tabs>
        <w:rPr>
          <w:sz w:val="20"/>
          <w:szCs w:val="20"/>
          <w:color w:val="auto"/>
        </w:rPr>
      </w:pPr>
      <w:r>
        <w:rPr>
          <w:rFonts w:ascii="Arial" w:cs="Arial" w:eastAsia="Arial" w:hAnsi="Arial"/>
          <w:sz w:val="14"/>
          <w:szCs w:val="14"/>
          <w:color w:val="auto"/>
        </w:rPr>
        <w:t>Statutory Financial Statements</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58"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218"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For collaboration agreements, in addition to receiving upfront payments, the Company is also entitled to milestone and other contingent payments upon achieving pre-defined objectives.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Milestone payments</w:t>
      </w:r>
    </w:p>
    <w:p>
      <w:pPr>
        <w:spacing w:after="0" w:line="233"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Research and development services</w:t>
      </w:r>
    </w:p>
    <w:p>
      <w:pPr>
        <w:spacing w:after="0" w:line="233"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Grant income</w:t>
      </w:r>
    </w:p>
    <w:p>
      <w:pPr>
        <w:spacing w:after="0" w:line="233"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The Company has received grants, from time to time from institutions to support certain research projects. Grants are recorded in the income statement within Revenue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expenditures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Given the stage of development of the Company’s products, all research expenditure is recognized as expense when incurred.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Research and development expenditures include:</w:t>
      </w:r>
    </w:p>
    <w:p>
      <w:pPr>
        <w:spacing w:after="0" w:line="222" w:lineRule="exact"/>
        <w:rPr>
          <w:sz w:val="20"/>
          <w:szCs w:val="20"/>
          <w:color w:val="auto"/>
        </w:rPr>
      </w:pPr>
    </w:p>
    <w:p>
      <w:pPr>
        <w:ind w:left="660" w:right="30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97"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and travel expenses;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allocated expenses such as facilities and information technology (IT) costs.</w:t>
      </w:r>
    </w:p>
    <w:p>
      <w:pPr>
        <w:spacing w:after="0" w:line="245"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For external research contracts, expenses include those associated with contract research organizations, or CROs, or contract manufacturing organizations, or CMOs. The invoicing from CROs or CMOs for services rendered do not always align with the timing of service performed. We accrue the cost of services rendered in connection with CRO or CMO activities based on our estimate of the “stage of completion” for such contracted services. We maintain regular communication with our CRO or CMO vendors to gauge the reasonableness of our estimates and accrue expenses as of the balance sheet date in the financial statements based on facts and circumstances known at the time.</w:t>
      </w:r>
    </w:p>
    <w:p>
      <w:pPr>
        <w:sectPr>
          <w:pgSz w:w="11900" w:h="16838" w:orient="portrait"/>
          <w:cols w:equalWidth="0" w:num="1">
            <w:col w:w="11240"/>
          </w:cols>
          <w:pgMar w:left="320" w:top="125" w:right="339" w:bottom="1440" w:gutter="0" w:footer="0" w:header="0"/>
          <w:type w:val="continuous"/>
        </w:sectPr>
      </w:pPr>
    </w:p>
    <w:p>
      <w:pPr>
        <w:spacing w:after="0" w:line="396" w:lineRule="exact"/>
        <w:rPr>
          <w:sz w:val="20"/>
          <w:szCs w:val="20"/>
          <w:color w:val="auto"/>
        </w:rPr>
      </w:pPr>
    </w:p>
    <w:p>
      <w:pPr>
        <w:spacing w:after="0"/>
        <w:tabs>
          <w:tab w:leader="none" w:pos="11140" w:val="left"/>
        </w:tabs>
        <w:rPr>
          <w:sz w:val="20"/>
          <w:szCs w:val="20"/>
          <w:color w:val="auto"/>
        </w:rPr>
      </w:pPr>
      <w:r>
        <w:rPr>
          <w:rFonts w:ascii="Arial" w:cs="Arial" w:eastAsia="Arial" w:hAnsi="Arial"/>
          <w:sz w:val="14"/>
          <w:szCs w:val="14"/>
          <w:color w:val="auto"/>
        </w:rPr>
        <w:t>Statutory Financial Statements</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239"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IT equipment</w:t>
            </w:r>
          </w:p>
        </w:tc>
        <w:tc>
          <w:tcPr>
            <w:tcW w:w="77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3 years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Laboratory equipment</w:t>
            </w:r>
          </w:p>
        </w:tc>
        <w:tc>
          <w:tcPr>
            <w:tcW w:w="7700" w:type="dxa"/>
            <w:vAlign w:val="bottom"/>
          </w:tcPr>
          <w:p>
            <w:pPr>
              <w:ind w:left="960"/>
              <w:spacing w:after="0"/>
              <w:rPr>
                <w:sz w:val="20"/>
                <w:szCs w:val="20"/>
                <w:color w:val="auto"/>
              </w:rPr>
            </w:pPr>
            <w:r>
              <w:rPr>
                <w:rFonts w:ascii="Arial" w:cs="Arial" w:eastAsia="Arial" w:hAnsi="Arial"/>
                <w:sz w:val="18"/>
                <w:szCs w:val="18"/>
                <w:color w:val="auto"/>
              </w:rPr>
              <w:t>5 years</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 furniture</w:t>
            </w:r>
          </w:p>
        </w:tc>
        <w:tc>
          <w:tcPr>
            <w:tcW w:w="77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5 years</w:t>
            </w:r>
          </w:p>
        </w:tc>
      </w:tr>
    </w:tbl>
    <w:p>
      <w:pPr>
        <w:spacing w:after="0" w:line="222"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Gains and losses on disposals are determined by comparing the disposal proceeds with the carrying amount and are included in the income statement.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w:t>
      </w:r>
      <w:r>
        <w:rPr>
          <w:rFonts w:ascii="Arial" w:cs="Arial" w:eastAsia="Arial" w:hAnsi="Arial"/>
          <w:sz w:val="22"/>
          <w:szCs w:val="22"/>
          <w:color w:val="auto"/>
        </w:rPr>
        <w:t>:</w:t>
      </w:r>
    </w:p>
    <w:p>
      <w:pPr>
        <w:spacing w:after="0" w:line="239"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Q4 2021, the Company closed its acquisition with Affiris AG (Affiris) for the program portfolio of therapeutics targeting a-syn, notably ACI-7104 (previously PD01), a clinically-validated active vaccine candidate for the treatment of Parkinson’s disease (the Transferred Assets). The Company acquired the Transferred Assets for USD 53.7 (CHF 50.4) million and USD 5.0 (CHF 4.6) million in cash in exchange for 7,106,840 shares.</w:t>
      </w:r>
    </w:p>
    <w:p>
      <w:pPr>
        <w:spacing w:after="0" w:line="212"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The Company reviews the IPR&amp;D asset at least annually for impairment by assessing the fair value less costs to sell (recoverable amount) and comparing this to the carrying value of the asset. The Company has not determined the IPR&amp;D asset to be impaired as of December 31, 2021.</w:t>
      </w:r>
    </w:p>
    <w:p>
      <w:pPr>
        <w:spacing w:after="0" w:line="213"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The key assumptions used in the valuation model in accordance with an income approach to determine the recoverable amount include observable and unobservable key inputs as follows:</w:t>
      </w:r>
    </w:p>
    <w:p>
      <w:pPr>
        <w:spacing w:after="0" w:line="209"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Anticipated research and development costs;</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Anticipated costs of goods and sales and marketing expenditures;</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Probability of achieving clinical and regulatory development milestones in accordance with certain industry benchmarks;</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Target indication prevalence and incidence rates;</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Anticipated market share;</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commercialization expectations such as anticipated pricing and uptake;</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patent life and market exclusivity periods; and</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metrics such as the tax rate</w:t>
      </w:r>
    </w:p>
    <w:p>
      <w:pPr>
        <w:spacing w:after="0" w:line="24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The Company’s valuation model calculates the risk-adjusted, net cash flows through the projected period of market exclusivity across target sales regions. The Company uses a discount rate of 15%, based on the assumed cost of capital for the Company over the forecast period.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Intercompany equity investment</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commenced financial operations in the United States in Q2 2021 via the opening of its fully-owned subsidiary, AC Immune USA, Inc. (“the Subsidiary”). The Subsidiary is located at 1230 Ave. of the Americas Ste. 1634, New York, USA, and is registered and organized under the laws of Delaware, USA. The Company owns 100% of the Subsidiary, paying in less than USD 1 (CHF 1) for 100 shares of par value USD 0.01 of the Subsidiary’s shares.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assets and liabilities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Company’s financial assets and liabilities are comprised of receivables, cash and cash equivalents, short-term financial assets and trade payables.</w:t>
      </w:r>
    </w:p>
    <w:p>
      <w:pPr>
        <w:sectPr>
          <w:pgSz w:w="11900" w:h="16838" w:orient="portrait"/>
          <w:cols w:equalWidth="0" w:num="1">
            <w:col w:w="11240"/>
          </w:cols>
          <w:pgMar w:left="320" w:top="125" w:right="339" w:bottom="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2"/>
        </w:trPr>
        <w:tc>
          <w:tcPr>
            <w:tcW w:w="6480" w:type="dxa"/>
            <w:vAlign w:val="bottom"/>
          </w:tcPr>
          <w:p>
            <w:pPr>
              <w:spacing w:after="0"/>
              <w:rPr>
                <w:sz w:val="20"/>
                <w:szCs w:val="20"/>
                <w:color w:val="auto"/>
              </w:rPr>
            </w:pPr>
            <w:r>
              <w:rPr>
                <w:rFonts w:ascii="Arial" w:cs="Arial" w:eastAsia="Arial" w:hAnsi="Arial"/>
                <w:sz w:val="14"/>
                <w:szCs w:val="14"/>
                <w:color w:val="auto"/>
              </w:rPr>
              <w:t>Statutory Financial Statements</w:t>
            </w:r>
          </w:p>
        </w:tc>
        <w:tc>
          <w:tcPr>
            <w:tcW w:w="4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6"/>
        </w:trPr>
        <w:tc>
          <w:tcPr>
            <w:tcW w:w="648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Receivables</w:t>
      </w:r>
    </w:p>
    <w:p>
      <w:pPr>
        <w:spacing w:after="0" w:line="233"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those with maturities greater than 12 months after the balance sheet date, which are classified as long-term assets. 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Short-term financial assets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Short-term financial assets are held with external financial institutions and comprise fixed-term deposits with maturities ranging from more than 3 until 12 months in duration.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and cash equivalents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Cash and cash equivalents include deposits held with external financial institutions and cash on hand. All cash and cash equivalents are either in cash or in deposits with original duration of less than 3 months. The Company assesses at each period whether there is objective evidence that financial assets are impaired.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Trade payables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Trade payables are recognized initially at nominal amount, which represents cost incurred.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Shareholders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Principal shareholders who own more than 5 percent of the voting rights as at 31 December: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40" w:type="dxa"/>
            <w:vAlign w:val="bottom"/>
          </w:tcPr>
          <w:p>
            <w:pPr>
              <w:spacing w:after="0"/>
              <w:rPr>
                <w:sz w:val="19"/>
                <w:szCs w:val="19"/>
                <w:color w:val="auto"/>
              </w:rPr>
            </w:pPr>
          </w:p>
        </w:tc>
        <w:tc>
          <w:tcPr>
            <w:tcW w:w="24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Shares Owned</w:t>
            </w:r>
          </w:p>
        </w:tc>
        <w:tc>
          <w:tcPr>
            <w:tcW w:w="260" w:type="dxa"/>
            <w:vAlign w:val="bottom"/>
          </w:tcPr>
          <w:p>
            <w:pPr>
              <w:spacing w:after="0"/>
              <w:rPr>
                <w:sz w:val="19"/>
                <w:szCs w:val="19"/>
                <w:color w:val="auto"/>
              </w:rPr>
            </w:pPr>
          </w:p>
        </w:tc>
        <w:tc>
          <w:tcPr>
            <w:tcW w:w="24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Shares Owned</w:t>
            </w:r>
          </w:p>
        </w:tc>
        <w:tc>
          <w:tcPr>
            <w:tcW w:w="160" w:type="dxa"/>
            <w:vAlign w:val="bottom"/>
          </w:tcPr>
          <w:p>
            <w:pPr>
              <w:spacing w:after="0"/>
              <w:rPr>
                <w:sz w:val="19"/>
                <w:szCs w:val="19"/>
                <w:color w:val="auto"/>
              </w:rPr>
            </w:pPr>
          </w:p>
        </w:tc>
      </w:tr>
      <w:tr>
        <w:trPr>
          <w:trHeight w:val="241"/>
        </w:trPr>
        <w:tc>
          <w:tcPr>
            <w:tcW w:w="594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500" w:type="dxa"/>
            <w:vAlign w:val="bottom"/>
            <w:gridSpan w:val="3"/>
          </w:tcPr>
          <w:p>
            <w:pPr>
              <w:ind w:left="240"/>
              <w:spacing w:after="0"/>
              <w:rPr>
                <w:sz w:val="20"/>
                <w:szCs w:val="20"/>
                <w:color w:val="auto"/>
              </w:rPr>
            </w:pPr>
            <w:r>
              <w:rPr>
                <w:rFonts w:ascii="Arial" w:cs="Arial" w:eastAsia="Arial" w:hAnsi="Arial"/>
                <w:sz w:val="18"/>
                <w:szCs w:val="18"/>
                <w:b w:val="1"/>
                <w:bCs w:val="1"/>
                <w:color w:val="auto"/>
              </w:rPr>
              <w:t>Number</w:t>
            </w: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9"/>
                <w:szCs w:val="19"/>
                <w:color w:val="auto"/>
              </w:rPr>
            </w:pPr>
          </w:p>
        </w:tc>
        <w:tc>
          <w:tcPr>
            <w:tcW w:w="1500" w:type="dxa"/>
            <w:vAlign w:val="bottom"/>
            <w:gridSpan w:val="3"/>
          </w:tcPr>
          <w:p>
            <w:pPr>
              <w:ind w:left="240"/>
              <w:spacing w:after="0"/>
              <w:rPr>
                <w:sz w:val="20"/>
                <w:szCs w:val="20"/>
                <w:color w:val="auto"/>
              </w:rPr>
            </w:pPr>
            <w:r>
              <w:rPr>
                <w:rFonts w:ascii="Arial" w:cs="Arial" w:eastAsia="Arial" w:hAnsi="Arial"/>
                <w:sz w:val="18"/>
                <w:szCs w:val="18"/>
                <w:b w:val="1"/>
                <w:bCs w:val="1"/>
                <w:color w:val="auto"/>
              </w:rPr>
              <w:t>Number</w:t>
            </w: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5% Shareholders</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dievini Hopp BioTech holding GmbH &amp; Co KG</w:t>
            </w:r>
            <w:r>
              <w:rPr>
                <w:rFonts w:ascii="Arial" w:cs="Arial" w:eastAsia="Arial" w:hAnsi="Arial"/>
                <w:sz w:val="25"/>
                <w:szCs w:val="25"/>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18,041,000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18,041,000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5940" w:type="dxa"/>
            <w:vAlign w:val="bottom"/>
          </w:tcPr>
          <w:p>
            <w:pPr>
              <w:spacing w:after="0" w:line="216" w:lineRule="exact"/>
              <w:rPr>
                <w:sz w:val="20"/>
                <w:szCs w:val="20"/>
                <w:color w:val="auto"/>
              </w:rPr>
            </w:pPr>
            <w:r>
              <w:rPr>
                <w:rFonts w:ascii="Arial" w:cs="Arial" w:eastAsia="Arial" w:hAnsi="Arial"/>
                <w:sz w:val="16"/>
                <w:szCs w:val="16"/>
                <w:color w:val="auto"/>
              </w:rPr>
              <w:t>Varuma AG</w:t>
            </w:r>
            <w:r>
              <w:rPr>
                <w:rFonts w:ascii="Arial" w:cs="Arial" w:eastAsia="Arial" w:hAnsi="Arial"/>
                <w:sz w:val="25"/>
                <w:szCs w:val="25"/>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11,999,999</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11,999,999</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16"/>
        </w:trPr>
        <w:tc>
          <w:tcPr>
            <w:tcW w:w="59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Affiris</w:t>
            </w:r>
            <w:r>
              <w:rPr>
                <w:rFonts w:ascii="Arial" w:cs="Arial" w:eastAsia="Arial" w:hAnsi="Arial"/>
                <w:sz w:val="25"/>
                <w:szCs w:val="25"/>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10,133,474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5940" w:type="dxa"/>
            <w:vAlign w:val="bottom"/>
          </w:tcPr>
          <w:p>
            <w:pPr>
              <w:spacing w:after="0"/>
              <w:rPr>
                <w:sz w:val="20"/>
                <w:szCs w:val="20"/>
                <w:color w:val="auto"/>
              </w:rPr>
            </w:pPr>
            <w:r>
              <w:rPr>
                <w:rFonts w:ascii="Arial" w:cs="Arial" w:eastAsia="Arial" w:hAnsi="Arial"/>
                <w:sz w:val="18"/>
                <w:szCs w:val="18"/>
                <w:color w:val="auto"/>
              </w:rPr>
              <w:t>BVF Inc.</w:t>
            </w:r>
            <w:r>
              <w:rPr>
                <w:rFonts w:ascii="Arial" w:cs="Arial" w:eastAsia="Arial" w:hAnsi="Arial"/>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7,062,379</w:t>
            </w:r>
          </w:p>
        </w:tc>
        <w:tc>
          <w:tcPr>
            <w:tcW w:w="1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9,816,658</w:t>
            </w: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bl>
    <w:p>
      <w:pPr>
        <w:spacing w:after="0" w:line="55" w:lineRule="exact"/>
        <w:rPr>
          <w:sz w:val="20"/>
          <w:szCs w:val="20"/>
          <w:color w:val="auto"/>
        </w:rPr>
      </w:pPr>
    </w:p>
    <w:p>
      <w:pPr>
        <w:ind w:left="340" w:right="100" w:hanging="332"/>
        <w:spacing w:after="0" w:line="25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GmbH &amp; Co KG. Dietmar Hopp controls the voting and investment decisions of the ultimate parent company of dievini Hopp BioTech holding GmbH &amp; Co KG. The shares registered in the name of dievini Hopp BioTech holding GmbH &amp; Co KG may also be deemed to be beneficially owned by Friedrich von Bohlen und Halbach, who is a managing director of dievini Hopp BioTech holding GmbH &amp; Co KG. The address for dievini Hopp BioTech holding GmbH &amp; Co KG, Friedrich von Bohlen und Halbach is Johann-Jakob-Astor Str. 57, 69190 Walldorf, Germany.</w:t>
      </w:r>
    </w:p>
    <w:p>
      <w:pPr>
        <w:spacing w:after="0" w:line="21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197"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information set forth in a Schedule 13G filed with the SEC by Affiris on August 5, 2021, (i) these shares consist of 7,106,840 shares held of record by Affiris AG, as well as 1,513,317 shares that were issuable upon the conversion of notes held by Santo Venture Capital GmbH and 1,513,317 shares that were issuable upon the conversion of notes held by FCPB Affi GmbH; and (iii) the address of Affiris AG is Karl-Farkas-Gasse 22, 1030 Vienna, Austria, the address of by Santo Venture Capital GmbH is Bergfeldstrasse 9, 83607 Holzkirchen, Germany and the address of FCPB Affi GmbH is Freihamer Strasse 2, 82166 Gräfelfing, Germany. The convertible notes held by Santo Venture Capital GmbH and FCPB Affi GmbH were fully settled in Q4 2021.</w:t>
      </w:r>
    </w:p>
    <w:p>
      <w:pPr>
        <w:spacing w:after="0" w:line="219" w:lineRule="exact"/>
        <w:rPr>
          <w:rFonts w:ascii="Arial" w:cs="Arial" w:eastAsia="Arial" w:hAnsi="Arial"/>
          <w:sz w:val="18"/>
          <w:szCs w:val="18"/>
          <w:color w:val="auto"/>
        </w:rPr>
      </w:pPr>
    </w:p>
    <w:p>
      <w:pPr>
        <w:ind w:left="340" w:right="48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information set forth in a Schedule 13G filed with the SEC by Biotechnology Value Fund on February 14, 2020, these shares consist of 7,062,379 shares held of record by BVF Inc. The address of BVF Inc. is 44 Montgomery St., 40th Floor, San Francisco, California 94104.</w:t>
      </w:r>
    </w:p>
    <w:p>
      <w:pPr>
        <w:sectPr>
          <w:pgSz w:w="11900" w:h="16838" w:orient="portrait"/>
          <w:cols w:equalWidth="0" w:num="1">
            <w:col w:w="11240"/>
          </w:cols>
          <w:pgMar w:left="320" w:top="125" w:right="339" w:bottom="1440" w:gutter="0" w:footer="0" w:header="0"/>
        </w:sectPr>
      </w:pPr>
    </w:p>
    <w:p>
      <w:pPr>
        <w:spacing w:after="0" w:line="335" w:lineRule="exact"/>
        <w:rPr>
          <w:sz w:val="20"/>
          <w:szCs w:val="20"/>
          <w:color w:val="auto"/>
        </w:rPr>
      </w:pPr>
    </w:p>
    <w:p>
      <w:pPr>
        <w:spacing w:after="0"/>
        <w:tabs>
          <w:tab w:leader="none" w:pos="11140" w:val="left"/>
        </w:tabs>
        <w:rPr>
          <w:sz w:val="20"/>
          <w:szCs w:val="20"/>
          <w:color w:val="auto"/>
        </w:rPr>
      </w:pPr>
      <w:r>
        <w:rPr>
          <w:rFonts w:ascii="Arial" w:cs="Arial" w:eastAsia="Arial" w:hAnsi="Arial"/>
          <w:sz w:val="14"/>
          <w:szCs w:val="14"/>
          <w:color w:val="auto"/>
        </w:rPr>
        <w:t>Statutory Financial Statements</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lease liabilities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have been a tenant at our current location in the EPFL Innovation Park in Ecublens/Lausanne since shortly after our inception in 2003. We lease our corporate, laboratory and other facilities under multiple operating leases that are month to month with no termination clause longer than a 12-month contractual notice period. Our lease agreements are structured such that we can exit these lease agreements without penalty provided we give the owner of our premises sufficient notice. As of 31 December 2021, the total minimum liability for the remaining term was CHF 963 thousand.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Provisions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judgments and accounting estimates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preparation of financial statements in conformity with the Swiss Code of Obligations requires management to make judgments, estimates and assumptions that affect the application of accounting policies and the reported amounts of assets, liabilities, income and expenses.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areas where AC Immune has had to make judgments, estimates and assumptions relate to (i) revenue recognition on collaboration and licensing agreements, (ii) clinical development accruals and (iii) our in-process research and development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Information relating to items on Balance Sheet and Income Statement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3.  Property, plant and equipment</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440" w:type="dxa"/>
            <w:vAlign w:val="bottom"/>
          </w:tcPr>
          <w:p>
            <w:pPr>
              <w:spacing w:after="0"/>
              <w:rPr>
                <w:sz w:val="24"/>
                <w:szCs w:val="24"/>
                <w:color w:val="auto"/>
              </w:rPr>
            </w:pPr>
          </w:p>
        </w:tc>
        <w:tc>
          <w:tcPr>
            <w:tcW w:w="25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Furniture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IT equipment</w:t>
            </w:r>
          </w:p>
        </w:tc>
        <w:tc>
          <w:tcPr>
            <w:tcW w:w="1100" w:type="dxa"/>
            <w:vAlign w:val="bottom"/>
          </w:tcPr>
          <w:p>
            <w:pPr>
              <w:jc w:val="right"/>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(7,550)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56"/>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5,116</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6440" w:type="dxa"/>
            <w:vAlign w:val="bottom"/>
          </w:tcPr>
          <w:p>
            <w:pPr>
              <w:spacing w:after="0"/>
              <w:rPr>
                <w:sz w:val="20"/>
                <w:szCs w:val="20"/>
                <w:color w:val="auto"/>
              </w:rPr>
            </w:pPr>
            <w:r>
              <w:rPr>
                <w:rFonts w:ascii="Arial" w:cs="Arial" w:eastAsia="Arial" w:hAnsi="Arial"/>
                <w:sz w:val="18"/>
                <w:szCs w:val="18"/>
                <w:color w:val="auto"/>
              </w:rPr>
              <w:t>4.  Intangible assets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40" w:type="dxa"/>
            <w:vAlign w:val="bottom"/>
          </w:tcPr>
          <w:p>
            <w:pPr>
              <w:spacing w:after="0"/>
              <w:rPr>
                <w:sz w:val="24"/>
                <w:szCs w:val="24"/>
                <w:color w:val="auto"/>
              </w:rPr>
            </w:pPr>
          </w:p>
        </w:tc>
        <w:tc>
          <w:tcPr>
            <w:tcW w:w="25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50,416</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6440" w:type="dxa"/>
            <w:vAlign w:val="bottom"/>
            <w:vMerge w:val="restart"/>
          </w:tcPr>
          <w:p>
            <w:pPr>
              <w:spacing w:after="0"/>
              <w:rPr>
                <w:sz w:val="20"/>
                <w:szCs w:val="20"/>
                <w:color w:val="auto"/>
              </w:rPr>
            </w:pPr>
            <w:r>
              <w:rPr>
                <w:rFonts w:ascii="Arial" w:cs="Arial" w:eastAsia="Arial" w:hAnsi="Arial"/>
                <w:sz w:val="18"/>
                <w:szCs w:val="18"/>
                <w:color w:val="auto"/>
              </w:rPr>
              <w:t>5.  Long-term financial assets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64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40" w:type="dxa"/>
            <w:vAlign w:val="bottom"/>
          </w:tcPr>
          <w:p>
            <w:pPr>
              <w:spacing w:after="0"/>
              <w:rPr>
                <w:sz w:val="24"/>
                <w:szCs w:val="24"/>
                <w:color w:val="auto"/>
              </w:rPr>
            </w:pPr>
          </w:p>
        </w:tc>
        <w:tc>
          <w:tcPr>
            <w:tcW w:w="25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Security deposit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3" w:lineRule="exact"/>
        <w:rPr>
          <w:sz w:val="20"/>
          <w:szCs w:val="20"/>
          <w:color w:val="auto"/>
        </w:rPr>
      </w:pPr>
    </w:p>
    <w:p>
      <w:pPr>
        <w:spacing w:after="0"/>
        <w:tabs>
          <w:tab w:leader="none" w:pos="11140" w:val="left"/>
        </w:tabs>
        <w:rPr>
          <w:sz w:val="20"/>
          <w:szCs w:val="20"/>
          <w:color w:val="auto"/>
        </w:rPr>
      </w:pPr>
      <w:r>
        <w:rPr>
          <w:rFonts w:ascii="Arial" w:cs="Arial" w:eastAsia="Arial" w:hAnsi="Arial"/>
          <w:sz w:val="14"/>
          <w:szCs w:val="14"/>
          <w:color w:val="auto"/>
        </w:rPr>
        <w:t>Statutory Financial Statements</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and cash equivalents and short-term financial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54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Short-term financial assets due in one year or less</w:t>
            </w:r>
          </w:p>
        </w:tc>
        <w:tc>
          <w:tcPr>
            <w:tcW w:w="1100" w:type="dxa"/>
            <w:vAlign w:val="bottom"/>
          </w:tcPr>
          <w:p>
            <w:pPr>
              <w:jc w:val="right"/>
              <w:spacing w:after="0"/>
              <w:rPr>
                <w:sz w:val="20"/>
                <w:szCs w:val="20"/>
                <w:color w:val="auto"/>
              </w:rPr>
            </w:pPr>
            <w:r>
              <w:rPr>
                <w:rFonts w:ascii="Arial" w:cs="Arial" w:eastAsia="Arial" w:hAnsi="Arial"/>
                <w:sz w:val="18"/>
                <w:szCs w:val="18"/>
                <w:color w:val="auto"/>
              </w:rPr>
              <w:t>116,000</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198,198</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225,893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4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by currency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CHF</w:t>
            </w:r>
          </w:p>
        </w:tc>
        <w:tc>
          <w:tcPr>
            <w:tcW w:w="1100" w:type="dxa"/>
            <w:vAlign w:val="bottom"/>
          </w:tcPr>
          <w:p>
            <w:pPr>
              <w:jc w:val="right"/>
              <w:spacing w:after="0"/>
              <w:rPr>
                <w:sz w:val="20"/>
                <w:szCs w:val="20"/>
                <w:color w:val="auto"/>
              </w:rPr>
            </w:pPr>
            <w:r>
              <w:rPr>
                <w:rFonts w:ascii="Arial" w:cs="Arial" w:eastAsia="Arial" w:hAnsi="Arial"/>
                <w:sz w:val="18"/>
                <w:szCs w:val="18"/>
                <w:color w:val="auto"/>
              </w:rPr>
              <w:t>64,941</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152,537</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USD</w:t>
            </w:r>
          </w:p>
        </w:tc>
        <w:tc>
          <w:tcPr>
            <w:tcW w:w="1100" w:type="dxa"/>
            <w:vAlign w:val="bottom"/>
          </w:tcPr>
          <w:p>
            <w:pPr>
              <w:jc w:val="right"/>
              <w:spacing w:after="0"/>
              <w:rPr>
                <w:sz w:val="20"/>
                <w:szCs w:val="20"/>
                <w:color w:val="auto"/>
              </w:rPr>
            </w:pPr>
            <w:r>
              <w:rPr>
                <w:rFonts w:ascii="Arial" w:cs="Arial" w:eastAsia="Arial" w:hAnsi="Arial"/>
                <w:sz w:val="18"/>
                <w:szCs w:val="18"/>
                <w:color w:val="auto"/>
              </w:rPr>
              <w:t>15,004</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82,198</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160,893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6200" w:type="dxa"/>
            <w:vAlign w:val="bottom"/>
          </w:tcPr>
          <w:p>
            <w:pPr>
              <w:ind w:left="100"/>
              <w:spacing w:after="0"/>
              <w:rPr>
                <w:sz w:val="20"/>
                <w:szCs w:val="20"/>
                <w:color w:val="auto"/>
              </w:rPr>
            </w:pPr>
            <w:r>
              <w:rPr>
                <w:rFonts w:ascii="Arial" w:cs="Arial" w:eastAsia="Arial" w:hAnsi="Arial"/>
                <w:sz w:val="18"/>
                <w:szCs w:val="18"/>
                <w:color w:val="auto"/>
              </w:rPr>
              <w:t>Other current receivables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54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Other current receivables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From third parties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 Intercompany</w:t>
            </w:r>
          </w:p>
        </w:tc>
        <w:tc>
          <w:tcPr>
            <w:tcW w:w="1100" w:type="dxa"/>
            <w:vAlign w:val="bottom"/>
          </w:tcPr>
          <w:p>
            <w:pPr>
              <w:jc w:val="right"/>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1,515</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620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54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1,937</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3,954</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rPr>
              <w:t>9.</w:t>
            </w:r>
          </w:p>
        </w:tc>
        <w:tc>
          <w:tcPr>
            <w:tcW w:w="6200" w:type="dxa"/>
            <w:vAlign w:val="bottom"/>
            <w:vMerge w:val="restart"/>
          </w:tcPr>
          <w:p>
            <w:pPr>
              <w:ind w:left="100"/>
              <w:spacing w:after="0"/>
              <w:rPr>
                <w:sz w:val="20"/>
                <w:szCs w:val="20"/>
                <w:color w:val="auto"/>
              </w:rPr>
            </w:pPr>
            <w:r>
              <w:rPr>
                <w:rFonts w:ascii="Arial" w:cs="Arial" w:eastAsia="Arial" w:hAnsi="Arial"/>
                <w:sz w:val="18"/>
                <w:szCs w:val="18"/>
                <w:color w:val="auto"/>
              </w:rPr>
              <w:t>Accrued income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40" w:type="dxa"/>
            <w:vAlign w:val="bottom"/>
            <w:vMerge w:val="continue"/>
          </w:tcPr>
          <w:p>
            <w:pPr>
              <w:spacing w:after="0"/>
              <w:rPr>
                <w:sz w:val="24"/>
                <w:szCs w:val="24"/>
                <w:color w:val="auto"/>
              </w:rPr>
            </w:pPr>
          </w:p>
        </w:tc>
        <w:tc>
          <w:tcPr>
            <w:tcW w:w="6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54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975</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1,591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10. Trade payables and accrued expenses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54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Accrued R&amp;D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10,031</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16,734</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56"/>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18,737</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As at 31 December 2021 and 2020 the Company held liabilities toward our pension insurance provider, amounting to nil and CHF 493 thousand, respectively.</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80" w:type="dxa"/>
            <w:vAlign w:val="bottom"/>
          </w:tcPr>
          <w:p>
            <w:pPr>
              <w:spacing w:after="0"/>
              <w:rPr>
                <w:sz w:val="20"/>
                <w:szCs w:val="20"/>
                <w:color w:val="auto"/>
              </w:rPr>
            </w:pPr>
            <w:r>
              <w:rPr>
                <w:rFonts w:ascii="Arial" w:cs="Arial" w:eastAsia="Arial" w:hAnsi="Arial"/>
                <w:sz w:val="14"/>
                <w:szCs w:val="14"/>
                <w:color w:val="auto"/>
              </w:rPr>
              <w:t>Statutory Financial Statements</w:t>
            </w:r>
          </w:p>
        </w:tc>
        <w:tc>
          <w:tcPr>
            <w:tcW w:w="47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46"/>
        </w:trPr>
        <w:tc>
          <w:tcPr>
            <w:tcW w:w="648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11. Deferred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As at 31</w:t>
            </w: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w:t>
            </w: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34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Total deferred income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717</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307</w:t>
            </w:r>
          </w:p>
        </w:tc>
      </w:tr>
      <w:tr>
        <w:trPr>
          <w:trHeight w:val="21"/>
        </w:trPr>
        <w:tc>
          <w:tcPr>
            <w:tcW w:w="6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12. Share capital</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31 December 2021 and 2020, the issued share capital amounted to CHF 1,792,702 and CHF 1,537,748, respectively, and is composed of common shares of 89,635,115 and 76,887,449, respectively. The common shares have nominal values of CHF 0.02 per share. All shares have been fully paid.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13. Treasury shares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8"/>
                <w:szCs w:val="18"/>
                <w:b w:val="1"/>
                <w:bCs w:val="1"/>
                <w:color w:val="auto"/>
              </w:rPr>
              <w:t>As at 31 December,</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6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Number</w:t>
            </w:r>
          </w:p>
        </w:tc>
        <w:tc>
          <w:tcPr>
            <w:tcW w:w="11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CHF</w:t>
            </w:r>
          </w:p>
        </w:tc>
        <w:tc>
          <w:tcPr>
            <w:tcW w:w="15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Number</w:t>
            </w: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CHF</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 Tranche 1 (September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Treasury shares – Tranche 2 (May 2021)</w:t>
            </w:r>
          </w:p>
        </w:tc>
        <w:tc>
          <w:tcPr>
            <w:tcW w:w="1120" w:type="dxa"/>
            <w:vAlign w:val="bottom"/>
          </w:tcPr>
          <w:p>
            <w:pPr>
              <w:jc w:val="right"/>
              <w:spacing w:after="0"/>
              <w:rPr>
                <w:sz w:val="20"/>
                <w:szCs w:val="20"/>
                <w:color w:val="auto"/>
              </w:rPr>
            </w:pPr>
            <w:r>
              <w:rPr>
                <w:rFonts w:ascii="Arial" w:cs="Arial" w:eastAsia="Arial" w:hAnsi="Arial"/>
                <w:sz w:val="18"/>
                <w:szCs w:val="18"/>
                <w:color w:val="auto"/>
              </w:rPr>
              <w:t>2,393,160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reserved for Stock Option and Incentive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6,221,617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Commencing in September 2020, the Company established an “at the market offering” (ATM) for the sale of up to USD 80 (CHF 73.9) million worth of our common shares from time to time by entering into an Open Market Sale Agreement (Sales Agreement) with Jefferies LLC (Jefferies). We entered into a New Sale Agreement in Q2 2021 to replace and extend the ATM program. To date, the Company has sold 1,171,543 million common shares previously held as treasury shares pursuant to the New Sale Agreement, raising USD 13.6 (CHF 12.1) million, net of underwriting fees and transaction costs.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has obtained a tax ruling from the concerned Cantonal Tax Authority at its place of incorporation, to obtain confirmation that the placement of these treasury shares for a subscription price superior to their nominal value will not trigger any corporate income tax for the Company, provided it occurs within 12 months from the issuance of the shares. The Company sold 1,171,543 shares in 2021 within that deadline, wholly from the first tranche.</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Furthermore, 2,600,000 shares, from the first tranche, have been reserved by the board of directors for use only under the Company’s current Stock Option and Incentive Plan per a further tax ruling with the concerned Cantonal Tax Authority without corporate income tax consequences for the Company. None of those shares have been sold and are subsequently recorded as treasury shares as of December 31, 2021.</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May 2021, an additional 2,393,160 fully paid in treasury shares were issued as part of second tranche for the ATM for future subscription. None of those shares have been sold and they are subsequently recorded as treasury shares as of December 31, 2021. They are covered by the same above-mentioned tax rulings.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14. Revenue</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41"/>
        </w:trPr>
        <w:tc>
          <w:tcPr>
            <w:tcW w:w="6440" w:type="dxa"/>
            <w:vAlign w:val="bottom"/>
          </w:tcPr>
          <w:p>
            <w:pPr>
              <w:spacing w:after="0"/>
              <w:rPr>
                <w:sz w:val="24"/>
                <w:szCs w:val="24"/>
                <w:color w:val="auto"/>
              </w:rPr>
            </w:pPr>
          </w:p>
        </w:tc>
        <w:tc>
          <w:tcPr>
            <w:tcW w:w="4800" w:type="dxa"/>
            <w:vAlign w:val="bottom"/>
            <w:gridSpan w:val="6"/>
          </w:tcPr>
          <w:p>
            <w:pPr>
              <w:jc w:val="center"/>
              <w:ind w:right="2360"/>
              <w:spacing w:after="0"/>
              <w:rPr>
                <w:sz w:val="20"/>
                <w:szCs w:val="20"/>
                <w:color w:val="auto"/>
              </w:rPr>
            </w:pPr>
            <w:r>
              <w:rPr>
                <w:rFonts w:ascii="Arial" w:cs="Arial" w:eastAsia="Arial" w:hAnsi="Arial"/>
                <w:sz w:val="18"/>
                <w:szCs w:val="18"/>
                <w:b w:val="1"/>
                <w:bCs w:val="1"/>
                <w:color w:val="auto"/>
                <w:w w:val="89"/>
              </w:rPr>
              <w:t>For the Years Ended 31</w:t>
            </w:r>
          </w:p>
        </w:tc>
      </w:tr>
      <w:tr>
        <w:trPr>
          <w:trHeight w:val="241"/>
        </w:trPr>
        <w:tc>
          <w:tcPr>
            <w:tcW w:w="644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6"/>
              </w:rPr>
              <w:t>December,</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1,248</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16,766</w:t>
            </w:r>
          </w:p>
        </w:tc>
        <w:tc>
          <w:tcPr>
            <w:tcW w:w="226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589"/>
        </w:trPr>
        <w:tc>
          <w:tcPr>
            <w:tcW w:w="6440" w:type="dxa"/>
            <w:vAlign w:val="bottom"/>
          </w:tcPr>
          <w:p>
            <w:pPr>
              <w:spacing w:after="0"/>
              <w:rPr>
                <w:sz w:val="20"/>
                <w:szCs w:val="20"/>
                <w:color w:val="auto"/>
              </w:rPr>
            </w:pPr>
            <w:r>
              <w:rPr>
                <w:rFonts w:ascii="Arial" w:cs="Arial" w:eastAsia="Arial" w:hAnsi="Arial"/>
                <w:sz w:val="14"/>
                <w:szCs w:val="14"/>
                <w:color w:val="auto"/>
              </w:rPr>
              <w:t>Statutory Financial Statements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3"/>
          </w:tcPr>
          <w:p>
            <w:pPr>
              <w:jc w:val="right"/>
              <w:spacing w:after="0"/>
              <w:rPr>
                <w:sz w:val="20"/>
                <w:szCs w:val="20"/>
                <w:color w:val="auto"/>
              </w:rPr>
            </w:pPr>
            <w:r>
              <w:rPr>
                <w:rFonts w:ascii="Arial" w:cs="Arial" w:eastAsia="Arial" w:hAnsi="Arial"/>
                <w:sz w:val="14"/>
                <w:szCs w:val="14"/>
                <w:color w:val="auto"/>
              </w:rPr>
              <w:t>10</w:t>
            </w:r>
          </w:p>
        </w:tc>
      </w:tr>
      <w:tr>
        <w:trPr>
          <w:trHeight w:val="46"/>
        </w:trPr>
        <w:tc>
          <w:tcPr>
            <w:tcW w:w="6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15. Operating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00" w:type="dxa"/>
            <w:vAlign w:val="bottom"/>
          </w:tcPr>
          <w:p>
            <w:pPr>
              <w:spacing w:after="0"/>
              <w:rPr>
                <w:sz w:val="20"/>
                <w:szCs w:val="20"/>
                <w:color w:val="auto"/>
              </w:rPr>
            </w:pPr>
          </w:p>
        </w:tc>
        <w:tc>
          <w:tcPr>
            <w:tcW w:w="5340" w:type="dxa"/>
            <w:vAlign w:val="bottom"/>
            <w:gridSpan w:val="7"/>
          </w:tcPr>
          <w:p>
            <w:pPr>
              <w:jc w:val="right"/>
              <w:ind w:right="2520"/>
              <w:spacing w:after="0"/>
              <w:rPr>
                <w:sz w:val="20"/>
                <w:szCs w:val="20"/>
                <w:color w:val="auto"/>
              </w:rPr>
            </w:pPr>
            <w:r>
              <w:rPr>
                <w:rFonts w:ascii="Arial" w:cs="Arial" w:eastAsia="Arial" w:hAnsi="Arial"/>
                <w:sz w:val="18"/>
                <w:szCs w:val="18"/>
                <w:b w:val="1"/>
                <w:bCs w:val="1"/>
                <w:color w:val="auto"/>
                <w:w w:val="94"/>
              </w:rPr>
              <w:t>For the Years Ended 31 December,</w:t>
            </w: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Salaries and related costs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related to research and development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16,021</w:t>
            </w: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13,912</w:t>
            </w:r>
          </w:p>
        </w:tc>
        <w:tc>
          <w:tcPr>
            <w:tcW w:w="2260" w:type="dxa"/>
            <w:vAlign w:val="bottom"/>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 related to general administrative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8,769</w:t>
            </w:r>
          </w:p>
        </w:tc>
        <w:tc>
          <w:tcPr>
            <w:tcW w:w="2260" w:type="dxa"/>
            <w:vAlign w:val="bottom"/>
          </w:tcPr>
          <w:p>
            <w:pPr>
              <w:spacing w:after="0"/>
              <w:rPr>
                <w:sz w:val="19"/>
                <w:szCs w:val="19"/>
                <w:color w:val="auto"/>
              </w:rPr>
            </w:pP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salaries and related cost</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24,086</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22,681</w:t>
            </w: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 related to research and development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40,076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42,724</w:t>
            </w:r>
          </w:p>
        </w:tc>
        <w:tc>
          <w:tcPr>
            <w:tcW w:w="2260" w:type="dxa"/>
            <w:vAlign w:val="bottom"/>
          </w:tcPr>
          <w:p>
            <w:pPr>
              <w:spacing w:after="0"/>
              <w:rPr>
                <w:sz w:val="19"/>
                <w:szCs w:val="19"/>
                <w:color w:val="auto"/>
              </w:rPr>
            </w:pP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40,076</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42,724</w:t>
            </w: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 related to general and administrative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7,109</w:t>
            </w: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related to offering costs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 related to intercompany transactions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9"/>
                <w:szCs w:val="19"/>
                <w:color w:val="auto"/>
              </w:rPr>
            </w:pP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10,048</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7,109</w:t>
            </w: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fixed assets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2260" w:type="dxa"/>
            <w:vAlign w:val="bottom"/>
          </w:tcPr>
          <w:p>
            <w:pPr>
              <w:spacing w:after="0"/>
              <w:rPr>
                <w:sz w:val="18"/>
                <w:szCs w:val="18"/>
                <w:color w:val="auto"/>
              </w:rPr>
            </w:pPr>
          </w:p>
        </w:tc>
      </w:tr>
      <w:tr>
        <w:trPr>
          <w:trHeight w:val="223"/>
        </w:trPr>
        <w:tc>
          <w:tcPr>
            <w:tcW w:w="5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2260" w:type="dxa"/>
            <w:vAlign w:val="bottom"/>
          </w:tcPr>
          <w:p>
            <w:pPr>
              <w:spacing w:after="0"/>
              <w:rPr>
                <w:sz w:val="19"/>
                <w:szCs w:val="19"/>
                <w:color w:val="auto"/>
              </w:rPr>
            </w:pPr>
          </w:p>
        </w:tc>
      </w:tr>
      <w:tr>
        <w:trPr>
          <w:trHeight w:val="257"/>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76,111</w:t>
            </w: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74,037</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453"/>
        </w:trPr>
        <w:tc>
          <w:tcPr>
            <w:tcW w:w="5900" w:type="dxa"/>
            <w:vAlign w:val="bottom"/>
          </w:tcPr>
          <w:p>
            <w:pPr>
              <w:spacing w:after="0"/>
              <w:rPr>
                <w:sz w:val="20"/>
                <w:szCs w:val="20"/>
                <w:color w:val="auto"/>
              </w:rPr>
            </w:pPr>
            <w:r>
              <w:rPr>
                <w:rFonts w:ascii="Arial" w:cs="Arial" w:eastAsia="Arial" w:hAnsi="Arial"/>
                <w:sz w:val="18"/>
                <w:szCs w:val="18"/>
                <w:color w:val="auto"/>
              </w:rPr>
              <w:t>16. Financial income and expenses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1"/>
        </w:trPr>
        <w:tc>
          <w:tcPr>
            <w:tcW w:w="5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0" w:type="dxa"/>
            <w:vAlign w:val="bottom"/>
            <w:gridSpan w:val="6"/>
          </w:tcPr>
          <w:p>
            <w:pPr>
              <w:jc w:val="center"/>
              <w:ind w:right="2360"/>
              <w:spacing w:after="0"/>
              <w:rPr>
                <w:sz w:val="20"/>
                <w:szCs w:val="20"/>
                <w:color w:val="auto"/>
              </w:rPr>
            </w:pPr>
            <w:r>
              <w:rPr>
                <w:rFonts w:ascii="Arial" w:cs="Arial" w:eastAsia="Arial" w:hAnsi="Arial"/>
                <w:sz w:val="18"/>
                <w:szCs w:val="18"/>
                <w:b w:val="1"/>
                <w:bCs w:val="1"/>
                <w:color w:val="auto"/>
                <w:w w:val="89"/>
              </w:rPr>
              <w:t>For the Years Ended 31</w:t>
            </w:r>
          </w:p>
        </w:tc>
      </w:tr>
      <w:tr>
        <w:trPr>
          <w:trHeight w:val="241"/>
        </w:trPr>
        <w:tc>
          <w:tcPr>
            <w:tcW w:w="5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0" w:type="dxa"/>
            <w:vAlign w:val="bottom"/>
            <w:gridSpan w:val="6"/>
          </w:tcPr>
          <w:p>
            <w:pPr>
              <w:jc w:val="center"/>
              <w:ind w:right="2360"/>
              <w:spacing w:after="0"/>
              <w:rPr>
                <w:sz w:val="20"/>
                <w:szCs w:val="20"/>
                <w:color w:val="auto"/>
              </w:rPr>
            </w:pPr>
            <w:r>
              <w:rPr>
                <w:rFonts w:ascii="Arial" w:cs="Arial" w:eastAsia="Arial" w:hAnsi="Arial"/>
                <w:sz w:val="18"/>
                <w:szCs w:val="18"/>
                <w:b w:val="1"/>
                <w:bCs w:val="1"/>
                <w:color w:val="auto"/>
                <w:w w:val="86"/>
              </w:rPr>
              <w:t>December,</w:t>
            </w: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5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Financial income</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interest income</w:t>
            </w:r>
          </w:p>
        </w:tc>
        <w:tc>
          <w:tcPr>
            <w:tcW w:w="1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26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 foreign exchange gain</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other financial income</w:t>
            </w:r>
          </w:p>
        </w:tc>
        <w:tc>
          <w:tcPr>
            <w:tcW w:w="1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 gain on asset disposal</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2260" w:type="dxa"/>
            <w:vAlign w:val="bottom"/>
          </w:tcPr>
          <w:p>
            <w:pPr>
              <w:spacing w:after="0"/>
              <w:rPr>
                <w:sz w:val="19"/>
                <w:szCs w:val="19"/>
                <w:color w:val="auto"/>
              </w:rPr>
            </w:pPr>
          </w:p>
        </w:tc>
      </w:tr>
      <w:tr>
        <w:trPr>
          <w:trHeight w:val="257"/>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5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210"/>
        </w:trPr>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 foreign exchange (losses)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bank fees</w:t>
            </w:r>
          </w:p>
        </w:tc>
        <w:tc>
          <w:tcPr>
            <w:tcW w:w="1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26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 interest expense</w:t>
            </w:r>
          </w:p>
        </w:tc>
        <w:tc>
          <w:tcPr>
            <w:tcW w:w="1820" w:type="dxa"/>
            <w:vAlign w:val="bottom"/>
            <w:gridSpan w:val="4"/>
          </w:tcPr>
          <w:p>
            <w:pPr>
              <w:jc w:val="right"/>
              <w:ind w:right="120"/>
              <w:spacing w:after="0"/>
              <w:rPr>
                <w:sz w:val="20"/>
                <w:szCs w:val="20"/>
                <w:color w:val="auto"/>
              </w:rPr>
            </w:pPr>
            <w:r>
              <w:rPr>
                <w:rFonts w:ascii="Arial" w:cs="Arial" w:eastAsia="Arial" w:hAnsi="Arial"/>
                <w:sz w:val="18"/>
                <w:szCs w:val="18"/>
                <w:color w:val="auto"/>
              </w:rPr>
              <w:t>(510)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22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loss on asset disposal</w:t>
            </w:r>
          </w:p>
        </w:tc>
        <w:tc>
          <w:tcPr>
            <w:tcW w:w="5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2260" w:type="dxa"/>
            <w:vAlign w:val="bottom"/>
          </w:tcPr>
          <w:p>
            <w:pPr>
              <w:spacing w:after="0"/>
              <w:rPr>
                <w:sz w:val="18"/>
                <w:szCs w:val="18"/>
                <w:color w:val="auto"/>
              </w:rPr>
            </w:pPr>
          </w:p>
        </w:tc>
      </w:tr>
      <w:tr>
        <w:trPr>
          <w:trHeight w:val="27"/>
        </w:trPr>
        <w:tc>
          <w:tcPr>
            <w:tcW w:w="5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financial expenses</w:t>
            </w:r>
          </w:p>
        </w:tc>
        <w:tc>
          <w:tcPr>
            <w:tcW w:w="54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(530)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(655)</w:t>
            </w:r>
          </w:p>
        </w:tc>
        <w:tc>
          <w:tcPr>
            <w:tcW w:w="2260" w:type="dxa"/>
            <w:vAlign w:val="bottom"/>
          </w:tcPr>
          <w:p>
            <w:pPr>
              <w:spacing w:after="0"/>
              <w:rPr>
                <w:sz w:val="18"/>
                <w:szCs w:val="18"/>
                <w:color w:val="auto"/>
              </w:rPr>
            </w:pPr>
          </w:p>
        </w:tc>
      </w:tr>
      <w:tr>
        <w:trPr>
          <w:trHeight w:val="223"/>
        </w:trPr>
        <w:tc>
          <w:tcPr>
            <w:tcW w:w="5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financial result</w:t>
            </w:r>
          </w:p>
        </w:tc>
        <w:tc>
          <w:tcPr>
            <w:tcW w:w="54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(341)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(553)</w:t>
            </w:r>
          </w:p>
        </w:tc>
        <w:tc>
          <w:tcPr>
            <w:tcW w:w="22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589"/>
        </w:trPr>
        <w:tc>
          <w:tcPr>
            <w:tcW w:w="5900" w:type="dxa"/>
            <w:vAlign w:val="bottom"/>
          </w:tcPr>
          <w:p>
            <w:pPr>
              <w:spacing w:after="0"/>
              <w:rPr>
                <w:sz w:val="20"/>
                <w:szCs w:val="20"/>
                <w:color w:val="auto"/>
              </w:rPr>
            </w:pPr>
            <w:r>
              <w:rPr>
                <w:rFonts w:ascii="Arial" w:cs="Arial" w:eastAsia="Arial" w:hAnsi="Arial"/>
                <w:sz w:val="14"/>
                <w:szCs w:val="14"/>
                <w:color w:val="auto"/>
              </w:rPr>
              <w:t>Statutory Financial Statements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3"/>
          </w:tcPr>
          <w:p>
            <w:pPr>
              <w:jc w:val="right"/>
              <w:spacing w:after="0"/>
              <w:rPr>
                <w:sz w:val="20"/>
                <w:szCs w:val="20"/>
                <w:color w:val="auto"/>
              </w:rPr>
            </w:pPr>
            <w:r>
              <w:rPr>
                <w:rFonts w:ascii="Arial" w:cs="Arial" w:eastAsia="Arial" w:hAnsi="Arial"/>
                <w:sz w:val="14"/>
                <w:szCs w:val="14"/>
                <w:color w:val="auto"/>
              </w:rPr>
              <w:t>11</w:t>
            </w:r>
          </w:p>
        </w:tc>
      </w:tr>
      <w:tr>
        <w:trPr>
          <w:trHeight w:val="46"/>
        </w:trPr>
        <w:tc>
          <w:tcPr>
            <w:tcW w:w="5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17. Shareholders rights and equity awards</w:t>
      </w:r>
    </w:p>
    <w:p>
      <w:pPr>
        <w:spacing w:after="0" w:line="245"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The following table presents information on the allocation of shares and equity awards to executive officers, directors and employees in accordance with Article 959c, paragraph 2, number 11 Swiss Code of Obligations (CO) as at 31 December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80" w:type="dxa"/>
            <w:vAlign w:val="bottom"/>
          </w:tcPr>
          <w:p>
            <w:pPr>
              <w:spacing w:after="0"/>
              <w:rPr>
                <w:sz w:val="21"/>
                <w:szCs w:val="21"/>
                <w:color w:val="auto"/>
              </w:rPr>
            </w:pPr>
          </w:p>
        </w:tc>
        <w:tc>
          <w:tcPr>
            <w:tcW w:w="1640" w:type="dxa"/>
            <w:vAlign w:val="bottom"/>
            <w:tcBorders>
              <w:top w:val="single" w:sz="8" w:color="auto"/>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tcBorders>
              <w:top w:val="single" w:sz="8" w:color="auto"/>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Equity Awards</w:t>
            </w: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Number</w:t>
            </w: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CHF</w:t>
            </w:r>
          </w:p>
        </w:tc>
        <w:tc>
          <w:tcPr>
            <w:tcW w:w="22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Number</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CHF</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Issued to executive officers and directors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2,682,919</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2,284,417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Issued to employees</w:t>
            </w:r>
          </w:p>
        </w:tc>
        <w:tc>
          <w:tcPr>
            <w:tcW w:w="1120" w:type="dxa"/>
            <w:vAlign w:val="bottom"/>
          </w:tcPr>
          <w:p>
            <w:pPr>
              <w:jc w:val="right"/>
              <w:spacing w:after="0"/>
              <w:rPr>
                <w:sz w:val="20"/>
                <w:szCs w:val="20"/>
                <w:color w:val="auto"/>
              </w:rPr>
            </w:pPr>
            <w:r>
              <w:rPr>
                <w:rFonts w:ascii="Arial" w:cs="Arial" w:eastAsia="Arial" w:hAnsi="Arial"/>
                <w:sz w:val="18"/>
                <w:szCs w:val="18"/>
                <w:color w:val="auto"/>
              </w:rPr>
              <w:t>413,366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1,889</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1,267,650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5,686</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3,096,285</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87"/>
              </w:rPr>
              <w:t>3,552,067</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Share values are based on the Company’s share price of USD 4.95 (CHF 4.57) on 31 December 2021. Equity awards are comprised of options and non-vested stock (restricted shares and restricted share units) awards. The fair value of our options is determined using the Black-Scholes-Merton Model and our non-vested stock awards are valued using a reasonable estimate of market value of the common stock on the date of the award. Total shares are derived from our transfer agent’s records as at 31 December 2021.</w:t>
      </w:r>
    </w:p>
    <w:p>
      <w:pPr>
        <w:spacing w:after="0" w:line="214"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The table below presents beneficial ownership of executive officers and directors, including affiliated entities, if applicable, in accordance with Article 663c CO as at 31 December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8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2"/>
        </w:trPr>
        <w:tc>
          <w:tcPr>
            <w:tcW w:w="8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Number of Equity</w:t>
            </w:r>
          </w:p>
        </w:tc>
      </w:tr>
      <w:tr>
        <w:trPr>
          <w:trHeight w:val="216"/>
        </w:trPr>
        <w:tc>
          <w:tcPr>
            <w:tcW w:w="83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Number of Shares</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w:t>
            </w: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Beneficial ownership of executive officers and directors</w:t>
            </w: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2,303,420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777,325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Marie Kosco-Vilbois, Ph.D., Chief Scientific Officer</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64,365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191,091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Johannes Rolf Streffer, M.D., Chief Medical Officer</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94,877</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Piergiorgio Donati, Chief Technical Operations Officer</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111,547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Joerg Hornstein, Chief Financial Officer</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650,623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Jean-Fabien Monin, Chief Administrative Officer</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292,411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101,634</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Douglas Williams, Ph.D., Chairman and Director</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71,621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Thomas Graney, Director</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4,023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59,157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Werner Lanthaler, Ph.D., Director</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59,235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Roy Twyman, M.D., Director</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65,511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Carl June, M.D., Director</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Alan Colowick, M.D., Director</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28,860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Monika Bütler, Ph.D., Director</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14,310</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Monica Shaw, M.D., Director</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14,310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18. Post balance sheet events</w:t>
      </w:r>
    </w:p>
    <w:p>
      <w:pPr>
        <w:spacing w:after="0" w:line="24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Management has evaluated subsequent events after the balance sheet date, through the issuance of these financial statements, for appropriate accounting and disclosures. The Company has determined that there were no other such events that warrant disclosure or recognition in these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40" w:type="dxa"/>
            <w:vAlign w:val="bottom"/>
          </w:tcPr>
          <w:p>
            <w:pPr>
              <w:spacing w:after="0"/>
              <w:rPr>
                <w:sz w:val="20"/>
                <w:szCs w:val="20"/>
                <w:color w:val="auto"/>
              </w:rPr>
            </w:pPr>
            <w:r>
              <w:rPr>
                <w:rFonts w:ascii="Arial" w:cs="Arial" w:eastAsia="Arial" w:hAnsi="Arial"/>
                <w:sz w:val="14"/>
                <w:szCs w:val="14"/>
                <w:color w:val="auto"/>
              </w:rPr>
              <w:t>Statutory Financial Statements</w:t>
            </w:r>
          </w:p>
        </w:tc>
        <w:tc>
          <w:tcPr>
            <w:tcW w:w="48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00"/>
        </w:trPr>
        <w:tc>
          <w:tcPr>
            <w:tcW w:w="644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91335" cy="4972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913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line="250" w:lineRule="auto"/>
        <w:rPr>
          <w:sz w:val="20"/>
          <w:szCs w:val="20"/>
          <w:color w:val="auto"/>
        </w:rPr>
      </w:pPr>
      <w:r>
        <w:rPr>
          <w:rFonts w:ascii="Arial" w:cs="Arial" w:eastAsia="Arial" w:hAnsi="Arial"/>
          <w:sz w:val="22"/>
          <w:szCs w:val="22"/>
          <w:color w:val="auto"/>
        </w:rPr>
        <w:t>Compensation Report in Accordance with the Ordinance against Excessive Compensation in Stock Exchange Listed Companies (Ordinance)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Contents</w:t>
      </w:r>
    </w:p>
    <w:p>
      <w:pPr>
        <w:spacing w:after="0" w:line="1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Report of the Statutory Auditor</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Compensation of the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Compensation of the Members of the Executive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Equity Incentive Plans of the Board of Directors and the Members of the Executive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Annex</w:t>
      </w:r>
    </w:p>
    <w:p>
      <w:pPr>
        <w:spacing w:after="0" w:line="1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Compensation Philosophy, Principles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auto"/>
        </w:rPr>
        <w:t>AC Immune SA</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Ecublens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Report of the statutory auditor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General Meeting</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on the compensation report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168910</wp:posOffset>
            </wp:positionV>
            <wp:extent cx="1088390" cy="7886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88390" cy="78867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auto"/>
        </w:rPr>
        <w:t>Report of the statutory auditor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to the General Meeting of AC Immune SA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Ecublens</w:t>
      </w:r>
    </w:p>
    <w:p>
      <w:pPr>
        <w:spacing w:after="0" w:line="233"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We have audited the compensation report of AC Immune SA for the year ended 31 December 2021. The audit was limited to the information according to articles 14–16 of the Ordinance against Excessive Compensation in Stock Exchange Listed Companies (Ordinance) contained in the tables 1.c., 2.c. and 3 and the information in sections 1.b. and 3 of the compensation report.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responsibility</w:t>
      </w:r>
    </w:p>
    <w:p>
      <w:pPr>
        <w:spacing w:after="0" w:line="239"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The Board of Directors is responsible for the preparation and overall fair presentation of the compensation report in accordance with Swiss law and the Ordinance against Excessive Compensation in Stock Exchange Listed Companies (Ordinance). The Board of Directors is also responsible for designing the remuneration system and defining individual remuneration packages.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Auditor’s responsibility</w:t>
      </w:r>
    </w:p>
    <w:p>
      <w:pPr>
        <w:spacing w:after="0" w:line="239"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Our responsibility is to express an opinion on the compensation report. We conducted our audit in accordance with Swiss Auditing Standards. Those standards require that we comply with ethical requirements and plan and perform the audit to obtain reasonable assurance about whether the compensation report complies with Swiss law and articles 14–16 of the Ordinance.</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An audit involves performing procedures to obtain audit evidence on the disclosures made in the compensation report with regard to compensation, loans and credits in accordance with articles 14–16 of the Ordinance. The procedures selected depend on the auditor’s judgment, including the assessment of the risks of material misstatements in the compensation report, whether due to fraud or error. This audit also includes evaluating the reasonableness of the methods applied to value components of remuneration, as well as assessing the overall presentation of the compensation report.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We believe that the audit evidence we have obtained is sufficient and appropriate to provide a basis for our opinion.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w:t>
      </w:r>
    </w:p>
    <w:p>
      <w:pPr>
        <w:spacing w:after="0" w:line="239"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In our opinion, the compensation report of AC Immune SA for the year ended 31 December 2021 complies with Swiss law and articles 14–16 of the Ordinance.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SA</w:t>
      </w:r>
    </w:p>
    <w:p>
      <w:pPr>
        <w:sectPr>
          <w:pgSz w:w="11900" w:h="16838" w:orient="portrait"/>
          <w:cols w:equalWidth="0" w:num="1">
            <w:col w:w="11220"/>
          </w:cols>
          <w:pgMar w:left="320" w:top="111" w:right="35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Michael Foley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Auditor in charge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Justin Coppey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393" w:lineRule="exact"/>
        <w:rPr>
          <w:sz w:val="20"/>
          <w:szCs w:val="20"/>
          <w:color w:val="auto"/>
        </w:rPr>
      </w:pPr>
    </w:p>
    <w:p>
      <w:pPr>
        <w:sectPr>
          <w:pgSz w:w="11900" w:h="16838" w:orient="portrait"/>
          <w:cols w:equalWidth="0" w:num="2">
            <w:col w:w="3780" w:space="720"/>
            <w:col w:w="6720"/>
          </w:cols>
          <w:pgMar w:left="320" w:top="111" w:right="3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Lausanne, 22 March 2022</w:t>
      </w:r>
    </w:p>
    <w:p>
      <w:pPr>
        <w:sectPr>
          <w:pgSz w:w="11900" w:h="16838" w:orient="portrait"/>
          <w:cols w:equalWidth="0" w:num="1">
            <w:col w:w="11220"/>
          </w:cols>
          <w:pgMar w:left="320" w:top="111" w:right="359" w:bottom="1440" w:gutter="0" w:footer="0" w:header="0"/>
          <w:type w:val="continuous"/>
        </w:sectPr>
      </w:pPr>
    </w:p>
    <w:p>
      <w:pPr>
        <w:spacing w:after="0" w:line="268" w:lineRule="exact"/>
        <w:rPr>
          <w:sz w:val="20"/>
          <w:szCs w:val="20"/>
          <w:color w:val="auto"/>
        </w:rPr>
      </w:pPr>
    </w:p>
    <w:p>
      <w:pPr>
        <w:ind w:right="2500"/>
        <w:spacing w:after="0" w:line="274" w:lineRule="auto"/>
        <w:rPr>
          <w:sz w:val="20"/>
          <w:szCs w:val="20"/>
          <w:color w:val="auto"/>
        </w:rPr>
      </w:pPr>
      <w:r>
        <w:rPr>
          <w:rFonts w:ascii="Arial" w:cs="Arial" w:eastAsia="Arial" w:hAnsi="Arial"/>
          <w:sz w:val="21"/>
          <w:szCs w:val="21"/>
          <w:i w:val="1"/>
          <w:iCs w:val="1"/>
          <w:color w:val="auto"/>
        </w:rPr>
        <w:t>PricewaterhouseCoopers SA, avenue C.-F. Ramuz 45, case postale, CH-1001 Lausanne, Switzerland Téléphone: +41 58 792 81 00, Téléfax: +41 58 792 81 10, www.pwc.ch</w:t>
      </w:r>
    </w:p>
    <w:p>
      <w:pPr>
        <w:spacing w:after="0" w:line="178"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PricewaterhouseCoopers SA is a member of the global PricewaterhouseCoopers network of firms,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79" w:name="page80"/>
    <w:bookmarkEnd w:id="79"/>
    <w:p>
      <w:pPr>
        <w:ind w:right="5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This compensation report of AC Immune SA (the “Company”) has been prepared in accordance with the Federal Ordinance Against Excessive Compensation in Stock Exchange Listed Companies (“Ordinance”), effective January 1, 2014.</w:t>
      </w:r>
    </w:p>
    <w:p>
      <w:pPr>
        <w:spacing w:after="0" w:line="135"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of the Board of Directors</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Board Composition in 2021 and 2020</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940" w:type="dxa"/>
            <w:vAlign w:val="bottom"/>
            <w:tcBorders>
              <w:top w:val="single" w:sz="8" w:color="auto"/>
              <w:left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Name</w:t>
            </w:r>
          </w:p>
        </w:tc>
        <w:tc>
          <w:tcPr>
            <w:tcW w:w="15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Appointment</w:t>
            </w:r>
          </w:p>
        </w:tc>
        <w:tc>
          <w:tcPr>
            <w:tcW w:w="226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Board</w:t>
            </w:r>
          </w:p>
        </w:tc>
        <w:tc>
          <w:tcPr>
            <w:tcW w:w="170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Audit</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394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Committee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and</w:t>
            </w:r>
          </w:p>
        </w:tc>
      </w:tr>
      <w:tr>
        <w:trPr>
          <w:trHeight w:val="216"/>
        </w:trPr>
        <w:tc>
          <w:tcPr>
            <w:tcW w:w="394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Nomination</w:t>
            </w:r>
          </w:p>
        </w:tc>
      </w:tr>
      <w:tr>
        <w:trPr>
          <w:trHeight w:val="241"/>
        </w:trPr>
        <w:tc>
          <w:tcPr>
            <w:tcW w:w="3940" w:type="dxa"/>
            <w:vAlign w:val="bottom"/>
            <w:tcBorders>
              <w:left w:val="single" w:sz="8" w:color="auto"/>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Committee</w:t>
            </w:r>
          </w:p>
        </w:tc>
      </w:tr>
      <w:tr>
        <w:trPr>
          <w:trHeight w:val="223"/>
        </w:trPr>
        <w:tc>
          <w:tcPr>
            <w:tcW w:w="3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Douglas Williams, Ph.D.</w:t>
            </w:r>
          </w:p>
        </w:tc>
        <w:tc>
          <w:tcPr>
            <w:tcW w:w="1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(1)</w:t>
            </w:r>
          </w:p>
        </w:tc>
        <w:tc>
          <w:tcPr>
            <w:tcW w:w="17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223"/>
        </w:trPr>
        <w:tc>
          <w:tcPr>
            <w:tcW w:w="3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Martin Velasco</w:t>
            </w:r>
          </w:p>
        </w:tc>
        <w:tc>
          <w:tcPr>
            <w:tcW w:w="1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2003</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Vice-Chairman (1)(3) (8) (10)</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Member (8)</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Member (8)</w:t>
            </w:r>
          </w:p>
        </w:tc>
      </w:tr>
      <w:tr>
        <w:trPr>
          <w:trHeight w:val="223"/>
        </w:trPr>
        <w:tc>
          <w:tcPr>
            <w:tcW w:w="3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Peter Bollmann, Ph.D.</w:t>
            </w:r>
          </w:p>
        </w:tc>
        <w:tc>
          <w:tcPr>
            <w:tcW w:w="1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(8)</w:t>
            </w:r>
          </w:p>
        </w:tc>
        <w:tc>
          <w:tcPr>
            <w:tcW w:w="17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(8) (9)</w:t>
            </w: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3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Graney</w:t>
            </w:r>
          </w:p>
        </w:tc>
        <w:tc>
          <w:tcPr>
            <w:tcW w:w="1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2016</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Member</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Member</w:t>
            </w:r>
          </w:p>
        </w:tc>
      </w:tr>
      <w:tr>
        <w:trPr>
          <w:trHeight w:val="223"/>
        </w:trPr>
        <w:tc>
          <w:tcPr>
            <w:tcW w:w="3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Andrea Pfeifer, Ph.D.</w:t>
            </w:r>
          </w:p>
        </w:tc>
        <w:tc>
          <w:tcPr>
            <w:tcW w:w="1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 CEO</w:t>
            </w:r>
          </w:p>
        </w:tc>
        <w:tc>
          <w:tcPr>
            <w:tcW w:w="17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3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Werner Lanthaler, Ph.D.</w:t>
            </w:r>
          </w:p>
        </w:tc>
        <w:tc>
          <w:tcPr>
            <w:tcW w:w="1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2018</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Member</w:t>
            </w:r>
          </w:p>
        </w:tc>
        <w:tc>
          <w:tcPr>
            <w:tcW w:w="1800" w:type="dxa"/>
            <w:vAlign w:val="bottom"/>
            <w:tcBorders>
              <w:bottom w:val="single" w:sz="8" w:color="auto"/>
              <w:right w:val="single" w:sz="8" w:color="auto"/>
            </w:tcBorders>
          </w:tcPr>
          <w:p>
            <w:pPr>
              <w:spacing w:after="0"/>
              <w:rPr>
                <w:sz w:val="19"/>
                <w:szCs w:val="19"/>
                <w:color w:val="auto"/>
              </w:rPr>
            </w:pPr>
          </w:p>
        </w:tc>
      </w:tr>
      <w:tr>
        <w:trPr>
          <w:trHeight w:val="223"/>
        </w:trPr>
        <w:tc>
          <w:tcPr>
            <w:tcW w:w="3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Roy Twyman, M.D.</w:t>
            </w:r>
          </w:p>
        </w:tc>
        <w:tc>
          <w:tcPr>
            <w:tcW w:w="1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(2)</w:t>
            </w:r>
          </w:p>
        </w:tc>
        <w:tc>
          <w:tcPr>
            <w:tcW w:w="17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Member (7)</w:t>
            </w:r>
          </w:p>
        </w:tc>
      </w:tr>
      <w:tr>
        <w:trPr>
          <w:trHeight w:val="223"/>
        </w:trPr>
        <w:tc>
          <w:tcPr>
            <w:tcW w:w="3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Carl June, M.D.</w:t>
            </w:r>
          </w:p>
        </w:tc>
        <w:tc>
          <w:tcPr>
            <w:tcW w:w="1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 (4)</w:t>
            </w:r>
          </w:p>
        </w:tc>
        <w:tc>
          <w:tcPr>
            <w:tcW w:w="17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r>
      <w:tr>
        <w:trPr>
          <w:trHeight w:val="223"/>
        </w:trPr>
        <w:tc>
          <w:tcPr>
            <w:tcW w:w="3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Alan Colowick, M.D.</w:t>
            </w:r>
          </w:p>
        </w:tc>
        <w:tc>
          <w:tcPr>
            <w:tcW w:w="1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2021 (6)</w:t>
            </w:r>
          </w:p>
        </w:tc>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(6)</w:t>
            </w:r>
          </w:p>
        </w:tc>
        <w:tc>
          <w:tcPr>
            <w:tcW w:w="17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3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Monika Bütler, Ph.D.</w:t>
            </w:r>
          </w:p>
        </w:tc>
        <w:tc>
          <w:tcPr>
            <w:tcW w:w="1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2021 (7)</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 (7)</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Chairman (7)</w:t>
            </w:r>
          </w:p>
        </w:tc>
        <w:tc>
          <w:tcPr>
            <w:tcW w:w="1800" w:type="dxa"/>
            <w:vAlign w:val="bottom"/>
            <w:tcBorders>
              <w:bottom w:val="single" w:sz="8" w:color="auto"/>
              <w:right w:val="single" w:sz="8" w:color="auto"/>
            </w:tcBorders>
          </w:tcPr>
          <w:p>
            <w:pPr>
              <w:spacing w:after="0"/>
              <w:rPr>
                <w:sz w:val="19"/>
                <w:szCs w:val="19"/>
                <w:color w:val="auto"/>
              </w:rPr>
            </w:pPr>
          </w:p>
        </w:tc>
      </w:tr>
      <w:tr>
        <w:trPr>
          <w:trHeight w:val="223"/>
        </w:trPr>
        <w:tc>
          <w:tcPr>
            <w:tcW w:w="3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Monica Shaw, M.D.</w:t>
            </w:r>
          </w:p>
        </w:tc>
        <w:tc>
          <w:tcPr>
            <w:tcW w:w="1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2021 (7)</w:t>
            </w:r>
          </w:p>
        </w:tc>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(7)</w:t>
            </w:r>
          </w:p>
        </w:tc>
        <w:tc>
          <w:tcPr>
            <w:tcW w:w="17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3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Friedrich von Bohlen und Halbach, Ph.D.</w:t>
            </w:r>
          </w:p>
        </w:tc>
        <w:tc>
          <w:tcPr>
            <w:tcW w:w="1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2015</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 (5)</w:t>
            </w:r>
          </w:p>
        </w:tc>
        <w:tc>
          <w:tcPr>
            <w:tcW w:w="17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r>
    </w:tbl>
    <w:p>
      <w:pPr>
        <w:spacing w:after="0" w:line="22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Appointed June 28, 2019</w:t>
      </w:r>
    </w:p>
    <w:p>
      <w:pPr>
        <w:spacing w:after="0" w:line="8"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Appointed June 28, 2019</w:t>
      </w:r>
    </w:p>
    <w:p>
      <w:pPr>
        <w:ind w:left="320" w:hanging="312"/>
        <w:spacing w:after="0" w:line="230" w:lineRule="auto"/>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Chairman from 2003 through June 28, 2019</w:t>
      </w:r>
    </w:p>
    <w:p>
      <w:pPr>
        <w:ind w:left="320" w:hanging="312"/>
        <w:spacing w:after="0" w:line="230" w:lineRule="auto"/>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Appointed November 20, 2020</w:t>
      </w:r>
    </w:p>
    <w:p>
      <w:pPr>
        <w:ind w:left="320" w:hanging="312"/>
        <w:spacing w:after="0" w:line="230" w:lineRule="auto"/>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Term expired June 26, 2020</w:t>
      </w:r>
    </w:p>
    <w:p>
      <w:pPr>
        <w:ind w:left="320" w:hanging="312"/>
        <w:spacing w:after="0" w:line="230" w:lineRule="auto"/>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Appointed March 31, 2021</w:t>
      </w:r>
    </w:p>
    <w:p>
      <w:pPr>
        <w:ind w:left="320" w:hanging="312"/>
        <w:spacing w:after="0" w:line="230" w:lineRule="auto"/>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Appointed October 29, 2021</w:t>
      </w:r>
    </w:p>
    <w:p>
      <w:pPr>
        <w:ind w:left="320" w:hanging="312"/>
        <w:spacing w:after="0" w:line="230" w:lineRule="auto"/>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Retired October 29, 2021</w:t>
      </w:r>
    </w:p>
    <w:p>
      <w:pPr>
        <w:ind w:left="320" w:hanging="312"/>
        <w:spacing w:after="0" w:line="230" w:lineRule="auto"/>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Chairman from 2016 through October 29, 2021</w:t>
      </w:r>
    </w:p>
    <w:p>
      <w:pPr>
        <w:ind w:left="420" w:hanging="412"/>
        <w:spacing w:after="0"/>
        <w:tabs>
          <w:tab w:leader="none" w:pos="4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Appointed Honorary Chairman October 29, 2021; position of Vice-Chairman no longer exists</w:t>
      </w:r>
    </w:p>
    <w:p>
      <w:pPr>
        <w:spacing w:after="0" w:line="215"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Our Board of Directors is composed of eight directors, not including our Chief Executive Officer (“CEO”). Each director is elected for a one-year term. The current members of our Board of Directors were appointed at either the shareholders’ meeting held on June 25, 2021 or the extraordinary shareholders’ meeting held on October 29, 2021 to serve until the 2022 shareholders’ meeting planned for June 2022.</w:t>
      </w:r>
    </w:p>
    <w:p>
      <w:pPr>
        <w:spacing w:after="0" w:line="21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Pursuant to the NASDAQ Marketplace Rule 5615(a)(3), the Company follows Swiss rules in lieu of the NASDAQ exchange listing rules for rules regarding the nominations committee, independent director oversight of executive officer compensation, majority independent board representation and the establishment of, or amendments to, equity-based compensation plans for employees. Swiss law does not require that a majority of our Board of Directors consists of independent directors. Taking into account all applicable committee independence standards, Douglas Williams, Thomas Graney, Werner Lanthaler, Roy Twyman, Carl June, Alan Colowick, Monika Bütler and Monica Shaw are “independent directors”. Peter Bollmann, Martin Velasco, and Friedrich von Bohlen und Halbach were deemed “independent” during their tenures as members of our Board of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ectPr>
          <w:pgSz w:w="11900" w:h="16838" w:orient="portrait"/>
          <w:cols w:equalWidth="0" w:num="1">
            <w:col w:w="11240"/>
          </w:cols>
          <w:pgMar w:left="320" w:top="1144" w:right="339" w:bottom="1440" w:gutter="0" w:footer="0" w:header="0"/>
        </w:sectPr>
      </w:pPr>
    </w:p>
    <w:p>
      <w:pPr>
        <w:spacing w:after="0" w:line="36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type w:val="continuous"/>
        </w:sectPr>
      </w:pPr>
    </w:p>
    <w:bookmarkStart w:id="80" w:name="page81"/>
    <w:bookmarkEnd w:id="80"/>
    <w:p>
      <w:pPr>
        <w:ind w:left="980"/>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b.</w:t>
      </w:r>
      <w:r>
        <w:rPr>
          <w:sz w:val="20"/>
          <w:szCs w:val="20"/>
          <w:color w:val="auto"/>
        </w:rPr>
        <w:tab/>
      </w:r>
      <w:r>
        <w:rPr>
          <w:rFonts w:ascii="Arial" w:cs="Arial" w:eastAsia="Arial" w:hAnsi="Arial"/>
          <w:sz w:val="16"/>
          <w:szCs w:val="16"/>
          <w:b w:val="1"/>
          <w:bCs w:val="1"/>
          <w:color w:val="auto"/>
        </w:rPr>
        <w:t>Compensation Structure</w:t>
      </w:r>
    </w:p>
    <w:p>
      <w:pPr>
        <w:spacing w:after="0" w:line="249"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Board members are paid a fixed fee dependent on the function exercised. Such fees have been established in light of market practice. In addition to the fixed fee, board members are awarded equity instruments under the Company’s equity incentive plans as described within the section “Equity Incentive Plans” of this report.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Commencing in and since July 2019, annual fixed fees totaled, and were paid semi-annually, in Swiss Francs (“CHF”) as follows:</w:t>
      </w:r>
    </w:p>
    <w:p>
      <w:pPr>
        <w:spacing w:after="0" w:line="25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KCHF 87 (net of social charges) for the Chairman of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KCHF 70 (net of social charges) for the Vice-Chairman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KCHF 54 (net of social charges) for other members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KCHF 12 (net of social charges) for the Audit and Finance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KCHF 6 (net of social charges) for members of the Audit and Finance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KCHF 15 (net of social charges) for the Compensation, Nomination and Governance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KCHF 10 (net of social charges) for members of the Compensation, Nomination and Governance Committee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1" w:name="page82"/>
    <w:bookmarkEnd w:id="81"/>
    <w:p>
      <w:pPr>
        <w:ind w:left="1300" w:hanging="320"/>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2021 and 2020 Board Compensation</w:t>
      </w:r>
    </w:p>
    <w:p>
      <w:pPr>
        <w:spacing w:after="0" w:line="249"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In 2021 and 2020, the total compensation of the members of the Board of Directors consists of board fees, social charges and compensation paid in the form of equity instruments and is outlined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472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rPr>
              <w:t>Name</w:t>
            </w:r>
          </w:p>
        </w:tc>
        <w:tc>
          <w:tcPr>
            <w:tcW w:w="136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Gross Cash</w:t>
            </w:r>
          </w:p>
        </w:tc>
        <w:tc>
          <w:tcPr>
            <w:tcW w:w="134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Social</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FMV of</w:t>
            </w:r>
          </w:p>
        </w:tc>
        <w:tc>
          <w:tcPr>
            <w:tcW w:w="13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 Annual</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Compensation</w:t>
            </w:r>
          </w:p>
        </w:tc>
        <w:tc>
          <w:tcPr>
            <w:tcW w:w="13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Contribution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Compensation</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instruments</w:t>
            </w:r>
          </w:p>
        </w:tc>
        <w:tc>
          <w:tcPr>
            <w:tcW w:w="132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granted</w:t>
            </w:r>
          </w:p>
        </w:tc>
        <w:tc>
          <w:tcPr>
            <w:tcW w:w="1320" w:type="dxa"/>
            <w:vAlign w:val="bottom"/>
            <w:tcBorders>
              <w:right w:val="single" w:sz="8" w:color="auto"/>
            </w:tcBorders>
          </w:tcPr>
          <w:p>
            <w:pPr>
              <w:spacing w:after="0"/>
              <w:rPr>
                <w:sz w:val="18"/>
                <w:szCs w:val="18"/>
                <w:color w:val="auto"/>
              </w:rPr>
            </w:pPr>
          </w:p>
        </w:tc>
      </w:tr>
      <w:tr>
        <w:trPr>
          <w:trHeight w:val="241"/>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 (3)</w:t>
            </w:r>
          </w:p>
        </w:tc>
        <w:tc>
          <w:tcPr>
            <w:tcW w:w="1320" w:type="dxa"/>
            <w:vAlign w:val="bottom"/>
            <w:tcBorders>
              <w:bottom w:val="single" w:sz="8" w:color="auto"/>
              <w:right w:val="single" w:sz="8" w:color="auto"/>
            </w:tcBorders>
          </w:tcPr>
          <w:p>
            <w:pPr>
              <w:spacing w:after="0"/>
              <w:rPr>
                <w:sz w:val="20"/>
                <w:szCs w:val="20"/>
                <w:color w:val="auto"/>
              </w:rPr>
            </w:pPr>
          </w:p>
        </w:tc>
      </w:tr>
      <w:tr>
        <w:trPr>
          <w:trHeight w:val="223"/>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(in CHF thousands)</w:t>
            </w: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Douglas Williams, Ph.D.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Martin Velasco</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90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74</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170</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Peter Bollmann, Ph.D.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69</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141</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Thomas Graney</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70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136</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Andrea Pfeifer, Ph.D. (1)</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Werner Lanthaler, Ph.D.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136</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Roy Twyman, M.D.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54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120</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Carl June, M.D.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105</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111</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Alan Colowick</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472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Monika Bütler</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472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Monica Shaw</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472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Friedrich von Bohlen und Halbach, Ph.D. (4)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47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27</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472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2021</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1,278</w:t>
            </w:r>
          </w:p>
        </w:tc>
      </w:tr>
      <w:tr>
        <w:trPr>
          <w:trHeight w:val="223"/>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Total 2020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489</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28</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525</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1,042</w:t>
            </w:r>
          </w:p>
        </w:tc>
      </w:tr>
    </w:tbl>
    <w:p>
      <w:pPr>
        <w:spacing w:after="0" w:line="22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There is no compensation for board participation; compensation for Andrea Pfeifer is included in section 2c below</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Stock options were granted in 2021 and 2020 and Restricted Share Units (“RSUs”) in 2018. These awards are further described in Section 3 below. We estimate the fair value of restricted share units using a reasonable estimate of market value of the common shares on the date of the award. Stock options granted are valued using the Black-Scholes model</w:t>
      </w:r>
    </w:p>
    <w:p>
      <w:pPr>
        <w:spacing w:after="0" w:line="1" w:lineRule="exact"/>
        <w:rPr>
          <w:rFonts w:ascii="Arial" w:cs="Arial" w:eastAsia="Arial" w:hAnsi="Arial"/>
          <w:sz w:val="18"/>
          <w:szCs w:val="18"/>
          <w:color w:val="auto"/>
        </w:rPr>
      </w:pPr>
    </w:p>
    <w:p>
      <w:pPr>
        <w:ind w:left="660" w:right="800" w:hanging="328"/>
        <w:spacing w:after="0" w:line="26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Fair market value (“FMV”) excludes Swiss social security contributions since such contributions are only due if and when the equity instrument is exercised. However, say-on-pay remuneration proposals include an amount for social security contributions.</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Term expired June 26, 2020</w:t>
      </w:r>
    </w:p>
    <w:p>
      <w:pPr>
        <w:spacing w:after="0" w:line="200" w:lineRule="exact"/>
        <w:rPr>
          <w:sz w:val="20"/>
          <w:szCs w:val="20"/>
          <w:color w:val="auto"/>
        </w:rPr>
      </w:pPr>
    </w:p>
    <w:p>
      <w:pPr>
        <w:spacing w:after="0" w:line="209"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993" w:gutter="0" w:footer="0" w:header="0"/>
        </w:sectPr>
      </w:pPr>
    </w:p>
    <w:bookmarkStart w:id="82" w:name="page83"/>
    <w:bookmarkEnd w:id="82"/>
    <w:p>
      <w:pPr>
        <w:ind w:right="180"/>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d. Loans to Board Members, payments to former members of the Board of Directors and payments to Related Parties of Members of the Board of Directors</w:t>
      </w:r>
    </w:p>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For the years ended December 31, 2021 and 2020, the Company granted no loans to members or former members of the Board of Directors. Additionally, as of December 31, 2021 and 2020, no such loans or credit payments existed to present or former members of the Board of Directors, or to related parties of present or former members of the Board of Directors.</w:t>
      </w:r>
    </w:p>
    <w:p>
      <w:pPr>
        <w:spacing w:after="0" w:line="161"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For the years ended December 31, 2021 and 2020, no disclosable compensation was paid to related parties or former members of the Board of Directors.</w:t>
      </w:r>
    </w:p>
    <w:p>
      <w:pPr>
        <w:spacing w:after="0" w:line="205" w:lineRule="exact"/>
        <w:rPr>
          <w:sz w:val="20"/>
          <w:szCs w:val="20"/>
          <w:color w:val="auto"/>
        </w:rPr>
      </w:pPr>
    </w:p>
    <w:p>
      <w:pPr>
        <w:ind w:left="980" w:right="6380" w:hanging="648"/>
        <w:spacing w:after="0" w:line="347" w:lineRule="auto"/>
        <w:tabs>
          <w:tab w:leader="none" w:pos="656"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for Members of Executive Management a. Executive Management Composition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Executive Management during 2021 and 2020 was comprised of:</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260" w:type="dxa"/>
            <w:vAlign w:val="bottom"/>
            <w:tcBorders>
              <w:top w:val="single" w:sz="8" w:color="auto"/>
              <w:left w:val="single" w:sz="8" w:color="auto"/>
              <w:bottom w:val="single" w:sz="8" w:color="auto"/>
              <w:right w:val="single" w:sz="8" w:color="auto"/>
            </w:tcBorders>
          </w:tcPr>
          <w:p>
            <w:pPr>
              <w:ind w:left="1460"/>
              <w:spacing w:after="0"/>
              <w:rPr>
                <w:sz w:val="20"/>
                <w:szCs w:val="20"/>
                <w:color w:val="auto"/>
              </w:rPr>
            </w:pPr>
            <w:r>
              <w:rPr>
                <w:rFonts w:ascii="Arial" w:cs="Arial" w:eastAsia="Arial" w:hAnsi="Arial"/>
                <w:sz w:val="18"/>
                <w:szCs w:val="18"/>
                <w:b w:val="1"/>
                <w:bCs w:val="1"/>
                <w:color w:val="auto"/>
              </w:rPr>
              <w:t>Name</w:t>
            </w:r>
          </w:p>
        </w:tc>
        <w:tc>
          <w:tcPr>
            <w:tcW w:w="2740" w:type="dxa"/>
            <w:vAlign w:val="bottom"/>
            <w:tcBorders>
              <w:top w:val="single" w:sz="8" w:color="auto"/>
              <w:bottom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Function</w:t>
            </w:r>
          </w:p>
        </w:tc>
        <w:tc>
          <w:tcPr>
            <w:tcW w:w="168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Appointment</w:t>
            </w:r>
          </w:p>
        </w:tc>
      </w:tr>
      <w:tr>
        <w:trPr>
          <w:trHeight w:val="223"/>
        </w:trPr>
        <w:tc>
          <w:tcPr>
            <w:tcW w:w="3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Andrea Pfeifer, Ph.D.</w:t>
            </w:r>
          </w:p>
        </w:tc>
        <w:tc>
          <w:tcPr>
            <w:tcW w:w="2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Chief Executive Officer</w:t>
            </w:r>
          </w:p>
        </w:tc>
        <w:tc>
          <w:tcPr>
            <w:tcW w:w="3560" w:type="dxa"/>
            <w:vAlign w:val="bottom"/>
            <w:tcBorders>
              <w:bottom w:val="single" w:sz="8" w:color="auto"/>
              <w:right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3"/>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Marie Kosco-Vilbois, Ph.D.</w:t>
            </w: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Scientific Officer</w:t>
            </w:r>
          </w:p>
        </w:tc>
        <w:tc>
          <w:tcPr>
            <w:tcW w:w="35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3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Joerg Hornstein</w:t>
            </w:r>
          </w:p>
        </w:tc>
        <w:tc>
          <w:tcPr>
            <w:tcW w:w="2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c>
          <w:tcPr>
            <w:tcW w:w="3560" w:type="dxa"/>
            <w:vAlign w:val="bottom"/>
            <w:tcBorders>
              <w:bottom w:val="single" w:sz="8" w:color="auto"/>
              <w:right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23"/>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Jean-Fabien Monin</w:t>
            </w: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Administrative Officer</w:t>
            </w:r>
          </w:p>
        </w:tc>
        <w:tc>
          <w:tcPr>
            <w:tcW w:w="35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2009</w:t>
            </w:r>
          </w:p>
        </w:tc>
      </w:tr>
      <w:tr>
        <w:trPr>
          <w:trHeight w:val="223"/>
        </w:trPr>
        <w:tc>
          <w:tcPr>
            <w:tcW w:w="3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Piergiorgio Donati</w:t>
            </w:r>
          </w:p>
        </w:tc>
        <w:tc>
          <w:tcPr>
            <w:tcW w:w="2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5"/>
              </w:rPr>
              <w:t>Chief Technical Operations Officer</w:t>
            </w:r>
          </w:p>
        </w:tc>
        <w:tc>
          <w:tcPr>
            <w:tcW w:w="3560" w:type="dxa"/>
            <w:vAlign w:val="bottom"/>
            <w:tcBorders>
              <w:bottom w:val="single" w:sz="8" w:color="auto"/>
              <w:right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Johannes Streffer, M.D. (1)</w:t>
            </w: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Medical Officer</w:t>
            </w:r>
          </w:p>
        </w:tc>
        <w:tc>
          <w:tcPr>
            <w:tcW w:w="35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2021</w:t>
            </w:r>
          </w:p>
        </w:tc>
      </w:tr>
    </w:tbl>
    <w:p>
      <w:pPr>
        <w:spacing w:after="0" w:line="114" w:lineRule="exact"/>
        <w:rPr>
          <w:sz w:val="20"/>
          <w:szCs w:val="20"/>
          <w:color w:val="auto"/>
        </w:rPr>
      </w:pPr>
    </w:p>
    <w:p>
      <w:pPr>
        <w:ind w:left="1300" w:hanging="334"/>
        <w:spacing w:after="0"/>
        <w:tabs>
          <w:tab w:leader="none" w:pos="130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 Dr. Johannes Streffer was appointed Chief Medical Officer effective January 11, 2021</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Executive Compensation Principles</w:t>
      </w:r>
    </w:p>
    <w:p>
      <w:pPr>
        <w:spacing w:after="0" w:line="249"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Each member of the Executive Management receives remuneration consisting of a base salary, incentive plan, social benefits and an equity incentive plan as described more fully in the annex to this report.</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3" w:name="page84"/>
    <w:bookmarkEnd w:id="83"/>
    <w:p>
      <w:pPr>
        <w:ind w:left="1300" w:hanging="320"/>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2021 and 2020 Executive Compensation</w:t>
      </w:r>
    </w:p>
    <w:p>
      <w:pPr>
        <w:spacing w:after="0" w:line="249"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total compensation of the Executive Management and the highest individual compensation of the members of the Executive Management for the years ended December 31, 2021 and 2020, respectively, are outlined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20" w:type="dxa"/>
            <w:vAlign w:val="bottom"/>
            <w:tcBorders>
              <w:top w:val="single" w:sz="8" w:color="auto"/>
              <w:left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222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w:t>
            </w:r>
          </w:p>
        </w:tc>
        <w:tc>
          <w:tcPr>
            <w:tcW w:w="116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Cash</w:t>
            </w:r>
          </w:p>
        </w:tc>
        <w:tc>
          <w:tcPr>
            <w:tcW w:w="116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Pension</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Employer’s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Cash</w:t>
            </w:r>
          </w:p>
        </w:tc>
        <w:tc>
          <w:tcPr>
            <w:tcW w:w="110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Equity FMV</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Compensation</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Compensation</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(employer)</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Social</w:t>
            </w: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2"/>
              </w:rPr>
              <w:t>Bonus</w:t>
            </w: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Contribution</w:t>
            </w: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Social</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Contributions</w:t>
            </w:r>
          </w:p>
        </w:tc>
      </w:tr>
      <w:tr>
        <w:trPr>
          <w:trHeight w:val="241"/>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 (3)</w:t>
            </w:r>
          </w:p>
        </w:tc>
      </w:tr>
      <w:tr>
        <w:trPr>
          <w:trHeight w:val="223"/>
        </w:trPr>
        <w:tc>
          <w:tcPr>
            <w:tcW w:w="11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5"/>
              </w:rPr>
              <w:t>(in CHF thousands)</w:t>
            </w: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r>
        <w:trPr>
          <w:trHeight w:val="223"/>
        </w:trPr>
        <w:tc>
          <w:tcPr>
            <w:tcW w:w="112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w w:val="94"/>
              </w:rPr>
              <w:t>2021</w:t>
            </w:r>
          </w:p>
        </w:tc>
        <w:tc>
          <w:tcPr>
            <w:tcW w:w="22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Andrea Pfeifer, Ph.D.</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1,150</w:t>
            </w:r>
          </w:p>
        </w:tc>
      </w:tr>
      <w:tr>
        <w:trPr>
          <w:trHeight w:val="223"/>
        </w:trPr>
        <w:tc>
          <w:tcPr>
            <w:tcW w:w="112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auto"/>
                <w:w w:val="94"/>
              </w:rPr>
              <w:t>2020</w:t>
            </w:r>
          </w:p>
        </w:tc>
        <w:tc>
          <w:tcPr>
            <w:tcW w:w="22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520</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75</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88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395</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1,106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1,100</w:t>
            </w:r>
          </w:p>
        </w:tc>
      </w:tr>
      <w:tr>
        <w:trPr>
          <w:trHeight w:val="223"/>
        </w:trPr>
        <w:tc>
          <w:tcPr>
            <w:tcW w:w="112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2220" w:type="dxa"/>
            <w:vAlign w:val="bottom"/>
            <w:tcBorders>
              <w:bottom w:val="single" w:sz="8" w:color="auto"/>
              <w:right w:val="single" w:sz="8" w:color="CCEEFF"/>
            </w:tcBorders>
            <w:shd w:val="clear" w:color="auto" w:fill="CCEEFF"/>
          </w:tcPr>
          <w:p>
            <w:pPr>
              <w:spacing w:after="0"/>
              <w:rPr>
                <w:sz w:val="19"/>
                <w:szCs w:val="19"/>
                <w:color w:val="auto"/>
              </w:rPr>
            </w:pPr>
          </w:p>
        </w:tc>
        <w:tc>
          <w:tcPr>
            <w:tcW w:w="1160" w:type="dxa"/>
            <w:vAlign w:val="bottom"/>
            <w:tcBorders>
              <w:bottom w:val="single" w:sz="8" w:color="auto"/>
              <w:right w:val="single" w:sz="8" w:color="CCEEFF"/>
            </w:tcBorders>
            <w:shd w:val="clear" w:color="auto" w:fill="CCEEFF"/>
          </w:tcPr>
          <w:p>
            <w:pPr>
              <w:spacing w:after="0"/>
              <w:rPr>
                <w:sz w:val="19"/>
                <w:szCs w:val="19"/>
                <w:color w:val="auto"/>
              </w:rPr>
            </w:pPr>
          </w:p>
        </w:tc>
        <w:tc>
          <w:tcPr>
            <w:tcW w:w="11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00" w:type="dxa"/>
            <w:vAlign w:val="bottom"/>
            <w:tcBorders>
              <w:bottom w:val="single" w:sz="8" w:color="auto"/>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spacing w:after="0"/>
              <w:rPr>
                <w:sz w:val="19"/>
                <w:szCs w:val="19"/>
                <w:color w:val="auto"/>
              </w:rPr>
            </w:pPr>
          </w:p>
        </w:tc>
        <w:tc>
          <w:tcPr>
            <w:tcW w:w="110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2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w w:val="94"/>
              </w:rPr>
              <w:t>2021</w:t>
            </w:r>
          </w:p>
        </w:tc>
        <w:tc>
          <w:tcPr>
            <w:tcW w:w="22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Executive</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3,128</w:t>
            </w:r>
          </w:p>
        </w:tc>
      </w:tr>
      <w:tr>
        <w:trPr>
          <w:trHeight w:val="223"/>
        </w:trPr>
        <w:tc>
          <w:tcPr>
            <w:tcW w:w="112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auto"/>
                <w:w w:val="94"/>
              </w:rPr>
              <w:t>2020</w:t>
            </w:r>
          </w:p>
        </w:tc>
        <w:tc>
          <w:tcPr>
            <w:tcW w:w="2220" w:type="dxa"/>
            <w:vAlign w:val="bottom"/>
            <w:tcBorders>
              <w:bottom w:val="single" w:sz="8" w:color="auto"/>
              <w:right w:val="single" w:sz="8" w:color="auto"/>
            </w:tcBorders>
          </w:tcPr>
          <w:p>
            <w:pPr>
              <w:spacing w:after="0" w:line="203" w:lineRule="exact"/>
              <w:rPr>
                <w:sz w:val="20"/>
                <w:szCs w:val="20"/>
                <w:color w:val="auto"/>
              </w:rPr>
            </w:pPr>
            <w:r>
              <w:rPr>
                <w:rFonts w:ascii="Arial" w:cs="Arial" w:eastAsia="Arial" w:hAnsi="Arial"/>
                <w:sz w:val="18"/>
                <w:szCs w:val="18"/>
                <w:color w:val="auto"/>
                <w:w w:val="96"/>
              </w:rPr>
              <w:t>Management Compensation</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1,735</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76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214</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266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856</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3,147</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2,423</w:t>
            </w:r>
          </w:p>
        </w:tc>
      </w:tr>
    </w:tbl>
    <w:p>
      <w:pPr>
        <w:spacing w:after="0" w:line="229" w:lineRule="exact"/>
        <w:rPr>
          <w:sz w:val="20"/>
          <w:szCs w:val="20"/>
          <w:color w:val="auto"/>
        </w:rPr>
      </w:pPr>
    </w:p>
    <w:p>
      <w:pPr>
        <w:ind w:left="660" w:right="400" w:hanging="328"/>
        <w:spacing w:after="0" w:line="25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Amounts exclude social charges related to the exercise of options in the amount of CHF 17K and CHF 42K in the aggregate for Executive Management in 2021 and 2020, respectively</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0"/>
          <w:numId w:val="48"/>
        </w:numPr>
        <w:rPr>
          <w:rFonts w:ascii="Arial" w:cs="Arial" w:eastAsia="Arial" w:hAnsi="Arial"/>
          <w:sz w:val="17"/>
          <w:szCs w:val="17"/>
          <w:i w:val="1"/>
          <w:iCs w:val="1"/>
          <w:color w:val="auto"/>
        </w:rPr>
      </w:pPr>
      <w:r>
        <w:rPr>
          <w:rFonts w:ascii="Arial" w:cs="Arial" w:eastAsia="Arial" w:hAnsi="Arial"/>
          <w:sz w:val="17"/>
          <w:szCs w:val="17"/>
          <w:color w:val="auto"/>
        </w:rPr>
        <w:t>— Stock options were granted in 2021 and 2020 and Restricted Share Units in 2018 and are further described in Section 3 below. Stock Options awarded in 2021 will fully vest from 2021 through 2025. We estimate the fair value of restricted share units using a reasonable estimate of market value of the common shares on the date of the award. Stock options granted are valued using the Black-Scholes model</w:t>
      </w:r>
    </w:p>
    <w:p>
      <w:pPr>
        <w:ind w:left="660" w:right="140" w:hanging="328"/>
        <w:spacing w:after="0" w:line="26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Fair market value (FMV) excludes Swiss social security contributions since such contributions are only due if and when the equity instrument is exercised. However, say-on-pay remuneration proposals include an amount for social security contributions.</w:t>
      </w:r>
    </w:p>
    <w:p>
      <w:pPr>
        <w:spacing w:after="0" w:line="208"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Loans, Severance or other Compensation Paid to Members or Former Members of the Executive Management</w:t>
      </w:r>
    </w:p>
    <w:p>
      <w:pPr>
        <w:spacing w:after="0" w:line="249"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For the years ended December 31, 2021 and 2020, the Company granted no loans and no severance payments were made or other compensation paid or promised to members or former members of the Executive Management. Additionally, as of December 31, 2021 and 2020, no such loans or credit payments existed to present or former members of the Executive Management, or to related parties of present or former members of the Executive Management.</w:t>
      </w:r>
    </w:p>
    <w:p>
      <w:pPr>
        <w:spacing w:after="0" w:line="170"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For the years ended December 31, 2021 and 2020, no compensation was paid to related parties of present or former members of the Executive Management.</w:t>
      </w:r>
    </w:p>
    <w:p>
      <w:pPr>
        <w:spacing w:after="0" w:line="38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4" w:name="page85"/>
    <w:bookmarkEnd w:id="84"/>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Equity Incentive Plans of the Board of Directors and the Executive Management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of Directors and Executive Management Equity Incentive Plan Summary</w:t>
      </w:r>
    </w:p>
    <w:p>
      <w:pPr>
        <w:spacing w:after="0" w:line="8" w:lineRule="exact"/>
        <w:rPr>
          <w:sz w:val="20"/>
          <w:szCs w:val="20"/>
          <w:color w:val="auto"/>
        </w:rPr>
      </w:pPr>
    </w:p>
    <w:p>
      <w:pPr>
        <w:ind w:right="460"/>
        <w:spacing w:after="0" w:line="236" w:lineRule="auto"/>
        <w:rPr>
          <w:sz w:val="20"/>
          <w:szCs w:val="20"/>
          <w:color w:val="auto"/>
        </w:rPr>
      </w:pPr>
      <w:r>
        <w:rPr>
          <w:rFonts w:ascii="Arial" w:cs="Arial" w:eastAsia="Arial" w:hAnsi="Arial"/>
          <w:sz w:val="22"/>
          <w:szCs w:val="22"/>
          <w:color w:val="auto"/>
        </w:rPr>
        <w:t>The Members of the Board of Directors and Executive Management held the following equity instruments, as outlined in the following two tables, as of 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Investments held by members of the Board of Directors </w:t>
      </w:r>
      <w:r>
        <w:rPr>
          <w:rFonts w:ascii="Arial" w:cs="Arial" w:eastAsia="Arial" w:hAnsi="Arial"/>
          <w:sz w:val="35"/>
          <w:szCs w:val="35"/>
          <w:b w:val="1"/>
          <w:bCs w:val="1"/>
          <w:i w:val="1"/>
          <w:iCs w:val="1"/>
          <w:color w:val="auto"/>
          <w:vertAlign w:val="superscript"/>
        </w:rPr>
        <w:t>(1)</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3360" w:type="dxa"/>
            <w:vAlign w:val="bottom"/>
            <w:tcBorders>
              <w:top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Name</w:t>
            </w:r>
          </w:p>
        </w:tc>
        <w:tc>
          <w:tcPr>
            <w:tcW w:w="11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Function</w:t>
            </w:r>
          </w:p>
        </w:tc>
        <w:tc>
          <w:tcPr>
            <w:tcW w:w="11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Options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Options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 Units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 Units</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(4) (5)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-Unvested</w:t>
            </w:r>
          </w:p>
        </w:tc>
      </w:tr>
      <w:tr>
        <w:trPr>
          <w:trHeight w:val="241"/>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Douglas Williams, Ph.D.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Chairman</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42,819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15,984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12,818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Chairman</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23,295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19,524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10,876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1,942</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33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160" w:type="dxa"/>
            <w:vAlign w:val="bottom"/>
            <w:tcBorders>
              <w:left w:val="single" w:sz="8" w:color="auto"/>
              <w:right w:val="single" w:sz="8" w:color="auto"/>
            </w:tcBorders>
          </w:tcPr>
          <w:p>
            <w:pPr>
              <w:jc w:val="right"/>
              <w:ind w:right="670"/>
              <w:spacing w:after="0" w:line="201" w:lineRule="exact"/>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Martin Velasco (2)</w:t>
            </w: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Vice-</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Chairman</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02"/>
        </w:trPr>
        <w:tc>
          <w:tcPr>
            <w:tcW w:w="1160" w:type="dxa"/>
            <w:vAlign w:val="bottom"/>
            <w:tcBorders>
              <w:left w:val="single" w:sz="8" w:color="auto"/>
              <w:right w:val="single" w:sz="8" w:color="auto"/>
            </w:tcBorders>
          </w:tcPr>
          <w:p>
            <w:pPr>
              <w:jc w:val="right"/>
              <w:ind w:right="670"/>
              <w:spacing w:after="0" w:line="201" w:lineRule="exact"/>
              <w:rPr>
                <w:sz w:val="20"/>
                <w:szCs w:val="20"/>
                <w:color w:val="auto"/>
              </w:rPr>
            </w:pPr>
            <w:r>
              <w:rPr>
                <w:rFonts w:ascii="Arial" w:cs="Arial" w:eastAsia="Arial" w:hAnsi="Arial"/>
                <w:sz w:val="18"/>
                <w:szCs w:val="18"/>
                <w:i w:val="1"/>
                <w:iCs w:val="1"/>
                <w:color w:val="auto"/>
                <w:w w:val="94"/>
              </w:rPr>
              <w:t>2020</w:t>
            </w:r>
          </w:p>
        </w:tc>
        <w:tc>
          <w:tcPr>
            <w:tcW w:w="33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Vice-</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444,250</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21,023</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17,619</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11,828</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w:t>
            </w:r>
          </w:p>
        </w:tc>
      </w:tr>
      <w:tr>
        <w:trPr>
          <w:trHeight w:val="237"/>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Chairman</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33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Peter Bollmann, Ph.D. (2)</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46,609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18,750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15,714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33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Thomas Graney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34,464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12,865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11,828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4,023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18,750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15,714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11,828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33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Werner Lanthaler, Ph.D.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34,464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12,865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11,906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18,750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15,714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9,922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1,984</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33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Roy Twyman, M.D.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46,585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18,926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24,811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27,835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3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Carl June, M.D.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18,472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25,844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31,451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3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Alan Colowick, M.D.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25,389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33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Monika Bütler, Ph. 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14,310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3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3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Monica Shaw, M. 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14,310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33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3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2021</w:t>
            </w: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180,275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140,493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36,552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3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2020</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494,882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125,379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143,571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44,454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3,926</w:t>
            </w:r>
          </w:p>
        </w:tc>
      </w:tr>
    </w:tbl>
    <w:p>
      <w:pPr>
        <w:spacing w:after="0" w:line="229" w:lineRule="exact"/>
        <w:rPr>
          <w:sz w:val="20"/>
          <w:szCs w:val="20"/>
          <w:color w:val="auto"/>
        </w:rPr>
      </w:pPr>
    </w:p>
    <w:p>
      <w:pPr>
        <w:ind w:left="620" w:hanging="30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Excluding Andrea Pfeifer, CEO, whose holdings are listed under Executive Management</w:t>
      </w:r>
    </w:p>
    <w:p>
      <w:pPr>
        <w:spacing w:after="0" w:line="23" w:lineRule="exact"/>
        <w:rPr>
          <w:rFonts w:ascii="Arial" w:cs="Arial" w:eastAsia="Arial" w:hAnsi="Arial"/>
          <w:sz w:val="18"/>
          <w:szCs w:val="18"/>
          <w:color w:val="auto"/>
        </w:rPr>
      </w:pPr>
    </w:p>
    <w:p>
      <w:pPr>
        <w:ind w:left="620" w:hanging="30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Retired October 29, 2021 and no longer a Director as of December 31, 2021</w:t>
      </w:r>
    </w:p>
    <w:p>
      <w:pPr>
        <w:spacing w:after="0" w:line="9" w:lineRule="exact"/>
        <w:rPr>
          <w:rFonts w:ascii="Arial" w:cs="Arial" w:eastAsia="Arial" w:hAnsi="Arial"/>
          <w:sz w:val="18"/>
          <w:szCs w:val="18"/>
          <w:color w:val="auto"/>
        </w:rPr>
      </w:pPr>
    </w:p>
    <w:p>
      <w:pPr>
        <w:ind w:left="620" w:right="280" w:hanging="302"/>
        <w:spacing w:after="0" w:line="250" w:lineRule="auto"/>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Each RSU granted entitles the Grantee an equivalent number of common shares of the Company. The settlement and delivery of shares shall only occur upon payment of the Settlement Price of the Restricted Share Unit</w:t>
      </w:r>
    </w:p>
    <w:p>
      <w:pPr>
        <w:ind w:left="620" w:hanging="30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Stock Options awarded in 2021 will fully vest from 2022 through 2024</w:t>
      </w:r>
    </w:p>
    <w:p>
      <w:pPr>
        <w:spacing w:after="0" w:line="9" w:lineRule="exact"/>
        <w:rPr>
          <w:rFonts w:ascii="Arial" w:cs="Arial" w:eastAsia="Arial" w:hAnsi="Arial"/>
          <w:sz w:val="18"/>
          <w:szCs w:val="18"/>
          <w:color w:val="auto"/>
        </w:rPr>
      </w:pPr>
    </w:p>
    <w:p>
      <w:pPr>
        <w:ind w:left="620" w:right="140" w:hanging="302"/>
        <w:spacing w:after="0" w:line="260" w:lineRule="auto"/>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Each stock option award entitles the Grantee the right and option to purchase all or any part of the number of common shares of the Company, equivalent to the number of stock options exercised</w:t>
      </w:r>
    </w:p>
    <w:p>
      <w:pPr>
        <w:spacing w:after="0" w:line="38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Investments held by members of the Executive Management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22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Name</w:t>
            </w:r>
          </w:p>
        </w:tc>
        <w:tc>
          <w:tcPr>
            <w:tcW w:w="226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Function</w:t>
            </w:r>
          </w:p>
        </w:tc>
        <w:tc>
          <w:tcPr>
            <w:tcW w:w="11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1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Options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Restricted</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Options –</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Unvested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 Units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 Units</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Unvested</w:t>
            </w:r>
          </w:p>
        </w:tc>
      </w:tr>
      <w:tr>
        <w:trPr>
          <w:trHeight w:val="241"/>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w:t>
            </w:r>
          </w:p>
        </w:tc>
        <w:tc>
          <w:tcPr>
            <w:tcW w:w="1140" w:type="dxa"/>
            <w:vAlign w:val="bottom"/>
            <w:tcBorders>
              <w:bottom w:val="single" w:sz="8" w:color="auto"/>
              <w:right w:val="single" w:sz="8" w:color="auto"/>
            </w:tcBorders>
          </w:tcPr>
          <w:p>
            <w:pPr>
              <w:spacing w:after="0"/>
              <w:rPr>
                <w:sz w:val="20"/>
                <w:szCs w:val="20"/>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Andrea Pfeifer, Ph.D. (1)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2,303,420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305,508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454,682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22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2,352,215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253,568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427,611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4,284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12,851</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2240" w:type="dxa"/>
            <w:vAlign w:val="bottom"/>
            <w:tcBorders>
              <w:bottom w:val="single" w:sz="8" w:color="auto"/>
              <w:right w:val="single" w:sz="8" w:color="CCEEFF"/>
            </w:tcBorders>
            <w:shd w:val="clear" w:color="auto" w:fill="CCEEFF"/>
          </w:tcPr>
          <w:p>
            <w:pPr>
              <w:spacing w:after="0"/>
              <w:rPr>
                <w:sz w:val="19"/>
                <w:szCs w:val="19"/>
                <w:color w:val="auto"/>
              </w:rPr>
            </w:pPr>
          </w:p>
        </w:tc>
        <w:tc>
          <w:tcPr>
            <w:tcW w:w="22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Marie Kosco-Vilbois, Ph.D.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Scientific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64,365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31,931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159,160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22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Chief Scientific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20,661</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21,852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132,298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2240" w:type="dxa"/>
            <w:vAlign w:val="bottom"/>
            <w:tcBorders>
              <w:bottom w:val="single" w:sz="8" w:color="auto"/>
              <w:right w:val="single" w:sz="8" w:color="CCEEFF"/>
            </w:tcBorders>
            <w:shd w:val="clear" w:color="auto" w:fill="CCEEFF"/>
          </w:tcPr>
          <w:p>
            <w:pPr>
              <w:spacing w:after="0"/>
              <w:rPr>
                <w:sz w:val="19"/>
                <w:szCs w:val="19"/>
                <w:color w:val="auto"/>
              </w:rPr>
            </w:pPr>
          </w:p>
        </w:tc>
        <w:tc>
          <w:tcPr>
            <w:tcW w:w="22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Joerg Hornstein</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371,029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279,594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22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240,411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267,897</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2240" w:type="dxa"/>
            <w:vAlign w:val="bottom"/>
            <w:tcBorders>
              <w:bottom w:val="single" w:sz="8" w:color="auto"/>
              <w:right w:val="single" w:sz="8" w:color="CCEEFF"/>
            </w:tcBorders>
            <w:shd w:val="clear" w:color="auto" w:fill="CCEEFF"/>
          </w:tcPr>
          <w:p>
            <w:pPr>
              <w:spacing w:after="0"/>
              <w:rPr>
                <w:sz w:val="19"/>
                <w:szCs w:val="19"/>
                <w:color w:val="auto"/>
              </w:rPr>
            </w:pPr>
          </w:p>
        </w:tc>
        <w:tc>
          <w:tcPr>
            <w:tcW w:w="22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Jean-Fabien Monin</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Administrative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292,411</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41,679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59,158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22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Chief Administrative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289,940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18,805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53,000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551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2,717</w:t>
            </w: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2240" w:type="dxa"/>
            <w:vAlign w:val="bottom"/>
            <w:tcBorders>
              <w:bottom w:val="single" w:sz="8" w:color="auto"/>
              <w:right w:val="single" w:sz="8" w:color="CCEEFF"/>
            </w:tcBorders>
            <w:shd w:val="clear" w:color="auto" w:fill="CCEEFF"/>
          </w:tcPr>
          <w:p>
            <w:pPr>
              <w:spacing w:after="0"/>
              <w:rPr>
                <w:sz w:val="19"/>
                <w:szCs w:val="19"/>
                <w:color w:val="auto"/>
              </w:rPr>
            </w:pPr>
          </w:p>
        </w:tc>
        <w:tc>
          <w:tcPr>
            <w:tcW w:w="22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160" w:type="dxa"/>
            <w:vAlign w:val="bottom"/>
            <w:tcBorders>
              <w:left w:val="single" w:sz="8" w:color="auto"/>
              <w:right w:val="single" w:sz="8" w:color="auto"/>
            </w:tcBorders>
          </w:tcPr>
          <w:p>
            <w:pPr>
              <w:jc w:val="right"/>
              <w:ind w:right="670"/>
              <w:spacing w:after="0" w:line="201" w:lineRule="exact"/>
              <w:rPr>
                <w:sz w:val="20"/>
                <w:szCs w:val="20"/>
                <w:color w:val="auto"/>
              </w:rPr>
            </w:pPr>
            <w:r>
              <w:rPr>
                <w:rFonts w:ascii="Arial" w:cs="Arial" w:eastAsia="Arial" w:hAnsi="Arial"/>
                <w:sz w:val="18"/>
                <w:szCs w:val="18"/>
                <w:color w:val="auto"/>
                <w:w w:val="94"/>
              </w:rPr>
              <w:t>2021</w:t>
            </w:r>
          </w:p>
        </w:tc>
        <w:tc>
          <w:tcPr>
            <w:tcW w:w="2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Piergiorgio Donati</w:t>
            </w:r>
          </w:p>
        </w:tc>
        <w:tc>
          <w:tcPr>
            <w:tcW w:w="22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Chief Technical Operations</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4,500</w:t>
            </w:r>
          </w:p>
        </w:tc>
        <w:tc>
          <w:tcPr>
            <w:tcW w:w="10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47,745</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63,802</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02"/>
        </w:trPr>
        <w:tc>
          <w:tcPr>
            <w:tcW w:w="1160" w:type="dxa"/>
            <w:vAlign w:val="bottom"/>
            <w:tcBorders>
              <w:left w:val="single" w:sz="8" w:color="auto"/>
              <w:right w:val="single" w:sz="8" w:color="auto"/>
            </w:tcBorders>
          </w:tcPr>
          <w:p>
            <w:pPr>
              <w:jc w:val="right"/>
              <w:ind w:right="670"/>
              <w:spacing w:after="0" w:line="201" w:lineRule="exact"/>
              <w:rPr>
                <w:sz w:val="20"/>
                <w:szCs w:val="20"/>
                <w:color w:val="auto"/>
              </w:rPr>
            </w:pPr>
            <w:r>
              <w:rPr>
                <w:rFonts w:ascii="Arial" w:cs="Arial" w:eastAsia="Arial" w:hAnsi="Arial"/>
                <w:sz w:val="18"/>
                <w:szCs w:val="18"/>
                <w:i w:val="1"/>
                <w:iCs w:val="1"/>
                <w:color w:val="auto"/>
                <w:w w:val="94"/>
              </w:rPr>
              <w:t>2020</w:t>
            </w:r>
          </w:p>
        </w:tc>
        <w:tc>
          <w:tcPr>
            <w:tcW w:w="22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i w:val="1"/>
                <w:iCs w:val="1"/>
                <w:color w:val="auto"/>
              </w:rPr>
              <w:t>Chief Technical Operations</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4,500</w:t>
            </w:r>
          </w:p>
        </w:tc>
        <w:tc>
          <w:tcPr>
            <w:tcW w:w="10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23,416</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59,668</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w:t>
            </w:r>
          </w:p>
        </w:tc>
        <w:tc>
          <w:tcPr>
            <w:tcW w:w="11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i w:val="1"/>
                <w:iCs w:val="1"/>
                <w:color w:val="auto"/>
              </w:rPr>
              <w:t>-</w:t>
            </w:r>
          </w:p>
        </w:tc>
      </w:tr>
      <w:tr>
        <w:trPr>
          <w:trHeight w:val="237"/>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23"/>
        </w:trPr>
        <w:tc>
          <w:tcPr>
            <w:tcW w:w="116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2240" w:type="dxa"/>
            <w:vAlign w:val="bottom"/>
            <w:tcBorders>
              <w:bottom w:val="single" w:sz="8" w:color="auto"/>
              <w:right w:val="single" w:sz="8" w:color="CCEEFF"/>
            </w:tcBorders>
            <w:shd w:val="clear" w:color="auto" w:fill="CCEEFF"/>
          </w:tcPr>
          <w:p>
            <w:pPr>
              <w:spacing w:after="0"/>
              <w:rPr>
                <w:sz w:val="19"/>
                <w:szCs w:val="19"/>
                <w:color w:val="auto"/>
              </w:rPr>
            </w:pPr>
          </w:p>
        </w:tc>
        <w:tc>
          <w:tcPr>
            <w:tcW w:w="226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w w:val="94"/>
              </w:rPr>
              <w:t>2021</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Johannes Streffer, M. 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Medical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83,017</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left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i w:val="1"/>
                <w:iCs w:val="1"/>
                <w:color w:val="auto"/>
                <w:w w:val="94"/>
              </w:rPr>
              <w:t>2020</w:t>
            </w:r>
          </w:p>
        </w:tc>
        <w:tc>
          <w:tcPr>
            <w:tcW w:w="22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Chief Medical Officer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bottom w:val="single" w:sz="8" w:color="auto"/>
              <w:right w:val="single" w:sz="8" w:color="auto"/>
            </w:tcBorders>
            <w:shd w:val="clear" w:color="auto" w:fill="CCEEFF"/>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2021</w:t>
            </w:r>
          </w:p>
        </w:tc>
        <w:tc>
          <w:tcPr>
            <w:tcW w:w="22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2,678,896</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809,752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1,099,413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23"/>
        </w:trPr>
        <w:tc>
          <w:tcPr>
            <w:tcW w:w="11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2020</w:t>
            </w:r>
          </w:p>
        </w:tc>
        <w:tc>
          <w:tcPr>
            <w:tcW w:w="22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2,667,316</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558,052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940,474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4,835</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15,568</w:t>
            </w:r>
          </w:p>
        </w:tc>
      </w:tr>
    </w:tbl>
    <w:p>
      <w:pPr>
        <w:spacing w:after="0" w:line="229" w:lineRule="exact"/>
        <w:rPr>
          <w:sz w:val="20"/>
          <w:szCs w:val="20"/>
          <w:color w:val="auto"/>
        </w:rPr>
      </w:pPr>
    </w:p>
    <w:p>
      <w:pPr>
        <w:ind w:left="620" w:right="280" w:hanging="302"/>
        <w:spacing w:after="0" w:line="258"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A portion of the shares correspond to pre-IPO preferred shares acquired directly by the member through the Company’s successive financial rounds (Series A, B, C and D) and cannot be assimilated to compensation in equity</w:t>
      </w:r>
    </w:p>
    <w:p>
      <w:pPr>
        <w:spacing w:after="0" w:line="1" w:lineRule="exact"/>
        <w:rPr>
          <w:rFonts w:ascii="Arial" w:cs="Arial" w:eastAsia="Arial" w:hAnsi="Arial"/>
          <w:sz w:val="18"/>
          <w:szCs w:val="18"/>
          <w:color w:val="auto"/>
        </w:rPr>
      </w:pPr>
    </w:p>
    <w:p>
      <w:pPr>
        <w:ind w:left="640" w:right="120" w:hanging="308"/>
        <w:spacing w:after="0" w:line="250" w:lineRule="auto"/>
        <w:tabs>
          <w:tab w:leader="none" w:pos="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Each stock option award entitles the Grantee the right and option to purchase all or any part of the number of common shares of the Company, equivalent to the number of stock options exercised</w:t>
      </w:r>
    </w:p>
    <w:p>
      <w:pPr>
        <w:ind w:left="640" w:right="40" w:hanging="308"/>
        <w:spacing w:after="0" w:line="260" w:lineRule="auto"/>
        <w:tabs>
          <w:tab w:leader="none" w:pos="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Each RSU entitles the Grantee an equivalent number of common shares of the Company. The settlement and delivery of shares shall only occur upon payment of the Settlement Price of the Restricted Share Unit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of Current and Former Members of the Board and Executive Management</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In connection with RSUs settled and options exercised in 2021 and 2020 by current and former members of the Board and Executive Management, AC Immune paid social contributions, in accordance with applicable laws, on the gain resulting from the difference in exercise price and fair value of the shares at the time of the exercise. With regard to the former Board and Executive Management members, AC Immune paid a total of nil and CHF 5K in 2021 and 2020, respectively. With regard to the current Board and Executive Management members, AC Immune paid a total of CHF 17K and CHF 45K in 2021 and 2020, respectively.</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Compensation Philosophy, Principles and Governance</w:t>
      </w:r>
    </w:p>
    <w:p>
      <w:pPr>
        <w:spacing w:after="0" w:line="239"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211" w:lineRule="exact"/>
        <w:rPr>
          <w:sz w:val="20"/>
          <w:szCs w:val="20"/>
          <w:color w:val="auto"/>
        </w:rPr>
      </w:pPr>
    </w:p>
    <w:p>
      <w:pPr>
        <w:ind w:right="200"/>
        <w:spacing w:after="0" w:line="235" w:lineRule="auto"/>
        <w:rPr>
          <w:sz w:val="20"/>
          <w:szCs w:val="20"/>
          <w:color w:val="auto"/>
        </w:rPr>
      </w:pPr>
      <w:r>
        <w:rPr>
          <w:rFonts w:ascii="Arial" w:cs="Arial" w:eastAsia="Arial" w:hAnsi="Arial"/>
          <w:sz w:val="22"/>
          <w:szCs w:val="22"/>
          <w:color w:val="auto"/>
        </w:rPr>
        <w:t>AC Immune's compensation policy is designed to attract, motivate and retain talent in order to support the achievement of the Company’s financial and strategic objectives. The policy further aims at ensuring a fair and competitive compensation package. The Board believes that by combining short- and long-term incentive elements, the compensation system helps to align the interests of the Board members and Executive Management with the interests of the Company and its shareholders. In addition, compensation elements are focused on rewarding the delivery of outstanding and sustainable results without inappropriate risk-taking.</w:t>
      </w:r>
    </w:p>
    <w:p>
      <w:pPr>
        <w:spacing w:after="0" w:line="215"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In 2021 and 2020, the Company engaged a reputable compensation and performance expert firm to benchmark the compensation level and structure for the members of the Board and Executive Management. The analysis included compensation data of the comparable Pharma/Biopharma companies, including several US-based companies. The Board concluded that adjustments to the compensation were required in order for AC Immune to remain a competitive employer.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Method of Determining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Role and Powers of the Compensation, Nomination and Governance Committee (CNC)</w:t>
      </w:r>
    </w:p>
    <w:p>
      <w:pPr>
        <w:spacing w:after="0" w:line="8"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The CNC consists of three (3) members, who are appointed at the Annual Shareholders' Meeting, or in case of vacancies, the Board of Director’s may appoint substitutes from amongst its members for the remaining term of office. The committee enacts its own charter.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Compensation Guidelines:</w:t>
      </w:r>
    </w:p>
    <w:p>
      <w:pPr>
        <w:spacing w:after="0" w:line="8"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The CNC recommends guidelines for the compensation of the members of the Board of Directors, the CEO and the Executive Management, and submits these recommendations to the Board of Directors for approval.</w:t>
      </w:r>
    </w:p>
    <w:p>
      <w:pPr>
        <w:spacing w:after="0" w:line="214" w:lineRule="exact"/>
        <w:rPr>
          <w:sz w:val="20"/>
          <w:szCs w:val="20"/>
          <w:color w:val="auto"/>
        </w:rPr>
      </w:pPr>
    </w:p>
    <w:p>
      <w:pPr>
        <w:ind w:right="200"/>
        <w:spacing w:after="0" w:line="235" w:lineRule="auto"/>
        <w:rPr>
          <w:sz w:val="20"/>
          <w:szCs w:val="20"/>
          <w:color w:val="auto"/>
        </w:rPr>
      </w:pPr>
      <w:r>
        <w:rPr>
          <w:rFonts w:ascii="Arial" w:cs="Arial" w:eastAsia="Arial" w:hAnsi="Arial"/>
          <w:sz w:val="22"/>
          <w:szCs w:val="22"/>
          <w:color w:val="auto"/>
        </w:rPr>
        <w:t>The CNC provides an overall package for near- and long-term compensation, including variable compensation, that (1) is designed to attract, motivate and retain persons with the necessary skills and character, (2) is consistent with market conditions, and in the case of variable compensation, consistent with the Company’s and individual’s performance, and (3) aligns the interests of the members of the Board of Directors and the Executive Management with the interests of the Company. The CNC also periodically reviews the Company’s compensation policies for its employees who are not members of the Executive Management.</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7" w:name="page88"/>
    <w:bookmarkEnd w:id="87"/>
    <w:p>
      <w:pPr>
        <w:ind w:right="6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The CNC meets at least four times per year and informs the Board of Directors of its recommendations and resolutions after each meeting.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Approval of Compensation by the Annual Shareholders' Meeting</w:t>
      </w:r>
    </w:p>
    <w:p>
      <w:pPr>
        <w:spacing w:after="0" w:line="8" w:lineRule="exact"/>
        <w:rPr>
          <w:sz w:val="20"/>
          <w:szCs w:val="20"/>
          <w:color w:val="auto"/>
        </w:rPr>
      </w:pPr>
    </w:p>
    <w:p>
      <w:pPr>
        <w:jc w:val="both"/>
        <w:ind w:right="260"/>
        <w:spacing w:after="0" w:line="248" w:lineRule="auto"/>
        <w:rPr>
          <w:sz w:val="20"/>
          <w:szCs w:val="20"/>
          <w:color w:val="auto"/>
        </w:rPr>
      </w:pPr>
      <w:r>
        <w:rPr>
          <w:rFonts w:ascii="Arial" w:cs="Arial" w:eastAsia="Arial" w:hAnsi="Arial"/>
          <w:sz w:val="21"/>
          <w:szCs w:val="21"/>
          <w:color w:val="auto"/>
        </w:rPr>
        <w:t>Swiss law requires a binding approval of the maximum compensation for the Board and the Executive Management. Until the Annual Shareholders' Meeting of 25 June 2021, shareholders separately approved the total maximum amounts proposed by the Board of Directors pursuant to Articles 32 and 33 of the Articles of Association for:</w:t>
      </w:r>
    </w:p>
    <w:p>
      <w:pPr>
        <w:spacing w:after="0" w:line="21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Management for the 12-month period starting on 1 July following the Annual Shareholders' Meeting;</w:t>
      </w: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variable compensation for the Executive Management for the current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grant of options, shares or other equity instruments in the Company to the Board of Directors and the Executive Management.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Under the new system, approved by the shareholders on 25 June 2021, shareholders will</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approve annually and separately the proposals of the Board of Directors in relation to the maximum aggregate amount of:</w:t>
      </w:r>
    </w:p>
    <w:p>
      <w:pPr>
        <w:spacing w:after="0" w:line="30"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compensation of the Board of Directors for the period until the next Annual Shareholders' Meeting;</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compensation of the Executive Committee for the following financial year.</w:t>
      </w:r>
    </w:p>
    <w:p>
      <w:pPr>
        <w:spacing w:after="0" w:line="231" w:lineRule="exact"/>
        <w:rPr>
          <w:sz w:val="20"/>
          <w:szCs w:val="20"/>
          <w:color w:val="auto"/>
        </w:rPr>
      </w:pPr>
    </w:p>
    <w:p>
      <w:pPr>
        <w:ind w:right="1020"/>
        <w:spacing w:after="0" w:line="250" w:lineRule="auto"/>
        <w:rPr>
          <w:sz w:val="20"/>
          <w:szCs w:val="20"/>
          <w:color w:val="auto"/>
        </w:rPr>
      </w:pPr>
      <w:r>
        <w:rPr>
          <w:rFonts w:ascii="Arial" w:cs="Arial" w:eastAsia="Arial" w:hAnsi="Arial"/>
          <w:sz w:val="22"/>
          <w:szCs w:val="22"/>
          <w:color w:val="auto"/>
        </w:rPr>
        <w:t>Art. 47 of the AoA contains transitional provisions and regulates which decisions need to be taken in the 2022 Annual Shareholders' Meeting.</w:t>
      </w:r>
    </w:p>
    <w:p>
      <w:pPr>
        <w:spacing w:after="0" w:line="202"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The respective total compensation amounts include social security and occupational pension contributions for the benefit of the members of the Board of Directors, the Executive Management and the Company.</w:t>
      </w:r>
    </w:p>
    <w:p>
      <w:pPr>
        <w:ind w:right="80"/>
        <w:spacing w:after="0" w:line="245" w:lineRule="auto"/>
        <w:rPr>
          <w:sz w:val="20"/>
          <w:szCs w:val="20"/>
          <w:color w:val="auto"/>
        </w:rPr>
      </w:pPr>
      <w:r>
        <w:rPr>
          <w:rFonts w:ascii="Arial" w:cs="Arial" w:eastAsia="Arial" w:hAnsi="Arial"/>
          <w:sz w:val="21"/>
          <w:szCs w:val="21"/>
          <w:color w:val="auto"/>
        </w:rPr>
        <w:t>If the Annual Shareholders'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Annual Shareholders' Meeting for approval. The Company may pay remunerations within the framework of the maximum total or partial remuneration and subject to the approval by the Annual Shareholders' Meeting.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of the Board of Directors</w:t>
      </w:r>
    </w:p>
    <w:p>
      <w:pPr>
        <w:spacing w:after="0" w:line="8" w:lineRule="exact"/>
        <w:rPr>
          <w:sz w:val="20"/>
          <w:szCs w:val="20"/>
          <w:color w:val="auto"/>
        </w:rPr>
      </w:pPr>
    </w:p>
    <w:p>
      <w:pPr>
        <w:jc w:val="both"/>
        <w:ind w:right="80"/>
        <w:spacing w:after="0" w:line="248" w:lineRule="auto"/>
        <w:rPr>
          <w:sz w:val="20"/>
          <w:szCs w:val="20"/>
          <w:color w:val="auto"/>
        </w:rPr>
      </w:pPr>
      <w:r>
        <w:rPr>
          <w:rFonts w:ascii="Arial" w:cs="Arial" w:eastAsia="Arial" w:hAnsi="Arial"/>
          <w:sz w:val="21"/>
          <w:szCs w:val="21"/>
          <w:color w:val="auto"/>
        </w:rPr>
        <w:t>The CNC reviews and proposes to the Board of Directors the resolution to be submitted to the Annual Shareholders' Meeting for the maximum total compensation of the Board of Directors. The CNC will also request approval by the Board of Directors of the individual compensation packages to be paid to members of the Board of Directors.</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The compensation for members of the Board typically consists of:</w:t>
      </w:r>
    </w:p>
    <w:p>
      <w:pPr>
        <w:spacing w:after="0" w:line="24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 cash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 grant of equity</w:t>
      </w:r>
    </w:p>
    <w:p>
      <w:pPr>
        <w:spacing w:after="0" w:line="231" w:lineRule="exact"/>
        <w:rPr>
          <w:sz w:val="20"/>
          <w:szCs w:val="20"/>
          <w:color w:val="auto"/>
        </w:rPr>
      </w:pPr>
    </w:p>
    <w:p>
      <w:pPr>
        <w:jc w:val="both"/>
        <w:ind w:right="600"/>
        <w:spacing w:after="0" w:line="257" w:lineRule="auto"/>
        <w:rPr>
          <w:sz w:val="20"/>
          <w:szCs w:val="20"/>
          <w:color w:val="auto"/>
        </w:rPr>
      </w:pPr>
      <w:r>
        <w:rPr>
          <w:rFonts w:ascii="Arial" w:cs="Arial" w:eastAsia="Arial" w:hAnsi="Arial"/>
          <w:sz w:val="21"/>
          <w:szCs w:val="21"/>
          <w:color w:val="auto"/>
        </w:rPr>
        <w:t>Both components do not depend on the achievement of corporate goals or the individual performance of a Board member. Additionally, the Company pays the employer’s social security contributions due on these amounts. Board members do not receive any variable compensation and do not participate in the Company’s pension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of the Executive Management</w:t>
      </w:r>
    </w:p>
    <w:p>
      <w:pPr>
        <w:spacing w:after="0" w:line="8"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The CNC evaluates annually the performance of the CEO and the Executive Management and submits such evaluation for review and approval by the Board of Directors, in each case in an executive session without the presence of the CEO or the Executive Management.</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Subject to and within the bounds of the maximum compensation approved by the Annual Shareholders' Meeting, the CNC reviews and recommends for approval by the Board of Directors the annual base salary, incentive compensation (bonus) and equity compensation of the CEO, and in consultation with the CEO, of the Executive Management, and the overall compensation of the CEO and the Executive Management. The CNC also requests approval by the Board of Directors regarding the determination of the compensation-related targets for the Executive Management and requests approval by the Board of Directors of the individual compensation packages to be paid to members of the Executive Management.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Elements of Compensation for 2021 and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Base Salary</w:t>
      </w:r>
    </w:p>
    <w:p>
      <w:pPr>
        <w:spacing w:after="0" w:line="8" w:lineRule="exact"/>
        <w:rPr>
          <w:sz w:val="20"/>
          <w:szCs w:val="20"/>
          <w:color w:val="auto"/>
        </w:rPr>
      </w:pPr>
    </w:p>
    <w:p>
      <w:pPr>
        <w:ind w:right="220"/>
        <w:spacing w:after="0" w:line="245" w:lineRule="auto"/>
        <w:rPr>
          <w:sz w:val="20"/>
          <w:szCs w:val="20"/>
          <w:color w:val="auto"/>
        </w:rPr>
      </w:pPr>
      <w:r>
        <w:rPr>
          <w:rFonts w:ascii="Arial" w:cs="Arial" w:eastAsia="Arial" w:hAnsi="Arial"/>
          <w:sz w:val="21"/>
          <w:szCs w:val="21"/>
          <w:color w:val="auto"/>
        </w:rPr>
        <w:t>Base salaries are highly competitive in order to attract, motivate, and retain persons with the necessary skills and character. The salary level is based on the scope of the position and market conditions and the individual’s profile in terms of experience and skills. The fixed compensation for the Executive Management members includes base salary, social security contributions and payments to the pension fund by the Company. Base salaries are reviewed annually by the CNC, taking into account individual performance and the results of the external benchmarking.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Incentive Plan (Bonus)</w:t>
      </w:r>
    </w:p>
    <w:p>
      <w:pPr>
        <w:spacing w:after="0" w:line="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CNC proposes to the Board of Directors an incentive compensation plan providing for variable compensation of the members of the Executive Management based on the achievement of the Company’s corporate goals and in relation to the Executive Management based on the individuals’ performance, and approves any changes to such plan as may be proposed by the CEO from time to time. The CNC reviews and approves any employment contracts, severance contracts, or other agreements that the Company proposes to enter into with any present, future or former members of the Executive Management, provided that the key terms of such contracts shall be submitted for approval by the Board of Directors and shall be within the bounds of the maximum compensation approved by the Annual Shareholders' Meeting.</w:t>
      </w:r>
    </w:p>
    <w:p>
      <w:pPr>
        <w:spacing w:after="0" w:line="186"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The annual cash bonus for 2021 and 2020 was based on the achievement of Company and individual goals. The target bonus (i.e. cash bonus to be paid if 100% of corporate and individual objectives are met) is determined individually for each member of the Executive Management as a fixed amount, ranging from approximately 28% (27% in 2020) to 69% (69% in 2020) of the base salary. According to the external benchmarking, the target bonuses continued to be in the low range of the peer group. The 2021 corporate goals included: (i) fulfillment of various R&amp;D milestones and (ii) advancement of several R&amp;D pre-clinical and clinical programs. The 2020 corporate goals included: (i) fulfillment of various R&amp;D milestones, (ii) advancement of several R&amp;D pre-clinical and clinical programs, and (iii) compliance with SOX 404 regulations by Q4. The weightings of the corporate and individual goals are defined for each executive management member and vary depending on the position. In general, the higher the position of an employee, the more weight is put on the achievement of corporate goals rather than on individual goals. The Board determined that the actual target achievement of the 2021 and 2020 corporate goals was 100.0% and 102.0%, respectively.</w:t>
      </w:r>
    </w:p>
    <w:p>
      <w:pPr>
        <w:sectPr>
          <w:pgSz w:w="11900" w:h="16838" w:orient="portrait"/>
          <w:cols w:equalWidth="0" w:num="1">
            <w:col w:w="11240"/>
          </w:cols>
          <w:pgMar w:left="320" w:top="1144" w:right="339" w:bottom="1440" w:gutter="0" w:footer="0" w:header="0"/>
        </w:sectPr>
      </w:pPr>
    </w:p>
    <w:p>
      <w:pPr>
        <w:spacing w:after="0" w:line="394"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Pension Plan and Social Charges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Pension Plan</w:t>
      </w:r>
    </w:p>
    <w:p>
      <w:pPr>
        <w:spacing w:after="0" w:line="8" w:lineRule="exact"/>
        <w:rPr>
          <w:sz w:val="20"/>
          <w:szCs w:val="20"/>
          <w:color w:val="auto"/>
        </w:rPr>
      </w:pPr>
    </w:p>
    <w:p>
      <w:pPr>
        <w:ind w:right="100"/>
        <w:spacing w:after="0" w:line="243" w:lineRule="auto"/>
        <w:rPr>
          <w:sz w:val="20"/>
          <w:szCs w:val="20"/>
          <w:color w:val="auto"/>
        </w:rPr>
      </w:pPr>
      <w:r>
        <w:rPr>
          <w:rFonts w:ascii="Arial" w:cs="Arial" w:eastAsia="Arial" w:hAnsi="Arial"/>
          <w:sz w:val="21"/>
          <w:szCs w:val="21"/>
          <w:color w:val="auto"/>
        </w:rPr>
        <w:t>The Company participates in a collective foundation covering all of its employees including its executive officers. In addition to retirement benefits, the plan provides death or long-term disability benefits. Contributions paid to the plan are computed as a percentage of salary, adjusted for the age of the employee and shared approximately 47% (47% in 2020) and 53% (53% in 2020) by employee and employer, respectively. 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 and employee representatives. The Board of Trustees is responsible for the administration of the plan assets and for the definition of the investment strategy.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Social Charges</w:t>
      </w:r>
    </w:p>
    <w:p>
      <w:pPr>
        <w:spacing w:after="0" w:line="8"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Company pays old age and survivors’ insurance (AHV), Disability insurance (IV), and Income replacement scheme (EO) as required by Federal Swiss law.</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Incentive Plans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Current Plan</w:t>
      </w:r>
    </w:p>
    <w:p>
      <w:pPr>
        <w:spacing w:after="0" w:line="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The 2016 Option and Incentive Plan as amended and restated as of October 7, 2019 (the “2016 Plan”) was established for the officers, employees, non-employee directors and consultants of AC Immune SA. In June 2019, the Board authorized, and the shareholders approved, an increase in the maximum number of shares reserved for issuance under the 2016 Plan. In October 2019, the Board authorized a second amendment and restatement to the 2016 Plan. These amendments were made to align certain elements with Swiss statutory requirements and had no financial impact for the Company in 2019. The 2016 Plan provides for a variety of award types, including stock options, restricted share awards, restricted share units, unrestricted share awards, and performance-based awards. Vesting and performance- based conditions vary by grant and are determined by the plan administrator, which is the Compensation Committee of the Board of Directors or the Chief Executive Officer under specified delegation limitations granted by the Board of Directors. However, option awards with an “Exercise Price” shall be determined at the time of grant by the plan administrator, but shall not be less than 100 percent of fair market value on the date of grant. Further, awards with an “Option Term” may not exceed 10 years. In 2021 and 2020, awards were granted to members of the Executive Management and Board of Directors and are disclosed in Section 3 of this report. According to the external benchmarking, the equity awards continued to be in the lower range of the peer group.</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2882900</wp:posOffset>
            </wp:positionH>
            <wp:positionV relativeFrom="page">
              <wp:posOffset>88900</wp:posOffset>
            </wp:positionV>
            <wp:extent cx="1791335" cy="4972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97205"/>
                    </a:xfrm>
                    <a:prstGeom prst="rect">
                      <a:avLst/>
                    </a:prstGeom>
                    <a:noFill/>
                  </pic:spPr>
                </pic:pic>
              </a:graphicData>
            </a:graphic>
          </wp:anchor>
        </w:drawing>
        <w:t>2016 Option and Incentive Plans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Directors and Executive Consideration</w:t>
      </w:r>
    </w:p>
    <w:p>
      <w:pPr>
        <w:spacing w:after="0" w:line="8"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For the fiscal years ended December 31, 2021 and 2020, we have granted our directors and executive management, in the aggregate, options for the right to acquire 745’762 and 689’702 shares, respectively at an exercise price ranging from US$ 5.31 to US$ 7.23 per share in 2021 and US$ 5.04 to US$ 6.95 per share in 2020. Directors who have joined the company in 2018 and thereafter, receive an initial option award which vests over a three-year period with vesting to occur annually. Options granted annually to directors vest at the end of a one-year period whereas options granted to executive management vest over a four year period with vesting to occur quarterly. No restricted share units were granted in 2021 and 2020 to either our directors or executive management.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Prior Plans</w:t>
      </w:r>
    </w:p>
    <w:p>
      <w:pPr>
        <w:spacing w:after="0" w:line="8"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Since our inception in 2003, we have had four separate Prior Plans under which stock options were granted (Prior Plans A, B and C2 have terminated): Options granted under the C1 Plan from 2013 through the adoption of current 2016 Stock Option and Incentive Plan were taxed upon exercise instead of at grant due to a change in taxation rules. The options granted under Plan C1 vested over a four-year period with 25% of these options vesting each year. The options granted under our current 2016 Stock Option and Incentive Plan have vesting conditions which are determined by the administrator at the time of grant and are specified in the applicable award certificate.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Our Board of Directors has the authority to amend each of the Prior Plans.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Employment Contracts</w:t>
      </w:r>
    </w:p>
    <w:p>
      <w:pPr>
        <w:ind w:right="60"/>
        <w:spacing w:after="0" w:line="280" w:lineRule="auto"/>
        <w:rPr>
          <w:sz w:val="20"/>
          <w:szCs w:val="20"/>
          <w:color w:val="auto"/>
        </w:rPr>
      </w:pPr>
      <w:r>
        <w:rPr>
          <w:rFonts w:ascii="Arial" w:cs="Arial" w:eastAsia="Arial" w:hAnsi="Arial"/>
          <w:sz w:val="19"/>
          <w:szCs w:val="19"/>
          <w:color w:val="auto"/>
        </w:rPr>
        <w:t>The Executive Management of the Company is employed under employment contracts of unlimited duration with a notice period of twelve months for each of the Chief Executive Officer, Chief Financial Officer, Chief Administrative Officer, Chief Technical Operations Officer and Chief Medical Officer. The notice period for the Chief Scientific Officer is six months. Executive members are not contractually entitled to termination payments other than the vested portions of the stock options.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lvl w:ilvl="1">
      <w:lvlJc w:val="left"/>
      <w:lvlText w:val="o"/>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3"/>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2"/>
    </w:lvl>
  </w:abstractNum>
  <w:abstractNum w:abstractNumId="17">
    <w:nsid w:val="5072367"/>
    <w:multiLevelType w:val="hybridMultilevel"/>
    <w:lvl w:ilvl="0">
      <w:lvlJc w:val="left"/>
      <w:lvlText w:val="(%1)"/>
      <w:numFmt w:val="lowerRoman"/>
      <w:start w:val="1"/>
    </w:lvl>
  </w:abstractNum>
  <w:abstractNum w:abstractNumId="18">
    <w:nsid w:val="3804823E"/>
    <w:multiLevelType w:val="hybridMultilevel"/>
    <w:lvl w:ilvl="0">
      <w:lvlJc w:val="left"/>
      <w:lvlText w:val="%1."/>
      <w:numFmt w:val="decimal"/>
      <w:start w:val="3"/>
    </w:lvl>
  </w:abstractNum>
  <w:abstractNum w:abstractNumId="19">
    <w:nsid w:val="77465F01"/>
    <w:multiLevelType w:val="hybridMultilevel"/>
    <w:lvl w:ilvl="0">
      <w:lvlJc w:val="left"/>
      <w:lvlText w:val="%1."/>
      <w:numFmt w:val="lowerRoman"/>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4"/>
    </w:lvl>
  </w:abstractNum>
  <w:abstractNum w:abstractNumId="22">
    <w:nsid w:val="2463B9EA"/>
    <w:multiLevelType w:val="hybridMultilevel"/>
    <w:lvl w:ilvl="0">
      <w:lvlJc w:val="left"/>
      <w:lvlText w:val="%1."/>
      <w:numFmt w:val="decimal"/>
      <w:start w:val="5"/>
    </w:lvl>
  </w:abstractNum>
  <w:abstractNum w:abstractNumId="23">
    <w:nsid w:val="5E884ADC"/>
    <w:multiLevelType w:val="hybridMultilevel"/>
    <w:lvl w:ilvl="0">
      <w:lvlJc w:val="left"/>
      <w:lvlText w:val="%1."/>
      <w:numFmt w:val="decimal"/>
      <w:start w:val="6"/>
    </w:lvl>
  </w:abstractNum>
  <w:abstractNum w:abstractNumId="24">
    <w:nsid w:val="51EAD36B"/>
    <w:multiLevelType w:val="hybridMultilevel"/>
    <w:lvl w:ilvl="0">
      <w:lvlJc w:val="left"/>
      <w:lvlText w:val="%1."/>
      <w:numFmt w:val="decimal"/>
      <w:start w:val="7"/>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8"/>
    </w:lvl>
  </w:abstractNum>
  <w:abstractNum w:abstractNumId="27">
    <w:nsid w:val="153EA438"/>
    <w:multiLevelType w:val="hybridMultilevel"/>
    <w:lvl w:ilvl="0">
      <w:lvlJc w:val="left"/>
      <w:lvlText w:val="%1."/>
      <w:numFmt w:val="decimal"/>
      <w:start w:val="13"/>
    </w:lvl>
  </w:abstractNum>
  <w:abstractNum w:abstractNumId="28">
    <w:nsid w:val="3855585C"/>
    <w:multiLevelType w:val="hybridMultilevel"/>
    <w:lvl w:ilvl="0">
      <w:lvlJc w:val="left"/>
      <w:lvlText w:val="%1."/>
      <w:numFmt w:val="decimal"/>
      <w:start w:val="15"/>
    </w:lvl>
  </w:abstractNum>
  <w:abstractNum w:abstractNumId="29">
    <w:nsid w:val="70A64E2A"/>
    <w:multiLevelType w:val="hybridMultilevel"/>
    <w:lvl w:ilvl="0">
      <w:lvlJc w:val="left"/>
      <w:lvlText w:val="%1."/>
      <w:numFmt w:val="decimal"/>
      <w:start w:val="16"/>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2"/>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6"/>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lvl w:ilvl="1">
      <w:lvlJc w:val="left"/>
      <w:lvlText w:val="%2"/>
      <w:numFmt w:val="lowerLetter"/>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Letter"/>
      <w:start w:val="3"/>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2"/>
    </w:lvl>
    <w:lvl w:ilvl="1">
      <w:lvlJc w:val="left"/>
      <w:lvlText w:val="%2"/>
      <w:numFmt w:val="lowerLetter"/>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lowerLetter"/>
      <w:start w:val="3"/>
    </w:lvl>
  </w:abstractNum>
  <w:abstractNum w:abstractNumId="47">
    <w:nsid w:val="1BA026FA"/>
    <w:multiLevelType w:val="hybridMultilevel"/>
    <w:lvl w:ilvl="0">
      <w:lvlJc w:val="left"/>
      <w:lvlText w:val="(%1)"/>
      <w:numFmt w:val="decimal"/>
      <w:start w:val="1"/>
    </w:lvl>
    <w:lvl w:ilvl="1">
      <w:lvlJc w:val="left"/>
      <w:lvlText w:val="%2."/>
      <w:numFmt w:val="lowerLetter"/>
      <w:start w:val="4"/>
    </w:lvl>
  </w:abstractNum>
  <w:abstractNum w:abstractNumId="48">
    <w:nsid w:val="79A1DEAA"/>
    <w:multiLevelType w:val="hybridMultilevel"/>
    <w:lvl w:ilvl="0">
      <w:lvlJc w:val="left"/>
      <w:lvlText w:val="%1."/>
      <w:numFmt w:val="decimal"/>
      <w:start w:val="3"/>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decimal"/>
      <w:start w:val="2"/>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2022-03-22T06:05:44Z</dcterms:created>
  <dcterms:modified xsi:type="dcterms:W3CDTF">2022-03-22T06:05:44Z</dcterms:modified>
</cp:coreProperties>
</file>