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100" w:lineRule="exact"/>
        <w:rPr>
          <w:sz w:val="24"/>
          <w:szCs w:val="24"/>
          <w:color w:val="auto"/>
        </w:rPr>
      </w:pPr>
    </w:p>
    <w:p>
      <w:pPr>
        <w:ind w:left="340" w:hanging="316"/>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30" w:lineRule="exact"/>
        <w:rPr>
          <w:rFonts w:ascii="MS PGothic" w:cs="MS PGothic" w:eastAsia="MS PGothic" w:hAnsi="MS PGothic"/>
          <w:sz w:val="18"/>
          <w:szCs w:val="18"/>
          <w:color w:val="auto"/>
        </w:rPr>
      </w:pPr>
    </w:p>
    <w:p>
      <w:pPr>
        <w:ind w:left="4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17" w:lineRule="exact"/>
        <w:rPr>
          <w:rFonts w:ascii="MS PGothic" w:cs="MS PGothic" w:eastAsia="MS PGothic" w:hAnsi="MS PGothic"/>
          <w:sz w:val="18"/>
          <w:szCs w:val="18"/>
          <w:color w:val="auto"/>
        </w:rPr>
      </w:pPr>
    </w:p>
    <w:p>
      <w:pPr>
        <w:ind w:left="300" w:right="580" w:hanging="290"/>
        <w:spacing w:after="0" w:line="263" w:lineRule="auto"/>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340" w:hanging="330"/>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20" w:right="320" w:hanging="310"/>
        <w:spacing w:after="0" w:line="286" w:lineRule="auto"/>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34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Commission file number: 001-37891</w:t>
      </w:r>
    </w:p>
    <w:p>
      <w:pPr>
        <w:spacing w:after="0" w:line="11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9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3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(Jurisdiction of incorporation)</w:t>
      </w:r>
    </w:p>
    <w:p>
      <w:pPr>
        <w:spacing w:after="0" w:line="9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1015 Lausanne</w:t>
      </w: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95"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Andrea Pfeifer</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Tel: +41 21 345 91 21</w:t>
      </w:r>
    </w:p>
    <w:p>
      <w:pPr>
        <w:spacing w:after="0" w:line="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Building B</w:t>
      </w: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Telephone, E-mail and/or Facsimile number and Address of Company Contact Person)</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2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Derek J. Dostal</w:t>
      </w:r>
    </w:p>
    <w:p>
      <w:pPr>
        <w:spacing w:after="0" w:line="2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Shares, nominal value CHF 0.02</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ACIU</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20" w:type="dxa"/>
            <w:vAlign w:val="bottom"/>
          </w:tcPr>
          <w:p>
            <w:pPr>
              <w:spacing w:after="0"/>
              <w:rPr>
                <w:sz w:val="20"/>
                <w:szCs w:val="20"/>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 share</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1114"/>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stock or common stock as of the close of the period covered by the annual report.</w:t>
      </w:r>
    </w:p>
    <w:p>
      <w:pPr>
        <w:spacing w:after="0" w:line="4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Common shares: 83,620,364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88" w:lineRule="exact"/>
        <w:rPr>
          <w:sz w:val="20"/>
          <w:szCs w:val="20"/>
          <w:color w:val="auto"/>
        </w:rPr>
      </w:pPr>
    </w:p>
    <w:p>
      <w:pPr>
        <w:ind w:left="4840" w:hanging="206"/>
        <w:spacing w:after="0" w:line="207" w:lineRule="exact"/>
        <w:tabs>
          <w:tab w:leader="none" w:pos="48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1" w:lineRule="exact"/>
        <w:rPr>
          <w:sz w:val="20"/>
          <w:szCs w:val="20"/>
          <w:color w:val="auto"/>
        </w:rPr>
      </w:pPr>
    </w:p>
    <w:p>
      <w:pPr>
        <w:ind w:left="4840" w:hanging="206"/>
        <w:spacing w:after="0" w:line="207" w:lineRule="exact"/>
        <w:tabs>
          <w:tab w:leader="none" w:pos="48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5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6" w:lineRule="exact"/>
        <w:rPr>
          <w:sz w:val="20"/>
          <w:szCs w:val="20"/>
          <w:color w:val="auto"/>
        </w:rPr>
      </w:pPr>
    </w:p>
    <w:p>
      <w:pPr>
        <w:ind w:left="4840" w:hanging="206"/>
        <w:spacing w:after="0" w:line="207" w:lineRule="exact"/>
        <w:tabs>
          <w:tab w:leader="none" w:pos="48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6" w:lineRule="exact"/>
        <w:rPr>
          <w:sz w:val="20"/>
          <w:szCs w:val="20"/>
          <w:color w:val="auto"/>
        </w:rPr>
      </w:pPr>
    </w:p>
    <w:p>
      <w:pPr>
        <w:ind w:left="4840" w:hanging="206"/>
        <w:spacing w:after="0" w:line="207" w:lineRule="exact"/>
        <w:tabs>
          <w:tab w:leader="none" w:pos="48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0160"/>
          </w:cols>
          <w:pgMar w:left="840" w:top="513" w:right="899" w:bottom="1440" w:gutter="0" w:footer="0" w:header="0"/>
        </w:sectPr>
      </w:pPr>
    </w:p>
    <w:p>
      <w:pPr>
        <w:spacing w:after="0" w:line="17" w:lineRule="exact"/>
        <w:rPr>
          <w:sz w:val="20"/>
          <w:szCs w:val="20"/>
          <w:color w:val="auto"/>
        </w:rPr>
      </w:pPr>
    </w:p>
    <w:p>
      <w:pPr>
        <w:ind w:left="8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jc w:val="center"/>
        <w:ind w:right="560"/>
        <w:spacing w:after="0" w:line="204"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720" w:space="720"/>
            <w:col w:w="2280" w:space="720"/>
            <w:col w:w="2720"/>
          </w:cols>
          <w:pgMar w:left="840" w:top="513" w:right="899" w:bottom="1440" w:gutter="0" w:footer="0" w:header="0"/>
          <w:type w:val="continuous"/>
        </w:sectPr>
      </w:pP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46" w:lineRule="exact"/>
        <w:rPr>
          <w:sz w:val="20"/>
          <w:szCs w:val="20"/>
          <w:color w:val="auto"/>
        </w:rPr>
      </w:pPr>
    </w:p>
    <w:p>
      <w:pPr>
        <w:ind w:left="4840" w:hanging="206"/>
        <w:spacing w:after="0" w:line="207" w:lineRule="exact"/>
        <w:tabs>
          <w:tab w:leader="none" w:pos="48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5"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159" w:lineRule="exact"/>
        <w:rPr>
          <w:sz w:val="20"/>
          <w:szCs w:val="20"/>
          <w:color w:val="auto"/>
        </w:rPr>
      </w:pPr>
    </w:p>
    <w:p>
      <w:pPr>
        <w:jc w:val="both"/>
        <w:ind w:right="720"/>
        <w:spacing w:after="0" w:line="312"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3" w:lineRule="exact"/>
        <w:rPr>
          <w:sz w:val="20"/>
          <w:szCs w:val="20"/>
          <w:color w:val="auto"/>
        </w:rPr>
      </w:pPr>
    </w:p>
    <w:p>
      <w:pPr>
        <w:jc w:val="center"/>
        <w:ind w:right="-39"/>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815340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160"/>
          </w:cols>
          <w:pgMar w:left="840" w:top="513" w:right="8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ectPr>
          <w:pgSz w:w="11900" w:h="16838" w:orient="portrait"/>
          <w:cols w:equalWidth="0" w:num="1">
            <w:col w:w="10040"/>
          </w:cols>
          <w:pgMar w:left="840" w:top="513" w:right="1019" w:bottom="1440" w:gutter="0" w:footer="0" w:header="0"/>
        </w:sectPr>
      </w:pPr>
    </w:p>
    <w:p>
      <w:pPr>
        <w:spacing w:after="0" w:line="100" w:lineRule="exact"/>
        <w:rPr>
          <w:sz w:val="20"/>
          <w:szCs w:val="20"/>
          <w:color w:val="auto"/>
        </w:rPr>
      </w:pPr>
    </w:p>
    <w:p>
      <w:pPr>
        <w:jc w:val="center"/>
        <w:ind w:left="70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680"/>
        <w:spacing w:after="0" w:line="229"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730" w:lineRule="exact"/>
        <w:rPr>
          <w:sz w:val="20"/>
          <w:szCs w:val="20"/>
          <w:color w:val="auto"/>
        </w:rPr>
      </w:pPr>
    </w:p>
    <w:p>
      <w:pPr>
        <w:sectPr>
          <w:pgSz w:w="11900" w:h="16838" w:orient="portrait"/>
          <w:cols w:equalWidth="0" w:num="3">
            <w:col w:w="2760" w:space="720"/>
            <w:col w:w="4020" w:space="720"/>
            <w:col w:w="1820"/>
          </w:cols>
          <w:pgMar w:left="840" w:top="513" w:right="1019" w:bottom="1440" w:gutter="0" w:footer="0" w:header="0"/>
          <w:type w:val="continuous"/>
        </w:sectPr>
      </w:pPr>
    </w:p>
    <w:p>
      <w:pPr>
        <w:spacing w:after="0" w:line="16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1" w:lineRule="exact"/>
        <w:rPr>
          <w:sz w:val="20"/>
          <w:szCs w:val="20"/>
          <w:color w:val="auto"/>
        </w:rPr>
      </w:pPr>
    </w:p>
    <w:p>
      <w:pPr>
        <w:ind w:left="4520" w:hanging="200"/>
        <w:spacing w:after="0" w:line="207" w:lineRule="exact"/>
        <w:tabs>
          <w:tab w:leader="none" w:pos="452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100" w:lineRule="exact"/>
        <w:rPr>
          <w:sz w:val="20"/>
          <w:szCs w:val="20"/>
          <w:color w:val="auto"/>
        </w:rPr>
      </w:pPr>
    </w:p>
    <w:p>
      <w:pPr>
        <w:ind w:left="5000" w:hanging="204"/>
        <w:spacing w:after="0" w:line="207" w:lineRule="exact"/>
        <w:tabs>
          <w:tab w:leader="none" w:pos="500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841375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147320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040"/>
          </w:cols>
          <w:pgMar w:left="840" w:top="513" w:right="1019"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6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bottom w:val="single" w:sz="8" w:color="0000EE"/>
            </w:tcBorders>
          </w:tcPr>
          <w:p>
            <w:pPr>
              <w:spacing w:after="0"/>
              <w:rPr>
                <w:sz w:val="16"/>
                <w:szCs w:val="16"/>
                <w:color w:val="auto"/>
              </w:rPr>
            </w:pPr>
          </w:p>
        </w:tc>
        <w:tc>
          <w:tcPr>
            <w:tcW w:w="52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EE"/>
                <w:w w:val="88"/>
              </w:rPr>
              <w:t>PART I</w:t>
            </w:r>
          </w:p>
        </w:tc>
        <w:tc>
          <w:tcPr>
            <w:tcW w:w="3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6240" w:type="dxa"/>
            <w:vAlign w:val="bottom"/>
            <w:tcBorders>
              <w:bottom w:val="single" w:sz="8" w:color="0000EE"/>
            </w:tcBorders>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ITEM 1. IDENTITY OF DIRECTORS, SENIOR MANAGEMENT AND ADVISERS</w:t>
            </w:r>
          </w:p>
        </w:tc>
        <w:tc>
          <w:tcPr>
            <w:tcW w:w="1360" w:type="dxa"/>
            <w:vAlign w:val="bottom"/>
            <w:tcBorders>
              <w:bottom w:val="single" w:sz="8" w:color="CCEEFF"/>
            </w:tcBorders>
            <w:gridSpan w:val="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Advisers</w:t>
            </w:r>
          </w:p>
        </w:tc>
        <w:tc>
          <w:tcPr>
            <w:tcW w:w="6140" w:type="dxa"/>
            <w:vAlign w:val="bottom"/>
            <w:tcBorders>
              <w:bottom w:val="single" w:sz="8" w:color="CCEEFF"/>
            </w:tcBorders>
            <w:gridSpan w:val="36"/>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Auditors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3840" w:type="dxa"/>
            <w:vAlign w:val="bottom"/>
            <w:tcBorders>
              <w:top w:val="single" w:sz="8" w:color="0000EE"/>
            </w:tcBorders>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Offer statistics</w:t>
            </w:r>
          </w:p>
        </w:tc>
        <w:tc>
          <w:tcPr>
            <w:tcW w:w="2940" w:type="dxa"/>
            <w:vAlign w:val="bottom"/>
            <w:tcBorders>
              <w:top w:val="single" w:sz="8" w:color="CCEEFF"/>
            </w:tcBorders>
            <w:gridSpan w:val="7"/>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Method and expected timetable</w:t>
            </w:r>
          </w:p>
        </w:tc>
        <w:tc>
          <w:tcPr>
            <w:tcW w:w="4520" w:type="dxa"/>
            <w:vAlign w:val="bottom"/>
            <w:tcBorders>
              <w:bottom w:val="single" w:sz="8" w:color="CCEEFF"/>
            </w:tcBorders>
            <w:gridSpan w:val="14"/>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3. KEY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[Reserved]</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Reasons for the offer and use of proceeds</w:t>
            </w:r>
          </w:p>
        </w:tc>
        <w:tc>
          <w:tcPr>
            <w:tcW w:w="3800" w:type="dxa"/>
            <w:vAlign w:val="bottom"/>
            <w:tcBorders>
              <w:bottom w:val="single" w:sz="8" w:color="CCEEFF"/>
            </w:tcBorders>
            <w:gridSpan w:val="9"/>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4. INFORMATION ON THE COMPANY</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History and development of the company</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 overview</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Organizational structure</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4480" w:type="dxa"/>
            <w:vAlign w:val="bottom"/>
            <w:tcBorders>
              <w:top w:val="single" w:sz="8" w:color="0000EE"/>
            </w:tcBorders>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Operating results</w:t>
            </w:r>
          </w:p>
        </w:tc>
        <w:tc>
          <w:tcPr>
            <w:tcW w:w="2300" w:type="dxa"/>
            <w:vAlign w:val="bottom"/>
            <w:tcBorders>
              <w:top w:val="single" w:sz="8" w:color="CCEEFF"/>
            </w:tcBorders>
            <w:gridSpan w:val="4"/>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0000EE"/>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4560" w:type="dxa"/>
            <w:vAlign w:val="bottom"/>
            <w:tcBorders>
              <w:bottom w:val="single" w:sz="8" w:color="CCEEFF"/>
            </w:tcBorders>
            <w:gridSpan w:val="15"/>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Research and development, patents and licenses, etc.</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Trend information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Critical Accounting Estimates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Borders>
              <w:top w:val="single" w:sz="8" w:color="0000EE"/>
            </w:tcBorders>
          </w:tcPr>
          <w:p>
            <w:pPr>
              <w:spacing w:after="0"/>
              <w:rPr>
                <w:sz w:val="16"/>
                <w:szCs w:val="16"/>
                <w:color w:val="auto"/>
              </w:rPr>
            </w:pPr>
          </w:p>
        </w:tc>
        <w:tc>
          <w:tcPr>
            <w:tcW w:w="4440" w:type="dxa"/>
            <w:vAlign w:val="bottom"/>
            <w:tcBorders>
              <w:top w:val="single" w:sz="8" w:color="0000EE"/>
            </w:tcBorders>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2340" w:type="dxa"/>
            <w:vAlign w:val="bottom"/>
            <w:tcBorders>
              <w:top w:val="single" w:sz="8" w:color="CCEEFF"/>
            </w:tcBorders>
            <w:gridSpan w:val="5"/>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Compensation</w:t>
            </w:r>
          </w:p>
        </w:tc>
        <w:tc>
          <w:tcPr>
            <w:tcW w:w="5740" w:type="dxa"/>
            <w:vAlign w:val="bottom"/>
            <w:tcBorders>
              <w:bottom w:val="single" w:sz="8" w:color="CCEEFF"/>
            </w:tcBorders>
            <w:gridSpan w:val="3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Board practices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Employees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Share ownership</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EE"/>
              </w:rPr>
              <w:t>F.</w:t>
            </w:r>
          </w:p>
        </w:tc>
        <w:tc>
          <w:tcPr>
            <w:tcW w:w="300" w:type="dxa"/>
            <w:vAlign w:val="bottom"/>
            <w:shd w:val="clear" w:color="auto" w:fill="CCEEFF"/>
          </w:tcPr>
          <w:p>
            <w:pPr>
              <w:spacing w:after="0"/>
              <w:rPr>
                <w:sz w:val="19"/>
                <w:szCs w:val="19"/>
                <w:color w:val="auto"/>
              </w:rPr>
            </w:pPr>
          </w:p>
        </w:tc>
        <w:tc>
          <w:tcPr>
            <w:tcW w:w="6780" w:type="dxa"/>
            <w:vAlign w:val="bottom"/>
            <w:gridSpan w:val="4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Disclosure of a registrant’s action to recover erroneously awarded compensation</w:t>
            </w:r>
          </w:p>
        </w:tc>
        <w:tc>
          <w:tcPr>
            <w:tcW w:w="12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600" w:type="dxa"/>
            <w:vAlign w:val="bottom"/>
            <w:gridSpan w:val="46"/>
          </w:tcPr>
          <w:p>
            <w:pPr>
              <w:spacing w:after="0" w:line="183" w:lineRule="exact"/>
              <w:rPr>
                <w:sz w:val="20"/>
                <w:szCs w:val="20"/>
                <w:color w:val="auto"/>
              </w:rPr>
            </w:pPr>
            <w:r>
              <w:rPr>
                <w:rFonts w:ascii="Times New Roman" w:cs="Times New Roman" w:eastAsia="Times New Roman" w:hAnsi="Times New Roman"/>
                <w:sz w:val="18"/>
                <w:szCs w:val="18"/>
                <w:color w:val="0000EE"/>
              </w:rPr>
              <w:t>ITEM 7. MAJOR SHAREHOLDERS AND RELATED-PARTY TRANSACTIONS</w:t>
            </w:r>
          </w:p>
        </w:tc>
        <w:tc>
          <w:tcPr>
            <w:tcW w:w="128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Major shareholders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Related-party transactions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Interests of experts and counsel</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and other financial information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40" w:type="dxa"/>
            <w:vAlign w:val="bottom"/>
            <w:tcBorders>
              <w:top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Significant changes</w:t>
            </w:r>
          </w:p>
        </w:tc>
        <w:tc>
          <w:tcPr>
            <w:tcW w:w="2740" w:type="dxa"/>
            <w:vAlign w:val="bottom"/>
            <w:tcBorders>
              <w:top w:val="single" w:sz="8" w:color="CCEEFF"/>
            </w:tcBorders>
            <w:gridSpan w:val="6"/>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2780" w:type="dxa"/>
            <w:vAlign w:val="bottom"/>
            <w:tcBorders>
              <w:bottom w:val="single" w:sz="8" w:color="0000EE"/>
            </w:tcBorders>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ITEM 9. THE OFFER AND LISTING</w:t>
            </w:r>
          </w:p>
        </w:tc>
        <w:tc>
          <w:tcPr>
            <w:tcW w:w="4820" w:type="dxa"/>
            <w:vAlign w:val="bottom"/>
            <w:tcBorders>
              <w:bottom w:val="single" w:sz="8" w:color="CCEEFF"/>
            </w:tcBorders>
            <w:gridSpan w:val="18"/>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300" w:type="dxa"/>
            <w:vAlign w:val="bottom"/>
          </w:tcPr>
          <w:p>
            <w:pPr>
              <w:spacing w:after="0"/>
              <w:rPr>
                <w:sz w:val="16"/>
                <w:szCs w:val="16"/>
                <w:color w:val="auto"/>
              </w:rPr>
            </w:pPr>
          </w:p>
        </w:tc>
        <w:tc>
          <w:tcPr>
            <w:tcW w:w="6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Offering and listing details</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4"/>
              </w:rPr>
              <w:t>B.</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4"/>
              </w:rPr>
              <w:t>C.</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38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Markets</w:t>
            </w:r>
          </w:p>
        </w:tc>
        <w:tc>
          <w:tcPr>
            <w:tcW w:w="5400" w:type="dxa"/>
            <w:vAlign w:val="bottom"/>
            <w:tcBorders>
              <w:top w:val="single" w:sz="8" w:color="CCEEFF"/>
            </w:tcBorders>
            <w:gridSpan w:val="26"/>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300" w:type="dxa"/>
            <w:vAlign w:val="bottom"/>
            <w:shd w:val="clear" w:color="auto" w:fill="CCEEFF"/>
          </w:tcPr>
          <w:p>
            <w:pPr>
              <w:spacing w:after="0"/>
              <w:rPr>
                <w:sz w:val="18"/>
                <w:szCs w:val="18"/>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shareholders</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0"/>
              </w:rPr>
              <w:t>E.</w:t>
            </w:r>
          </w:p>
        </w:tc>
        <w:tc>
          <w:tcPr>
            <w:tcW w:w="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6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5320" w:type="dxa"/>
            <w:vAlign w:val="bottom"/>
            <w:tcBorders>
              <w:top w:val="single" w:sz="8" w:color="CCEEFF"/>
            </w:tcBorders>
            <w:gridSpan w:val="24"/>
          </w:tcPr>
          <w:p>
            <w:pPr>
              <w:spacing w:after="0"/>
              <w:rPr>
                <w:sz w:val="16"/>
                <w:szCs w:val="16"/>
                <w:color w:val="auto"/>
              </w:rPr>
            </w:pPr>
          </w:p>
        </w:tc>
        <w:tc>
          <w:tcPr>
            <w:tcW w:w="12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w:t>
            </w:r>
          </w:p>
        </w:tc>
        <w:tc>
          <w:tcPr>
            <w:tcW w:w="300" w:type="dxa"/>
            <w:vAlign w:val="bottom"/>
            <w:shd w:val="clear" w:color="auto" w:fill="CCEEFF"/>
          </w:tcPr>
          <w:p>
            <w:pPr>
              <w:spacing w:after="0"/>
              <w:rPr>
                <w:sz w:val="16"/>
                <w:szCs w:val="16"/>
                <w:color w:val="auto"/>
              </w:rPr>
            </w:pPr>
          </w:p>
        </w:tc>
        <w:tc>
          <w:tcPr>
            <w:tcW w:w="678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Expenses of the issue</w:t>
            </w: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14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ITEM 10. ADDITIONAL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Share capital</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Memorandum and articles of association</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130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Material contracts</w:t>
            </w:r>
          </w:p>
        </w:tc>
        <w:tc>
          <w:tcPr>
            <w:tcW w:w="6000" w:type="dxa"/>
            <w:vAlign w:val="bottom"/>
            <w:tcBorders>
              <w:bottom w:val="single" w:sz="8" w:color="CCEEFF"/>
            </w:tcBorders>
            <w:gridSpan w:val="27"/>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Exchange controls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E.</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62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Taxation</w:t>
            </w:r>
          </w:p>
        </w:tc>
        <w:tc>
          <w:tcPr>
            <w:tcW w:w="6680" w:type="dxa"/>
            <w:vAlign w:val="bottom"/>
            <w:tcBorders>
              <w:bottom w:val="single" w:sz="8" w:color="CCEEFF"/>
            </w:tcBorders>
            <w:gridSpan w:val="33"/>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7"/>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0000EE"/>
                <w:w w:val="96"/>
              </w:rPr>
              <w:t>F.</w:t>
            </w: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Dividends and paying agents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G.</w:t>
            </w:r>
          </w:p>
        </w:tc>
        <w:tc>
          <w:tcPr>
            <w:tcW w:w="73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Statement by experts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H.</w:t>
            </w: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Documents on display</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6"/>
            <w:shd w:val="clear" w:color="auto" w:fill="CCEEFF"/>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0000EE"/>
                <w:w w:val="94"/>
              </w:rPr>
              <w:t>I.</w:t>
            </w:r>
          </w:p>
        </w:tc>
        <w:tc>
          <w:tcPr>
            <w:tcW w:w="73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Subsidiary information</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7"/>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J.</w:t>
            </w: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Annual report to security holders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260" w:type="dxa"/>
            <w:vAlign w:val="bottom"/>
            <w:tcBorders>
              <w:top w:val="single" w:sz="8" w:color="CCEEFF"/>
            </w:tcBorders>
            <w:gridSpan w:val="2"/>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Debt securities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Warrants and rights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gridSpan w:val="3"/>
            <w:shd w:val="clear" w:color="auto" w:fill="CCEEFF"/>
          </w:tcPr>
          <w:p>
            <w:pPr>
              <w:spacing w:after="0"/>
              <w:rPr>
                <w:sz w:val="16"/>
                <w:szCs w:val="16"/>
                <w:color w:val="auto"/>
              </w:rPr>
            </w:pPr>
          </w:p>
        </w:tc>
        <w:tc>
          <w:tcPr>
            <w:tcW w:w="73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securities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American depositary shares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0000EE"/>
            </w:tcBorders>
            <w:vMerge w:val="continue"/>
          </w:tcPr>
          <w:p>
            <w:pPr>
              <w:spacing w:after="0"/>
              <w:rPr>
                <w:sz w:val="18"/>
                <w:szCs w:val="18"/>
                <w:color w:val="auto"/>
              </w:rPr>
            </w:pPr>
          </w:p>
        </w:tc>
        <w:tc>
          <w:tcPr>
            <w:tcW w:w="58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9"/>
              </w:rPr>
              <w:t>PART II</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Defaults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Arrears and delinquencies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bottom w:val="single" w:sz="8" w:color="0000EE"/>
            </w:tcBorders>
          </w:tcPr>
          <w:p>
            <w:pPr>
              <w:spacing w:after="0"/>
              <w:rPr>
                <w:sz w:val="21"/>
                <w:szCs w:val="21"/>
                <w:color w:val="auto"/>
              </w:rPr>
            </w:pPr>
          </w:p>
        </w:tc>
        <w:tc>
          <w:tcPr>
            <w:tcW w:w="900" w:type="dxa"/>
            <w:vAlign w:val="bottom"/>
            <w:tcBorders>
              <w:top w:val="single" w:sz="8" w:color="0000EE"/>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PROCEEDS</w:t>
            </w:r>
          </w:p>
        </w:tc>
        <w:tc>
          <w:tcPr>
            <w:tcW w:w="6720" w:type="dxa"/>
            <w:vAlign w:val="bottom"/>
            <w:tcBorders>
              <w:top w:val="single" w:sz="8" w:color="0000EE"/>
              <w:bottom w:val="single" w:sz="8" w:color="CCEEFF"/>
            </w:tcBorders>
            <w:gridSpan w:val="35"/>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gridSpan w:val="8"/>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A.</w:t>
            </w:r>
          </w:p>
        </w:tc>
        <w:tc>
          <w:tcPr>
            <w:tcW w:w="73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Disclosure controls and procedures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B.</w:t>
            </w:r>
          </w:p>
        </w:tc>
        <w:tc>
          <w:tcPr>
            <w:tcW w:w="340" w:type="dxa"/>
            <w:vAlign w:val="bottom"/>
            <w:gridSpan w:val="3"/>
          </w:tcPr>
          <w:p>
            <w:pPr>
              <w:spacing w:after="0"/>
              <w:rPr>
                <w:sz w:val="16"/>
                <w:szCs w:val="16"/>
                <w:color w:val="auto"/>
              </w:rPr>
            </w:pP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Management’s Annual Report on internal control over financial reporting</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6"/>
              </w:rPr>
              <w:t>C.</w:t>
            </w:r>
          </w:p>
        </w:tc>
        <w:tc>
          <w:tcPr>
            <w:tcW w:w="340" w:type="dxa"/>
            <w:vAlign w:val="bottom"/>
            <w:tcBorders>
              <w:bottom w:val="single" w:sz="8" w:color="CCEEFF"/>
            </w:tcBorders>
            <w:gridSpan w:val="3"/>
            <w:shd w:val="clear" w:color="auto" w:fill="CCEEFF"/>
          </w:tcPr>
          <w:p>
            <w:pPr>
              <w:spacing w:after="0"/>
              <w:rPr>
                <w:sz w:val="18"/>
                <w:szCs w:val="18"/>
                <w:color w:val="auto"/>
              </w:rPr>
            </w:pPr>
          </w:p>
        </w:tc>
        <w:tc>
          <w:tcPr>
            <w:tcW w:w="4160" w:type="dxa"/>
            <w:vAlign w:val="bottom"/>
            <w:tcBorders>
              <w:bottom w:val="single" w:sz="8" w:color="0000EE"/>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Attestation report of the registered public accounting firm</w:t>
            </w:r>
          </w:p>
        </w:tc>
        <w:tc>
          <w:tcPr>
            <w:tcW w:w="3140" w:type="dxa"/>
            <w:vAlign w:val="bottom"/>
            <w:tcBorders>
              <w:bottom w:val="single" w:sz="8" w:color="CCEEFF"/>
            </w:tcBorders>
            <w:gridSpan w:val="8"/>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gridSpan w:val="8"/>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0000EE"/>
              </w:rPr>
              <w:t>D.</w:t>
            </w:r>
          </w:p>
        </w:tc>
        <w:tc>
          <w:tcPr>
            <w:tcW w:w="73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Changes in internal control over financial reporting</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 [RESERVED]</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16A. Audit committee financial experts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192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ITEM 16B. Code of Ethics</w:t>
            </w:r>
          </w:p>
        </w:tc>
        <w:tc>
          <w:tcPr>
            <w:tcW w:w="6200" w:type="dxa"/>
            <w:vAlign w:val="bottom"/>
            <w:tcBorders>
              <w:bottom w:val="single" w:sz="8" w:color="CCEEFF"/>
            </w:tcBorders>
            <w:gridSpan w:val="29"/>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5140" w:type="dxa"/>
            <w:vAlign w:val="bottom"/>
            <w:tcBorders>
              <w:bottom w:val="single" w:sz="8" w:color="0000EE"/>
            </w:tcBorders>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2980" w:type="dxa"/>
            <w:vAlign w:val="bottom"/>
            <w:tcBorders>
              <w:bottom w:val="single" w:sz="8" w:color="CCEEFF"/>
            </w:tcBorders>
            <w:gridSpan w:val="7"/>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3960" w:type="dxa"/>
            <w:vAlign w:val="bottom"/>
            <w:tcBorders>
              <w:top w:val="single" w:sz="8" w:color="0000EE"/>
            </w:tcBorders>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4160" w:type="dxa"/>
            <w:vAlign w:val="bottom"/>
            <w:tcBorders>
              <w:top w:val="single" w:sz="8" w:color="CCEEFF"/>
            </w:tcBorders>
            <w:gridSpan w:val="10"/>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64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0"/>
              </w:rPr>
              <w:t>PART III</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bottom w:val="single" w:sz="8" w:color="0000EE"/>
            </w:tcBorders>
          </w:tcPr>
          <w:p>
            <w:pPr>
              <w:spacing w:after="0"/>
              <w:rPr>
                <w:sz w:val="16"/>
                <w:szCs w:val="16"/>
                <w:color w:val="auto"/>
              </w:rPr>
            </w:pPr>
          </w:p>
        </w:tc>
        <w:tc>
          <w:tcPr>
            <w:tcW w:w="1340" w:type="dxa"/>
            <w:vAlign w:val="bottom"/>
            <w:tcBorders>
              <w:top w:val="single" w:sz="8" w:color="0000EE"/>
              <w:bottom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7"/>
              </w:rPr>
              <w:t>ITEM 19. Exhibits</w:t>
            </w:r>
          </w:p>
        </w:tc>
        <w:tc>
          <w:tcPr>
            <w:tcW w:w="860" w:type="dxa"/>
            <w:vAlign w:val="bottom"/>
            <w:tcBorders>
              <w:top w:val="single" w:sz="8" w:color="0000EE"/>
            </w:tcBorders>
            <w:gridSpan w:val="10"/>
          </w:tcPr>
          <w:p>
            <w:pPr>
              <w:spacing w:after="0"/>
              <w:rPr>
                <w:sz w:val="16"/>
                <w:szCs w:val="16"/>
                <w:color w:val="auto"/>
              </w:rPr>
            </w:pPr>
          </w:p>
        </w:tc>
        <w:tc>
          <w:tcPr>
            <w:tcW w:w="5920" w:type="dxa"/>
            <w:vAlign w:val="bottom"/>
            <w:tcBorders>
              <w:top w:val="single" w:sz="8" w:color="CCEEFF"/>
            </w:tcBorders>
            <w:gridSpan w:val="25"/>
          </w:tcPr>
          <w:p>
            <w:pPr>
              <w:spacing w:after="0"/>
              <w:rPr>
                <w:sz w:val="16"/>
                <w:szCs w:val="16"/>
                <w:color w:val="auto"/>
              </w:rPr>
            </w:pPr>
          </w:p>
        </w:tc>
        <w:tc>
          <w:tcPr>
            <w:tcW w:w="76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60" w:right="79" w:firstLine="324"/>
        <w:spacing w:after="0" w:line="230"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annual report on Form 20-F (the “Annual Report”) to “AC Immune,” “ACIU,” “Company,” “we,” “our,” “ours,” “us” or similar terms refer to AC Immune SA together with its subsidiary. The Company owns various registered and unregistered trademarks, for some of which protection has been obtained or is being sought, including Morphomer™, SupraAntigen</w:t>
      </w:r>
      <w:r>
        <w:rPr>
          <w:rFonts w:ascii="Times New Roman" w:cs="Times New Roman" w:eastAsia="Times New Roman" w:hAnsi="Times New Roman"/>
          <w:sz w:val="26"/>
          <w:szCs w:val="26"/>
          <w:color w:val="222222"/>
          <w:vertAlign w:val="superscript"/>
        </w:rPr>
        <w:t>®</w:t>
      </w:r>
      <w:r>
        <w:rPr>
          <w:rFonts w:ascii="Times New Roman" w:cs="Times New Roman" w:eastAsia="Times New Roman" w:hAnsi="Times New Roman"/>
          <w:sz w:val="18"/>
          <w:szCs w:val="18"/>
          <w:color w:val="auto"/>
        </w:rPr>
        <w:t xml:space="preserve"> and its corporate name, logo and Nasdaq Global Market symbol. All other trademarks, trade names and service marks of other companies appearing in this Annual Report are the property of their respective owners. Solely for convenience, the trademarks and trade names in this Annual Report may be referred to without the respective </w:t>
      </w:r>
      <w:r>
        <w:rPr>
          <w:rFonts w:ascii="Times New Roman" w:cs="Times New Roman" w:eastAsia="Times New Roman" w:hAnsi="Times New Roman"/>
          <w:sz w:val="26"/>
          <w:szCs w:val="26"/>
          <w:color w:val="222222"/>
          <w:vertAlign w:val="superscript"/>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presented in Swiss Francs and in accordance with International Financial Reporting Standards (IFRS), as issued by the International Accounting Standards Board (IASB). None of the consolidated financial statements was prepared in accordance with generally accepted accounting principles in the United States (U.S.). The terms “dollar” and “USD” refer to U.S. dollars, and the terms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(R&amp;D)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9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information—D. Risk factors” in this Annual Report. These risks and uncertainties include multiple factors:</w:t>
      </w:r>
    </w:p>
    <w:p>
      <w:pPr>
        <w:spacing w:after="0" w:line="203" w:lineRule="exact"/>
        <w:rPr>
          <w:sz w:val="20"/>
          <w:szCs w:val="20"/>
          <w:color w:val="auto"/>
        </w:rPr>
      </w:pPr>
    </w:p>
    <w:p>
      <w:pPr>
        <w:ind w:left="720" w:right="139" w:hanging="319"/>
        <w:spacing w:after="0" w:line="27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our vaccines (ACI-35.030, ACI-24.060 and ACI-7104.056), monoclonal antibodies (semorinemab and crenezumab) and diagnostics (Tau-PET tracer PI-2620 and a-syn PET tracer ACI-12589) and to a lesser extent our preclinical candidates;</w:t>
      </w:r>
    </w:p>
    <w:p>
      <w:pPr>
        <w:spacing w:after="0" w:line="8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720" w:right="12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720" w:right="179" w:hanging="319"/>
        <w:spacing w:after="0" w:line="312" w:lineRule="auto"/>
        <w:tabs>
          <w:tab w:leader="none" w:pos="7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39" w:lineRule="exact"/>
        <w:rPr>
          <w:rFonts w:ascii="Times New Roman" w:cs="Times New Roman" w:eastAsia="Times New Roman" w:hAnsi="Times New Roman"/>
          <w:sz w:val="17"/>
          <w:szCs w:val="17"/>
          <w:color w:val="auto"/>
        </w:rPr>
      </w:pPr>
    </w:p>
    <w:p>
      <w:pPr>
        <w:ind w:left="720" w:right="4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“Item 3. Key information—D. Risk factors.”</w:t>
      </w:r>
    </w:p>
    <w:p>
      <w:pPr>
        <w:spacing w:after="0" w:line="22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applicable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5" w:lineRule="exact"/>
        <w:rPr>
          <w:sz w:val="20"/>
          <w:szCs w:val="20"/>
          <w:color w:val="auto"/>
        </w:rPr>
      </w:pPr>
    </w:p>
    <w:p>
      <w:pPr>
        <w:ind w:left="380" w:right="6039" w:hanging="330"/>
        <w:spacing w:after="0" w:line="500" w:lineRule="auto"/>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senior management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Advisers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1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5" w:lineRule="exact"/>
        <w:rPr>
          <w:sz w:val="20"/>
          <w:szCs w:val="20"/>
          <w:color w:val="auto"/>
        </w:rPr>
      </w:pPr>
    </w:p>
    <w:p>
      <w:pPr>
        <w:jc w:val="both"/>
        <w:ind w:left="380" w:right="7519" w:hanging="330"/>
        <w:spacing w:after="0" w:line="530" w:lineRule="auto"/>
        <w:tabs>
          <w:tab w:leader="none" w:pos="38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 statistics </w:t>
      </w:r>
      <w:r>
        <w:rPr>
          <w:rFonts w:ascii="Times New Roman" w:cs="Times New Roman" w:eastAsia="Times New Roman" w:hAnsi="Times New Roman"/>
          <w:sz w:val="17"/>
          <w:szCs w:val="17"/>
          <w:color w:val="auto"/>
        </w:rPr>
        <w:t>Not applicable.</w:t>
      </w:r>
    </w:p>
    <w:p>
      <w:pPr>
        <w:ind w:left="380" w:right="6239" w:hanging="330"/>
        <w:spacing w:after="0" w:line="500" w:lineRule="auto"/>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 and expected timetable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12"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80" w:right="6179" w:hanging="330"/>
        <w:spacing w:after="0" w:line="500" w:lineRule="auto"/>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5499" w:hanging="330"/>
        <w:spacing w:after="0" w:line="500" w:lineRule="auto"/>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w:t>
      </w:r>
    </w:p>
    <w:p>
      <w:pPr>
        <w:spacing w:after="0" w:line="29" w:lineRule="exact"/>
        <w:rPr>
          <w:sz w:val="20"/>
          <w:szCs w:val="20"/>
          <w:color w:val="auto"/>
        </w:rPr>
      </w:pPr>
    </w:p>
    <w:p>
      <w:pPr>
        <w:ind w:left="60" w:right="59"/>
        <w:spacing w:after="0" w:line="249" w:lineRule="auto"/>
        <w:rPr>
          <w:sz w:val="20"/>
          <w:szCs w:val="20"/>
          <w:color w:val="auto"/>
        </w:rPr>
      </w:pPr>
      <w:r>
        <w:rPr>
          <w:rFonts w:ascii="Times New Roman" w:cs="Times New Roman" w:eastAsia="Times New Roman" w:hAnsi="Times New Roman"/>
          <w:sz w:val="18"/>
          <w:szCs w:val="18"/>
          <w:i w:val="1"/>
          <w:iCs w:val="1"/>
          <w:color w:val="auto"/>
        </w:rPr>
        <w:t>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below provides a summary of our principal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depend heavily on the success of our clinical and, to a lesser extent, preclinical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139" w:hanging="331"/>
        <w:spacing w:after="0" w:line="266" w:lineRule="auto"/>
        <w:tabs>
          <w:tab w:leader="none" w:pos="1380" w:val="left"/>
        </w:tabs>
        <w:numPr>
          <w:ilvl w:val="1"/>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ability to generate product revenues, which we do not expect to occur for several years, will depend on clinical and regulatory success which have low probabilities of success in the central nervous system (CNS) space in which we operate.</w:t>
      </w:r>
    </w:p>
    <w:p>
      <w:pPr>
        <w:spacing w:after="0" w:line="175"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Results of early preclinical and clinical studies may not be predictive of future results:</w:t>
      </w:r>
    </w:p>
    <w:p>
      <w:pPr>
        <w:spacing w:after="0" w:line="225" w:lineRule="exact"/>
        <w:rPr>
          <w:rFonts w:ascii="Times New Roman" w:cs="Times New Roman" w:eastAsia="Times New Roman" w:hAnsi="Times New Roman"/>
          <w:sz w:val="18"/>
          <w:szCs w:val="18"/>
          <w:color w:val="222222"/>
        </w:rPr>
      </w:pPr>
    </w:p>
    <w:p>
      <w:pPr>
        <w:ind w:left="1380" w:right="219" w:hanging="331"/>
        <w:spacing w:after="0" w:line="282" w:lineRule="auto"/>
        <w:tabs>
          <w:tab w:leader="none" w:pos="1380" w:val="left"/>
        </w:tabs>
        <w:numPr>
          <w:ilvl w:val="1"/>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Products that show positive or timely preclinical or early clinical results may not show sufficient safety or efficacy in later-stage clinical studies and therefore may fail to obtain regulatory approvals.</w:t>
      </w:r>
    </w:p>
    <w:p>
      <w:pPr>
        <w:spacing w:after="0" w:line="161"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gain market acceptance or may be preempted by competitors:</w:t>
      </w:r>
    </w:p>
    <w:p>
      <w:pPr>
        <w:spacing w:after="0" w:line="225" w:lineRule="exact"/>
        <w:rPr>
          <w:rFonts w:ascii="Times New Roman" w:cs="Times New Roman" w:eastAsia="Times New Roman" w:hAnsi="Times New Roman"/>
          <w:sz w:val="18"/>
          <w:szCs w:val="18"/>
          <w:color w:val="auto"/>
        </w:rPr>
      </w:pPr>
    </w:p>
    <w:p>
      <w:pPr>
        <w:ind w:left="1380" w:right="519" w:hanging="331"/>
        <w:spacing w:after="0" w:line="282" w:lineRule="auto"/>
        <w:tabs>
          <w:tab w:leader="none" w:pos="1380" w:val="left"/>
        </w:tabs>
        <w:numPr>
          <w:ilvl w:val="1"/>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Even if our products obtain regulatory approval, they may not be accepted by healthcare providers, patients or the medical community.</w:t>
      </w:r>
    </w:p>
    <w:p>
      <w:pPr>
        <w:spacing w:after="0" w:line="161" w:lineRule="exact"/>
        <w:rPr>
          <w:rFonts w:ascii="Times New Roman" w:cs="Times New Roman" w:eastAsia="Times New Roman" w:hAnsi="Times New Roman"/>
          <w:sz w:val="18"/>
          <w:szCs w:val="18"/>
          <w:color w:val="222222"/>
        </w:rPr>
      </w:pPr>
    </w:p>
    <w:p>
      <w:pPr>
        <w:ind w:left="1380" w:right="119" w:hanging="331"/>
        <w:spacing w:after="0" w:line="261" w:lineRule="auto"/>
        <w:tabs>
          <w:tab w:leader="none" w:pos="1380" w:val="left"/>
        </w:tabs>
        <w:numPr>
          <w:ilvl w:val="1"/>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success is dependent on the ability to discover, develop and obtain marketing approval for our products. We face and will continue to face intense competition from a variety of businesses, including large fully integrated biopharmaceutical and pharmaceutical companies and others that may have greater financial, technical and human resources.</w:t>
      </w:r>
    </w:p>
    <w:p>
      <w:pPr>
        <w:spacing w:after="0" w:line="166" w:lineRule="exact"/>
        <w:rPr>
          <w:rFonts w:ascii="Times New Roman" w:cs="Times New Roman" w:eastAsia="Times New Roman" w:hAnsi="Times New Roman"/>
          <w:sz w:val="18"/>
          <w:szCs w:val="18"/>
          <w:color w:val="222222"/>
        </w:rPr>
      </w:pPr>
    </w:p>
    <w:p>
      <w:pPr>
        <w:ind w:left="1380" w:hanging="331"/>
        <w:spacing w:after="0"/>
        <w:tabs>
          <w:tab w:leader="none" w:pos="1380" w:val="left"/>
        </w:tabs>
        <w:numPr>
          <w:ilvl w:val="1"/>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A competitor may enter with a generic of an approved innovator product.</w:t>
      </w:r>
    </w:p>
    <w:p>
      <w:pPr>
        <w:spacing w:after="0" w:line="225" w:lineRule="exact"/>
        <w:rPr>
          <w:rFonts w:ascii="Times New Roman" w:cs="Times New Roman" w:eastAsia="Times New Roman" w:hAnsi="Times New Roman"/>
          <w:sz w:val="18"/>
          <w:szCs w:val="18"/>
          <w:color w:val="222222"/>
        </w:rPr>
      </w:pPr>
    </w:p>
    <w:p>
      <w:pPr>
        <w:ind w:left="720" w:right="479" w:hanging="319"/>
        <w:spacing w:after="0" w:line="282" w:lineRule="auto"/>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not be successful in using and expanding our Morphomer and SupraAntigen proprietary technology platforms.</w:t>
      </w:r>
    </w:p>
    <w:p>
      <w:pPr>
        <w:spacing w:after="0" w:line="161" w:lineRule="exact"/>
        <w:rPr>
          <w:rFonts w:ascii="Times New Roman" w:cs="Times New Roman" w:eastAsia="Times New Roman" w:hAnsi="Times New Roman"/>
          <w:sz w:val="18"/>
          <w:szCs w:val="18"/>
          <w:color w:val="222222"/>
        </w:rPr>
      </w:pPr>
    </w:p>
    <w:p>
      <w:pPr>
        <w:ind w:left="720" w:right="659" w:hanging="319"/>
        <w:spacing w:after="0" w:line="282" w:lineRule="auto"/>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operate in highly competitive and rapidly changing industries, which may result in others discovering, developing or commercializing competing products before or more successfully than we do.</w:t>
      </w:r>
    </w:p>
    <w:p>
      <w:pPr>
        <w:spacing w:after="0" w:line="161" w:lineRule="exact"/>
        <w:rPr>
          <w:rFonts w:ascii="Times New Roman" w:cs="Times New Roman" w:eastAsia="Times New Roman" w:hAnsi="Times New Roman"/>
          <w:sz w:val="18"/>
          <w:szCs w:val="18"/>
          <w:color w:val="222222"/>
        </w:rPr>
      </w:pPr>
    </w:p>
    <w:p>
      <w:pPr>
        <w:ind w:left="720" w:right="639" w:hanging="319"/>
        <w:spacing w:after="0" w:line="282" w:lineRule="auto"/>
        <w:tabs>
          <w:tab w:leader="none" w:pos="720" w:val="left"/>
        </w:tabs>
        <w:numPr>
          <w:ilvl w:val="0"/>
          <w:numId w:val="1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future growth and ability to compete depends on retaining our key personnel and recruiting additional qualified personnel including members of our Executive Committee.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9" w:lineRule="exact"/>
        <w:rPr>
          <w:sz w:val="20"/>
          <w:szCs w:val="20"/>
          <w:color w:val="auto"/>
        </w:rPr>
      </w:pPr>
    </w:p>
    <w:p>
      <w:pPr>
        <w:ind w:left="720" w:right="299" w:hanging="319"/>
        <w:spacing w:after="0" w:line="312" w:lineRule="auto"/>
        <w:tabs>
          <w:tab w:leader="none" w:pos="720" w:val="left"/>
        </w:tabs>
        <w:numPr>
          <w:ilvl w:val="0"/>
          <w:numId w:val="18"/>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If we fail to maintain, or realize the benefits from, our current strategic relationships with our current and potential future license and collaboration partners our financial condition may be materially adversely affected.</w:t>
      </w:r>
    </w:p>
    <w:p>
      <w:pPr>
        <w:spacing w:after="0" w:line="139" w:lineRule="exact"/>
        <w:rPr>
          <w:rFonts w:ascii="Times New Roman" w:cs="Times New Roman" w:eastAsia="Times New Roman" w:hAnsi="Times New Roman"/>
          <w:sz w:val="17"/>
          <w:szCs w:val="17"/>
          <w:color w:val="222222"/>
        </w:rPr>
      </w:pPr>
    </w:p>
    <w:p>
      <w:pPr>
        <w:ind w:left="720" w:right="199" w:hanging="319"/>
        <w:spacing w:after="0" w:line="266" w:lineRule="auto"/>
        <w:tabs>
          <w:tab w:leader="none" w:pos="720" w:val="left"/>
        </w:tabs>
        <w:numPr>
          <w:ilvl w:val="0"/>
          <w:numId w:val="1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75"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Our collaboration agreements may make us an attractive acquisition target under certain circumstances.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720" w:right="419" w:hanging="319"/>
        <w:spacing w:after="0" w:line="282" w:lineRule="auto"/>
        <w:tabs>
          <w:tab w:leader="none" w:pos="720" w:val="left"/>
        </w:tabs>
        <w:numPr>
          <w:ilvl w:val="0"/>
          <w:numId w:val="1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or our licensing or collaboration partners may not have sufficient patent terms to protect our products and business effectively which may adversely affect our product sales and technology development.</w:t>
      </w:r>
    </w:p>
    <w:p>
      <w:pPr>
        <w:spacing w:after="0" w:line="161" w:lineRule="exact"/>
        <w:rPr>
          <w:rFonts w:ascii="Times New Roman" w:cs="Times New Roman" w:eastAsia="Times New Roman" w:hAnsi="Times New Roman"/>
          <w:sz w:val="18"/>
          <w:szCs w:val="18"/>
          <w:color w:val="222222"/>
        </w:rPr>
      </w:pPr>
    </w:p>
    <w:p>
      <w:pPr>
        <w:ind w:left="720" w:right="179" w:hanging="319"/>
        <w:spacing w:after="0" w:line="261" w:lineRule="auto"/>
        <w:tabs>
          <w:tab w:leader="none" w:pos="720" w:val="left"/>
        </w:tabs>
        <w:numPr>
          <w:ilvl w:val="0"/>
          <w:numId w:val="1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If we fail to comply with the obligations to obtain and maintain patent protection such as compliance with intellectual property agreements, including those under which we license intellectual property and other rights to or from third parties, or otherwise experience disruptions to our business relationships with our licensees, our licensors and collaboration partners, we could lose intellectual property rights that are important to our business.</w:t>
      </w:r>
    </w:p>
    <w:p>
      <w:pPr>
        <w:spacing w:after="0" w:line="166" w:lineRule="exact"/>
        <w:rPr>
          <w:rFonts w:ascii="Times New Roman" w:cs="Times New Roman" w:eastAsia="Times New Roman" w:hAnsi="Times New Roman"/>
          <w:sz w:val="18"/>
          <w:szCs w:val="18"/>
          <w:color w:val="222222"/>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may be subject to claims challenging the inventorship of our patents and other intellectual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720" w:right="119" w:hanging="319"/>
        <w:spacing w:after="0" w:line="261" w:lineRule="auto"/>
        <w:tabs>
          <w:tab w:leader="none" w:pos="720" w:val="left"/>
        </w:tabs>
        <w:numPr>
          <w:ilvl w:val="0"/>
          <w:numId w:val="2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a clinical stage biopharmaceutical company with a history of losses. We anticipate incurring losses for the foreseeable future. As such, if we fail to obtain additional funding via product revenues, license and collaboration agreements, equity offerings or other forms of financing, we may need to delay, reduce or eliminate certain of our product development programs.</w:t>
      </w:r>
    </w:p>
    <w:p>
      <w:pPr>
        <w:spacing w:after="0" w:line="166" w:lineRule="exact"/>
        <w:rPr>
          <w:rFonts w:ascii="Times New Roman" w:cs="Times New Roman" w:eastAsia="Times New Roman" w:hAnsi="Times New Roman"/>
          <w:sz w:val="18"/>
          <w:szCs w:val="18"/>
          <w:color w:val="222222"/>
        </w:rPr>
      </w:pPr>
    </w:p>
    <w:p>
      <w:pPr>
        <w:ind w:left="720" w:right="259" w:hanging="319"/>
        <w:spacing w:after="0" w:line="282" w:lineRule="auto"/>
        <w:tabs>
          <w:tab w:leader="none" w:pos="720" w:val="left"/>
        </w:tabs>
        <w:numPr>
          <w:ilvl w:val="0"/>
          <w:numId w:val="2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If we fail to obtain additional funding, we may delay, reduce or eliminate our product development programs or commercialization efforts.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9" w:lineRule="exact"/>
        <w:rPr>
          <w:sz w:val="20"/>
          <w:szCs w:val="20"/>
          <w:color w:val="auto"/>
        </w:rPr>
      </w:pPr>
    </w:p>
    <w:p>
      <w:pPr>
        <w:ind w:left="720" w:right="57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cannot give any assurance that any of our product candidates will receive regulatory approval, which is necessary before they can be commercialized.</w:t>
      </w:r>
    </w:p>
    <w:p>
      <w:pPr>
        <w:spacing w:after="0" w:line="161" w:lineRule="exact"/>
        <w:rPr>
          <w:rFonts w:ascii="Times New Roman" w:cs="Times New Roman" w:eastAsia="Times New Roman" w:hAnsi="Times New Roman"/>
          <w:sz w:val="18"/>
          <w:szCs w:val="18"/>
          <w:color w:val="222222"/>
        </w:rPr>
      </w:pPr>
    </w:p>
    <w:p>
      <w:pPr>
        <w:ind w:left="720" w:right="239" w:hanging="319"/>
        <w:spacing w:after="0" w:line="266"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Even if we obtain regulatory approvals in one jurisdiction, we may not be able to obtain approval in other jurisdictions. Additionally, we will be subject to ongoing obligations and review which may result in significant additional expense.</w:t>
      </w:r>
    </w:p>
    <w:p>
      <w:pPr>
        <w:spacing w:after="0" w:line="175" w:lineRule="exact"/>
        <w:rPr>
          <w:rFonts w:ascii="Times New Roman" w:cs="Times New Roman" w:eastAsia="Times New Roman" w:hAnsi="Times New Roman"/>
          <w:sz w:val="18"/>
          <w:szCs w:val="18"/>
          <w:color w:val="222222"/>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have conducted and may in the future conduct clinical studies for our product candidates outside the U.S., and the FDA and applicable foreign regulatory authorities may not accept data from such studies.</w:t>
      </w:r>
    </w:p>
    <w:p>
      <w:pPr>
        <w:spacing w:after="0" w:line="161" w:lineRule="exact"/>
        <w:rPr>
          <w:rFonts w:ascii="Times New Roman" w:cs="Times New Roman" w:eastAsia="Times New Roman" w:hAnsi="Times New Roman"/>
          <w:sz w:val="18"/>
          <w:szCs w:val="18"/>
          <w:color w:val="222222"/>
        </w:rPr>
      </w:pPr>
    </w:p>
    <w:p>
      <w:pPr>
        <w:ind w:left="720" w:right="439" w:hanging="319"/>
        <w:spacing w:after="0" w:line="282" w:lineRule="auto"/>
        <w:tabs>
          <w:tab w:leader="none" w:pos="720" w:val="left"/>
        </w:tabs>
        <w:numPr>
          <w:ilvl w:val="0"/>
          <w:numId w:val="2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Enacted and future legislation may increase the difficulty and cost for us to obtain marketing approval of and commercialize our product candidates and may affect the prices we may set.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229" w:lineRule="exact"/>
        <w:rPr>
          <w:sz w:val="20"/>
          <w:szCs w:val="20"/>
          <w:color w:val="auto"/>
        </w:rPr>
      </w:pPr>
    </w:p>
    <w:p>
      <w:pPr>
        <w:ind w:left="720" w:right="23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have limited free float in our common shares which may have a negative impact on the liquidity and market price of our common shares.</w:t>
      </w:r>
    </w:p>
    <w:p>
      <w:pPr>
        <w:spacing w:after="0" w:line="161" w:lineRule="exact"/>
        <w:rPr>
          <w:rFonts w:ascii="Times New Roman" w:cs="Times New Roman" w:eastAsia="Times New Roman" w:hAnsi="Times New Roman"/>
          <w:sz w:val="18"/>
          <w:szCs w:val="18"/>
          <w:color w:val="222222"/>
        </w:rPr>
      </w:pPr>
    </w:p>
    <w:p>
      <w:pPr>
        <w:ind w:left="720" w:right="15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Certain of our existing shareholders exercise significant control over us, and your or other shareholders’ interests may conflict with the interests of such shareholders.</w:t>
      </w:r>
    </w:p>
    <w:p>
      <w:pPr>
        <w:spacing w:after="0" w:line="161" w:lineRule="exact"/>
        <w:rPr>
          <w:rFonts w:ascii="Times New Roman" w:cs="Times New Roman" w:eastAsia="Times New Roman" w:hAnsi="Times New Roman"/>
          <w:sz w:val="18"/>
          <w:szCs w:val="18"/>
          <w:color w:val="222222"/>
        </w:rPr>
      </w:pPr>
    </w:p>
    <w:p>
      <w:pPr>
        <w:ind w:left="720" w:right="399" w:hanging="319"/>
        <w:spacing w:after="0" w:line="282"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a Swiss corporation. The rights of our shareholders may be different from the rights of shareholders in companies governed by the laws of U.S. jurisdictions.</w:t>
      </w:r>
    </w:p>
    <w:p>
      <w:pPr>
        <w:spacing w:after="0" w:line="161" w:lineRule="exact"/>
        <w:rPr>
          <w:rFonts w:ascii="Times New Roman" w:cs="Times New Roman" w:eastAsia="Times New Roman" w:hAnsi="Times New Roman"/>
          <w:sz w:val="18"/>
          <w:szCs w:val="18"/>
          <w:color w:val="222222"/>
        </w:rPr>
      </w:pPr>
    </w:p>
    <w:p>
      <w:pPr>
        <w:ind w:left="720" w:right="119" w:hanging="319"/>
        <w:spacing w:after="0" w:line="312" w:lineRule="auto"/>
        <w:tabs>
          <w:tab w:leader="none" w:pos="720" w:val="left"/>
        </w:tabs>
        <w:numPr>
          <w:ilvl w:val="0"/>
          <w:numId w:val="22"/>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are an FPI and, as a result, we are not subject to U.S. proxy rules and are subject to Exchange Act reporting obligations that, to some extent, are more lenient and less frequent than those of a U.S. domestic public company.</w:t>
      </w:r>
    </w:p>
    <w:p>
      <w:pPr>
        <w:spacing w:after="0" w:line="139" w:lineRule="exact"/>
        <w:rPr>
          <w:rFonts w:ascii="Times New Roman" w:cs="Times New Roman" w:eastAsia="Times New Roman" w:hAnsi="Times New Roman"/>
          <w:sz w:val="17"/>
          <w:szCs w:val="17"/>
          <w:color w:val="222222"/>
        </w:rPr>
      </w:pPr>
    </w:p>
    <w:p>
      <w:pPr>
        <w:ind w:left="720" w:right="179" w:hanging="319"/>
        <w:spacing w:after="0" w:line="261" w:lineRule="auto"/>
        <w:tabs>
          <w:tab w:leader="none" w:pos="720" w:val="left"/>
        </w:tabs>
        <w:numPr>
          <w:ilvl w:val="0"/>
          <w:numId w:val="2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As an FPI, and as permitted by the listing requirements of Nasdaq, we rely on certain home country governance practices rather than the corporate governance requirements of Nasdaq. Should we lose our FPI status, we would be required to comply with the Exchange Act’s domestic reporting regime, which would cause us to incur significant legal, accounting and other expenses.</w:t>
      </w:r>
    </w:p>
    <w:p>
      <w:pPr>
        <w:spacing w:after="0" w:line="166" w:lineRule="exact"/>
        <w:rPr>
          <w:rFonts w:ascii="Times New Roman" w:cs="Times New Roman" w:eastAsia="Times New Roman" w:hAnsi="Times New Roman"/>
          <w:sz w:val="18"/>
          <w:szCs w:val="18"/>
          <w:color w:val="222222"/>
        </w:rPr>
      </w:pPr>
    </w:p>
    <w:p>
      <w:pPr>
        <w:ind w:left="720" w:right="319" w:hanging="319"/>
        <w:spacing w:after="0" w:line="289" w:lineRule="auto"/>
        <w:tabs>
          <w:tab w:leader="none" w:pos="720" w:val="left"/>
        </w:tabs>
        <w:numPr>
          <w:ilvl w:val="0"/>
          <w:numId w:val="22"/>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We were likely a passive foreign investment company (PFIC) for our 2022 taxable year and we may be a PFIC for 2023 or future taxable years. If we are a PFIC for any taxable year during which a U.S. investor owns our common shares, the investor generally will be subject to adverse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220" w:right="1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clinical and, to a lesser extent, preclinical products. Our clinical product candidates include our vaccines (ACI-35.030, ACI-24.060 and ACI-7104.056), monoclonal antibodies (semorinemab and crenezumab) and diagnostics (Tau-PET tracer PI-2620 and a-syn PET tracer ACI-12589). If our clinical studies are unsuccessful, if we or our collaboration partners do not obtain regulatory approval or if we or our collaboration partners are unable to commercialize our vaccines (ACI-35.030, ACI-24.060 and ACI-7104.056), monoclonal antibodies (semorinemab and crenezumab) and diagnostics (Tau-PET tracer PI-2620 and a-syn PET tracer ACI-12589), or if we experience significant delays in doing so, our business, financial condition and results of operations will be materially adversely affected.</w:t>
      </w:r>
    </w:p>
    <w:p>
      <w:pPr>
        <w:spacing w:after="0" w:line="189"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our vaccines (ACI-35.030, ACI-24.060 and ACI-7104.056), monoclonal antibodies (semorinemab and crenezumab) and diagnostics (Tau-PET tracer PI-2620 and a-syn PET tracer ACI-12589), all of which are in clinical development as well as other preclinical candidates such as our small molecule programs including therapeutics (Morphomer Tau), our TDP-43 antibody, Morphomer a-syn and inflammasome.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In addition, we currently generate no revenues from sales of any drugs or diagnostics, and we may never be able to develop or commercialize a marketable drug or diagnostic. The success of our current and future product candidates will depend on several factors, including, but not limited to, the following:</w:t>
      </w:r>
    </w:p>
    <w:p>
      <w:pPr>
        <w:spacing w:after="0" w:line="197" w:lineRule="exact"/>
        <w:rPr>
          <w:sz w:val="20"/>
          <w:szCs w:val="20"/>
          <w:color w:val="auto"/>
        </w:rPr>
      </w:pPr>
    </w:p>
    <w:p>
      <w:pPr>
        <w:ind w:left="720" w:right="7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and clinical studies that demonstrate the efficacy, safety and clinical utility of our preclinical and clinical product candidates;</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marketing and distribution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 or diagnostic approaches;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enforcing and defending our intellectual property rights and claims and not infringing on third parties’ intellectual property rights.</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Results of early clinical studies may not be predictive of future study results.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Positive or timely results from preclinical or early-stage clinical studies do not ensure positive or timely results in mid-to late-stage clinical studies or product approval by the U.S. FDA, the European Medicines Agency (EMA), or comparable foreign regulatory authorities. Products that show positive preclinical or early clinical results may not show sufficient safety or efficacy in later-stage clinical studies and therefore may fail to obtain regulatory approvals. In addition, preclinical and clinical data are often susceptible to varying interpretations and analyses. Many companies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that the data collected from clinical studies of our product candidates are promising, such data may not be sufficient to support approval by the FDA, the EMA or any other regulatory authority.</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later-stage clinical product candidates, results may differ in general on the basis of the larger number of clinical study sites and the additional countries and languages involved in these clinical studies.</w:t>
      </w:r>
    </w:p>
    <w:p>
      <w:pPr>
        <w:spacing w:after="0" w:line="189" w:lineRule="exact"/>
        <w:rPr>
          <w:sz w:val="20"/>
          <w:szCs w:val="20"/>
          <w:color w:val="auto"/>
        </w:rPr>
      </w:pPr>
    </w:p>
    <w:p>
      <w:pPr>
        <w:ind w:left="60" w:right="299" w:firstLine="324"/>
        <w:spacing w:after="0" w:line="253" w:lineRule="auto"/>
        <w:rPr>
          <w:sz w:val="20"/>
          <w:szCs w:val="20"/>
          <w:color w:val="auto"/>
        </w:rPr>
      </w:pPr>
      <w:r>
        <w:rPr>
          <w:rFonts w:ascii="Times New Roman" w:cs="Times New Roman" w:eastAsia="Times New Roman" w:hAnsi="Times New Roman"/>
          <w:sz w:val="18"/>
          <w:szCs w:val="18"/>
          <w:color w:val="auto"/>
        </w:rPr>
        <w:t>Clinical studies may include subject-reported outcomes, some of which may be captured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are conducting and may conduct will demonstrate consistent or adequate efficacy and safety to obtain regulatory approval to market our product candidates.</w:t>
      </w:r>
    </w:p>
    <w:p>
      <w:pPr>
        <w:spacing w:after="0" w:line="18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87"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conditional approval or otherwise to additional post-marketing studies or other requirements;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product from the market after obtaining marketing approval.</w:t>
      </w:r>
    </w:p>
    <w:p>
      <w:pPr>
        <w:spacing w:after="0" w:line="22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receiving marketing approvals and we may be required to obtain additional funds to complete clinical studies. We cannot assure you that our clinical studies will begin as planned or be completed on schedule, if at all, or that we will not need to amend our studies after they have begun. Significant clinical study delays could also shorten any periods during which we or our collaboration partners may have the exclusive right to commercialize our product candidates, or allow our competitors to bring products to market before we do, which may harm our business and results of operations. In addition, some of the factors that cause, or lead to, clinical study delays may ultimately lead to the denial of regulatory approval of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undertake one or more significant corporate transactions that may not achieve their intended results, may adversely affect our financial condition and our results of operations or result in unforeseeable risks to our business.</w:t>
      </w:r>
    </w:p>
    <w:p>
      <w:pPr>
        <w:spacing w:after="0" w:line="175"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continuously evaluate the acquisition or disposition of operating businesses and assets and may in the future undertake one or more significant transactions, such as our purchase in 2021 of Affiris AG’s (Affiris) program portfolio of therapeutics targeting a-syn, notably our ACI-7104.056, a clinically-validated active vaccine candidate for the treatment of Parkinson’s disease (PD). Any such transaction could be material to our business and could take any number of forms, including mergers, joint ventures and the purchase of equity interests, amongst others. The consideration for</w:t>
      </w:r>
    </w:p>
    <w:p>
      <w:pPr>
        <w:spacing w:after="0" w:line="2"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such acquisitive transactions may include, among other things, cash, common shares or equity interests in us or our subsidiary, or a contribution of equipment to obtain equity interests, and in conjunction with a transaction we might incur additional indebtedness. We also routinely evaluate the benefits of disposing of certain of our assets.</w:t>
      </w:r>
    </w:p>
    <w:p>
      <w:pPr>
        <w:spacing w:after="0" w:line="18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These transactions may present significant risks such as insufficient revenue to offset liabilities assumed, potential loss of significant revenue and income streams, increased or unexpected expenses, inadequate return of capital, regulatory or compliance issues, the triggering of certain covenants in our debt agreements (including accelerated repayment) and unidentified issues not discovered in due diligence. In addition, such transactions could distract management from current operations. As a result of the risks inherent in such transactions, we cannot guarantee that any such transaction will ultimately result in the realization of its anticipated benefits or that it will not have a material adverse effect on our business, financial condition and results of operations. If we were to complete such an acquisition, disposition, investment or other strategic transaction, we may require additional debt or equity financing that could result in a significant increase in our amount of debt and our debt service obligations or the number of outstanding common shares, thereby diluting holders of our common shares outstanding prior to such acquisition.</w:t>
      </w:r>
    </w:p>
    <w:p>
      <w:pPr>
        <w:spacing w:after="0" w:line="185" w:lineRule="exact"/>
        <w:rPr>
          <w:sz w:val="20"/>
          <w:szCs w:val="20"/>
          <w:color w:val="auto"/>
        </w:rPr>
      </w:pPr>
    </w:p>
    <w:p>
      <w:pPr>
        <w:ind w:left="380" w:right="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71"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Act, a pharmaceutical manufacturer may file an abbreviated new drug application (ANDA), seeking approval of a generic copy of an approved innovator product. Under the Hatch-Waxman Act, a manufacturer may also submit a new drug application (NDA) under Section 505(b)(2) that references the FDA’s prior approval of the innovator product. A 505(b)(2) NDA product may be submitted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also be given to the innovator, and if within 45 days of receiving notice the innovator, in order to protect its patents, sues the company that manufactures the generic, approval of the ANDA is stayed for 30 months, or as lengthened or shortened by the court.</w:t>
      </w:r>
    </w:p>
    <w:p>
      <w:pPr>
        <w:spacing w:after="0" w:line="19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Accordingly, if our vaccines (ACI-35.030, ACI-24.060 and ACI-7104.056), monoclonal antibodies (semorinemab and crenezumab) and diagnostics (Tau-PET tracer PI-2620 and a-syn PET tracer ACI-12589) are approved, competitors could file ANDAs for generic versions of our vaccines (ACI-35.030, ACI-24.060 and ACI-7104.056), monoclonal antibodies (semorinemab and crenezumab) and diagnostics (Tau-PET tracer PI-2620 and a-syn PET tracer ACI-12589) or 505(b)(2) NDAs that reference our vaccines (ACI-35.030, ACI-24.060 and ACI-7104.056), monoclonal antibodies (semorinemab and crenezumab) and diagnostics (Tau-PET tracer PI-2620 and a-syn PET tracer ACI-12589), respectively. If there are patents listed in the Orange Book for our vaccines (ACI-35.030, ACI-24.060 and ACI-7104.056), monoclonal antibodies (semorinemab and crenezumab) and diagnostics (Tau-PET tracer PI-2620 and a-syn PET tracer ACI-12589), respectively, those ANDAs and 505(b)(2) NDAs would be required to include a certification for each listed patent, indicating whether the ANDA applicant does or does not intend to challenge the patent. We cannot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6"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5" w:lineRule="exact"/>
        <w:rPr>
          <w:sz w:val="20"/>
          <w:szCs w:val="20"/>
          <w:color w:val="auto"/>
        </w:rPr>
      </w:pPr>
    </w:p>
    <w:p>
      <w:pPr>
        <w:ind w:left="38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75"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For example, the Inflation Reduction Act (IRA) of 2022, among other things, incentivizes the renegotiation with the U.S. government of the prices of certain pharmaceutical drugs and imposes penalties for Medicare drugs that increase in price faster than the rate of inflation. See “—Enacted and future legislation may increase the difficulty and cost for us to obtain marketing approval of and commercialize our product candidates and may affect the prices we may set” below. In light of such challenges to prices and the requirement for increasing levels of evidence of the benefits and clinical outcomes of new technologies, we cannot be sure that coverage will be available for any of our current or future product candidates that we or our collaboration partners will commercialize or,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Third-party payors may deny coverage and reimbursement status altogether for a given drug product, or may cover the product but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in the future depending on policy changes enacted by the U.S. Congress.</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66" w:lineRule="exact"/>
        <w:rPr>
          <w:sz w:val="20"/>
          <w:szCs w:val="20"/>
          <w:color w:val="auto"/>
        </w:rPr>
      </w:pPr>
    </w:p>
    <w:p>
      <w:pPr>
        <w:jc w:val="both"/>
        <w:ind w:left="38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7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Even if the FDA, the EMA or any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or our collaboration partners may not generate significant product or royalty revenues or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profits from operations. The degree of market acceptance of our product candidates that are approved for commercial sale will depend on a variety of factors, including:</w:t>
      </w:r>
    </w:p>
    <w:p>
      <w:pPr>
        <w:spacing w:after="0" w:line="162"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clinicians and potential patients perceive our novel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 or clinical utility;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diagnostics and screening infrastructure in each market;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reimbursement and adequate payment from health maintenance organizations and other third-party payors, both public and private;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225"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to not be large enough to allow us to generate significant revenues.</w:t>
      </w:r>
    </w:p>
    <w:p>
      <w:pPr>
        <w:spacing w:after="0" w:line="1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addition, the potential market opportunity of our product candidates is difficult to estimate precisely. Our estimates of the potential market opportunity are predicated on several key assumptions such as industry knowledge and publications, third-party research reports and other surveys. These assumptions involve the exercise of significant judgment on the part of our management and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healthcare payors and patients, our product or royalty revenue may be limited and it may be more difficult for us to achieve or maintain profitability.</w:t>
      </w:r>
    </w:p>
    <w:p>
      <w:pPr>
        <w:spacing w:after="0" w:line="173" w:lineRule="exact"/>
        <w:rPr>
          <w:sz w:val="20"/>
          <w:szCs w:val="20"/>
          <w:color w:val="auto"/>
        </w:rPr>
      </w:pPr>
    </w:p>
    <w:p>
      <w:pPr>
        <w:ind w:left="38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3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Successful and timely completion of clinical studies will require that we enroll a sufficient number of patient candidates. Studies may be subject to delays as a result of patient enrollment taking longer than anticipated or by patient withdrawal. Patient enrollment depends on many factors, including the size and nature of the patient population, the eligibility criteria for the study, the proximity of patients to clinical sites, the design of the clinical protocol, the existence of competing clinical studies, the availability of new drugs approved for the indication the clinical study is investigating, and clinicians’ and patients’ perceptions as to the potential advantages of the drug being studied in relation to other available therapies.</w:t>
      </w:r>
    </w:p>
    <w:p>
      <w:pPr>
        <w:spacing w:after="0" w:line="187"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Generally, the specific target population of patients and therapeutic time windows may make it difficult for us to enroll enough patients to complete clinical studies for our product candidates in a timely and cost-effective manner.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79" w:lineRule="exact"/>
        <w:rPr>
          <w:sz w:val="20"/>
          <w:szCs w:val="20"/>
          <w:color w:val="auto"/>
        </w:rPr>
      </w:pPr>
    </w:p>
    <w:p>
      <w:pPr>
        <w:ind w:left="38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8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early-stage testing were later found to cause side effects that restricted their use and prevented further development of the compound for larger indications.</w:t>
      </w:r>
    </w:p>
    <w:p>
      <w:pPr>
        <w:spacing w:after="0" w:line="170"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Occurrence of serious procedure- or treatment-related side effects could impede clinical study enrollment and receipt of marketing approval from the FDA, the EMA and comparable foreign regulatory authorities. Adverse events (AEs) could also adversely affect physician or patient acceptance of our product candidates.</w:t>
      </w:r>
    </w:p>
    <w:p>
      <w:pPr>
        <w:spacing w:after="0" w:line="17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the following:</w:t>
      </w:r>
    </w:p>
    <w:p>
      <w:pPr>
        <w:spacing w:after="0" w:line="176" w:lineRule="exact"/>
        <w:rPr>
          <w:sz w:val="20"/>
          <w:szCs w:val="20"/>
          <w:color w:val="auto"/>
        </w:rPr>
      </w:pPr>
    </w:p>
    <w:p>
      <w:pPr>
        <w:ind w:left="720" w:right="4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or our collaboration partners to take any approved products off the market;</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161"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to conduct additional studies or to change the labeling of the product;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subject to limitations in how we promote the product;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44" w:lineRule="exact"/>
        <w:rPr>
          <w:sz w:val="20"/>
          <w:szCs w:val="20"/>
          <w:color w:val="auto"/>
        </w:rPr>
      </w:pPr>
    </w:p>
    <w:p>
      <w:pPr>
        <w:ind w:left="38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59"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The biopharmaceutical and pharmaceutical industries are highly competitive and subject to significant and rapid technological change. Our success is highly dependent on our ability to discover, develop and obtain marketing approval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pharmaceutical and biopharmaceutical industries may result in even more resources being concentrated among a smaller number of our competitors.</w:t>
      </w:r>
    </w:p>
    <w:p>
      <w:pPr>
        <w:spacing w:after="0" w:line="191"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highly competitive nature of and rapid technological changes in the pharmaceutical and biopharmaceutical industries could render our product candidates or our technology obsolete or noncompetitive. The commercial opportunity for our products could be reduced or eliminated if our competitors:</w:t>
      </w:r>
    </w:p>
    <w:p>
      <w:pPr>
        <w:spacing w:after="0" w:line="176" w:lineRule="exact"/>
        <w:rPr>
          <w:sz w:val="20"/>
          <w:szCs w:val="20"/>
          <w:color w:val="auto"/>
        </w:rPr>
      </w:pPr>
    </w:p>
    <w:p>
      <w:pPr>
        <w:ind w:left="720" w:right="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products that are safer, more effective, less expensive, or more convenient or easier to administer;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FDA or other regulatory approval for their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intellectual property and proprietary positions;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access to more manufacturing capacity;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marketing and distribution;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22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Should any of these occur, our business, financial condition and results of operations could be materially adversely affected.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our key competitor product candidates are (i) AADvac1 (Axon Neuroscience) for ACI-35.030;</w:t>
      </w:r>
    </w:p>
    <w:p>
      <w:pPr>
        <w:spacing w:after="0" w:line="27" w:lineRule="exact"/>
        <w:rPr>
          <w:sz w:val="20"/>
          <w:szCs w:val="20"/>
          <w:color w:val="auto"/>
        </w:rPr>
      </w:pPr>
    </w:p>
    <w:p>
      <w:pPr>
        <w:ind w:left="320" w:hanging="270"/>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UB-311 (Vaxxinity) and ABvac-40 (Araclon Biotech) for ACI-24.060; (iii) UB-312 (Vaxxinity) for ACI-7104.056;</w:t>
      </w:r>
    </w:p>
    <w:p>
      <w:pPr>
        <w:spacing w:after="0" w:line="9" w:lineRule="exact"/>
        <w:rPr>
          <w:rFonts w:ascii="Times New Roman" w:cs="Times New Roman" w:eastAsia="Times New Roman" w:hAnsi="Times New Roman"/>
          <w:sz w:val="18"/>
          <w:szCs w:val="18"/>
          <w:color w:val="auto"/>
        </w:rPr>
      </w:pPr>
    </w:p>
    <w:p>
      <w:pPr>
        <w:ind w:left="60" w:right="159" w:hanging="10"/>
        <w:spacing w:after="0" w:line="271" w:lineRule="auto"/>
        <w:tabs>
          <w:tab w:leader="none" w:pos="36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bepranemab (UCB/Roche), E-2814 (Eisai) and JNJ63733657 (Janssen) for semorinemab; (v) ADUHELM (Biogen), Leqembi (BioArctic/Eisai), donanemab (Eli Lilly and Company) and solanezumab (Eli Lilly and Company) for crenezumab; (vi) HMTM (TauRx Pharmaceuticals) for Morphomer Tau; (vii) Tauvid (Eli Lilly and Company), florzolotau (Aprinoia Therapeutics), MK-6240 (Cerveau/Merck) and GTP1 (Genentech) for PI-2620; and (viii) UCB-2897 (UCB) for ACI-12589, as described under “Item 4. Information on the Company—B. Business overview—Competition.”</w:t>
      </w:r>
    </w:p>
    <w:p>
      <w:pPr>
        <w:spacing w:after="0" w:line="170" w:lineRule="exact"/>
        <w:rPr>
          <w:sz w:val="20"/>
          <w:szCs w:val="20"/>
          <w:color w:val="auto"/>
        </w:rPr>
      </w:pPr>
    </w:p>
    <w:p>
      <w:pPr>
        <w:ind w:left="38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171"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A key element of our strategy is to use and expand our Morphomer and SupraAntigen proprietary technology platforms to create unique therapies and diagnostics misfolded proteins in diseases, such as AD, PD and others (including NeuroOrphan diseases e.g. ALS and PSP), and progress these product candidates through clinical development. Although our research and development efforts to date have resulted in a pipeline of product candidates, we may not be able in the future to develop product candidates that are safe and effective. Even if we are successful in continuing to build our pipelines, the potential product candidates that we identify may not be suitable for clinical development, potentially as a result of having harmful side effects or other characteristics indicating they may be unlikely to receive marketing approval and achieve market acceptance.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We and a number of our suppliers and collaborative and clinical study relationships are located outside the U.S.. Accordingly, our future results could be harmed by a variety of factors, including:</w:t>
      </w:r>
    </w:p>
    <w:p>
      <w:pPr>
        <w:spacing w:after="0" w:line="176"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such as sanctions by U.S. or non-U.S. governments;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Moreover, at the end of 2021 and into 2022, tensions between the United States and Russia escalated when Russia amassed large numbers of military ground forces and support personnel on the Ukraine-Russia border and, in February 2022, Russia invaded Ukraine. In response, NATO has deployed additional military forces to Eastern Europe, including to Lithuania, and the Biden administration announced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rising interest rates and high inflation may cause our cost of doing business to materially increase and may adversely impact our ability to operate or may adversely impact other parties upon whom we rely for research and development capabilities to operate. The most recent global financial crisis caused extreme volatility and disruptions in the capital and credit markets. A severe or prolonged economic downturn, such as the most recent global financial crisis, could result in a variety of risks to our business, including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ind w:left="38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impact, our business, including preclinical and clinical trials and regulatory approvals.</w:t>
      </w:r>
    </w:p>
    <w:p>
      <w:pPr>
        <w:spacing w:after="0" w:line="14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Since the beginning of the Covid-19 pandemic, governments, public institutions, and other organizations in countries and localities where Covid-19 cases have been identified have taken certain preventative or protective measures to combat the transmission of the virus, including the implementation of travel restrictions or bans, closures of non-essential businesses, limitations of public gatherings, other social distancing and shelter-in-place measures, and delays or cancellations of elective surgeries. The Covid-19 pandemic poses the risk that the Company, our employees, contractors, suppliers, and other partners may be prevented from conducting business activities for an indefinite period of time due to shutdowns that may be requested or mandated by state and federal governmental authorities.</w:t>
      </w:r>
    </w:p>
    <w:p>
      <w:pPr>
        <w:spacing w:after="0" w:line="189" w:lineRule="exact"/>
        <w:rPr>
          <w:sz w:val="20"/>
          <w:szCs w:val="20"/>
          <w:color w:val="auto"/>
        </w:rPr>
      </w:pPr>
    </w:p>
    <w:p>
      <w:pPr>
        <w:ind w:left="60" w:right="619" w:firstLine="324"/>
        <w:spacing w:after="0" w:line="296" w:lineRule="auto"/>
        <w:rPr>
          <w:sz w:val="20"/>
          <w:szCs w:val="20"/>
          <w:color w:val="auto"/>
        </w:rPr>
      </w:pPr>
      <w:r>
        <w:rPr>
          <w:rFonts w:ascii="Times New Roman" w:cs="Times New Roman" w:eastAsia="Times New Roman" w:hAnsi="Times New Roman"/>
          <w:sz w:val="17"/>
          <w:szCs w:val="17"/>
          <w:color w:val="auto"/>
        </w:rPr>
        <w:t>As a result of Covid-19, we have experienced disruptions impacting our business and clinical trials and we may continue to experience disruptions that could materially impact our business and planned clinical trials, including:</w:t>
      </w:r>
    </w:p>
    <w:p>
      <w:pPr>
        <w:spacing w:after="0" w:line="152"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conducting preclinical research and clinical trials;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manufacturing and shipping that may affect the manufacturing and/or transport of clinical trial materials and other materials, including testing equipment and personal protective equipment, used at our or our contract research organizations’ (CROs’) and contract manufacturing organizations’ (CMOs’) facilities;</w:t>
      </w:r>
    </w:p>
    <w:p>
      <w:pPr>
        <w:spacing w:after="0" w:line="175"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coronavirus outbreak which may require us to change the way in which clinical trials are conducted and may result in unexpected costs;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secure additional financing.</w:t>
      </w:r>
    </w:p>
    <w:p>
      <w:pPr>
        <w:spacing w:after="0" w:line="225"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addition, the outbreak of Covid-19 could disrupt our operations due to absenteeism by infected or ill members of Executive Management or other employees, or absenteeism by members of Executive Management and other employees who elect not to come to work due to the illness affecting others in our office or laboratory facilities, or due to quarantines. Covid-19 illness could also impact members of our Board and its ability to hold meetings. Further information concerning details of the impact of Covid-19 on our programs can be found under “Item 5: Operating and financial review and prospects.”</w:t>
      </w:r>
    </w:p>
    <w:p>
      <w:pPr>
        <w:spacing w:after="0" w:line="170" w:lineRule="exact"/>
        <w:rPr>
          <w:sz w:val="20"/>
          <w:szCs w:val="20"/>
          <w:color w:val="auto"/>
        </w:rPr>
      </w:pPr>
    </w:p>
    <w:p>
      <w:pPr>
        <w:ind w:left="38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(ESG) matters, including related social expectations and concerns, may impose unexpected costs on us or result in reputational or other harm to us that could have a material adverse effect on our business, financial condition and results of operations.</w:t>
      </w:r>
    </w:p>
    <w:p>
      <w:pPr>
        <w:spacing w:after="0" w:line="18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If we are not able to adequately recognize and respond to the rapid and ongoing developments and governmental and social expectations relating to ESG matters such as climate change and access to health care and affordable drugs, this failure could result in missed corporate opportunities, additional regulatory, social or other scrutiny of us and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business, the imposition of unexpected costs or in damage to our reputation or our various relationships with governments, customers, employees, third parties and the communities in which we operate, in each case that could have a material adverse effect on our business, financial condition and results of operations.</w:t>
      </w:r>
    </w:p>
    <w:p>
      <w:pPr>
        <w:spacing w:after="0" w:line="172" w:lineRule="exact"/>
        <w:rPr>
          <w:sz w:val="20"/>
          <w:szCs w:val="20"/>
          <w:color w:val="auto"/>
        </w:rPr>
      </w:pPr>
    </w:p>
    <w:p>
      <w:pPr>
        <w:ind w:left="38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commercializing biologics or pharmaceutical products, which may make it difficult to evaluate the prospects for our future viability.</w:t>
      </w:r>
    </w:p>
    <w:p>
      <w:pPr>
        <w:spacing w:after="0" w:line="15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began our operations in 2003. Our operations to date have been limited to financing and staffing our company, developing our technology and developing our product candidates as well as early-stage clinical trials. We have not yet demonstrated an ability to successfully complete a large-scale, pivotal clinical study, obtain marketing approval, manufacture a commercial-scale product, or conduct sales and marketing activities necessary for successful product commercialization. Consequently, predictions about our future success or viability may not be as accurate as they could be if we had a history of successfully developing and commercializing biologics or pharmaceutical products.</w:t>
      </w:r>
    </w:p>
    <w:p>
      <w:pPr>
        <w:spacing w:after="0" w:line="185" w:lineRule="exact"/>
        <w:rPr>
          <w:sz w:val="20"/>
          <w:szCs w:val="20"/>
          <w:color w:val="auto"/>
        </w:rPr>
      </w:pPr>
    </w:p>
    <w:p>
      <w:pPr>
        <w:ind w:left="38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retaining our key personnel and recruiting additional qualified personnel.</w:t>
      </w:r>
    </w:p>
    <w:p>
      <w:pPr>
        <w:spacing w:after="0" w:line="15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Marie Kosco-Vilbois, our Chief Scientific Officer; Dr. Johannes Rolf Streffer, our Chief Medical Officer; Piergiorgio Donati, our Chief Technical Operations Officer; Jean-Fabien Monin, our Chief Administrative Officer; Christopher Roberts, our Vice President (VP) Finance and Interim CFO; Dr. Julien Rongère, our Senior Vice President (SVP) for Regulatory Affairs and Quality Assurance; Dr. Olivier Sol, our VP Head of Clinical Development; Dr. Bojana Portmann, our VP for Intellectual Property and Business Development (VP IP and BD); Alexandre Caratsch, our General Counsel; and Mark Danton, our VP Information Systems, Security and Digital Technologies.</w:t>
      </w:r>
    </w:p>
    <w:p>
      <w:pPr>
        <w:spacing w:after="0" w:line="177"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imposes an annual binding shareholders’ “say on pay” vote with respect to the total compensation of executive management, including executive officers and the board of directors, and prohibits severance or similar payment, bonuses for company purchases and sales, and additional contracts as consultants to or employees of other companies in the group. In addition, the competition for qualified personnel in the pharmaceutical and biopharmaceutical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93" w:lineRule="exact"/>
        <w:rPr>
          <w:sz w:val="20"/>
          <w:szCs w:val="20"/>
          <w:color w:val="auto"/>
        </w:rPr>
      </w:pPr>
    </w:p>
    <w:p>
      <w:pPr>
        <w:ind w:left="380" w:right="2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or as a result of claims against our directors and officers; and our liability insurance may not cover all damages from such claims.</w:t>
      </w:r>
    </w:p>
    <w:p>
      <w:pPr>
        <w:spacing w:after="0" w:line="18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potential clinical trial liability and professional indemnity risks that are inherent in the research, development, manufacturing, marketing and use of pharmaceutical or biopharmaceutical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by healthcare providers, or by pharmaceutical or biopharmaceutical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3"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purchase liability insurance in connection with the clinical studies that we undertake and for the purpose of indemnifying our directors and officers for claims against them in amounts that we consider to be consistent with industry norms. It is possible that our liabilities could exceed our insurance coverage. For example, if we obtain marketing approval for any of our product candidates, we will intend to expand our insurance coverage to include the sale of commercial products. However, we may not be able to maintain insurance coverage at a reasonable cost or obtain insurance coverage that will be adequate to satisfy any liability that may arise. If a successful liability claim or series of claims is brought against us for uninsured liabilities or in excess of insured liabilities, our assets may not be sufficient to cover such claims and our business operations could be impaired.</w:t>
      </w:r>
    </w:p>
    <w:p>
      <w:pPr>
        <w:spacing w:after="0" w:line="192"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172" w:lineRule="exact"/>
        <w:rPr>
          <w:sz w:val="20"/>
          <w:szCs w:val="20"/>
          <w:color w:val="auto"/>
        </w:rPr>
      </w:pPr>
    </w:p>
    <w:p>
      <w:pPr>
        <w:jc w:val="both"/>
        <w:ind w:left="380" w:right="3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obtain orphan-drug designation for certain of our product candidates. Orphan-drug designation may not ensure that we will enjoy market exclusivity in a particular market, and if we fail to obtain or maintain orphan-drug exclusivity for such product candidates, we may be subject to earlier competition and our potential revenue will be reduced.</w:t>
      </w:r>
    </w:p>
    <w:p>
      <w:pPr>
        <w:spacing w:after="0" w:line="180"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(EU), the EMA’s Committee for Orphan Medicinal Products grants orphan-drug designation to promote the development of products that meet the following criteria: a) they are intended for the diagnosis, prevention, or treatment of a life-threatening or chronically debilitating condition affecting not more than 5 in 10,000 persons in the EU or for products that are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9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the U.S., orphan-drug designation entitles a party to financial incentives such as opportunities for grant funding toward clinical study costs, tax advantages and user-fee waivers. In addition, if a product receives the first FDA approval for the indication for which it has orphan designation, the product is entitled to orphan-drug exclusivity, which means that the FDA cannot approve any other application to market the same drug for the same indication for a period of 7 years, except in limited circumstances, such as a showing of clinical superiority over the product with orphan exclusivity or if the manufacturer is unable to assure sufficient product quantity. In the EU, orphan-drug designation entitles a party to financial incentives such as reduction of fees or fee waivers and 10 years of market exclusivity for the orphan indication following drug or biological product approval, provided that the criteria for orphan designation are still applicable at the time of the granting of the marketing authorization. This period may be reduced to 6 years if at the end of the fifth year, the orphan-drug designation criteria are no longer met, including where it is shown that the product is sufficiently profitable not to justify maintenance of market exclusivity.</w:t>
      </w:r>
    </w:p>
    <w:p>
      <w:pPr>
        <w:spacing w:after="0" w:line="18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may not be able to obtain orphan-drug designation for any of our product candidates, and even if we do, we may not be the first to obtain marketing approval for any particular orphan indication due to the uncertainties associated with developing pharmaceutical or biopharmaceutical products. Further, even if we obtain orphan-drug designation for a product, that exclusivity may not effectively protect the product from competition because different drugs with different active moieties can be approved for the same condition. Orphan-drug designation neither shortens the development time or regulatory review time of a drug nor gives the drug any advantage in the regulatory review or approval process.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prioritize development of certain product candidates.</w:t>
      </w:r>
    </w:p>
    <w:p>
      <w:pPr>
        <w:spacing w:after="0" w:line="229"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pharmaceutical or biopharmaceutical industry, in particular for neurological disorders, our business, financial condition and results of operations could be materially adversely affected.</w:t>
      </w:r>
    </w:p>
    <w:p>
      <w:pPr>
        <w:spacing w:after="0" w:line="186" w:lineRule="exact"/>
        <w:rPr>
          <w:sz w:val="20"/>
          <w:szCs w:val="20"/>
          <w:color w:val="auto"/>
        </w:rPr>
      </w:pPr>
    </w:p>
    <w:p>
      <w:pPr>
        <w:ind w:left="38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that the activities of these groups are successful, our research and development activities may be interrupted, delayed or become more expensive.</w:t>
      </w:r>
    </w:p>
    <w:p>
      <w:pPr>
        <w:spacing w:after="0" w:line="185" w:lineRule="exact"/>
        <w:rPr>
          <w:sz w:val="20"/>
          <w:szCs w:val="20"/>
          <w:color w:val="auto"/>
        </w:rPr>
      </w:pPr>
    </w:p>
    <w:p>
      <w:pPr>
        <w:ind w:left="38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breakdown or breach of our information technology systems and cybersecurity efforts, or those of our key business partners, CROs or service providers, could subject us to liability or reputational damage or interrupt the operation of our business.</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We are increasingly dependent upon technology systems and data. Our computer systems continue to increase in</w:t>
      </w:r>
    </w:p>
    <w:p>
      <w:pPr>
        <w:spacing w:after="0" w:line="16" w:lineRule="exact"/>
        <w:rPr>
          <w:sz w:val="20"/>
          <w:szCs w:val="20"/>
          <w:color w:val="auto"/>
        </w:rPr>
      </w:pPr>
    </w:p>
    <w:p>
      <w:pPr>
        <w:jc w:val="both"/>
        <w:ind w:left="60" w:right="159"/>
        <w:spacing w:after="0" w:line="252" w:lineRule="auto"/>
        <w:rPr>
          <w:sz w:val="20"/>
          <w:szCs w:val="20"/>
          <w:color w:val="auto"/>
        </w:rPr>
      </w:pPr>
      <w:r>
        <w:rPr>
          <w:rFonts w:ascii="Times New Roman" w:cs="Times New Roman" w:eastAsia="Times New Roman" w:hAnsi="Times New Roman"/>
          <w:sz w:val="18"/>
          <w:szCs w:val="18"/>
          <w:color w:val="auto"/>
        </w:rPr>
        <w:t>multitude and complexity due to the growth in our business, making them potentially vulnerable to breakdown, malicious intrusion and random attack. Despite the implementation of security measures, our internal computer systems and those of our key business partners, CROs and service providers may be vulnerable to damage from computer viruses, unauthorized access or other similar cyber-attacks or incidents. If such an event were to occur and cause interruptions in our operations, it could result in a material disruption of our development programs and our business operations.</w:t>
      </w:r>
    </w:p>
    <w:p>
      <w:pPr>
        <w:spacing w:after="0" w:line="18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Data privacy or security breaches, cyber-attacks and other cybersecurity incidents, including those by individuals authorized to access our technology systems or others, may pose a risk that sensitive data, including intellectual property, trade secrets or personal information belonging to us, our patients, study subjects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phishing attacks, computer viruses, social engineering and other means to affect the confidentiality, integrity and availability of our technology systems and data. Our key business partners, CROs and service providers face similar risks and any security breach of their systems could adversely affect our security posture.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on other third parties for the manufacture of our product candidates and to conduct clinical trials, and similar events relating to their computer systems could also have a material adverse effect on our business. Our ability to evaluate and monitor our CROs’, contractors’ and consultants’ data security practices are limited, and due to applicable laws and regulations or contractual obligations, we may be held responsible for any security breaches or cybersecurity attack attributed to them as they relate to the information we share with them. To the extent that any disruption or security breach were to result in a loss of, or damage to, our data or systems, or inappropriate disclosure of confidential or proprietary information or personal data of our employees, partners or study subjects, we could incur liability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312" w:lineRule="auto"/>
        <w:rPr>
          <w:sz w:val="20"/>
          <w:szCs w:val="20"/>
          <w:color w:val="auto"/>
        </w:rPr>
      </w:pPr>
      <w:r>
        <w:rPr>
          <w:rFonts w:ascii="Times New Roman" w:cs="Times New Roman" w:eastAsia="Times New Roman" w:hAnsi="Times New Roman"/>
          <w:sz w:val="17"/>
          <w:szCs w:val="17"/>
          <w:color w:val="auto"/>
        </w:rPr>
        <w:t>including notification obligations (including to the impacted individuals and applicable regulators or supervisory authorities), and the further development and commercialization of our product candidates could be delayed.</w:t>
      </w:r>
    </w:p>
    <w:p>
      <w:pPr>
        <w:spacing w:after="0" w:line="14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7"/>
          <w:szCs w:val="17"/>
          <w:color w:val="auto"/>
        </w:rPr>
        <w:t>Although we continue to build and improve our systems and infrastructure, and to implement technical, organizational and legal security measures, and believe we have taken appropriate security measures to reduce these risks to our data and information technology systems, there can be no assurance that our efforts will prevent, detect or appropriately respond to breakdowns or breaches in our systems that could adversely affect our business and operations and/or result in the loss of critical or sensitive information, including personal information, which could result in financial, legal, business or reputational harm to us. We continue to invest in industry standard IS/IT solutions and managed services that often include the relevant, layered protection and monitoring practices surrounding our data and IT systems and related infrastructure. These investments reduce further these risks in that they enable organizations such as ours to leverage the resources necessary to monitor IT systems and infrastructure for any current or potential threats. We also regularly perform risk and impact assessments, the results of which generally lead to the implementation of certain measures designed to increase our level of data protection. These investments are costly, and as cyber threats continue to evolve, we may be required to expend significant, additional resources to continue to modify and/or enhance our protective, detective and responsive measures required to remediate any identified information security vulnerabilities. In addition, our liability insurance may not be sufficient in type or amount to cover us against claims related to security breaches, cyber-attacks and other related breaches. We may be required to expend significant capital and other resources to protect against and respond to any attempted or existing cybersecurity incidents. In addition, our remediation efforts may not be successful.</w:t>
      </w:r>
    </w:p>
    <w:p>
      <w:pPr>
        <w:spacing w:after="0" w:line="17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In addition, certain global geo-political events can increase our cybersecurity risk. For example, due to the recent Russia-Ukraine conflict, there have been publicized threats to increase cyber-attack activity against the critical infrastructure of any nation or organization that retaliates against Russia for its invasion of Ukraine. Any such increase in such attacks on us or our key business partners, CROs or service providers could adversely affect our systems or other operations.</w:t>
      </w:r>
    </w:p>
    <w:p>
      <w:pPr>
        <w:spacing w:after="0" w:line="183" w:lineRule="exact"/>
        <w:rPr>
          <w:sz w:val="20"/>
          <w:szCs w:val="20"/>
          <w:color w:val="auto"/>
        </w:rPr>
      </w:pPr>
    </w:p>
    <w:p>
      <w:pPr>
        <w:ind w:left="38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increased cost of operations and could have a material adverse effect on our reputation, results of operations, financial condition and cash flows.</w:t>
      </w:r>
    </w:p>
    <w:p>
      <w:pPr>
        <w:spacing w:after="0" w:line="183"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rules, regulations, treaties, decisions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treaties, decisions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 existing laws, rules, regulations, treaties, decisions,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19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the U.S., there are numerous federal and state laws and regulations related to the privacy and security of personal information. Regulations promulgated pursuant to the U.S. Health Insurance Portability and Accountability Act of 1996 (HIPAA) establish privacy and security standards that limit the use and disclosure of protected health information, and require the implementation of administrative, physical and technological safeguards to protect the privacy of protected health information and to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Numerous states have enacted or are in the process of enacting state level data privacy laws and regulations governing the collection, use, and other processing of state residents’ personal information, such as the California Consumer Privacy Act (CCPA)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amended by the California Privacy Rights Act of 2020 (CPRA), which provides new and enhanced data privacy rights to California residents, such as affording California residents the right to access and delete their information and to opt out of certain sharing and sales of personal information. In addition, laws in all 50 states require businesses to provide notice to individuals whose personal information has been disclosed as a result of a data breach.</w:t>
      </w:r>
    </w:p>
    <w:p>
      <w:pPr>
        <w:spacing w:after="0" w:line="180" w:lineRule="exact"/>
        <w:rPr>
          <w:sz w:val="20"/>
          <w:szCs w:val="20"/>
          <w:color w:val="auto"/>
        </w:rPr>
      </w:pPr>
    </w:p>
    <w:p>
      <w:pPr>
        <w:ind w:left="60" w:right="59" w:firstLine="324"/>
        <w:spacing w:after="0" w:line="249"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EUR 20 million, whichever is greater. The GDPR also applies to our key business partners, CROs and service providers, whether or not they are located in Europe, with which we share personal data subject to the GDPR. Additionally, following Brexit, we also are subject to the UK General Data Protection Regulation (UK GDPR) (i.e., a version of the GDPR as implemented into UK law), exposing us to two parallel regimes with potentially divergent interpretations and enforcement actions for certain violations. While the European Commission issued an adequacy decision intended to last for at least four years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w:t>
      </w:r>
    </w:p>
    <w:p>
      <w:pPr>
        <w:spacing w:after="0" w:line="193"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which are likely to increase over time. In addition, such requirements may require us to modify our data processing practices and policies, distract management or divert resources from other initiatives and projects. For instance, the European Union Court of Justice and the Swiss Data Protection Authority have declared the U.S. Privacy Shield to be inadequate for transfers of personal data out of the EU and Switzerland, which increased our compliance burden. If we are unable to properly protect the privacy and security of personal information, including protected health information, we could be found to have breached our contracts. In addition,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customers, partners, collaborators and/or study subjects, including class action privacy litigation in certain jurisdictions, which would subject us to significant fines, sanctions, awards, penalties or judgments, all of which could have a material adverse effect on our business, results of operations, financial condition and prospects.</w:t>
      </w:r>
    </w:p>
    <w:p>
      <w:pPr>
        <w:spacing w:after="0" w:line="193" w:lineRule="exact"/>
        <w:rPr>
          <w:sz w:val="20"/>
          <w:szCs w:val="20"/>
          <w:color w:val="auto"/>
        </w:rPr>
      </w:pPr>
    </w:p>
    <w:p>
      <w:pPr>
        <w:ind w:left="38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45"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Moreover, at the end of 2021 and into 2022, tensions between the United States and Russia escalated when Russia amassed large numbers of military ground forces and support</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personnel on the Ukraine-Russia border and, in February 2022, Russia invaded Ukraine. In response, North Atlantic Treaty Organization, or NATO has deployed additional military forces to Eastern Europe, including to Lithuania, and the Biden administration announced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by other business interruption.</w:t>
      </w:r>
    </w:p>
    <w:p>
      <w:pPr>
        <w:spacing w:after="0" w:line="19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vast majority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5" w:lineRule="exact"/>
        <w:rPr>
          <w:sz w:val="20"/>
          <w:szCs w:val="20"/>
          <w:color w:val="auto"/>
        </w:rPr>
      </w:pPr>
    </w:p>
    <w:p>
      <w:pPr>
        <w:ind w:left="38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5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third parties.</w:t>
      </w:r>
    </w:p>
    <w:p>
      <w:pPr>
        <w:spacing w:after="0" w:line="183" w:lineRule="exact"/>
        <w:rPr>
          <w:sz w:val="20"/>
          <w:szCs w:val="20"/>
          <w:color w:val="auto"/>
        </w:rPr>
      </w:pPr>
    </w:p>
    <w:p>
      <w:pPr>
        <w:ind w:left="60" w:right="139" w:firstLine="324"/>
        <w:spacing w:after="0" w:line="269"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addition, successful commercialization also requires an enhanced regulatory organization which we currently do not have. If we are unable to build our own distribution and marketing capabilities, are unable to find suitable partners for the commercialization of our product candidates or do not successfully obtain the necessary regulatory capabilities, we may not generate revenues from them or be able to reach or sustain profitability.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ind w:left="380" w:right="2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current strategic relationships with Genentech, a member of the Roche Group, Eli Lilly and Company (Lilly), Janssen Pharmaceuticals Inc. (Janssen) part of the Janssen Pharmaceutical Companies of Johnson &amp; Johnson, Life Molecular Imaging SA (LMI) (formerly Piramal Imaging SA) and other of our current or future strategic partners, our business, commercialization prospects and financial condition may be materially adversely affected.</w:t>
      </w:r>
    </w:p>
    <w:p>
      <w:pPr>
        <w:spacing w:after="0" w:line="187"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have two partnerships with Genentech. In 2006, we granted Genentech an exclusive, worldwide license for crenezumab. In 2012, we entered into a second partnership to commercialize anti-Tau antibodies for use as immunotherapies. In December 2018, we signed a license agreement with Lilly to research and develop Morphomer Tau small molecules for the treatment of AD and other neurodegenerative diseases (NDD). This collaboration commenced in Q1 2019. We are in a partnership with Janssen to develop and commercialize therapeutic anti-Tau vaccines for the treatment of AD and potentially other Tauopathies. We also have a diagnostic partnership with LMI for one of our compounds from our Morphomer chemical library, which bind pathological Tau for use as a PET tracer. Our collaboration partners each have the right to terminate their agreements with us for any reason upon providing us with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certain notice period. If Genentech, Lilly, Janssen, LMI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Good relationships with Genentech, Lilly, Janssen, LMI and other of our current or future strategic partners are important for our business prospects. If our relationships with Genentech, Lilly, Janssen, LMI or other of our current or future strategic partners were to deteriorate substantially or if Genentech, Lilly, Janssen, LMI or other of our current or future strategic partners were to challenge our use of their intellectual property or our calculations of the payments we are owed under our agreements, our business, financial condition, commercialization prospects and results of operations could be materially adversely affected.</w:t>
      </w:r>
    </w:p>
    <w:p>
      <w:pPr>
        <w:spacing w:after="0" w:line="189"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Lastly, our collaboration agreements with Genentech, Lilly, Janssen and LMI provide each partner with control over, and responsibility for, the clinical development process, including obtaining regulatory and marketing approvals, manufacturing costs and sales and marketing costs. Future collaboration agreements may also relinquish development control to our partners. Genentech or our other current or future collaboration partners may and do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85" w:lineRule="exact"/>
        <w:rPr>
          <w:sz w:val="20"/>
          <w:szCs w:val="20"/>
          <w:color w:val="auto"/>
        </w:rPr>
      </w:pPr>
    </w:p>
    <w:p>
      <w:pPr>
        <w:jc w:val="both"/>
        <w:ind w:left="38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1"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Genentech, Lilly, Janssen and LMI, we may decide to enter into strategic alliances or to create joint ventures or collaborations with pharmaceutical or biopharmaceutical companies for the further development and potential commercialization of those and other of our product candidates.</w:t>
      </w:r>
    </w:p>
    <w:p>
      <w:pPr>
        <w:spacing w:after="0" w:line="187" w:lineRule="exact"/>
        <w:rPr>
          <w:sz w:val="20"/>
          <w:szCs w:val="20"/>
          <w:color w:val="auto"/>
        </w:rPr>
      </w:pPr>
    </w:p>
    <w:p>
      <w:pPr>
        <w:ind w:left="60" w:right="59" w:firstLine="324"/>
        <w:spacing w:after="0" w:line="24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justify such transaction, and we could be subject to the following risks, each of which may materially harm our business, commercialization prospects and financial condition:</w:t>
      </w:r>
    </w:p>
    <w:p>
      <w:pPr>
        <w:spacing w:after="0" w:line="162" w:lineRule="exact"/>
        <w:rPr>
          <w:sz w:val="20"/>
          <w:szCs w:val="20"/>
          <w:color w:val="auto"/>
        </w:rPr>
      </w:pPr>
    </w:p>
    <w:p>
      <w:pPr>
        <w:ind w:left="720" w:right="39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the collaboration partner devotes to the product development program;</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partner may experience financial difficulties;</w:t>
      </w:r>
    </w:p>
    <w:p>
      <w:pPr>
        <w:spacing w:after="0" w:line="225"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grant or otherwise relinquish important rights such as marketing, distribution and intellectual property rights;</w:t>
      </w:r>
    </w:p>
    <w:p>
      <w:pPr>
        <w:spacing w:after="0" w:line="16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could move forward with a competing product developed either independently or in collaboration with third parties, including our competitors; or</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collaboration partner’s business strategy may adversely affect our willingness to continue any arrangement.</w:t>
      </w:r>
    </w:p>
    <w:p>
      <w:pPr>
        <w:spacing w:after="0" w:line="158" w:lineRule="exact"/>
        <w:rPr>
          <w:sz w:val="20"/>
          <w:szCs w:val="20"/>
          <w:color w:val="auto"/>
        </w:rPr>
      </w:pPr>
    </w:p>
    <w:p>
      <w:pPr>
        <w:ind w:left="38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80" w:lineRule="exact"/>
        <w:rPr>
          <w:sz w:val="20"/>
          <w:szCs w:val="20"/>
          <w:color w:val="auto"/>
        </w:rPr>
      </w:pPr>
    </w:p>
    <w:p>
      <w:pPr>
        <w:ind w:left="60" w:right="99" w:firstLine="324"/>
        <w:spacing w:after="0" w:line="249"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third-party clinical CROs, to monitor and manage data for our ongoing preclinical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clinical CROs does not relieve us of our regulatory responsibilities. We and our clinical CROs and other vendors are required to comply with current Good Manufacturing Practice (cGMP), current Good Clinical Practice (cGCP), and current Good Laboratory Practice (cGLP), which are regulations and guidelines enforced by the FDA, the Competent Authorities of the Member States of the EU and comparable foreign regulatory authorities for our product candidates in nonclinical and clinical development (where applicable). Regulatory authorities enforce these regulations through periodic inspections of study sponsors, principal investigators, study sites and other contractors. If we or any of our clinical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9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If any of our relationships with these third-party clinical CROs terminates, we may not be able to enter into arrangements with alternative clinical CROs or do so on commercially reasonable terms. In addition, our clinical CROs are not our employees, and except for remedies available to us under our agreements with such clinical CROs, we cannot control whether or not they devote sufficient time and resources to our ongoing nonclinical and clinical programs. If clinical CROs do not successfully carry out their contractual duties or obligations or meet expected deadlines, if they need to be replaced or if the quality or accuracy of the data they obtain is compromised due to their failure to adhere to our protocols, regulatory requirements, or for other reasons, our clinical studies may be extended, delayed, or terminated and we may not be able to obtain regulatory approval for or successfully commercialize our product candidates. Clinical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89"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Switching or adding additional clinical CROs involves additional cost and requires management time and focus. In addition, there is a natural transition period when a new clinical CRO commences work. As a result, delays occur, which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could materially impact our ability to meet our desired clinical development timelines. Though we carefully manage our relationships with our clinical CROs, there can be no assurance that we will not encounter similar challenges or delays in the future or that these delays or challenges will not have a material adverse impact on our business, financial condition and prospects.</w:t>
      </w:r>
    </w:p>
    <w:p>
      <w:pPr>
        <w:spacing w:after="0" w:line="176" w:lineRule="exact"/>
        <w:rPr>
          <w:sz w:val="20"/>
          <w:szCs w:val="20"/>
          <w:color w:val="auto"/>
        </w:rPr>
      </w:pPr>
    </w:p>
    <w:p>
      <w:pPr>
        <w:jc w:val="both"/>
        <w:ind w:left="38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61"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7"/>
          <w:szCs w:val="17"/>
          <w:color w:val="auto"/>
        </w:rPr>
        <w:t>We currently rely on, and expect to continue to rely on, third parties for the manufacturing and supply of chemical and biological compounds and formulations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(QC), quality assurance (QA) and qualified personnel. If we are compelled or we wish to find alternative manufacturing facilities, this could significantly impact our ability to develop, obtain regulatory approval for or market our product candidates.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3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Third-party providers may breach agreements they have with us because of factors beyond our control. Contract manufacturers often encounter difficulties involving production yields, QC and QA, as well as shortages of qualified personnel. They may also terminate or refuse to renew their agreements because of their own financial difficulties or business priorities, potentially at a time that is costly or otherwise inconvenient for us. If we are unable to find adequate replacement or another acceptable solution in time, our clinical studies could be delayed or our commercial activities could be harmed.</w:t>
      </w:r>
    </w:p>
    <w:p>
      <w:pPr>
        <w:spacing w:after="0" w:line="18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Growth in the costs and expenses of components or raw materials, in particular as a result of rising inflation,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 partners’, ability to commercialize any products that receive marketing approval on a timely and competitive basis.</w:t>
      </w:r>
    </w:p>
    <w:p>
      <w:pPr>
        <w:spacing w:after="0" w:line="183" w:lineRule="exact"/>
        <w:rPr>
          <w:sz w:val="20"/>
          <w:szCs w:val="20"/>
          <w:color w:val="auto"/>
        </w:rPr>
      </w:pPr>
    </w:p>
    <w:p>
      <w:pPr>
        <w:ind w:left="38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collaboration arrangements with our strategic partners may make us an attractive target for potential acquisition under certain circumstances.</w:t>
      </w:r>
    </w:p>
    <w:p>
      <w:pPr>
        <w:spacing w:after="0" w:line="171"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Under certain circumstances, due to the structure of our collaboration arrangements with our strategic partners, our strategic partners may prefer to acquire us rather than pay the milestone payments or royalties under the collaboration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arrangements, which may bring additional uncertainties to our business development and prospects. For example, under our collaboration arrangements with Genentech, Lilly and Janssen, we may become entitled to substantial milestone payments and royalties. As a result, rather than paying the milestone payments or royalties, Genentech, Lilly or Janssen, or one of their affiliates including Roche or Johnson &amp; Johnson, may choose to acquire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terms to protect our products and business effectively.</w:t>
      </w:r>
    </w:p>
    <w:p>
      <w:pPr>
        <w:spacing w:after="0" w:line="229"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 is filed. Although various extensions or adjustments may be available, such as adjustments based on certain delays caused by the U.S. Patent and Trademark Office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93"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Although patent term extensions under the Hatch-Waxman Act, in the U.S. and under supplementary protection certificates (SPCs) in Europe may be available to extend the patent exclusivity term for our products, we cannot provide any assurances that any such patent term extension will be obtained and, if so, for how long. The Hatch-Waxman Act permits a patent extension term of up to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a patent in a European Member State if that patent expires before the Market Authorization (MA) of the clinical product, protected by the patent, is obtained. As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 development timelines of biologicals and new chemical entities for therapeutic purposes, we may not be granted any patent extensions as we might fail to apply for the extensions prior to expiration of relevant patents. Moreover, the applicable time period or the scope of patent protection afforded could be less than we request. If we are unable to obtain patent term extension or if the term of any such extension is less than we request, such result could have a material adverse effect on our business.</w:t>
      </w:r>
    </w:p>
    <w:p>
      <w:pPr>
        <w:spacing w:after="0" w:line="192" w:lineRule="exact"/>
        <w:rPr>
          <w:sz w:val="20"/>
          <w:szCs w:val="20"/>
          <w:color w:val="auto"/>
        </w:rPr>
      </w:pPr>
    </w:p>
    <w:p>
      <w:pPr>
        <w:ind w:left="38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licensees and collaborators, any of which could be expensive, time-consuming, and unsuccessful, and may ultimately result in our loss of ownership of intellectual property.</w:t>
      </w:r>
    </w:p>
    <w:p>
      <w:pPr>
        <w:spacing w:after="0" w:line="184"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or collaborators. To counter such infringement, we may be required to file infringement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the defendant’s products do not infringe our or our licensing collaborators’ patents or that we or our licensing collaborators infringe the defendant’s patents. In patent litigation in the U.S., defendant counterclaims alleging invalidity, unenforceability and non-infringement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relevant information from the USPTO, or made a misleading statement, during prosecution. In addition, third parties may raise similar claims before administrative bodies in the U.S. or abroad, even outside the context of litigation. Such mechanisms include re-examination, post-grant review</w:t>
      </w:r>
      <w:r>
        <w:rPr>
          <w:rFonts w:ascii="Times New Roman" w:cs="Times New Roman" w:eastAsia="Times New Roman" w:hAnsi="Times New Roman"/>
          <w:sz w:val="18"/>
          <w:szCs w:val="18"/>
          <w:i w:val="1"/>
          <w:iCs w:val="1"/>
          <w:color w:val="auto"/>
        </w:rPr>
        <w:t>, inter partes</w:t>
      </w:r>
      <w:r>
        <w:rPr>
          <w:rFonts w:ascii="Times New Roman" w:cs="Times New Roman" w:eastAsia="Times New Roman" w:hAnsi="Times New Roman"/>
          <w:sz w:val="18"/>
          <w:szCs w:val="18"/>
          <w:color w:val="auto"/>
        </w:rPr>
        <w:t xml:space="preserve"> review, interference and derivation proceedings as well as equivalent proceedings in foreign jurisdictions, such as opposition proceedings in Europe.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97"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Interference, derivation or other proceedings provoked by third parties, brought by us or declared by the USPTO may be necessary to determine the priority of inventions with respect to our patents or patent applications or those of our licensors, licensees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derivation or other proceedings, we may lose our ownership of intellectual property or our patents may be narrowed or invalidated. There can be no assurance as to the outcome of the interference, derivation or other proceedings, and any of the foregoing could result in a material adverse effect on our business, financial condition, results of operations or prospects.</w:t>
      </w:r>
    </w:p>
    <w:p>
      <w:pPr>
        <w:spacing w:after="0" w:line="1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Our defense of litigation, interference, derivation or other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and research programs or force us to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U.S..</w:t>
      </w:r>
    </w:p>
    <w:p>
      <w:pPr>
        <w:spacing w:after="0" w:line="19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9" w:lineRule="exact"/>
        <w:rPr>
          <w:sz w:val="20"/>
          <w:szCs w:val="20"/>
          <w:color w:val="auto"/>
        </w:rPr>
      </w:pPr>
    </w:p>
    <w:p>
      <w:pPr>
        <w:ind w:left="380" w:right="3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U.S., the EU and other countries with respect to our proprietary technologies and product candidates. In particular, Genentech, Lilly, Janssen or our other licensing or collaboration partners may be dependent on a license with a third party for the development and future commercialization of our product candidates. If such license is not granted or is terminated, Genentech, Lilly, Janssen or other licensing or collaboration partners may be required to cease development and commercialization of our product candidates, any of which could have a material adverse effect on our business, financial condition, results of operations or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U.S. and abroad related to any of our novel technologies and products that are important to our business. This process is expensive, time-consuming,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92"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The patent position of pharmaceutical and biopharmaceutical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U.S. or in other foreign countries, or fail to effectively prevent others from 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7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or title in our patents or other intellectual property as an inventor or co-inventor. For example, we may have inventorship disputes arise from conflicting obligations of consultants, CROs, CMOs, academic institutions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75"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U.S., EU or elsewhere could increase the uncertainties and costs surrounding the prosecution of patent applications and the enforcement or defense of issued patents. Assuming the other requirements for patentability are met, in the U.S. prior to March 15, 2013, the first to make the claimed invention is entitled to the patent, whereas outside the U.S., the first to file a patent application was entitled to the patent. After March 15, 2013, under the Leahy-Smith America Invents Act (the Leahy-Smith Act), enacted on September 16, 2011, the U.S.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the USPTO administered during post grant proceedings, including re-examination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derivation proceedings. Therefore,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96"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In Europe, the Unified Patent Court (UPC) and Unified Patent are expected to enter into force in June 2023, assuming that Germany deposits its ratification in February 2023, as anticipated. The UPC will provide a new centralized forum for pan-European litigation in contracting EU Member States (17 out of 27 EU Member States). Litigation of European patents in European Patent Convention countries outside of the EU (e.g. Switzerland, UK, Turkey) and in non-contracting EU countries (e.g. Spain, Poland) will continue to be on a country-by-country basis in front of national courts, as currently. During a transition period (initially seven-years), patent owners can elect to keep their European patents outside of the jurisdiction of the UPC (“opt-out”). Whilst European patents may be opted-out of the UPC during such transition period, after expiry of such transition period EU legislation provides that the UPC jurisdiction will apply, in respect of the UPC contracting states for all European patents. Accordingly, the emergence of the UPC and its implementation increase the uncertainties surrounding the enforcement or defense of issued patents and related costs, which could have a material adverse effect on our business, financial condition, results of operations and prospects.</w:t>
      </w:r>
    </w:p>
    <w:p>
      <w:pPr>
        <w:spacing w:after="0" w:line="19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the U.S..</w:t>
      </w:r>
    </w:p>
    <w:p>
      <w:pPr>
        <w:spacing w:after="0" w:line="183" w:lineRule="exact"/>
        <w:rPr>
          <w:sz w:val="20"/>
          <w:szCs w:val="20"/>
          <w:color w:val="auto"/>
        </w:rPr>
      </w:pPr>
    </w:p>
    <w:p>
      <w:pPr>
        <w:ind w:left="38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5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The EU has introduced a Directive on trade secrets increasing the standards for protection. Because we rely on our advisors, employees and third-party contractors and consultants to research and develop and to manufacture our product candidates, we must, at times, share our intellectual property with them. We seek to protect our intellectual property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5" w:lineRule="auto"/>
        <w:rPr>
          <w:sz w:val="20"/>
          <w:szCs w:val="20"/>
          <w:color w:val="auto"/>
        </w:rPr>
      </w:pPr>
      <w:r>
        <w:rPr>
          <w:rFonts w:ascii="Times New Roman" w:cs="Times New Roman" w:eastAsia="Times New Roman" w:hAnsi="Times New Roman"/>
          <w:sz w:val="17"/>
          <w:szCs w:val="17"/>
          <w:color w:val="auto"/>
        </w:rPr>
        <w:t>other proprietary technology in part by entering into confidentiality agreements and master service agreements, if applicable, material transfer agreements, consulting agreements or other similar agreements with our advisors, employees, contractors, consultants, licensing and collaboration partners,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 Additionally, our grant agreements typically provide for dissemination of results to academic institutions and to the general public. As a result, our information may be disseminated with the loss of protection status.</w:t>
      </w:r>
    </w:p>
    <w:p>
      <w:pPr>
        <w:spacing w:after="0" w:line="192"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the physical security of our premises and the physical and electronic security of our information technology systems. Despite our efforts to protect our intellectual property, our competitors may discover our trade secrets through breach of our agreements by third parties, for which we may not have adequate remedies for any breach, or publication of information by any of our CROs, academic partners, funding organizations or our licensing or collaboration partners. Additionally, if the steps we take or that we impose on our CROs maintain our trade secrets are deemed inadequate by law,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9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87"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Despite confidentiality clauses within our employment and other agreements with employees, we cannot ensure that departing employees will not breach any post-termination commitments in such agreements by allowing others to access our trade secrets.</w:t>
      </w:r>
    </w:p>
    <w:p>
      <w:pPr>
        <w:spacing w:after="0" w:line="172" w:lineRule="exact"/>
        <w:rPr>
          <w:sz w:val="20"/>
          <w:szCs w:val="20"/>
          <w:color w:val="auto"/>
        </w:rPr>
      </w:pPr>
    </w:p>
    <w:p>
      <w:pPr>
        <w:ind w:left="38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document-submission, fee-payment and other requirements imposed by governmental patent agencies, and our patent protection could be reduced or eliminated for noncompliance with these requirements.</w:t>
      </w:r>
    </w:p>
    <w:p>
      <w:pPr>
        <w:spacing w:after="0" w:line="161"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fee-payment and other similar provisions during the patent application process. We employ reputable law firms and other professionals to help us comply with these requirements and we are also dependent on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licensors or collaboration partners to take the necessary action to comply with these requirements with respect to certain of our intellectual property.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is dependent on third parties.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Although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8"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Additionally, we may be adversely affected or prejudiced by actions or inactions of our external and internal patent counsels working solely on our projects or our joint patent counsels representing us and our collaboration partners.</w:t>
      </w:r>
    </w:p>
    <w:p>
      <w:pPr>
        <w:spacing w:after="0" w:line="122" w:lineRule="exact"/>
        <w:rPr>
          <w:sz w:val="20"/>
          <w:szCs w:val="20"/>
          <w:color w:val="auto"/>
        </w:rPr>
      </w:pPr>
    </w:p>
    <w:p>
      <w:pPr>
        <w:ind w:left="38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collaboration partners, we could lose intellectual property rights that are important to our business.</w:t>
      </w:r>
    </w:p>
    <w:p>
      <w:pPr>
        <w:spacing w:after="0" w:line="180"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a party to a number of intellectual property license and co-ownership agreements and research and development collaborations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90"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83" w:lineRule="exact"/>
        <w:rPr>
          <w:sz w:val="20"/>
          <w:szCs w:val="20"/>
          <w:color w:val="auto"/>
        </w:rPr>
      </w:pPr>
    </w:p>
    <w:p>
      <w:pPr>
        <w:ind w:left="720" w:right="1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agreement, any restrictions in licensed fields and other interpretation-related issues;</w:t>
      </w:r>
    </w:p>
    <w:p>
      <w:pPr>
        <w:spacing w:after="0" w:line="16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or otherwise violate the intellectual property of any third parties;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patents and other IP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diligence, development and commercialization obligations under the agreement and what activities satisfy those obligations;</w:t>
      </w:r>
    </w:p>
    <w:p>
      <w:pPr>
        <w:spacing w:after="0" w:line="161"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or mutual creation or use of intellectual property by our licensors or collaboration partners and us;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non-compete commitments;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for changes in control.</w:t>
      </w:r>
    </w:p>
    <w:p>
      <w:pPr>
        <w:spacing w:after="0" w:line="22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own,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7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85" w:lineRule="exact"/>
        <w:rPr>
          <w:sz w:val="20"/>
          <w:szCs w:val="20"/>
          <w:color w:val="auto"/>
        </w:rPr>
      </w:pPr>
    </w:p>
    <w:p>
      <w:pPr>
        <w:ind w:left="38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licensees and collaborators may not be successful in obtaining or maintaining necessary rights to our product candidates through acquisitions and in-licenses.</w:t>
      </w:r>
    </w:p>
    <w:p>
      <w:pPr>
        <w:spacing w:after="0" w:line="159"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Our or our licensors or licensees and collaborators programs may require the use of proprietary rights held by third parties in the future, and the growth of our business will likely depend in part on our ability to acquire, in-license, maintain or use these proprietary rights. In addition, our product candidates may require specific processes and/or formulations to work effectively and efficiently and the rights to these processes and/or formulations may be held by others. We or our licensors or licensees may be unable to acquire or in-license from third parties any compositions, methods of use, processes, or other third-party intellectual property rights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or our licensors or licensees also may be unable to license or acquire third-party intellectual property rights on terms that would allow us to make an appropriate return on our investment.</w:t>
      </w:r>
    </w:p>
    <w:p>
      <w:pPr>
        <w:spacing w:after="0" w:line="194"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9" w:lineRule="exact"/>
        <w:rPr>
          <w:sz w:val="20"/>
          <w:szCs w:val="20"/>
          <w:color w:val="auto"/>
        </w:rPr>
      </w:pPr>
    </w:p>
    <w:p>
      <w:pPr>
        <w:ind w:left="60" w:right="659"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72" w:lineRule="exact"/>
        <w:rPr>
          <w:sz w:val="20"/>
          <w:szCs w:val="20"/>
          <w:color w:val="auto"/>
        </w:rPr>
      </w:pPr>
    </w:p>
    <w:p>
      <w:pPr>
        <w:ind w:left="38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expose us to substantial liability or may prevent or delay our or our collaboration partners’ development and commercialization efforts.</w:t>
      </w:r>
    </w:p>
    <w:p>
      <w:pPr>
        <w:spacing w:after="0" w:line="15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which are owned by third parties, exist in the fields in which we are developing product candidates. For example, we are aware of third-party patents or patent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applications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or be compelled to enter into onerous licenses with such third parties. There may also be other third-party patents or patent applications with claims to materials, formulations, methods of manufacture or methods of treatment related to the use or manufacture of our product candidates and technology. Although we generally conduct a freedom-to-operate search and review with respect to our product candidates, we cannot guarantee that our search and review is complete and thorough, nor can we be sure that we have identified each and every patent and pending application in the U.S. and abroad that is relevant or necessary to the manufacturing or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file and obtain additional patents in the future and claim that use of our technologies infringes upon these patents.</w:t>
      </w:r>
    </w:p>
    <w:p>
      <w:pPr>
        <w:spacing w:after="0" w:line="18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on patents that may be granted in the future, regardless of merit. Even if we believe such claims are without merit, a court of competent jurisdiction could hold that these third-party patents are valid, enforceable and infringed, which could materially and adversely affect our or our collaboration partners’ ability to commercialize our product candidates or technologies covered by the asserted third-party patents.</w:t>
      </w:r>
    </w:p>
    <w:p>
      <w:pPr>
        <w:spacing w:after="0" w:line="18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92"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4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patent-holding companies that focus solely on extracting royalties and settlements by enforcing patent rights may target us. As the pharmaceutical and biopharmaceutical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83" w:lineRule="exact"/>
        <w:rPr>
          <w:sz w:val="20"/>
          <w:szCs w:val="20"/>
          <w:color w:val="auto"/>
        </w:rPr>
      </w:pPr>
    </w:p>
    <w:p>
      <w:pPr>
        <w:jc w:val="both"/>
        <w:ind w:left="38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75"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employ and utilize the services of individuals who were previously employed or provided services to universities or other pharmaceutical or biopharmaceutical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consultants or independent contractors have inadvertently or otherwise used or disclosed intellectual property, including trade secrets or other proprietary information, of any of our employees’, consultants’ or independent contractors’ former employers or of other third parties. Litigation may be necessary to defend against these claims. If we fail in defending any such claims, in addition to paying monetary damages, we may lose valuable intellectual property rights or personnel, which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U.S. may be less extensive than those in the U.S.. In addition, the laws of some foreign countries do not protect intellectual property rights to the same extent as the laws in the U.S.. Consequently, we may not be able to prevent third parties from practicing our inventions in all countries outside the U.S., or from selling or importing products made using our inventions in and into the U.S.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and products in jurisdictions where we have not obtained or are unable to adequately enforce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94"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both"/>
        <w:ind w:left="38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our names and brands may be misappropriated by third parties, and our business may be adversely affected.</w:t>
      </w:r>
    </w:p>
    <w:p>
      <w:pPr>
        <w:spacing w:after="0" w:line="17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have filed trademark applications seeking protection for our corporate name, logo, Nasdaq Global Market symbol and selected names of our technology platforms in selected geographies. While we have been granted registrations in certain geographies for certain trademarks, there is no guarantee that our trademark applications will be approved by the respective authorities at all or that we will not be required to narrow the scope of protection in certain or all geographies. Our applications have in the past faced and may in the future face opposition from third parties, potentially resulting in the lack of protection or narrower protection. Our trademarks or trade names may be challenged, infringed, circumvented, declared generic or determined to be infringing on other marks. We may not be able to protect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rights to these trademarks and trade names, which we need to build name recognition among potential partners or customers in our markets of interest. At times, competitors or other third parties may adopt trade names, domain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and domain names may be ineffective and could result in substantial costs and diversion of resources, and could adversely affect our business, financial condition, results of operations and growth prospects.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and have a history of operating losses. We anticipate that we will continue to incur losses for the foreseeable future.</w:t>
      </w:r>
    </w:p>
    <w:p>
      <w:pPr>
        <w:spacing w:after="0" w:line="15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Since 2003, although we have received upfront and milestone payments from our collaboration partners and certain other contract revenue, we have also incurred significant operating losses. We incurred net losses (defined as net loss attributable to owners of the Company) of CHF 70.8 million for the year ended December 31, 2022. In addition, we had accumulated losses of CHF 264.0 million as of December 31, 2022.</w:t>
      </w:r>
    </w:p>
    <w:p>
      <w:pPr>
        <w:spacing w:after="0" w:line="18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To date, the Company has financed its liquidity requirements primarily from its public offerings, share issuances, contract revenues from license and collaboration agreements and grants. We have no products approved for commercialization and have never generated any revenues from product sales. Biopharmaceutical and 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85" w:lineRule="exact"/>
        <w:rPr>
          <w:sz w:val="20"/>
          <w:szCs w:val="20"/>
          <w:color w:val="auto"/>
        </w:rPr>
      </w:pPr>
    </w:p>
    <w:p>
      <w:pPr>
        <w:ind w:left="38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Although we have generated revenues from upfront and milestone payments related to our license and collaboration agreements, we have never generated any revenue from product sales and may never be profitable.</w:t>
      </w:r>
    </w:p>
    <w:p>
      <w:pPr>
        <w:spacing w:after="0" w:line="13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Although we have generated contract revenue from upfront and milestone payments related to our license and collaboration agreements, we have no products approved for commercialization and have never generated any revenue from product sales. Our ability to generate revenue and achieve profitability depends on our and our licensors’ and collaboration partners’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78" w:lineRule="exact"/>
        <w:rPr>
          <w:sz w:val="20"/>
          <w:szCs w:val="20"/>
          <w:color w:val="auto"/>
        </w:rPr>
      </w:pPr>
    </w:p>
    <w:p>
      <w:pPr>
        <w:ind w:left="720" w:right="2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and clinical development of our product candidates, by us or our collaboration partners, as the case may be;</w:t>
      </w:r>
    </w:p>
    <w:p>
      <w:pPr>
        <w:spacing w:after="0" w:line="161" w:lineRule="exact"/>
        <w:rPr>
          <w:rFonts w:ascii="Times New Roman" w:cs="Times New Roman" w:eastAsia="Times New Roman" w:hAnsi="Times New Roman"/>
          <w:sz w:val="18"/>
          <w:szCs w:val="18"/>
          <w:color w:val="auto"/>
        </w:rPr>
      </w:pPr>
    </w:p>
    <w:p>
      <w:pPr>
        <w:ind w:left="720" w:right="35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for our clinical product candidates, including our vaccines (ACI-35.030, ACI-24.060 and ACI-7104.056), monoclonal antibodies (semorinemab and crenezumab) and diagnostics (Tau-PET tracer PI-2620 and a-syn PET tracer ACI-12589), for which we or our collaboration partners complete clinical studies;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6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any approved product candidates, and maintaining supply and manufacturing relationships with third parties that can conduct the process and provide adequate (in amount, quality and time) products to support clinical development and the market demand for our product candidates, if approved;</w:t>
      </w:r>
    </w:p>
    <w:p>
      <w:pPr>
        <w:spacing w:after="0" w:line="166"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 either directly or with a collaborator or distributor;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or diagnostic options;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225"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similar arrangements into which we may enter;</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acquiring and expanding our portfolio of intellectual property rights, including patents, trade secrets and know-how;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Because of the numerous risks and uncertainties with biopharmaceutical and pharmaceutical product development, we are unable to accurately predict the timing or amount of increased expenses and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the treatment population is narrowed by competition, physician choice or treatment guidelines or other commercial related factors we may not generate significant revenue from sales of such products, even if approved. Accordingly, we may not be profitable in the future from the sale of any approved products.</w:t>
      </w:r>
    </w:p>
    <w:p>
      <w:pPr>
        <w:spacing w:after="0" w:line="19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or our collaboration partners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3" w:lineRule="exact"/>
        <w:rPr>
          <w:sz w:val="20"/>
          <w:szCs w:val="20"/>
          <w:color w:val="auto"/>
        </w:rPr>
      </w:pPr>
    </w:p>
    <w:p>
      <w:pPr>
        <w:ind w:left="38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funding, we may delay, reduce or eliminate our product development programs or commercialization efforts.</w:t>
      </w:r>
    </w:p>
    <w:p>
      <w:pPr>
        <w:spacing w:after="0" w:line="15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currently advancing our clinical product candidates through clinical development, either together with a collaboration partner (ACI-35.030, semorinemab, crenezumab and PI-2620) or independently (ACI-24.060, ACI-7104.056 and ACI-12589). We expect our research and development expenses to continue to increase in connection with our ongoing activities, particularly as we and/or our collaboration partners continue our ongoing studies and initiate new studies of ACI-35.030, ACI-24.060, ACI-7104.056, Morphomer Tau, PI-2620 and ACI-12589 and initiate preclinical and clinical development of our other product candidates.</w:t>
      </w:r>
    </w:p>
    <w:p>
      <w:pPr>
        <w:spacing w:after="0" w:line="18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CHF 31.6 million and short-term financial assets of CHF 91.0 million resulting in a total liquidity position of CHF 122.6 million. We currently believe that our existing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capital resources, not including potential milestone payments, will be sufficient to meet our projected operating requirements into Q3 2024. We have based this estimate on assumptions that may prove to be wrong, and we could exhaust our capital resources sooner than we currently expect. In addition, changing circumstances, including inflation, may cause us to adjust our projected spending to amounts more than currently expected. We may also need to raise additional funds sooner than we anticipate due to various factors such as the scope and rate of progress of our development activities, regulatory approval outcomes and emergence of competing technologies, among others.</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We expect that we will require additional capital to develop and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 and establishing a regulatory structure, depending on where we choose to commercialize. Additional funds may not be available on a timely basis, on favorable terms, or at all, and such funds, if raised, may not be sufficient to enable us to continue to implement our long-term business strategy, in particular as a result of inflation. Additionally, we may be dependent on the status of the capital markets at the time such capital is sought. In addition, our ability to raise sufficient capital under our “at the market” program may be diminished depending on the market price of our shares. If we are not able to raise capital when needed, we could be forced to delay, reduce or eliminate our product development programs or commercialization efforts.</w:t>
      </w:r>
    </w:p>
    <w:p>
      <w:pPr>
        <w:spacing w:after="0" w:line="178" w:lineRule="exact"/>
        <w:rPr>
          <w:sz w:val="20"/>
          <w:szCs w:val="20"/>
          <w:color w:val="auto"/>
        </w:rPr>
      </w:pPr>
    </w:p>
    <w:p>
      <w:pPr>
        <w:ind w:left="3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59"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In September 2020, the Company established an “at the market offering” (ATM) for the sale of up to USD 80.0 (CHF 74.6) million worth of our common shares from time to time by entering into an Open Market Sale Agreement (Sales Agreement) with Jefferies LLC (Jefferies). In Q2 2021, we filed a new registration statement on Form F-3 and entered into a new Sales Agreement to replace and extend the ATM program. We do not have any material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94"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tax loss carry-forwards in Switzerland may be limited.</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we reported tax loss carry-forwards from financial years 2016 until 2022 for purposes of Swiss corporate income tax in the aggregate amount of CHF 264.1 million, which could be available to offset future taxable income. If not used, these tax losses will expire 7 years after the year in which they were incurred. Due to our limited income, there is a high risk that the tax loss carry-forwards will expire partly or entirely and we will not be able to use them to offset future taxable income thereafter for Swiss corporate income tax purposes.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Under our existing agreements, we receive and make a significant amount of payments in Swiss Franc, USD and EUR. As a result, changes and fluctuations in currency exchange rates between the Swiss Franc and other currencies, especially the USD and EUR, could have a materially adverse effect on our operating results. As our reporting currency is the Swiss Franc, financial line items are converted into Swiss Francs at the applicable exchange rates. We also expect that in the future, a significant portion of our revenues and expenses will be denominated in Swiss Franc, USD and EUR.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Therefore, unfavorable developments in the value of the Swiss Franc as compared to the USD and EUR or any other currency could have a material adverse effect on our business, financial condition and results of operations.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significant in-process research and development (IPR&amp;D) asset may become impaired.</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consolidated balance sheet contains a material IPR&amp;D asset. For an IPR&amp;D asset, the risk of failure is significant, and there can be no certainty that the asset will become a successful candidate. Our ability to realize value on this significant investment is often contingent upon, among other things, regulatory approvals and market acceptance. As such, this IPR&amp;D may become impaired and/or be written off at some time in the future if the associated R&amp;D effort is abandoned or is curtailed.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225" w:lineRule="exact"/>
        <w:rPr>
          <w:sz w:val="20"/>
          <w:szCs w:val="20"/>
          <w:color w:val="auto"/>
        </w:rPr>
      </w:pPr>
    </w:p>
    <w:p>
      <w:pPr>
        <w:ind w:left="38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which is necessary before they can be commercialized.</w:t>
      </w:r>
    </w:p>
    <w:p>
      <w:pPr>
        <w:spacing w:after="0" w:line="15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dependent on our and our collaboration partners’ ability to successfully develop, obtain regulatory approval for, and then successfully commercialize one or more product candidates. We currently have two product candidates that have completed Phase 2 clinical studies and six that are in a Phase 2 clinical study.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76" w:lineRule="exact"/>
        <w:rPr>
          <w:sz w:val="20"/>
          <w:szCs w:val="20"/>
          <w:color w:val="auto"/>
        </w:rPr>
      </w:pPr>
    </w:p>
    <w:p>
      <w:pPr>
        <w:ind w:left="720" w:right="23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or implementation of our clinical studies;</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we seek approval;</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nonclinical or clinical studies;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an NDA or other submission or to obtain regulatory approval in the U.S. or elsewhere;</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comparable foreign regulatory authorities that a product candidate’s benefit-risk ratio for its proposed indication is acceptable;</w:t>
      </w:r>
    </w:p>
    <w:p>
      <w:pPr>
        <w:spacing w:after="0" w:line="161" w:lineRule="exact"/>
        <w:rPr>
          <w:rFonts w:ascii="Times New Roman" w:cs="Times New Roman" w:eastAsia="Times New Roman" w:hAnsi="Times New Roman"/>
          <w:sz w:val="18"/>
          <w:szCs w:val="18"/>
          <w:color w:val="auto"/>
        </w:rPr>
      </w:pPr>
    </w:p>
    <w:p>
      <w:pPr>
        <w:jc w:val="both"/>
        <w:ind w:left="720" w:right="259" w:hanging="319"/>
        <w:spacing w:after="0" w:line="258"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96"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foreign regulatory authorities may change significantly in a manner rendering our clinical data insufficient for approval.</w:t>
      </w:r>
    </w:p>
    <w:p>
      <w:pPr>
        <w:spacing w:after="0" w:line="162" w:lineRule="exact"/>
        <w:rPr>
          <w:sz w:val="20"/>
          <w:szCs w:val="20"/>
          <w:color w:val="auto"/>
        </w:rPr>
      </w:pPr>
    </w:p>
    <w:p>
      <w:pPr>
        <w:ind w:left="60" w:right="279" w:firstLine="324"/>
        <w:spacing w:after="0" w:line="275" w:lineRule="auto"/>
        <w:rPr>
          <w:sz w:val="20"/>
          <w:szCs w:val="20"/>
          <w:color w:val="auto"/>
        </w:rPr>
      </w:pPr>
      <w:r>
        <w:rPr>
          <w:rFonts w:ascii="Times New Roman" w:cs="Times New Roman" w:eastAsia="Times New Roman" w:hAnsi="Times New Roman"/>
          <w:sz w:val="17"/>
          <w:szCs w:val="17"/>
          <w:color w:val="auto"/>
        </w:rPr>
        <w:t>We generally plan to seek regulatory approval to commercialize our product candidates in the U.S., the EU and in additional foreign countries where we have commercial and typically intellectual property rights. To obtain regulatory approval in other countries, we must comply with numerous and varying regulatory requirements of such other countries regarding safety, efficacy, chemistry, manufacturing and controls, clinical studies, commercial sales, pricing, marketing</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 and results of operations.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83" w:lineRule="exact"/>
        <w:rPr>
          <w:sz w:val="20"/>
          <w:szCs w:val="20"/>
          <w:color w:val="auto"/>
        </w:rPr>
      </w:pPr>
    </w:p>
    <w:p>
      <w:pPr>
        <w:ind w:left="380" w:right="2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84" w:lineRule="exact"/>
        <w:rPr>
          <w:sz w:val="20"/>
          <w:szCs w:val="20"/>
          <w:color w:val="auto"/>
        </w:rPr>
      </w:pPr>
    </w:p>
    <w:p>
      <w:pPr>
        <w:ind w:left="60" w:right="119" w:firstLine="324"/>
        <w:spacing w:after="0" w:line="268" w:lineRule="auto"/>
        <w:rPr>
          <w:sz w:val="20"/>
          <w:szCs w:val="20"/>
          <w:color w:val="auto"/>
        </w:rPr>
      </w:pPr>
      <w:r>
        <w:rPr>
          <w:rFonts w:ascii="Times New Roman" w:cs="Times New Roman" w:eastAsia="Times New Roman" w:hAnsi="Times New Roman"/>
          <w:sz w:val="17"/>
          <w:szCs w:val="17"/>
          <w:color w:val="auto"/>
        </w:rPr>
        <w:t>To obtain the necessary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pharmaceutical or biopharmaceutical industry, including us, have suffered significant setbacks in advanced clinical studies due to lack of efficacy or adverse safety profiles, notwithstanding promising results in earlier studies. Our future clinical study results may not be successful.</w:t>
      </w:r>
    </w:p>
    <w:p>
      <w:pPr>
        <w:spacing w:after="0" w:line="18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Clinical studies must be conducted in accordance with the legal requirements, regulations and guidelines of the FDA, EMA and comparable foreign regulatory authorities, and are subject to oversight by these governmental agencies and Institutional Review Boards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9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To date, neither we nor our collaboration partners have completed all clinical studies required for the approval of any of our product candidates.</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completion of clinical studies for our product candidates may be delayed, suspended or terminated as a result of many factors, including but not limited to:</w:t>
      </w:r>
    </w:p>
    <w:p>
      <w:pPr>
        <w:spacing w:after="0" w:line="162" w:lineRule="exact"/>
        <w:rPr>
          <w:sz w:val="20"/>
          <w:szCs w:val="20"/>
          <w:color w:val="auto"/>
        </w:rPr>
      </w:pPr>
    </w:p>
    <w:p>
      <w:pPr>
        <w:ind w:left="720" w:right="19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refusal of regulators or IRBs to authorize us to commence or amend a clinical study at a prospective study site or changes in regulatory requirements, policies and guidelines;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studies;</w:t>
      </w:r>
    </w:p>
    <w:p>
      <w:pPr>
        <w:spacing w:after="0" w:line="225"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studies to ensure adequate statistical power to detect statistically significant treatment effects;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which may require us to conduct additional preclinical or clinical studies or to abandon projects that we expected to be promising;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which could cause us to suspend or terminate a study if we find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studies;</w:t>
      </w:r>
    </w:p>
    <w:p>
      <w:pPr>
        <w:spacing w:after="0" w:line="225" w:lineRule="exact"/>
        <w:rPr>
          <w:rFonts w:ascii="Times New Roman" w:cs="Times New Roman" w:eastAsia="Times New Roman" w:hAnsi="Times New Roman"/>
          <w:sz w:val="18"/>
          <w:szCs w:val="18"/>
          <w:color w:val="auto"/>
        </w:rPr>
      </w:pPr>
    </w:p>
    <w:p>
      <w:pPr>
        <w:ind w:left="720" w:right="779" w:hanging="319"/>
        <w:spacing w:after="0" w:line="312" w:lineRule="auto"/>
        <w:tabs>
          <w:tab w:leader="none" w:pos="7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CROs or clinical study sites failing to comply with regulatory requirements or meet their contractual obligations to us in a timely manner, or at all, deviating from the protocol or dropping out of a study;</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relating to adding new clinical study sites;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or obtain sufficient quantities of the product candidate to complete clinical studies;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Any delays in completing our clinical studies will increase our costs, slow our product candidate development and approval process, and jeopardize our ability to commence product sales and generate sales revenues.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79" w:lineRule="exact"/>
        <w:rPr>
          <w:sz w:val="20"/>
          <w:szCs w:val="20"/>
          <w:color w:val="auto"/>
        </w:rPr>
      </w:pPr>
    </w:p>
    <w:p>
      <w:pPr>
        <w:ind w:left="380" w:right="3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82"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Sales by us of our approved drugs will be subject to U.S. and non-U.S. regulatory requirements governing clinical studies and regulatory approval, and we plan to seek regulatory approval to commercialize our product candidates in the U.S., the European Economic Area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the regulatory authorities in other countries or jurisdictions, and similarly, approval by a non-U.S. regulatory authority, such as the EMA, does not ensure approval by regulatory authorities in other countries, including by the FDA.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U.S., a product candidate must be approved for reimbursement before it can be approved for sale in that country. In some cases, the price that would be charged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5"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If a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 and cGCP requirements for any clinical studies that we conduct post-approval. Later discovery of previously unknown problems with a product, including AEs of unanticipated severity or frequency, or with our third-party manufacturers or manufacturing processes, or failure to comply with regulatory requirements, may result in, among other things:</w:t>
      </w:r>
    </w:p>
    <w:p>
      <w:pPr>
        <w:spacing w:after="0" w:line="195" w:lineRule="exact"/>
        <w:rPr>
          <w:sz w:val="20"/>
          <w:szCs w:val="20"/>
          <w:color w:val="auto"/>
        </w:rPr>
      </w:pPr>
    </w:p>
    <w:p>
      <w:pPr>
        <w:ind w:left="720" w:right="4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studies;</w:t>
      </w:r>
    </w:p>
    <w:p>
      <w:pPr>
        <w:spacing w:after="0" w:line="225" w:lineRule="exact"/>
        <w:rPr>
          <w:rFonts w:ascii="Times New Roman" w:cs="Times New Roman" w:eastAsia="Times New Roman" w:hAnsi="Times New Roman"/>
          <w:sz w:val="18"/>
          <w:szCs w:val="18"/>
          <w:color w:val="auto"/>
        </w:rPr>
      </w:pPr>
    </w:p>
    <w:p>
      <w:pPr>
        <w:jc w:val="both"/>
        <w:ind w:left="720" w:right="13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an applicable foreign regulatory authority to approve pending applications or supplements to approved applications filed by us or our collaborations partners, or suspension or revocation of product license approvals;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in promotion and distribution of drug products in various markets;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or those of an applicable foreign regulatory authority’s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ind w:left="38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studies for our product candidates outside the U.S., and the FDA and applicable foreign regulatory authorities may not accept data from such studies.</w:t>
      </w:r>
    </w:p>
    <w:p>
      <w:pPr>
        <w:spacing w:after="0" w:line="15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have conducted and may in the future choose to conduct one or more of our clinical studies outside the U.S., including in Germany, Austria, Denmark, Sweden, Finland, the UK, Poland, Spain and the Netherlands. The acceptance of study data from clinical studies conducted outside the U.S. or another jurisdiction by the FDA or applicable foreign regulatory authority may be subject to certain conditions. In cases where data from foreign clinical studies are intended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to serve as the basis for marketing approval in the U.S., the FDA will not approve the application on the basis of foreign data alone unless the following are true: the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in which the studies are conducted. There can be no assurance that the FDA or any applicable foreign regulatory authority will accept data from studies conducted outside of the U.S.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product candidates not receiving approval or clearance for commercialization in the applicable jurisdiction.</w:t>
      </w:r>
    </w:p>
    <w:p>
      <w:pPr>
        <w:spacing w:after="0" w:line="193" w:lineRule="exact"/>
        <w:rPr>
          <w:sz w:val="20"/>
          <w:szCs w:val="20"/>
          <w:color w:val="auto"/>
        </w:rPr>
      </w:pPr>
    </w:p>
    <w:p>
      <w:pPr>
        <w:ind w:left="38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4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the U.S., the EU and some foreign jurisdictions, there have been a number of adopted and proposed legislative and regulatory changes regarding the healthcare system that could prevent or delay regulatory approval of our product candidates, restrict or regulate post-approval activities and affect our ability to profitably sell any of our product candidates for which we obtain regulatory approval.</w:t>
      </w:r>
    </w:p>
    <w:p>
      <w:pPr>
        <w:spacing w:after="0" w:line="180" w:lineRule="exact"/>
        <w:rPr>
          <w:sz w:val="20"/>
          <w:szCs w:val="20"/>
          <w:color w:val="auto"/>
        </w:rPr>
      </w:pPr>
    </w:p>
    <w:p>
      <w:pPr>
        <w:ind w:left="60" w:right="279" w:firstLine="324"/>
        <w:spacing w:after="0" w:line="253" w:lineRule="auto"/>
        <w:rPr>
          <w:sz w:val="20"/>
          <w:szCs w:val="20"/>
          <w:color w:val="auto"/>
        </w:rPr>
      </w:pPr>
      <w:r>
        <w:rPr>
          <w:rFonts w:ascii="Times New Roman" w:cs="Times New Roman" w:eastAsia="Times New Roman" w:hAnsi="Times New Roman"/>
          <w:sz w:val="18"/>
          <w:szCs w:val="18"/>
          <w:color w:val="auto"/>
        </w:rPr>
        <w:t>In the U.S., the Medicare Prescription Drug, Improvement, and Modernization Act of 2003 (“MMA”) changed the way Medicare covers and pays for pharmaceutical products. Cost reduction initiatives and other provisions of this legislation could limit the coverage and reimbursement rate that we receive for any of our approved product candidates.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(collectively, the Health Care Reform Law), was enacted. The Health Care Reform Law was intended to broaden access to health insurance, reduce or constrain the growth of healthcare spending, enhance remedies against healthcare fraud and abuse, add new transparency requirements for healthcare and health insurance industries, impose new taxes and fees on the health industry and impose additional health policy reforms. The Health Care Reform Law increased manufacturers’ rebate liability under the Medicaid Drug Rebate Program by increasing the minimum rebate amount for both branded and generic drugs and revised the definition of “average manufacturer price” (“AMP”), which may also increase the amount of Medicaid drug rebates manufacturers are required to pay to states. The legislation also expanded Medicaid drug rebates and created an alternative rebate formula for certain new formulations of certain existing products that is intended to increase the rebates due on those drugs. The Centers for Medicare &amp; Medicaid Services, which administers the Medicaid Drug Rebate Program, also has proposed to expand Medicaid rebates to the utilization that occurs in the territories of the U.S., such as Puerto Rico and the Virgin Islands. Further, beginning in 2011, the Health Care Reform Law imposed a significant annual fee on companies that manufacture or import branded prescription drug products. Legislative and regulatory proposals have been introduced at both the state and federal level to expand post-approval requirements and restrict sales and promotional activities for pharmaceutical products.</w:t>
      </w:r>
    </w:p>
    <w:p>
      <w:pPr>
        <w:spacing w:after="0" w:line="19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Inflation Reduction Act of 2022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At this time, we cannot predict the implications the IRA provisions will have on our business.</w:t>
      </w:r>
    </w:p>
    <w:p>
      <w:pPr>
        <w:spacing w:after="0" w:line="19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Additionally, in the EU, the new clinical trial regulation came into force on January 31, 2022. This new legislation enforces the centralization of clinical trial applications (CTAs) and approvals, which eliminates redundancy, but in some cases, this may extend timelines for clinical study approvals, due to potentially longer wait times. Austerity measures in certain European nations may also affect the prices we are able to seek if our products are approved. Both in the U.S. and in the EU, legislative and regulatory proposals have been made to expand post-approval requirements and restrict sales and promotional activities for pharmaceutical and biopharmaceutical products. We do not know whether additional legislative changes will be enacted, whether the regulations, guidance or interpretations will be changed, or what the impact of such changes on the marketing approvals of our product candidates, if any, may be.</w:t>
      </w:r>
    </w:p>
    <w:p>
      <w:pPr>
        <w:spacing w:after="0" w:line="188" w:lineRule="exact"/>
        <w:rPr>
          <w:sz w:val="20"/>
          <w:szCs w:val="20"/>
          <w:color w:val="auto"/>
        </w:rPr>
      </w:pPr>
    </w:p>
    <w:p>
      <w:pPr>
        <w:ind w:left="38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8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18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83" w:lineRule="exact"/>
        <w:rPr>
          <w:sz w:val="20"/>
          <w:szCs w:val="20"/>
          <w:color w:val="auto"/>
        </w:rPr>
      </w:pPr>
    </w:p>
    <w:p>
      <w:pPr>
        <w:ind w:left="38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clinical centers are, and potentials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6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which constrain the business or financial arrangements and relationships through which we market, sell and distribute our products for which we obtain marketing approval. Restrictions under applicable healthcare laws and regulations include the following: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81" w:lineRule="auto"/>
        <w:tabs>
          <w:tab w:leader="none" w:pos="7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148" w:lineRule="exact"/>
        <w:rPr>
          <w:rFonts w:ascii="Times New Roman" w:cs="Times New Roman" w:eastAsia="Times New Roman" w:hAnsi="Times New Roman"/>
          <w:sz w:val="17"/>
          <w:szCs w:val="17"/>
          <w:color w:val="auto"/>
        </w:rPr>
      </w:pPr>
    </w:p>
    <w:p>
      <w:pPr>
        <w:ind w:left="720" w:right="199" w:hanging="319"/>
        <w:spacing w:after="0" w:line="261"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168"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HIPAA imposes criminal and civil liability for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66"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and biopharmaceutical companies to comply with the pharmaceutical and biopharmaceutical industries’ voluntary compliance guidelines and the relevant compliance guidance promulgated by the federal government, in addition to requiring manufacturers to report information related to payments to physicians and other healthcare providers or marketing expenditures.</w:t>
      </w:r>
    </w:p>
    <w:p>
      <w:pPr>
        <w:spacing w:after="0" w:line="17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healthcare-reform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Jurisdictions outside of the U.S. have enacted laws and regulations defining the framework of business practices of pharmaceutical organizations in their interactions with government offices, medical institutions and healthcare professionals (HCP) in order to safeguard the independence of medical judgement and of prescription and purchasing decisions. These regulations typically prohibit illegitimate payments and other transfers of values to institutional players and HCPs and regulate the bases for their remuneration, such as for consultancy and other service arrangements, as well as the reimbursement of costs; in certain jurisdictions, regulations prescribe the disclosure of the existing relationships and/or the remunerations paid. In addition to government regulations, pharmaceutical industry associations, such as the European Federation of Pharmaceutical Industries and Associations (EFPIA), of which we have been a member since 2021, have enacted industry codes of conduct providing their own rules of compliance for their members’ interactions with government offices, medical institutions and HCPs.</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governmental regulations that may apply to us, we may be subject to significant civil, criminal and administrative penalties, damages, fines, exclusion from U.S. government-funded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government-funded healthcare programs.</w:t>
      </w:r>
    </w:p>
    <w:p>
      <w:pPr>
        <w:spacing w:after="0" w:line="183" w:lineRule="exact"/>
        <w:rPr>
          <w:sz w:val="20"/>
          <w:szCs w:val="20"/>
          <w:color w:val="auto"/>
        </w:rPr>
      </w:pPr>
    </w:p>
    <w:p>
      <w:pPr>
        <w:ind w:left="380" w:right="4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71"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collaborators, or other parties, which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operating results, our ability to conduct business and our reputation.</w:t>
      </w:r>
    </w:p>
    <w:p>
      <w:pPr>
        <w:spacing w:after="0" w:line="174"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April 2022, we amended our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5" w:lineRule="exact"/>
        <w:rPr>
          <w:sz w:val="20"/>
          <w:szCs w:val="20"/>
          <w:color w:val="auto"/>
        </w:rPr>
      </w:pPr>
    </w:p>
    <w:p>
      <w:pPr>
        <w:ind w:left="38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(FCPA), and similar anti-bribery and anti-corruption laws.</w:t>
      </w:r>
    </w:p>
    <w:p>
      <w:pPr>
        <w:spacing w:after="0" w:line="159" w:lineRule="exact"/>
        <w:rPr>
          <w:sz w:val="20"/>
          <w:szCs w:val="20"/>
          <w:color w:val="auto"/>
        </w:rPr>
      </w:pPr>
    </w:p>
    <w:p>
      <w:pPr>
        <w:ind w:left="60" w:right="159" w:firstLine="324"/>
        <w:spacing w:after="0" w:line="249"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or biopharmaceuticals and the investigators who perform our studies are employed by their government, and the purchasers of pharmaceuticals are government entities; therefore, our dealings with these decision makers are subject to regulation under the FCPA. The Securities and Exchange Commission (SEC) and the Department of Justice have increased their FCPA enforcement activities with respect to pharmaceutical companies. There is no certainty that all of our employees, agents, contractors, collaborators, or other parties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shares is volatile and may fluctuate due to factors beyond our control.</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share prices of publicly traded pharmaceutical,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76"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of testing and clinical studies by us, strategic partners, or competitors;</w:t>
      </w:r>
    </w:p>
    <w:p>
      <w:pPr>
        <w:spacing w:after="0" w:line="225"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61" w:lineRule="exact"/>
        <w:rPr>
          <w:rFonts w:ascii="Times New Roman" w:cs="Times New Roman" w:eastAsia="Times New Roman" w:hAnsi="Times New Roman"/>
          <w:sz w:val="18"/>
          <w:szCs w:val="18"/>
          <w:color w:val="auto"/>
        </w:rPr>
      </w:pPr>
    </w:p>
    <w:p>
      <w:pPr>
        <w:ind w:left="720" w:right="459" w:hanging="319"/>
        <w:spacing w:after="0" w:line="258"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sentiment of retail investors, including the perception of our clinical trial results by such retail investors, which investors may be subject to the influence of information provided by social media, third party investor websites and independent authors distributing information on the internet;</w:t>
      </w:r>
    </w:p>
    <w:p>
      <w:pPr>
        <w:spacing w:after="0" w:line="19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our collaboration partners or competitors;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any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key opinion leaders;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or biopharmaceutical industry or in the economy as a whole;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beyond our control.</w:t>
      </w:r>
    </w:p>
    <w:p>
      <w:pPr>
        <w:spacing w:after="0" w:line="225"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long-term, decline in the market price of our common shares.</w:t>
      </w:r>
    </w:p>
    <w:p>
      <w:pPr>
        <w:spacing w:after="0" w:line="189" w:lineRule="exact"/>
        <w:rPr>
          <w:sz w:val="20"/>
          <w:szCs w:val="20"/>
          <w:color w:val="auto"/>
        </w:rPr>
      </w:pPr>
    </w:p>
    <w:p>
      <w:pPr>
        <w:ind w:left="38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only a limited free float of our common shares; this may have a negative impact on the liquidity of and the market price for our common shares.</w:t>
      </w:r>
    </w:p>
    <w:p>
      <w:pPr>
        <w:spacing w:after="0" w:line="15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As of the date hereof, certain principal shareholders controlling 5% or more of our common shares as well as our executive officers and directors together beneficially own approximately 60.1% of our common shares. The limited free float may have a negative impact on the liquidity of our common shares and result in a low trading volume of our common shares, which could adversely affect the price of our common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exercise significant control over us, and your interests may conflict with the interests of such shareholders.</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Certain principal shareholders as well as our executive officers and directors together beneficially own approximately 60.1%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83"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common shares could adversely affect the price of our common shares.</w:t>
      </w:r>
    </w:p>
    <w:p>
      <w:pPr>
        <w:spacing w:after="0" w:line="159"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October 2020 and August 2018, we filed registration statements on Form F-3 to register the resale of two of our shareholder’s common shares pursuant to the requirements of their registration rights agreements. In addition, in 2019, we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are sold in the public market after they become eligible for sale, the sales could reduce the trading price of our common shares and impede our ability to raise future capital.</w:t>
      </w:r>
    </w:p>
    <w:p>
      <w:pPr>
        <w:spacing w:after="0" w:line="191"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short-term financial assets (liquidity) and may not use them effectively.</w:t>
      </w:r>
    </w:p>
    <w:p>
      <w:pPr>
        <w:spacing w:after="0" w:line="159" w:lineRule="exact"/>
        <w:rPr>
          <w:sz w:val="20"/>
          <w:szCs w:val="20"/>
          <w:color w:val="auto"/>
        </w:rPr>
      </w:pPr>
    </w:p>
    <w:p>
      <w:pPr>
        <w:ind w:left="60" w:right="279" w:firstLine="324"/>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pharmaceutical or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Based on Swiss law and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considering various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including our business prospects, liquidity requirements, financial performance and new product development. In addition, payment of future dividends is subject to certain limitations pursuant to Swiss law or by our articles of association compliance with which must be confirmed by our auditors. Accordingly, investors cannot rely on dividend income from our common shares and any returns on an investment in our common shares will likely depend entirely upon any future appreciation in the price of our common shares.</w:t>
      </w:r>
    </w:p>
    <w:p>
      <w:pPr>
        <w:spacing w:after="0" w:line="139" w:lineRule="exact"/>
        <w:rPr>
          <w:sz w:val="20"/>
          <w:szCs w:val="20"/>
          <w:color w:val="auto"/>
        </w:rPr>
      </w:pPr>
    </w:p>
    <w:p>
      <w:pPr>
        <w:ind w:left="38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Swiss corporation. The rights of our shareholders may be different from the rights of shareholders in companies governed by the laws of U.S. jurisdictions.</w:t>
      </w:r>
    </w:p>
    <w:p>
      <w:pPr>
        <w:spacing w:after="0" w:line="159"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first, then of our shareholders, our employees and other stakeholders, in all cases, with due observation of their fiduciary duties of care and loyalty.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their fiduciary duties by the directors. As a matter of Swiss law, shareholder claims against a member of our board of directors for breach of fiduciary duty would have to be brought in Lausanne, Switzerland, or the country in which the relevant member of our board of directors is domiciled. In addition, under Swiss law, any claims by our shareholders against us must be in principle brought exclusively in Lausanne, Switzerland (except for certain U.S. securities and other claims that may be brought in U.S. federal court).</w:t>
      </w:r>
    </w:p>
    <w:p>
      <w:pPr>
        <w:spacing w:after="0" w:line="150" w:lineRule="exact"/>
        <w:rPr>
          <w:sz w:val="20"/>
          <w:szCs w:val="20"/>
          <w:color w:val="auto"/>
        </w:rPr>
      </w:pPr>
    </w:p>
    <w:p>
      <w:pPr>
        <w:ind w:left="38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shares are issued under the laws of Switzerland, which may not protect investors in a similar fashion afforded by incorporation in a U.S. state.</w:t>
      </w:r>
    </w:p>
    <w:p>
      <w:pPr>
        <w:spacing w:after="0" w:line="159" w:lineRule="exact"/>
        <w:rPr>
          <w:sz w:val="20"/>
          <w:szCs w:val="20"/>
          <w:color w:val="auto"/>
        </w:r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Switzerland. There can be no assurance that Swiss law will not change in the future in a way detrimental to shareholders or that it will serve to protect investors in a similar fashion afforded under corporate law principles in the U.S., which could adversely affect the rights of investors.</w:t>
      </w:r>
    </w:p>
    <w:p>
      <w:pPr>
        <w:spacing w:after="0" w:line="158" w:lineRule="exact"/>
        <w:rPr>
          <w:sz w:val="20"/>
          <w:szCs w:val="20"/>
          <w:color w:val="auto"/>
        </w:rPr>
      </w:pPr>
    </w:p>
    <w:p>
      <w:pPr>
        <w:ind w:left="380" w:right="1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3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 Swiss law effective at the time according to which our current Articles were established allowed our shareholders to authorize share capital that can be issued by the board of directors without additional shareholder approval. This authorization is limited to 50% of the existing registered share capital and must be renewed by the shareholders once expired. As of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of Association by way of a resolution of a duly convened general meeting of shareholders of the Company. Under the capital band mechanism, the general meeting of shareholders can authorize the board of directors at any time within a maximum of five years to increase or decrease the share capital by a maximum amount of 50% of the current share capital.</w:t>
      </w:r>
    </w:p>
    <w:p>
      <w:pPr>
        <w:spacing w:after="0" w:line="14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Additionally, as a principle, Swiss law grants pre-emptive subscription rights to existing shareholders to subscribe to any new issuance of shares. Any common share capital increase resolution preserving pre-emptive subscription rights expires after 3 months and requires a simple majority of the votes cast at the shareholder’s meeting regardless of abstentions and empty or invalid votes. Swiss law also does not provide as much flexibility in the various terms that can attach to different classes of shares as do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management may limit our flexibility, and situations may arise in which greater flexibility would have provided substantial benefits to our shareholders.</w:t>
      </w:r>
    </w:p>
    <w:p>
      <w:pPr>
        <w:spacing w:after="0" w:line="135"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contributions received from shareholders) in the “reserve from capital contributions.” Distributions may be made out of issued share capital—the aggregate nominal value of a company’s issued shares—only by way of a capital reduction. To the extent the Company introduces the capital band, only net proceeds from capital increase using the capital band (less certain expenses and net of repayments from the Company) will be recognized as reserves from capital contributions at the end of validity period of the respective capital band). As of December 31, 2022, the Company has CHF 432.6 million of reserves from capital contributions confirmed by the Swiss Federal Tax Administration and CHF 1,794,907 of issued share capital (consisting of 89,745,365 common shares each with a nominal value of CHF 0.02 and no preferred shares) on its audited statutory balance sheet. Of the total issued shares and issued share capital, the Company holds 6,214,021 fully paid-in treasury shares representing CHF 124,280 of issued share capital.</w:t>
      </w:r>
    </w:p>
    <w:p>
      <w:pPr>
        <w:spacing w:after="0" w:line="194"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We expect the aggregate of the reserves from capital contributions confirmed by the Swiss Federal Tax Administration and share capital, less the total losses brought forward (to the extent set off against reserves from capital contributions or share capital), less the treasury shares (to the extent booked against reserves from capital contributions), less the lowest legally possible issued share capital and legal reserve of together CHF 150,000 to represent the maximum amount potentially available for future dividends or capital reductions on a Swiss withholding tax-free basis.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54" w:lineRule="exact"/>
        <w:rPr>
          <w:sz w:val="20"/>
          <w:szCs w:val="20"/>
          <w:color w:val="auto"/>
        </w:rPr>
      </w:pPr>
    </w:p>
    <w:p>
      <w:pPr>
        <w:ind w:left="60" w:right="179" w:firstLine="324"/>
        <w:spacing w:after="0" w:line="251" w:lineRule="auto"/>
        <w:rPr>
          <w:sz w:val="20"/>
          <w:szCs w:val="20"/>
          <w:color w:val="auto"/>
        </w:rPr>
      </w:pPr>
      <w:r>
        <w:rPr>
          <w:rFonts w:ascii="Times New Roman" w:cs="Times New Roman" w:eastAsia="Times New Roman" w:hAnsi="Times New Roman"/>
          <w:sz w:val="18"/>
          <w:szCs w:val="18"/>
          <w:color w:val="auto"/>
        </w:rPr>
        <w:t>A U.S. investor who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If we are unable to make a distribution through a reduction in nominal value or out of confirmed reserves from capital contributions, we will not be able to make distributions without subjecting our shareholders to Swiss withholding taxes.</w:t>
      </w:r>
    </w:p>
    <w:p>
      <w:pPr>
        <w:spacing w:after="0" w:line="152" w:lineRule="exact"/>
        <w:rPr>
          <w:sz w:val="20"/>
          <w:szCs w:val="20"/>
          <w:color w:val="auto"/>
        </w:rPr>
      </w:pPr>
    </w:p>
    <w:p>
      <w:pPr>
        <w:ind w:left="38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Ecublens, near</w:t>
      </w:r>
    </w:p>
    <w:p>
      <w:pPr>
        <w:spacing w:after="0" w:line="27"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Lausanne, Canton of Vaud, Switzerland. Moreover, a number of our directors and executive officers are not residents of the U.S., and all or a substantial portion of the assets of such persons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 We have been advised by our Swiss counsel that there is doubt as to the enforceability in Switzerland of original actions, or of actions for enforcement of judgments of U.S. courts, for civil liabilities to the extent solely predicated upon the federal and state securities laws of the U.S.. Original actions against persons in Switzerland based solely upon the U.S. federal or state securities laws are governed, among other things, by</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the principles set forth in the Swiss Federal Act on Private International Law. This statute provides that the application of provisions of non-Swiss law by the courts in Switzerland shall be precluded if the result is incompatible with Swiss public policy. Additionally, certain mandatory provisions of Swiss law may be applicable regardless of any other law that would otherwise apply.</w:t>
      </w:r>
    </w:p>
    <w:p>
      <w:pPr>
        <w:spacing w:after="0" w:line="13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Switzerland and the U.S. do not have a treaty providing for reciprocal recognition and enforcement of judgments in civil and commercial matters. The recognition and enforcement of a judgment of the courts of the U.S. in Switzerland is governed by the principles set forth in the Swiss Federal Act on Private International Law. This statute provides in principle that a judgment rendered by a non-Swiss court may be enforced in Switzerland only if:</w:t>
      </w:r>
    </w:p>
    <w:p>
      <w:pPr>
        <w:spacing w:after="0" w:line="180"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25"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161" w:lineRule="exact"/>
        <w:rPr>
          <w:rFonts w:ascii="Times New Roman" w:cs="Times New Roman" w:eastAsia="Times New Roman" w:hAnsi="Times New Roman"/>
          <w:sz w:val="18"/>
          <w:szCs w:val="18"/>
          <w:color w:val="auto"/>
        </w:rPr>
      </w:pPr>
    </w:p>
    <w:p>
      <w:pPr>
        <w:ind w:left="720" w:right="399" w:hanging="319"/>
        <w:spacing w:after="0" w:line="258"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parties and the same subject matter was first brought in Switzerland, or adjudicated in Switzerland, or was earlier adjudicated in a third state for which the decision is recognizable in Switzerland.</w:t>
      </w:r>
    </w:p>
    <w:p>
      <w:pPr>
        <w:spacing w:after="0" w:line="192" w:lineRule="exact"/>
        <w:rPr>
          <w:sz w:val="20"/>
          <w:szCs w:val="20"/>
          <w:color w:val="auto"/>
        </w:rPr>
      </w:pPr>
    </w:p>
    <w:p>
      <w:pPr>
        <w:ind w:left="38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45"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or authorize our board of directors, to increase our share capital. Although under the current Swiss law our shareholders may resolve a capital band which authorizes the board of directors to increase or decrease the share capital without additional shareholder approval, Swiss law limits this authorization to 50% of the issued share capital at the time of the authorization. The authorization, furthermore, has a limited duration of up to five years and must be renewed by the shareholders from time to time thereafter.</w:t>
      </w:r>
    </w:p>
    <w:p>
      <w:pPr>
        <w:spacing w:after="0" w:line="16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Since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by way of a resolution of a duly convened general meeting of shareholders of the Company.</w:t>
      </w:r>
    </w:p>
    <w:p>
      <w:pPr>
        <w:spacing w:after="0" w:line="147"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Swiss law restricts our ability to pay dividends.</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information—E. Taxation—Swiss tax considerations” for a summary of certain Swiss tax consequences regarding dividends distributed to holders of our common shares.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5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72" w:lineRule="exact"/>
        <w:rPr>
          <w:sz w:val="20"/>
          <w:szCs w:val="20"/>
          <w:color w:val="auto"/>
        </w:rPr>
      </w:pPr>
    </w:p>
    <w:p>
      <w:pPr>
        <w:ind w:left="380" w:right="1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82" w:lineRule="exact"/>
        <w:rPr>
          <w:sz w:val="20"/>
          <w:szCs w:val="20"/>
          <w:color w:val="auto"/>
        </w:rPr>
      </w:pPr>
    </w:p>
    <w:p>
      <w:pPr>
        <w:ind w:left="60" w:right="179" w:firstLine="324"/>
        <w:spacing w:after="0" w:line="251" w:lineRule="auto"/>
        <w:rPr>
          <w:sz w:val="20"/>
          <w:szCs w:val="20"/>
          <w:color w:val="auto"/>
        </w:rPr>
      </w:pPr>
      <w:r>
        <w:rPr>
          <w:rFonts w:ascii="Times New Roman" w:cs="Times New Roman" w:eastAsia="Times New Roman" w:hAnsi="Times New Roman"/>
          <w:sz w:val="18"/>
          <w:szCs w:val="18"/>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their liability for insiders who profit from trades made in a short period of time; and (iii) the</w:t>
      </w:r>
    </w:p>
    <w:p>
      <w:pPr>
        <w:spacing w:after="0" w:line="2" w:lineRule="exact"/>
        <w:rPr>
          <w:sz w:val="20"/>
          <w:szCs w:val="20"/>
          <w:color w:val="auto"/>
        </w:rPr>
      </w:pPr>
    </w:p>
    <w:p>
      <w:pPr>
        <w:ind w:left="60" w:right="139"/>
        <w:spacing w:after="0" w:line="269" w:lineRule="auto"/>
        <w:rPr>
          <w:sz w:val="20"/>
          <w:szCs w:val="20"/>
          <w:color w:val="auto"/>
        </w:rPr>
      </w:pPr>
      <w:r>
        <w:rPr>
          <w:rFonts w:ascii="Times New Roman" w:cs="Times New Roman" w:eastAsia="Times New Roman" w:hAnsi="Times New Roman"/>
          <w:sz w:val="17"/>
          <w:szCs w:val="17"/>
          <w:color w:val="auto"/>
        </w:rPr>
        <w:t>rules under the Exchange Act requiring the filing with the SEC of quarterly reports on Form 10-Q containing unaudited financial and other specified information, or of current reports on Form 8-K, upon the occurrence of specified significant events. In addition, foreign private issuers are not required to file their annual report on Form 20-F until 4 months after the end of each financial year, whereas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58" w:lineRule="exact"/>
        <w:rPr>
          <w:sz w:val="20"/>
          <w:szCs w:val="20"/>
          <w:color w:val="auto"/>
        </w:rPr>
      </w:pPr>
    </w:p>
    <w:p>
      <w:pPr>
        <w:ind w:left="38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Nasdaq Listing Rule 5615(a)(3), we comply with home country (in this case, Swiss)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4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While Swiss law also requires that our board of directors elects an audit and finance committee from among its members, as a foreign private issuer, the independence of the members of such committee is determined by home country regulations and the conditions of Section 10B of the Securities Exchange Act, excluding any Nasdaq Listing Rules. Section 10B of the Securities Exchange Act also prescribes qualification requirements for the audit and finance committee. Swiss law also requires that we elect a compensation committee, we follow home country requirements with respect to such committee and our compensation, nomination and corporate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4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a general meeting of shareholders, and we must provide shareholders with an agenda and other relevant documents for the general meeting of shareholders.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65"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22" w:lineRule="exact"/>
        <w:rPr>
          <w:sz w:val="20"/>
          <w:szCs w:val="20"/>
          <w:color w:val="auto"/>
        </w:rPr>
      </w:pPr>
    </w:p>
    <w:p>
      <w:pPr>
        <w:ind w:left="38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2023 (or the end of our second fiscal quarter in any subsequent fiscal year), which would require us to comply with all of the periodic disclosure and current reporting requirements of the Exchange Act applicable to U.S. domestic issuers as of January 1, 2024 (or the first day of the fiscal year immediately succeeding the end of such second quarter). In order to maintain our current status as a foreign private issuer, either (a) a majority of our common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70" w:lineRule="exact"/>
        <w:rPr>
          <w:sz w:val="20"/>
          <w:szCs w:val="20"/>
          <w:color w:val="auto"/>
        </w:rPr>
      </w:pPr>
    </w:p>
    <w:p>
      <w:pPr>
        <w:ind w:left="380" w:right="1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63" w:lineRule="exact"/>
        <w:rPr>
          <w:sz w:val="20"/>
          <w:szCs w:val="20"/>
          <w:color w:val="auto"/>
        </w:rPr>
      </w:pPr>
    </w:p>
    <w:p>
      <w:pPr>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3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financial and management resources. 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43" w:lineRule="exact"/>
        <w:rPr>
          <w:sz w:val="20"/>
          <w:szCs w:val="20"/>
          <w:color w:val="auto"/>
        </w:rPr>
      </w:pPr>
    </w:p>
    <w:p>
      <w:pPr>
        <w:ind w:left="38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83" w:lineRule="exact"/>
        <w:rPr>
          <w:sz w:val="20"/>
          <w:szCs w:val="20"/>
          <w:color w:val="auto"/>
        </w:rPr>
      </w:pPr>
    </w:p>
    <w:p>
      <w:pPr>
        <w:ind w:left="22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(PFIC) for our 2022 taxable year and we may be a PFIC for 2023 or future taxable years. If we are a PFIC for any taxable year during which a U.S. investor owns our common shares, the investor generally will be subject to adverse U.S. federal income tax consequences.</w:t>
      </w:r>
    </w:p>
    <w:p>
      <w:pPr>
        <w:spacing w:after="0" w:line="15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As discussed in our Annual Report on Form 20-F for 2019 and 2020, we were likely a PFIC for these years. We were also likely a PFIC for 2022.</w:t>
      </w:r>
    </w:p>
    <w:p>
      <w:pPr>
        <w:spacing w:after="0" w:line="14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7"/>
          <w:szCs w:val="17"/>
          <w:color w:val="auto"/>
        </w:rPr>
        <w:t>Under the Internal Revenue Code of 1986, as amended (the “Code”), we will be a PFIC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(the value of which may be determined by reference to the excess of the sum of a corporation’s market capitalization and liabilities over the value of its assets) is generally an active asset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55" w:lineRule="exact"/>
        <w:rPr>
          <w:sz w:val="20"/>
          <w:szCs w:val="20"/>
          <w:color w:val="auto"/>
        </w:rPr>
      </w:pPr>
    </w:p>
    <w:p>
      <w:pPr>
        <w:ind w:left="60" w:right="99" w:firstLine="369"/>
        <w:spacing w:after="0" w:line="253" w:lineRule="auto"/>
        <w:rPr>
          <w:sz w:val="20"/>
          <w:szCs w:val="20"/>
          <w:color w:val="auto"/>
        </w:rPr>
      </w:pPr>
      <w:r>
        <w:rPr>
          <w:rFonts w:ascii="Times New Roman" w:cs="Times New Roman" w:eastAsia="Times New Roman" w:hAnsi="Times New Roman"/>
          <w:sz w:val="18"/>
          <w:szCs w:val="18"/>
          <w:color w:val="auto"/>
        </w:rPr>
        <w:t>We have not obtained valuations of our assets (including goodwill or going concern value) for 2022 and thus are not in a position to make a definitive determination regarding whether we were a PFIC for 2022. However, we believe that we were likely a PFIC for 2022 due to the decline and volatility of our market capitalization in 2022. If the value of our goodwill or going concern value is determined by reference to our market capitalization then we were a PFIC for 2022. For the same reason there is a significant risk that we will also be a PFIC for 2023, and possibly other taxable years. Because our PFIC status is a factual annual determination that can be determined only after the end of the relevant taxable year, we cannot express a view regarding our PFIC status for 2023 or any future taxable year.</w:t>
      </w:r>
    </w:p>
    <w:p>
      <w:pPr>
        <w:spacing w:after="0" w:line="14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income items for PFIC purposes for any taxable year. Accordingly, there is no assurance that we will not be a PFIC for any taxable year under the income test.</w:t>
      </w:r>
    </w:p>
    <w:p>
      <w:pPr>
        <w:spacing w:after="0" w:line="135" w:lineRule="exact"/>
        <w:rPr>
          <w:sz w:val="20"/>
          <w:szCs w:val="20"/>
          <w:color w:val="auto"/>
        </w:rPr>
      </w:pPr>
    </w:p>
    <w:p>
      <w:pPr>
        <w:jc w:val="both"/>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and a U.S. investor owns our common shares during any portion of that year, we will continue to be treated as a PFIC with respect to the U.S. investor, even if we are not a PFIC for any subsequent taxable year, unless the U.S. investor makes a “deemed sale” election with respect to our common shares.</w:t>
      </w:r>
    </w:p>
    <w:p>
      <w:pPr>
        <w:spacing w:after="0" w:line="14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U.S. investors that own our common shares during any taxable year in which we are (or were) a PFIC generally will be subject to adverse U.S. federal income tax consequences, including (i) the treatment of all or a portion of any gain on disposition of our common shares as ordinary income, (ii) the application of a deferred interest charge on such gain and the receipt of certain dividends and (iii) the requirement to file certain reports to the IRS. We do not intend to provide the information that would enable investors to make a “qualified electing fund” election which, if available, could materially affect the U.S. federal income tax consequences if we are a PFIC for any taxable year.</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further discussion, see “Item 10. Additional information—Section E.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7"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Our principal expenditures since January 1, 2020 have been our research and development expenses, as more fully described elsewhere in this Annual Report.</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spacing w:after="0" w:line="187"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with seven currently in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 AC Immune investment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182880</wp:posOffset>
            </wp:positionV>
            <wp:extent cx="5434965" cy="2871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3496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As of December 31, 2022; excluding treasury shares; (2) As of December 31, 2022</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have assembled an outstanding management team with relevant scientific, clinical and regulatory expertise. Our scientific founders, Jean-Marie Lehn, Claude Nicolau, and Fred van Leuven, are regarded as pioneers in their respective scientific domains, including in the study of AD. Our co-founder and Chief Executive Officer, Andrea Pfeifer, a Pharmacologist with a Ph.D. in cancer research and a former National Institute of Health researcher, has a 30-year track record in product innovation and implementation, and was formerly Head of Nestlé Global Research and the co-founder of Nestlé Venture Fund. Marie Kosco-Vilbois, our Chief Scientific Officer, brings more than 20 years of experience in various aspects of discovery research and drug development, including work on multiple drug development programs. Johannes Rolf Streffer, our Chief Medical Officer, is a Neurologist and Psychiatrist with extensive expertise in AD including biomolecular modalities such as PET, volumetric and functional MRI, genetics, cognition and cerebrospinal fluid (CSF) marker.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Unmet need in neurodegenerative diseases</w:t>
      </w:r>
    </w:p>
    <w:p>
      <w:pPr>
        <w:spacing w:after="0" w:line="216"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Neurodegenerative diseases, including dementias and motor disorders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76" w:lineRule="exact"/>
        <w:rPr>
          <w:sz w:val="20"/>
          <w:szCs w:val="20"/>
          <w:color w:val="auto"/>
        </w:rPr>
      </w:pPr>
    </w:p>
    <w:p>
      <w:pPr>
        <w:jc w:val="both"/>
        <w:ind w:left="720" w:right="159" w:hanging="319"/>
        <w:spacing w:after="0" w:line="268"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 Health Organization recognizes dementia as a global public health priority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Worldwide, there is a new case of dementia every 3 seconds, with an estimated global patient population of greater than 50 million in 2020. This is predicted to increase to 139 million by 2050 (Alzheimer’s Disease International).</w:t>
      </w:r>
    </w:p>
    <w:p>
      <w:pPr>
        <w:spacing w:after="0" w:line="17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total healthcare costs for the treatment of Alzheimer’s disease in the United States in 2022 is USD 321 billion per the Alzheimer’s Association. The worldwide cost for dementia is expected to increase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spacing w:after="0" w:line="285" w:lineRule="auto"/>
        <w:rPr>
          <w:sz w:val="20"/>
          <w:szCs w:val="20"/>
          <w:color w:val="auto"/>
        </w:rPr>
      </w:pPr>
      <w:r>
        <w:rPr>
          <w:rFonts w:ascii="Times New Roman" w:cs="Times New Roman" w:eastAsia="Times New Roman" w:hAnsi="Times New Roman"/>
          <w:sz w:val="18"/>
          <w:szCs w:val="18"/>
          <w:color w:val="auto"/>
        </w:rPr>
        <w:t>approximately USD 2.8 trillion annually by 2030 as the population ages (Alzheimer’s Disease International). If the estimated global costs of dementia were a country, it would be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largest economy in the world.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 Neurodegenerative diseases represent a large and growing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8803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549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right="259" w:hanging="10"/>
        <w:spacing w:after="0" w:line="303" w:lineRule="auto"/>
        <w:tabs>
          <w:tab w:leader="none" w:pos="23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Alzheimer’s Disease International; (2) Parkinson’s disease; (3) Michael J Fox Foundation; (4) Limbic-predominant age-related TDP-43 encephalopathy; (5) Nelson et al. Brain 2019; (6) Gustavsson et al. Alzheimer's Dement. 2022; 1- 13. https://doi.org/10.1002/alz.12694; (7) Alzheimer’s disease; (8) Neurodegenerative disease</w:t>
      </w:r>
    </w:p>
    <w:p>
      <w:pPr>
        <w:spacing w:after="0" w:line="164"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Diagnosis typically takes the form of observation of cognitive, functional and behavioral impairment and other symptoms of the diseases, which are generally only apparent after irreversible neuronal damage has already occurred. In the United States, through Q1 2023, there were seven approved therapies for AD, five addressing symptoms and two being disease-modifying treatments. These provided incomplete clinical efficacy, presented non-negligible safety risks and failed to halt disease progression. Despite these shortcomings, marketed therapies, such as Eisai and Pfizer’s Aricept, have achieved peak annual global sales of approximately USD 2.4 billion prior to loss of exclusivity. Similarly, in the treatment of PD, the current standard of care is intended only to alleviate clinical symptoms.</w:t>
      </w:r>
    </w:p>
    <w:p>
      <w:pPr>
        <w:spacing w:after="0" w:line="18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July 2022, the FDA accepted Eisai Co., Ltd.’s Biologics License Application (BLA) for lecanemab, an investigational anti-amyloid beta protofibril antibody for early AD that is partnered with Biogen Inc. In September 2022, Eisai and Biogen announced that lecanemab’s confirmatory Phase 3 AD study met its primary endpoint. As a result, lecanemab was granted accelerated approval as a treatment for AD in the U.S. by the U.S. FDA on January 6, 2023. Eisai submitted a Supplemental BLA to the FDA for approval under the traditional pathway on the same day.</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 Europe, Eisai submitted marketing authorization application to the EMA on January 9, 2023. In China, Eisai initiated submission of data for BLA to the National Medical Products Administration (NMPA) on December 23, 2022. On January 16, 2023, Eisai filed its marketing authorization application in Japan.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Neurodegenerative disease overview</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Folding and unfolding of proteins are important ways of regulating the biological activity and cellular location of those proteins. Misfolding of proteins occurs due to a breakdown of cellular quality control systems and is a common feature of many neurodegenerative diseases. Misfolded proteins are unable to carry out their normal functions and aggregate to form insoluble deposits in the brain, which eventually lead to neuronal damage and cell death.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progression of neurodegenerative diseases, such as AD and PD, is linked to the spread of misfolded, pathological protein aggregates throughout the brain. Figure 3 shows how misfolded proteins play a key role in the pathology of neurodegenerative diseases.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Figure 3: Misfolded proteins key impact on the pathology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5349240" cy="2099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Typically, protein misfolding occurs in response to cellular stress, which can be triggered by many different, largely unknown, causes. A cascade of molecular events begins with the misfolding of single proteins within a cell, which then aggregate and ultimately form larger aggregates including plaques and tangles. These misfolded proteins are then exported or shed from dying neurons where they can spread to healthy cells nearby. Once inside, misfolded proteins can interact with normal proteins and cause them to misfold in a process known as “seeding,” leading to spreading of the disease pathology throughout the brain, increased neuronal death and a progressive decline in cognitive function.</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Figure above also shows how our therapies are designed to intervene and prevent key pathological steps in the progression of neurodegenerative diseases. They are designed to (i) prevent initial misfolding; (ii) promote disaggregation of misfolded proteins; (iii) inhibit spreading of pathological protein to healthy cells; (iv) prevent seeding of new misfolded protein aggregates inside healthy cells; and (v) inhibit downstream neurodegeneration. This robust approach to targeting neurodegenerative diseases is enabled by our two validated technology platforms, SupraAntigen and Morphomer, which generate highly specific biologics and small molecule inhibitors that can distinguish normal from misfolded proteins and inhibit key disease pathways both inside and outside of cells.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strategic vision</w:t>
      </w:r>
    </w:p>
    <w:p>
      <w:pPr>
        <w:spacing w:after="0" w:line="22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shift the treatment paradigm for neurodegenerative disease towards Precision Medicine and disease prevention. We are executing a clear business strategy built on three pillars: (i) accelerate development of novel therapeutics in AD with our partners;</w:t>
      </w:r>
    </w:p>
    <w:p>
      <w:pPr>
        <w:spacing w:after="0" w:line="1" w:lineRule="exact"/>
        <w:rPr>
          <w:sz w:val="20"/>
          <w:szCs w:val="20"/>
          <w:color w:val="auto"/>
        </w:rPr>
      </w:pPr>
    </w:p>
    <w:p>
      <w:pPr>
        <w:jc w:val="both"/>
        <w:ind w:left="60" w:right="99" w:hanging="10"/>
        <w:spacing w:after="0" w:line="255" w:lineRule="auto"/>
        <w:tabs>
          <w:tab w:leader="none" w:pos="3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4: AC Immune’s three-pillar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331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5498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Alzheimer’s disease; (2) Down syndrome; (3) alpha-synuclein; (4) TAR DNA-binding protein 43</w:t>
      </w:r>
    </w:p>
    <w:p>
      <w:pPr>
        <w:spacing w:after="0" w:line="22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AC Immune has established itself as a leader in developing Precision Medicines for neurodegenerative diseases by utilizing our diagnostic capabilities to enable improved diagnosis of co-pathologies, patient selection and assessment of clinical trial outcomes. Our dual technology platforms allow for a multi-modal approach encompassing a portfolio of vaccines, antibodies and small molecules tailored to the underlying pathology driving patients’ disease. In addition to generating targeted monotherapies, this approach creates the potential for combination regimens, which may treat a broader spectrum of disease and offer greater efficacy.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Precision Medicine for neurodegenerative diseases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development of therapeutics for neurodegenerative diseases is moving towards treating early-stage disease to delay or prevent progression by preserving neurological function before it is irretrievably lost. Therefore, early detection of neurodegenerative diseases will be critical to enhancing the effectiveness of both symptomatic and disease-modifying therapies.</w:t>
      </w:r>
    </w:p>
    <w:p>
      <w:pPr>
        <w:spacing w:after="0" w:line="20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This begins with a real challenge. The commonly used approach of taking a biopsy of the affected tissue to detect the corresponding pathology is not possible with diseases of the brain. Given these complexities, it becomes more important that we develop improved methods to fully characterize the underlying pathologies in different patients to ultimately provide better opportunities for therapeutic intervention at all stages of disease. Samples of blood or cerebrospinal fluid can be used to monitor biomarker levels indirectly but neither of these fluids provide exact anatomical information on where protein misfolding and aggregation occur.</w:t>
      </w:r>
    </w:p>
    <w:p>
      <w:pPr>
        <w:spacing w:after="0" w:line="203"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At AC Immune, we have a strong track record in discovering highly sensitive and specific imaging agents to detect and quantify pathological proteins and their aggregated forms directly in patients’ brains using PET scans. These agents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can provide critical information to confirm or exclude certain diagnoses and thus to determine which might be the most appropriate therapeutic strategy for a patient.</w:t>
      </w:r>
    </w:p>
    <w:p>
      <w:pPr>
        <w:spacing w:after="0" w:line="17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We are developing an integrated diagnostic and therapeutic strategy to deliver, for the first time, Precision Medicine for patients with neurodegenerative conditions. This will lead to a combination therapy approach to treat each patient's unique disease by addressing the right proteinopathy, in the right patient, at the right time.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Vaccines for Alzheimer’s and Parkinson’s disease</w:t>
      </w:r>
    </w:p>
    <w:p>
      <w:pPr>
        <w:spacing w:after="0" w:line="243"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Consistent with this approach, we are progressing our vaccines targeting the hallmark proteins driving neurodegenerative diseases such as amyloid beta, Tau, and alpha-synuclein. Our clinical stage vaccine programs, ACI-35.030 (anti-pTau vaccine), ACI-24.060 (anti-Abeta vaccine) and ACI-7104.056 (anti-a-syn vaccine) have been shown to stimulate a patient’s own immune system to produce antibodies directed specifically against the pathological species of these target proteins.</w:t>
      </w:r>
    </w:p>
    <w:p>
      <w:pPr>
        <w:spacing w:after="0" w:line="201" w:lineRule="exact"/>
        <w:rPr>
          <w:sz w:val="20"/>
          <w:szCs w:val="20"/>
          <w:color w:val="auto"/>
        </w:rPr>
      </w:pPr>
    </w:p>
    <w:p>
      <w:pPr>
        <w:ind w:left="60" w:right="59" w:firstLine="321"/>
        <w:spacing w:after="0" w:line="258" w:lineRule="auto"/>
        <w:rPr>
          <w:sz w:val="20"/>
          <w:szCs w:val="20"/>
          <w:color w:val="auto"/>
        </w:rPr>
      </w:pPr>
      <w:r>
        <w:rPr>
          <w:rFonts w:ascii="Times New Roman" w:cs="Times New Roman" w:eastAsia="Times New Roman" w:hAnsi="Times New Roman"/>
          <w:sz w:val="18"/>
          <w:szCs w:val="18"/>
          <w:color w:val="auto"/>
        </w:rPr>
        <w:t>We believe that these antibodies will modify the course of disease by supporting clearance of toxic protein aggregates (as recent clinical data from certain monoclonal antibodies have shown), or by preventing their spreading and accumulation, thereby preserving neuronal health and function. Importantly, the use of vaccines over the longer-term and in people identified as “at risk” before symptomatic disease development will provide the rational, targeted approach consistent with our Precision Medicine strategy.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elements of our approach include:</w:t>
      </w:r>
    </w:p>
    <w:p>
      <w:pPr>
        <w:spacing w:after="0" w:line="225" w:lineRule="exact"/>
        <w:rPr>
          <w:sz w:val="20"/>
          <w:szCs w:val="20"/>
          <w:color w:val="auto"/>
        </w:rPr>
      </w:pPr>
    </w:p>
    <w:p>
      <w:pPr>
        <w:ind w:left="380" w:right="739" w:hanging="6"/>
        <w:spacing w:after="0" w:line="286" w:lineRule="auto"/>
        <w:tabs>
          <w:tab w:leader="none" w:pos="704"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Execution on advancing our product candidates, in partnership or alone, from clinical development to regulatory approval and potential commercialization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5: Our broad and robust clinical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156845</wp:posOffset>
            </wp:positionV>
            <wp:extent cx="5383530" cy="2331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8353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right="219" w:hanging="10"/>
        <w:spacing w:after="0" w:line="283" w:lineRule="auto"/>
        <w:tabs>
          <w:tab w:leader="none" w:pos="23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Alzheimer’s disease; (2) Open label extension study is ongoing; (3) Positron emission tomography; (4) Progressive supranuclear palsy; (5) Prevention trial API-ADAD in Colombia; (6) Down syndrome-related Alzheimer’s disease; (7) alpha-synuclein; (8) Parkinson’s disease; (9) Multiple system atrophy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clinical stage product candidates include:</w:t>
      </w:r>
    </w:p>
    <w:p>
      <w:pPr>
        <w:spacing w:after="0" w:line="235" w:lineRule="exact"/>
        <w:rPr>
          <w:sz w:val="20"/>
          <w:szCs w:val="20"/>
          <w:color w:val="auto"/>
        </w:rPr>
      </w:pPr>
    </w:p>
    <w:p>
      <w:pPr>
        <w:ind w:left="720" w:right="359" w:hanging="319"/>
        <w:spacing w:after="0" w:line="269"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ACI-35.030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 Immune and Janssen Pharmaceuticals, Inc. (Janssen), part of the Janssen Pharmaceutical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of Johnson &amp; Johnson, are evaluating the anti-phosphorylated-Tau (anti-pTau) vaccine candidate ACI-35.030 in a Phase 1b/2a study in subjects with early AD (NCT04445831). Interim results show that ACI-</w:t>
      </w:r>
    </w:p>
    <w:p>
      <w:pPr>
        <w:spacing w:after="0" w:line="1" w:lineRule="exact"/>
        <w:rPr>
          <w:rFonts w:ascii="Times New Roman" w:cs="Times New Roman" w:eastAsia="Times New Roman" w:hAnsi="Times New Roman"/>
          <w:sz w:val="18"/>
          <w:szCs w:val="18"/>
          <w:color w:val="auto"/>
        </w:rPr>
      </w:pPr>
    </w:p>
    <w:p>
      <w:pPr>
        <w:ind w:left="720" w:right="99"/>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35.030 vaccination generated a strong antigen-specific antibody response against pTau in 100% of participants, achieving anti-pTau antibody levels of about two orders of magnitude higher than pre-vaccination levels, whereas anti-ePHF (enriched paired helical filaments) antibody titers increased by one order of magnitude from baseline as early as two weeks after the second injection at week 8 of the mid-dose of ACI-35.030. Based on these results, the second highest dose cohort was expanded in Q2 2021 to facilitate plans for further late-stage development. The safety and the tolerability have been good in the study, and so far the Data Safety Monitoring Board has always stated that the trial may continue without modification. Two serious adverse events (SAEs) (injection site rash and dizziness occurring on one occasion) were considered probably/possibly related to the study active immunotherapy while none of the other 6 SAEs that occurred in the study to date were considered to be possibly or probably related to the study active immunotherapy. ACI-35.030 specifically targets pathological pTau species and is eventually intended as a disease-modifying treatment for AD and other Tauopathies.</w:t>
      </w:r>
    </w:p>
    <w:p>
      <w:pPr>
        <w:spacing w:after="0" w:line="201" w:lineRule="exact"/>
        <w:rPr>
          <w:sz w:val="20"/>
          <w:szCs w:val="20"/>
          <w:color w:val="auto"/>
        </w:rPr>
      </w:pPr>
    </w:p>
    <w:p>
      <w:pPr>
        <w:ind w:left="700" w:right="99"/>
        <w:spacing w:after="0" w:line="275" w:lineRule="auto"/>
        <w:rPr>
          <w:sz w:val="20"/>
          <w:szCs w:val="20"/>
          <w:color w:val="auto"/>
        </w:rPr>
      </w:pPr>
      <w:r>
        <w:rPr>
          <w:rFonts w:ascii="Times New Roman" w:cs="Times New Roman" w:eastAsia="Times New Roman" w:hAnsi="Times New Roman"/>
          <w:sz w:val="18"/>
          <w:szCs w:val="18"/>
          <w:color w:val="auto"/>
        </w:rPr>
        <w:t>In Q4 2022, it was announced that, based on the Phase 1b/2a interim data, ACI-35.030 had been selected for further development. New clinical data from the Phase 1b/2a trial showed that ACI-35.030 treatment rapidly leads to the strong and durable induction of antibodies specific for pathological forms of Tau such as pTau and its aggregated form, ePHF. The ACI-35.030-induced antibody response was sustained and could be periodically boosted over a period of 72 weeks. The decision to select ACI-35.030 follows the comparison demonstrating its strengths relative to an alternative anti-pTau protein conjugate vaccine, JACI-35.054.</w:t>
      </w:r>
    </w:p>
    <w:p>
      <w:pPr>
        <w:spacing w:after="0" w:line="193" w:lineRule="exact"/>
        <w:rPr>
          <w:sz w:val="20"/>
          <w:szCs w:val="20"/>
          <w:color w:val="auto"/>
        </w:rPr>
      </w:pPr>
    </w:p>
    <w:p>
      <w:pPr>
        <w:ind w:left="720" w:right="179" w:hanging="319"/>
        <w:spacing w:after="0" w:line="275"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ACI-24.060 for AD and for AD in DS. </w:t>
      </w:r>
      <w:r>
        <w:rPr>
          <w:rFonts w:ascii="Times New Roman" w:cs="Times New Roman" w:eastAsia="Times New Roman" w:hAnsi="Times New Roman"/>
          <w:sz w:val="18"/>
          <w:szCs w:val="18"/>
          <w:color w:val="auto"/>
        </w:rPr>
        <w:t>The original formulation of our wholly owned anti-amyloid-beta vaccine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 was shown to be safe and well tolerated along with preliminary evidence of immunogenicity and pharmacodynamic effects in patients with AD and in people with DS. Based on these results, the optimized formulation, ACI-24.060, which incorporates Abeta unrelated T-helper cell epitopes to increase the magnitude and the boost-ability of the antibody response, was advanced into the ABATE Phase 1b/2 trial.</w:t>
      </w:r>
    </w:p>
    <w:p>
      <w:pPr>
        <w:spacing w:after="0" w:line="101" w:lineRule="exact"/>
        <w:rPr>
          <w:sz w:val="20"/>
          <w:szCs w:val="20"/>
          <w:color w:val="auto"/>
        </w:rPr>
      </w:pPr>
    </w:p>
    <w:p>
      <w:pPr>
        <w:ind w:left="700" w:right="119"/>
        <w:spacing w:after="0" w:line="275" w:lineRule="auto"/>
        <w:rPr>
          <w:sz w:val="20"/>
          <w:szCs w:val="20"/>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subsequently in adults with DS is ongoing. The CTA has been approved by the UK Medicines and Healthcare Products Regulatory Agency (MHRA) and by the Spanish Agency for Medicines and Health Products (AEMPS) with the first patient dosed in Q2 2022. AC Immune plans for an Investigational New Drug (IND) application in the USA in H1 2023 for the global development of the vaccine candidate.</w:t>
      </w:r>
    </w:p>
    <w:p>
      <w:pPr>
        <w:spacing w:after="0" w:line="98" w:lineRule="exact"/>
        <w:rPr>
          <w:sz w:val="20"/>
          <w:szCs w:val="20"/>
          <w:color w:val="auto"/>
        </w:rPr>
      </w:pPr>
    </w:p>
    <w:p>
      <w:pPr>
        <w:ind w:left="720" w:right="259" w:hanging="319"/>
        <w:spacing w:after="0" w:line="27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The optimized formulation of the clinically-validated PD vaccine candidate PD01, will advance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an adaptive, biomarker-based Phase 2 study following the recent clearance of the CTA. This trial will evaluate an initial dose-response of ACI-7104.056 focusing on safety and immunogenicity against a-syn and pathological a-syn species. Additionally, the identification or verification of disease-specific biomarkers and progression of motor and non-motor symptoms of Parkinson’s disease will be monitored, together with digital, imaging and fluid biomarkers, in the second part of the study. The trial initiation is anticipated in H1 2023.</w:t>
      </w:r>
    </w:p>
    <w:p>
      <w:pPr>
        <w:spacing w:after="0" w:line="178" w:lineRule="exact"/>
        <w:rPr>
          <w:rFonts w:ascii="Times New Roman" w:cs="Times New Roman" w:eastAsia="Times New Roman" w:hAnsi="Times New Roman"/>
          <w:sz w:val="18"/>
          <w:szCs w:val="18"/>
          <w:color w:val="auto"/>
        </w:rPr>
      </w:pPr>
    </w:p>
    <w:p>
      <w:pPr>
        <w:ind w:left="720" w:right="99" w:hanging="319"/>
        <w:spacing w:after="0" w:line="27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collaboration partner, Genentech, a member of the Roche Group, is developing semorinemab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treatment of AD. A Phase 2 study (Lauriet) conducted in patients with mild-to-moderate AD was completed in Q3 2021 and data showed a statistically significant reduction on one of two co-primary endpoints, ADAS-Cog11. The second co-primary endpoint, ADCS-ADL, and secondary endpoints were not met. Safety data showed that semorinemab is well tolerated with no unanticipated safety signals. At CTAD 2022, Genentech presented CSF and plasma biomarkers. These data confirmed peripheral target engagement</w:t>
      </w:r>
    </w:p>
    <w:p>
      <w:pPr>
        <w:sectPr>
          <w:pgSz w:w="11900" w:h="16838" w:orient="portrait"/>
          <w:cols w:equalWidth="0" w:num="1">
            <w:col w:w="9019"/>
          </w:cols>
          <w:pgMar w:left="1440" w:top="513"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379"/>
        <w:spacing w:after="0" w:line="281" w:lineRule="auto"/>
        <w:rPr>
          <w:sz w:val="20"/>
          <w:szCs w:val="20"/>
          <w:color w:val="auto"/>
        </w:rPr>
      </w:pPr>
      <w:r>
        <w:rPr>
          <w:rFonts w:ascii="Times New Roman" w:cs="Times New Roman" w:eastAsia="Times New Roman" w:hAnsi="Times New Roman"/>
          <w:sz w:val="18"/>
          <w:szCs w:val="18"/>
          <w:color w:val="auto"/>
        </w:rPr>
        <w:t>and reduction in CSF total Tau, pTau181 and pTau217, observed after semorinemab treatment but not with placebo. Genentech reported that the open label portion of the study will continue as planned and that further analyses are ongoing. Semorinemab is designed to slow the spreading of Tau pathology, which coincides with both clinical symptoms and disease progression in AD.</w:t>
      </w:r>
    </w:p>
    <w:p>
      <w:pPr>
        <w:spacing w:after="0" w:line="188" w:lineRule="exact"/>
        <w:rPr>
          <w:sz w:val="20"/>
          <w:szCs w:val="20"/>
          <w:color w:val="auto"/>
        </w:rPr>
      </w:pPr>
    </w:p>
    <w:p>
      <w:pPr>
        <w:ind w:left="720" w:right="119" w:hanging="319"/>
        <w:spacing w:after="0" w:line="270"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Crenezumab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August 2022, the Company provided an update on the Alzheimer’s Prevention Initiative study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evaluating crenezumab in autosomal dominant Alzheimer’s disease, a specific genetic mutation which causes early-onset Alzheimer’s disease. While numerical differences favoring crenezumab over placebo were observed across the co-primary, multiple secondary and exploratory endpoints, none of these effects were statistically significant. Initial data was presented at the Alzheimer's Association International Conference (AAIC) on August 2, 2022. Further plasma biomarker analyses presented at the CTAD 2022 conference further favored crenezumab over placebo. All participants in the study were offered up to one year of continued treatment (crenezumab for all carriers and placebo for all non-carrier) following the end of the double-blind period while primary results and additional analyses were pending. Final efficacy visits have begun.</w:t>
      </w:r>
    </w:p>
    <w:p>
      <w:pPr>
        <w:spacing w:after="0" w:line="199" w:lineRule="exact"/>
        <w:rPr>
          <w:rFonts w:ascii="Times New Roman" w:cs="Times New Roman" w:eastAsia="Times New Roman" w:hAnsi="Times New Roman"/>
          <w:sz w:val="18"/>
          <w:szCs w:val="18"/>
          <w:color w:val="auto"/>
        </w:rPr>
      </w:pPr>
    </w:p>
    <w:p>
      <w:pPr>
        <w:ind w:left="720" w:right="159" w:hanging="319"/>
        <w:spacing w:after="0" w:line="292" w:lineRule="auto"/>
        <w:tabs>
          <w:tab w:leader="none" w:pos="7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Morphomer Tau aggregation inhibitors. </w:t>
      </w:r>
      <w:r>
        <w:rPr>
          <w:rFonts w:ascii="Times New Roman" w:cs="Times New Roman" w:eastAsia="Times New Roman" w:hAnsi="Times New Roman"/>
          <w:sz w:val="17"/>
          <w:szCs w:val="17"/>
          <w:color w:val="auto"/>
        </w:rPr>
        <w:t>In collaboration with our partner, Lilly, we are researching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developing small molecule Tau aggregation inhibitors with plans to evaluate candidates in AD and NeuroOrphan tauopathies. We completed a Phase 1 clinical study in healthy volunteers with ACI-3024, in Q2 2020, which showed a dose-dependent exposure and brain penetration, achieving the desired levels of ACI-3024 in the CSF. Continued candidate characterization across the research program has also identified new and highly differentiated candidates with excellent cerebrospinal fluid exposure, selectivity for pathological aggregated Tau.</w:t>
      </w:r>
    </w:p>
    <w:p>
      <w:pPr>
        <w:spacing w:after="0" w:line="179" w:lineRule="exact"/>
        <w:rPr>
          <w:rFonts w:ascii="Times New Roman" w:cs="Times New Roman" w:eastAsia="Times New Roman" w:hAnsi="Times New Roman"/>
          <w:sz w:val="17"/>
          <w:szCs w:val="17"/>
          <w:color w:val="auto"/>
        </w:rPr>
      </w:pPr>
    </w:p>
    <w:p>
      <w:pPr>
        <w:ind w:left="720" w:right="99" w:hanging="319"/>
        <w:spacing w:after="0" w:line="289" w:lineRule="auto"/>
        <w:tabs>
          <w:tab w:leader="none" w:pos="7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PI-2620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PI-2620 is the Tau-PET imaging agent discovered during the collaboration of AC Immune and LMI.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LMI moved PI-2620 into late-stage clinical development in AD and made a milestone payment. The first Alzheimer’s patient in ADvance, the pivotal Phase 3 histopathology study in AD (NCT05641688) was imaged in January 2023.</w:t>
      </w:r>
    </w:p>
    <w:p>
      <w:pPr>
        <w:spacing w:after="0" w:line="182" w:lineRule="exact"/>
        <w:rPr>
          <w:rFonts w:ascii="Times New Roman" w:cs="Times New Roman" w:eastAsia="Times New Roman" w:hAnsi="Times New Roman"/>
          <w:sz w:val="17"/>
          <w:szCs w:val="17"/>
          <w:color w:val="auto"/>
        </w:rPr>
      </w:pPr>
    </w:p>
    <w:p>
      <w:pPr>
        <w:ind w:left="720" w:right="159" w:hanging="319"/>
        <w:spacing w:after="0" w:line="270"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ACI-12589. </w:t>
      </w:r>
      <w:r>
        <w:rPr>
          <w:rFonts w:ascii="Times New Roman" w:cs="Times New Roman" w:eastAsia="Times New Roman" w:hAnsi="Times New Roman"/>
          <w:sz w:val="18"/>
          <w:szCs w:val="18"/>
          <w:color w:val="auto"/>
        </w:rPr>
        <w:t>Our next-generation a-syn PET imaging tracer, derived from our Morphomer platform, has shown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potential to reliably detect and map deposits of pathological alpha-synuclein protein in the brain. Supported by the Michael J. Fox Foundation for Parkinson’s Research (MJFF), ACI-12589, our latest diagnostic imaging agent, completed a first-in-human study and an investigator-initiated study in 2022. The readouts of these trials in patients with PD, multiple system atrophy (MSA) and other synucleinopathies were reported at the AD/PD and AAIC 2022 conferences. These images provided the first clinical proof-of-concept for an a-syn PET tracer, as ACI-12589 clearly distinguished patients with MSA from those with other alpha-synucleinopathies and healthy controls. Moreover, our Morphomer platform is delivering additional candidates with improved binding properties and the potential to image a-syn pathology in patients with PD.</w:t>
      </w:r>
    </w:p>
    <w:p>
      <w:pPr>
        <w:spacing w:after="0" w:line="91"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product development into NeuroOrphan and additional neurodegenerative diseases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Beyond AD, we are pursuing additional neurodegenerative diseases such as Parkinson’s disease (PD) and NeuroOrphan indications, specifically Tau-, a-syn- and TDP-43-driven diseases, such as FTLD-Tau (e.g., PSP, CBD, FTLD-MAPT), MSA, and ALS and FTLD-TDP, respectively. As part of this strategic move, AC Immune acquired certain a-syn assets from Affiris in 2021, gaining an advanced, clinical stage and validated a-syn vaccine candidate for development against PD in the process.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Pursuing NeuroOrphan indications may enable us to obtain a streamlined regulatory approval pathway and favorable reimbursement for any approved products. In addition, we are accelerating our novel therapeutic and diagnostic candidates targeting a-syn as a primary pathology in Parkinson’s disease and other a-synucleinopathies. See below for a summary of our early-stage diversified novel targets pipeline including non-AD neurodegenerative diseases, with an in-house focus on NeuroOrphan indications.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6: Robust novel targets pipeline: diversification into non-AD</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and non-CNS</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103505</wp:posOffset>
            </wp:positionV>
            <wp:extent cx="5486400" cy="1937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8640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hanging="170"/>
        <w:spacing w:after="0"/>
        <w:tabs>
          <w:tab w:leader="none" w:pos="2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Alzheimer’s disease; (2) Central nervous system; (3) Parkinson’s disease; (4) TAR DNA-binding protein 43; (5) Limbic-predominant age-related TDP-43 encephalopathy;</w:t>
      </w:r>
    </w:p>
    <w:p>
      <w:pPr>
        <w:spacing w:after="0" w:line="26" w:lineRule="exact"/>
        <w:rPr>
          <w:rFonts w:ascii="Times New Roman" w:cs="Times New Roman" w:eastAsia="Times New Roman" w:hAnsi="Times New Roman"/>
          <w:sz w:val="12"/>
          <w:szCs w:val="12"/>
          <w:color w:val="auto"/>
        </w:rPr>
      </w:pPr>
    </w:p>
    <w:p>
      <w:pPr>
        <w:ind w:left="220" w:hanging="170"/>
        <w:spacing w:after="0"/>
        <w:tabs>
          <w:tab w:leader="none" w:pos="2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Positron emission tomography; (7) (NOD)-like receptor protein 3; (8) Apoptosis-associated speck-like protein containing a CARD, also PYCARD</w:t>
      </w:r>
    </w:p>
    <w:p>
      <w:pPr>
        <w:spacing w:after="0" w:line="222" w:lineRule="exact"/>
        <w:rPr>
          <w:sz w:val="20"/>
          <w:szCs w:val="20"/>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Accelerating the advancement of our diagnostic portfolio</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Early detection of neurodegenerative diseases may be critical to enhancing the effectiveness of both symptomatic and disease-modifying therapies. As a result, therapeutic development for AD increasingly focuses on treating early-stage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managing patients who are receiving treatment, and ultimately diagnosing disease at its earliest stage for immediate treatment.</w:t>
      </w:r>
    </w:p>
    <w:p>
      <w:pPr>
        <w:spacing w:after="0" w:line="158" w:lineRule="exact"/>
        <w:rPr>
          <w:sz w:val="20"/>
          <w:szCs w:val="20"/>
          <w:color w:val="auto"/>
        </w:rPr>
      </w:pPr>
    </w:p>
    <w:p>
      <w:pPr>
        <w:jc w:val="center"/>
        <w:ind w:left="1520" w:right="560"/>
        <w:spacing w:after="0" w:line="286" w:lineRule="auto"/>
        <w:rPr>
          <w:sz w:val="20"/>
          <w:szCs w:val="20"/>
          <w:color w:val="auto"/>
        </w:rPr>
      </w:pPr>
      <w:r>
        <w:rPr>
          <w:rFonts w:ascii="Times New Roman" w:cs="Times New Roman" w:eastAsia="Times New Roman" w:hAnsi="Times New Roman"/>
          <w:sz w:val="18"/>
          <w:szCs w:val="18"/>
          <w:b w:val="1"/>
          <w:bCs w:val="1"/>
          <w:color w:val="auto"/>
        </w:rPr>
        <w:t>Figure 7: The need for Precision Medicine in AD: improved clinical trials, diagnosis and treatment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112395</wp:posOffset>
            </wp:positionV>
            <wp:extent cx="5486400" cy="2417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8640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alpha-synuclein; (2) TAR DNA-binding protein 43; (3) Amyotrophic lateral sclerosis; (4) Limbic-predominant age-related TDP-43 encephalopathy</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Refs: Attems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Newcastle University, AAIC 2017; Nelson et al. Brain. 2019</w:t>
      </w:r>
    </w:p>
    <w:p>
      <w:pPr>
        <w:spacing w:after="0" w:line="34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are developing a suite of diagnostics designed to be first-in-class or best-in-class, which will enable improved diagnosis of pathologies, patient selection and assessment of clinical trial outcomes. We currently have four diagnostic programs in our pipeline, developed using our proprietary technology platforms and targeting the therapeutic targets: Tau, a-syn and TDP-43.</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Leveraging our Morphomer platform, we are developing proprietary PET imaging diagnostics for diseases resulting from the misfolding of a-syn and TDP-43 proteins. No such diagnostics are currently available for these important pathologies and AC Immune has identified promising compounds with high affinity and target specificity, as well as favorable central nervous system (CNS) pharmacokinetic properties. In 2020, the a-syn-PET tracer won the Ken Griffin Alpha-synuclein Imaging Competition from MJFF. In 2022, the Company received a continuation grant from the MJFF for this tracer.</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novel TDP-43-PET tracer and our antibody-based immuno-assay for biofluid detection of TDP-43 also were awarded highly competitive grants from the EU Joint Programme – Neurodegenerative Disease Research’ (JPND) in 2020, The Target ALS Foundation (Target ALS) in 2020 and 2022 and the MJFF in Q1 2023. Our diagnostics for a-syn and TDP-43, if validated clinically, could become the first in the world to effectively diagnose these proteinopathies, which are highly relevant for multiple neurodegenerative diseases.</w:t>
      </w:r>
    </w:p>
    <w:p>
      <w:pPr>
        <w:spacing w:after="0" w:line="183" w:lineRule="exact"/>
        <w:rPr>
          <w:sz w:val="20"/>
          <w:szCs w:val="20"/>
          <w:color w:val="auto"/>
        </w:rPr>
      </w:pPr>
    </w:p>
    <w:p>
      <w:pPr>
        <w:ind w:left="380" w:right="919" w:hanging="6"/>
        <w:spacing w:after="0" w:line="286" w:lineRule="auto"/>
        <w:tabs>
          <w:tab w:leader="none" w:pos="704"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Continuing to optimize our long-term growth by selectively partnering product candidates for global development and commercialization</w:t>
      </w:r>
    </w:p>
    <w:p>
      <w:pPr>
        <w:spacing w:after="0" w:line="159" w:lineRule="exact"/>
        <w:rPr>
          <w:sz w:val="20"/>
          <w:szCs w:val="20"/>
          <w:color w:val="auto"/>
        </w:rPr>
      </w:pPr>
    </w:p>
    <w:p>
      <w:pPr>
        <w:ind w:left="60" w:right="259" w:firstLine="324"/>
        <w:spacing w:after="0" w:line="280" w:lineRule="auto"/>
        <w:rPr>
          <w:sz w:val="20"/>
          <w:szCs w:val="20"/>
          <w:color w:val="auto"/>
        </w:rPr>
      </w:pPr>
      <w:r>
        <w:rPr>
          <w:rFonts w:ascii="Times New Roman" w:cs="Times New Roman" w:eastAsia="Times New Roman" w:hAnsi="Times New Roman"/>
          <w:sz w:val="17"/>
          <w:szCs w:val="17"/>
          <w:color w:val="auto"/>
        </w:rPr>
        <w:t>We have a strong track record of establishing value-driving collaboration agreements with leading pharmaceutical companies, including two collaborations with Genentech, one with Janssen and one with Lilly. This strategy allows us to leverage our partners’ scientific, development, manufacturing and commercialization expertise and other resources while</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partially monetizing our investments, de-risking and accelerating the development of our product candidates. This strategy also enables us to use non-dilutive partnership revenue to bolster our investment into our early-stage proprietary programs and fuel our continued growth. We have five current collaboration agreements with leading global pharmaceutical companies, summarized in the table below: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8: External validation and cash generation through external collaborations</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103505</wp:posOffset>
            </wp:positionV>
            <wp:extent cx="5417820" cy="1843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1782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159" w:hanging="10"/>
        <w:spacing w:after="0" w:line="262" w:lineRule="auto"/>
        <w:tabs>
          <w:tab w:leader="none" w:pos="23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Disclosure limited due to confidentiality agreements with collaboration partners; (2) In millions; (3) Positron emission tomography; (4) In Alzheimer’s disease; (5) Phase 1 completed; (6) Equity investment; (7) Converted to CHF on date of receipt; (8) Excludes convertible note agreement of USD 50 million</w:t>
      </w:r>
    </w:p>
    <w:p>
      <w:pPr>
        <w:spacing w:after="0" w:line="18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For any additional product candidates targeting large markets, we may, if appropriate, selectively partner with leading companies that we believe can contribute development, manufacturing and marketing expertise, geographic reach and/or other resources that can enhance the value of our wholly-owned products. We will continue to seek to retain certain indications (e.g., NeuroOrphan) and/or geographies, such that we could begin to grow our own marketing capabilities as we develop AC Immune into a fully integrated pharmaceutical company.</w:t>
      </w:r>
    </w:p>
    <w:p>
      <w:pPr>
        <w:spacing w:after="0" w:line="187" w:lineRule="exact"/>
        <w:rPr>
          <w:sz w:val="20"/>
          <w:szCs w:val="20"/>
          <w:color w:val="auto"/>
        </w:rPr>
      </w:pPr>
    </w:p>
    <w:p>
      <w:pPr>
        <w:ind w:left="60" w:right="839" w:firstLine="324"/>
        <w:spacing w:after="0" w:line="312" w:lineRule="auto"/>
        <w:rPr>
          <w:sz w:val="20"/>
          <w:szCs w:val="20"/>
          <w:color w:val="auto"/>
        </w:rPr>
      </w:pPr>
      <w:r>
        <w:rPr>
          <w:rFonts w:ascii="Times New Roman" w:cs="Times New Roman" w:eastAsia="Times New Roman" w:hAnsi="Times New Roman"/>
          <w:sz w:val="17"/>
          <w:szCs w:val="17"/>
          <w:color w:val="auto"/>
        </w:rPr>
        <w:t>Additionally, in this respect, we established a strategic partnership with WuXi Biologics for its expertise in manufacturing biologicals in China and potential collaborations regarding AC Immune’s SupraAntigen platform.</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benefits of our clinically-validated, proprietary technology platforms</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engines that drive our growth are our two unique proprietary and versatile technology platforms: our SupraAntigen platform, which is our biological and immunological platform, and our Morphomer platform, which is our chemical platform. These platforms generate biologics (vaccines and antibodies) and small molecules, respectively, which are designed to selectively interact with the misfolded proteins that are common in a broad range of neurodegenerative diseases. These clinically-validated platforms form the basis of our ongoing pipeline development and the value-driving strategic partnerships we have established to date.</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key aspect of both our SupraAntigen and Morphomer technology platforms is conformational specificity, which we believe is central to the development of effective and safe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prevents the formation of new misfolded proteins in healthy neighboring cells through a seeding mechanism. Small molecules derived from our Morphomer platform, which we refer to as Morphomers, not only inhibit aggregation of pathological proteins, but also promote disaggregation of already formed aggregates, thereby potentially enhancing their therapeutic potential even in established disease states.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9: SupraAntigen and Morphomer platforms: an integrated approach to CNS-specific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5434965" cy="2117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3496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Nanomolar; (2) Picomolar; (3) Central nervous system; (4) Blood-brain barrier; (5) alpha-synuclein; (6) TAR DNA-binding protein 43</w:t>
      </w:r>
    </w:p>
    <w:p>
      <w:pPr>
        <w:spacing w:after="0" w:line="21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SupraAntigen platform was first developed by AC Immune’s scientific co-founders to overcome a challenge common to neurodegenerative diseases: the lack of immunogenicity of disease-causing self-proteins. The SupraAntigen platform uses liposomes (small spherical vesicles formed by a lipid bilayer) to present specific antigens designed to evoke an immune response. SupraAntigen is used to generate conformation-specific antibodies for immunotherapy in neurodegenerative diseases. The overarching idea behind the platform is that antibodies, which are large in size, are well-suited to target extracellular proteins, interrupt spreading of pathological proteins, and break up and clear aggregates of misfolded proteins through phagocytosis.</w:t>
      </w:r>
    </w:p>
    <w:p>
      <w:pPr>
        <w:spacing w:after="0" w:line="18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AC Immune has acquired advanced mastery of the design and manipulation of liposomes to develop either passive or active immunization techniques to generate antibodies targeting neurodegenerative diseases. When pursuing active immunization approaches, we use liposomes carrying a specific antigen as a vaccine. After vaccination with a liposome, antigen and confirmation-specific antibodies are produced naturally by the host with very high affinity without further optimization. This immune response can be long-lasting and may be ideal to prevent the onset of a disease, as the immune system is now primed to rapidly identify disease-causing misfolded proteins.</w:t>
      </w:r>
    </w:p>
    <w:p>
      <w:pPr>
        <w:spacing w:after="0" w:line="174"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Product candidates generated utilizing the SupraAntigen platform include vaccines (i) ACI-35.030, which has been selected for further development based on supporting data from the Phase 1b/2a in early AD, and (ii) ACI-24.060 ABATE Phase 1b/2, study in subjects with prodromal AD and subsequently in adults with DS. Additionally, antibodies include: crenezumab in Phase 2 for AD prevention and the preclinical candidates targeting a-syn and TDP-43 for PD and NeuroOrphan indications.</w:t>
      </w:r>
    </w:p>
    <w:p>
      <w:pPr>
        <w:spacing w:after="0" w:line="183"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Morphomer platform is designed to enable the development of small molecules (Morphomers) able to bind/interact with beta-sheets containing fibrillary aggregates from candidate selection through preclinical proof-of-concept. Morphomers can target pathological protein aggregates in any brain compartment and are equally well suited for therapeutic and diagnostic applications.</w:t>
      </w:r>
    </w:p>
    <w:p>
      <w:pPr>
        <w:spacing w:after="0" w:line="18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first key component of the Morphomer platform is its library of rationally designed, CNS-optimized non-dye compounds. AC Immune’s extensive know-how has enabled the identification of CNS compounds that penetrate the brain and demonstrate high selectivity for the target. This knowledge has been used to focus the Morphomer library to approximately 15,000 compounds that display these favorable characteristics, making this library an ideal starting point when developing molecules to target human proteinopathies of the CNS. Thus, rather than using the non-directed trial and error strategy of the typical drug development process, the Morphomer platform utilizes its bias for successful CNS candidates to improve efficiency and accelerate the early stages of the drug development process. Extensive expertise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312" w:lineRule="auto"/>
        <w:rPr>
          <w:sz w:val="20"/>
          <w:szCs w:val="20"/>
          <w:color w:val="auto"/>
        </w:rPr>
      </w:pPr>
      <w:r>
        <w:rPr>
          <w:rFonts w:ascii="Times New Roman" w:cs="Times New Roman" w:eastAsia="Times New Roman" w:hAnsi="Times New Roman"/>
          <w:sz w:val="17"/>
          <w:szCs w:val="17"/>
          <w:color w:val="auto"/>
        </w:rPr>
        <w:t>medicinal chemistry and a suite of proprietary assays developed to screen and validate candidate compounds enables AC Immune to rapidly optimize multiple, highly diversified lead compounds for further preclinical and clinical development.</w:t>
      </w:r>
    </w:p>
    <w:p>
      <w:pPr>
        <w:spacing w:after="0" w:line="140"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Therapeutic product candidates generated by the Morphomer platform include our Morphomer Tau candidates, including ACI-3024. We also have Morphomer a-syn candidates and the diagnostic programs PI-2620 in Phase 3 and Phase 1 in AD and PSP, respectively, and ACI-12589 in a Phase 1 clinical trial in PD, MSA and other synucleinopathies. Finally, we also have TDP-43-PET imaging agents.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Shifting the current treatment paradigm for neurodegenerative diseases</w:t>
      </w:r>
    </w:p>
    <w:p>
      <w:pPr>
        <w:spacing w:after="0" w:line="216"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Modifying the progression of the disease requires targeting the specific underlying biological processes that drive disease progression. Unfortunately, these processes evolve over the course of many years prior to manifestation of symptoms and a high percentage of neurons may be lost prior to clinical manifestation. Earlier intervention or prevention of the disease could have a major impact, but it requires accurate disease detection prior to developing symptoms. Due to recent advancement in biomarker research, people at risk of developing AD can be diagnosed 10-20 years before symptoms occur, opening a completely new market segment for the prevention of NDD when active vaccination will play an important role. This early, and potentially preventative, Precision Medicine approach may ultimately lead to better disease management for patients with neurodegenerative diseases.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10: Vaccines as a new class of treatment for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156845</wp:posOffset>
            </wp:positionV>
            <wp:extent cx="5520690" cy="2400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2069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Given the inherent advantages of vaccines compared to monoclonal antibodies, we believe that our programs could have a profound global social and economic impact as a new class of therapy for neurogenerative diseases in various settings.</w:t>
      </w:r>
    </w:p>
    <w:p>
      <w:pPr>
        <w:spacing w:after="0" w:line="176" w:lineRule="exact"/>
        <w:rPr>
          <w:sz w:val="20"/>
          <w:szCs w:val="20"/>
          <w:color w:val="auto"/>
        </w:rPr>
      </w:pPr>
    </w:p>
    <w:p>
      <w:pPr>
        <w:ind w:left="60" w:right="299" w:firstLine="324"/>
        <w:spacing w:after="0" w:line="254" w:lineRule="auto"/>
        <w:rPr>
          <w:sz w:val="20"/>
          <w:szCs w:val="20"/>
          <w:color w:val="auto"/>
        </w:rPr>
      </w:pPr>
      <w:r>
        <w:rPr>
          <w:rFonts w:ascii="Times New Roman" w:cs="Times New Roman" w:eastAsia="Times New Roman" w:hAnsi="Times New Roman"/>
          <w:sz w:val="18"/>
          <w:szCs w:val="18"/>
          <w:color w:val="auto"/>
        </w:rPr>
        <w:t>In regard to treatment, vaccines have potentially improved safety and efficacy profiles. By stimulating the patient’s own immune system to produce antibodies, we believe tolerability would be enhanced by avoiding the need to introduce repeated large doses of externally manufactured antibodies. Additionally, due to their ability to target multiple epitopes with a long-lasting and consistent immune response, the polyclonal antibody response generated by a vaccine permits covering multiple pathological species of the targeted protein.</w:t>
      </w:r>
    </w:p>
    <w:p>
      <w:pPr>
        <w:spacing w:after="0" w:line="187" w:lineRule="exact"/>
        <w:rPr>
          <w:sz w:val="20"/>
          <w:szCs w:val="20"/>
          <w:color w:val="auto"/>
        </w:rPr>
      </w:pPr>
    </w:p>
    <w:p>
      <w:pPr>
        <w:jc w:val="both"/>
        <w:ind w:left="60" w:right="379" w:firstLine="324"/>
        <w:spacing w:after="0" w:line="289" w:lineRule="auto"/>
        <w:rPr>
          <w:sz w:val="20"/>
          <w:szCs w:val="20"/>
          <w:color w:val="auto"/>
        </w:rPr>
      </w:pPr>
      <w:r>
        <w:rPr>
          <w:rFonts w:ascii="Times New Roman" w:cs="Times New Roman" w:eastAsia="Times New Roman" w:hAnsi="Times New Roman"/>
          <w:sz w:val="17"/>
          <w:szCs w:val="17"/>
          <w:color w:val="auto"/>
        </w:rPr>
        <w:t>Vaccines are also much simpler to administer. They are amenable to convenient annual or biannual dosing whereas monoclonal antibodies require frequent intravenous infusions (up to twice per month). These dosing regimens position vaccines as an obvious solution for a maintenance therapy for patients who have previously achieved plaque clearance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with antibodies. This approach will reduce the burden for infusion centers and enhance access to a broader patient population.</w:t>
      </w:r>
    </w:p>
    <w:p>
      <w:pPr>
        <w:spacing w:after="0" w:line="16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these advantages, vaccines allow for more simplified distribution logistics and cost-effectiveness. These factors are crucial to enable their global application as preventative therapies. Given the irreversible nature of neuronal damage, earlier intervention, even before symptoms become visible, promises to be the best strategy to preserve patient function and quality of life.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11: Market opportunities targeting key primary and co-pathologies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148590</wp:posOffset>
            </wp:positionV>
            <wp:extent cx="5554980" cy="18770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5498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239" w:hanging="10"/>
        <w:spacing w:after="0" w:line="271" w:lineRule="auto"/>
        <w:tabs>
          <w:tab w:leader="none" w:pos="23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Alzheimer’s Association; (2) (NOD)-like receptor protein; (3) Apoptosis-associated speck-like protein containing a CARD, also PYCARD; (4) GBD 2016 Parkinson’s Disease Collaborators </w:t>
      </w:r>
      <w:r>
        <w:rPr>
          <w:rFonts w:ascii="Times New Roman" w:cs="Times New Roman" w:eastAsia="Times New Roman" w:hAnsi="Times New Roman"/>
          <w:sz w:val="12"/>
          <w:szCs w:val="12"/>
          <w:i w:val="1"/>
          <w:iCs w:val="1"/>
          <w:color w:val="auto"/>
        </w:rPr>
        <w:t>Lancet Neurology</w:t>
      </w:r>
      <w:r>
        <w:rPr>
          <w:rFonts w:ascii="Times New Roman" w:cs="Times New Roman" w:eastAsia="Times New Roman" w:hAnsi="Times New Roman"/>
          <w:sz w:val="12"/>
          <w:szCs w:val="12"/>
          <w:color w:val="auto"/>
        </w:rPr>
        <w:t xml:space="preserve"> 2018; (5) Limbic-predominant age-related TDP-43 encephalopathy; (6) Nelson et. al. </w:t>
      </w:r>
      <w:r>
        <w:rPr>
          <w:rFonts w:ascii="Times New Roman" w:cs="Times New Roman" w:eastAsia="Times New Roman" w:hAnsi="Times New Roman"/>
          <w:sz w:val="12"/>
          <w:szCs w:val="12"/>
          <w:i w:val="1"/>
          <w:iCs w:val="1"/>
          <w:color w:val="auto"/>
        </w:rPr>
        <w:t>Brain</w:t>
      </w:r>
      <w:r>
        <w:rPr>
          <w:rFonts w:ascii="Times New Roman" w:cs="Times New Roman" w:eastAsia="Times New Roman" w:hAnsi="Times New Roman"/>
          <w:sz w:val="12"/>
          <w:szCs w:val="12"/>
          <w:color w:val="auto"/>
        </w:rPr>
        <w:t xml:space="preserve"> 2019; (7) TAR DNA-binding protein43;</w:t>
      </w:r>
    </w:p>
    <w:p>
      <w:pPr>
        <w:spacing w:after="0" w:line="1" w:lineRule="exact"/>
        <w:rPr>
          <w:rFonts w:ascii="Times New Roman" w:cs="Times New Roman" w:eastAsia="Times New Roman" w:hAnsi="Times New Roman"/>
          <w:sz w:val="12"/>
          <w:szCs w:val="12"/>
          <w:color w:val="auto"/>
        </w:rPr>
      </w:pPr>
    </w:p>
    <w:p>
      <w:pPr>
        <w:ind w:left="60" w:right="259" w:hanging="10"/>
        <w:spacing w:after="0" w:line="258" w:lineRule="auto"/>
        <w:tabs>
          <w:tab w:leader="none" w:pos="23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National Institute of Neurological Disorders and Stroke (NINDS) Progressive Supranuclear Palsy Fact Sheet; (9) NINDS Multiple System Atrophy Fact Sheer; (10) ALS Association </w:t>
      </w:r>
      <w:r>
        <w:rPr>
          <w:rFonts w:ascii="Times New Roman" w:cs="Times New Roman" w:eastAsia="Times New Roman" w:hAnsi="Times New Roman"/>
          <w:sz w:val="13"/>
          <w:szCs w:val="13"/>
          <w:i w:val="1"/>
          <w:iCs w:val="1"/>
          <w:color w:val="auto"/>
        </w:rPr>
        <w:t>Rare Disease</w:t>
      </w:r>
      <w:r>
        <w:rPr>
          <w:rFonts w:ascii="Times New Roman" w:cs="Times New Roman" w:eastAsia="Times New Roman" w:hAnsi="Times New Roman"/>
          <w:sz w:val="13"/>
          <w:szCs w:val="13"/>
          <w:color w:val="auto"/>
        </w:rPr>
        <w:t xml:space="preserve"> 2013; (199) NINDS Amyotrophic Lateral Sclerosis Fact Sheer; (12) Knopman and Roberts </w:t>
      </w:r>
      <w:r>
        <w:rPr>
          <w:rFonts w:ascii="Times New Roman" w:cs="Times New Roman" w:eastAsia="Times New Roman" w:hAnsi="Times New Roman"/>
          <w:sz w:val="13"/>
          <w:szCs w:val="13"/>
          <w:i w:val="1"/>
          <w:iCs w:val="1"/>
          <w:color w:val="auto"/>
        </w:rPr>
        <w:t>J. Mol. Neurosci.</w:t>
      </w:r>
      <w:r>
        <w:rPr>
          <w:rFonts w:ascii="Times New Roman" w:cs="Times New Roman" w:eastAsia="Times New Roman" w:hAnsi="Times New Roman"/>
          <w:sz w:val="13"/>
          <w:szCs w:val="13"/>
          <w:color w:val="auto"/>
        </w:rPr>
        <w:t xml:space="preserve"> 2011</w:t>
      </w:r>
    </w:p>
    <w:p>
      <w:pPr>
        <w:spacing w:after="0" w:line="18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Due to the high level of co-pathologies involved in neurodegenerative diseases, future treatment paradigms may involve different combinations of disease modifiers at various stages of a disease. Therefore, combination therapies may include combinations of immunotherapies or combinations of small and large molecules targeting proteinopathies and neuroinflammation. Our therapeutic product candidates seek to modify the course of AD by intervening at an earlier stage of the disease progression, prior to irreversible neuronal damage. Beyond AD, we believe that we can leverage our proprietary platforms to generate and employ molecules that address the pathologies of other neurodegenerative diseases (See Figure above).</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support of shifting the current treatment paradigm from treatment to prevention, we are the leader in discovering new PET imaging agents to improve the timing and accuracy of diagnoses in neurodegenerative diseases. In our pipeline, we have three families of diagnostic candidates that were developed through our Morphomer platform, which target Tau, a-syn and TDP-43. We believe our Tau-PET imaging program has received external validation through our partnership with LMI, a leader in imaging agents, as well as from several investigator-sponsored trials. We are also developing a-syn and TDP-43 PET imaging agents for PD and other neurodegenerative diseases.</w:t>
      </w:r>
    </w:p>
    <w:p>
      <w:pPr>
        <w:spacing w:after="0" w:line="18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With our unique integrated approach focused on Precision Medicine, we believe that our diagnostic product candidate pipeline will complement our disease-modifying treatment product candidate pipeline and potentially reshape the clinical course and treatment of neurodegenerative diseases.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694690</wp:posOffset>
            </wp:positionV>
            <wp:extent cx="5546090" cy="23660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4609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clinical programs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Anti-pTau vaccine</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collaboration with Janssen, we are advancing the anti-pTau vaccine program with ACI-35.030 that is directed against a key component of the pathology of AD: phosphorylated Tau proteins, found in Tau tangles. Developed using our SupraAntigen technology, our vaccine is designed to stimulate a patient’s immune system to produce antibodies against misfolded and phosphorylated, pathological Tau protein, which aggregates to create the neurofibrillary tangles that characterize AD.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Potential advantages of Tau vaccination over other therapeutic approaches</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ACI-35.030 Tau vaccine, which is able to induce a long-lasting and boost-able antibody response, has the potential to be even more advantageous in some aspects than other anti-Tau therapeutic modalities such as small molecules or monoclonal antibodies, which typically show much shorter half-lives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requiring more frequent administration. ACI-35.030 may thus offer a more cost effective and less burdensome approach for the treatment or prevention of Tau pathology, which may be particularly relevant for addressing slow-progressing chronic neurodegenerative Tauopathies such as AD.</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ACI-35.030</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ACI-35.030 is an optimized liposomal anti-pTau vaccine formulation designed to elicit antibodies against extracellular pTau protein in order to prevent and reduce the spread and development of Tau pathology within the brain. In preclinical studies, ACI-35.030 showed that it retains the excellent non-clinical safety profile and the highly specific antibody response against pTau observed with the initial formulation, ACI-35, while demonstrating an enhanced and more uniform antibody response. We are developing ACI-35.030 with Janssen in accordance with our collaboration agreement.</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1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ACI-35.030 comprises a pTau peptide and a T-cell epitope capable of binding to human leukocyte antigen-major histocompatibility complex, class II (HLA-DR) molecules.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1"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rhesus monkeys, ACI-35.030 induced IgG antibodies with a strong specificity towards the pTau peptide with a very low to absent binding to the non-pTau peptide (Figure 12). This is meaningful as Tau hyper-phosphorylation is considered an early event in the development of Tau pathology, occurring even several decades before the onset of Tau deposits.</w:t>
      </w:r>
    </w:p>
    <w:p>
      <w:pPr>
        <w:spacing w:after="0" w:line="16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Figure 12: pTau-specific IgG titers in Non-Human Primate (NHP) induced by ACI-35.030 and JACI-35.054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121285</wp:posOffset>
            </wp:positionV>
            <wp:extent cx="3651885" cy="1903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5188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Kosco-Vilbois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CTAD 2022</w:t>
      </w:r>
    </w:p>
    <w:p>
      <w:pPr>
        <w:spacing w:after="0" w:line="227" w:lineRule="exact"/>
        <w:rPr>
          <w:sz w:val="20"/>
          <w:szCs w:val="20"/>
          <w:color w:val="auto"/>
        </w:rPr>
      </w:pPr>
    </w:p>
    <w:p>
      <w:pPr>
        <w:jc w:val="both"/>
        <w:ind w:left="720" w:right="279" w:hanging="319"/>
        <w:spacing w:after="0" w:line="266"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Sera from rhesus monkeys immunized with ACI-35.030 binds specifically to pathological Tau in brain sections with AD as compared to healthy human brain tissue (Kosco-Vilbois, KOL event ‘Untangling’ Tau Pathology to Treat Alzheimer’s and Neurodegenerative Diseases NYC, Nov 2019)</w:t>
      </w:r>
    </w:p>
    <w:p>
      <w:pPr>
        <w:spacing w:after="0" w:line="175"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Epitope mapping analyses revealed that immunization of NHPs with ACI-35.030 induces a wide range of antibodies covering the pTau antigenic sequence (Kosco-Vilbois, CTAD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JACI-35.054</w:t>
      </w:r>
    </w:p>
    <w:p>
      <w:pPr>
        <w:spacing w:after="0" w:line="229" w:lineRule="exact"/>
        <w:rPr>
          <w:sz w:val="20"/>
          <w:szCs w:val="20"/>
          <w:color w:val="auto"/>
        </w:rPr>
      </w:pPr>
    </w:p>
    <w:p>
      <w:pPr>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JACI-35.054 is an alternative pTau vaccine, which is developed with Janssen in accordance with our collaboration agreement. In preclinical studies, JACI-35.054 showed good safety, and induced a strong antibody response against pTau.</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107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JACI-35.054 is an alternative anti-pTau vaccine comprising a pTau peptide antigen conjugated to an immunogenic carrier protein CRM197, combined with adjuvants.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CRM197 is a well-defined recombinant protein that is a commercially available version of a non-toxic mutant of diphtheria toxin (DT) A chain and has been shown to be a safe carrier protein in commercial prophylactic vaccines and clinical trials for a plethora of different vaccine candidates.</w:t>
      </w:r>
    </w:p>
    <w:p>
      <w:pPr>
        <w:spacing w:after="0" w:line="17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Immunization of rhesus macaques with JACI-35.054 induces antibodies that bind to pathological Tau structures in human AD brain, and bind similarly to pTau and non-pTau peptides (Figure 12).</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Q4 2022, it was announced that, based on the Phase 1b/2a interim data, ACI-35.030 has been selected over JACI-35.054 for further development.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1b/2a study</w:t>
      </w:r>
    </w:p>
    <w:p>
      <w:pPr>
        <w:spacing w:after="0" w:line="22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Phase 1b/2a study (NCT04445831) is a randomized, multicenter, double-blind, placebo-controlled clinical study with a primary objective to assess the safety, tolerability and immunogenicity of different dosages of ACI-35.030 and JACI-35.054 in participants with early AD. Secondary objectives assess additional immunogenicity parameters, while exploratory endpoints include notable biomarkers of progression of AD as well as clinical assessments. This Phase 1b/2a study evaluating ACI-35.030 and JACI-35.054 was initiated in Q3 2019 and is currently ongoing in Europe.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recruitment has been completed in the Phase 1b/2a study where 57 subjects have been randomized, of which 41 subjects have been randomized into the Cohort 1 (low-, mid-, or high- dose levels of ACI-35.030 or placebo), and 16 subjects have been randomized into the Cohort 2 (low- or mid-dose levels of JACI-35.054 or placebo). The active/placebo ratio is 3:1 in each Cohort. To-date, eight SAEs have been reported in 6 out of total 57 participants in this study. Two SAEs (injection site rash and dizziness occurring on one occasion) were considered probably/possibly related to the study vaccine. None of the other SAEs were considered to be possibly or probably related to the study vaccine. These SAEs were acute diverticulitis, flare of diverticular disease/diverticulitis, left calf pain due to thrombosed popliteal aneurysm, popliteal aneurysm (both popliteal aneurysms occurred in the same participant), sick sinus syndrome, and lumbar disc prolapse. These SAE were observed in cohort 1 where subjects are receiving either ACI-35.030 or placebo, except the case of lumbar disc prolapse that was observed in cohort 2 where subjects are receiving either JACI-35.054 or placebo.</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Antibody response (interim)</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Based on interim results from all three dose-level sub-cohorts, in all patients after the first injection ACI-35.030 treatment led to the strong induction of antibodies specific for pathological forms of Tau such as pTau and its aggregated form, ePHF (Figure 13). Anti-pTau IgG titers increased by two orders of magnitude from baseline two weeks after the first injection of the mid-dose of ACI-35.030 and boostable following additional dosing at weeks 8, 24 and 48. Anti-ePHF IgG titers increased by approximately one order of magnitude from baseline as early as two weeks after the second injection at week 8 of the mid-dose of ACI-35.030. The anti-ePHF IgG response was high and boostable following additional dosing at weeks 8, 24 and 48, with a sustained response up to week 74. In contrast, the anti-Tau IgG response decreased from week 2 onwards. Together these data indicate that ACI-35.030 preferentially targets pathological Tau species over non-pathological Tau. Immunization with ACI-35.030 showed class-switching from IgM to IgG. Interim safety data further support ACI-35.030’s favorable safety and tolerability profile.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Figure 13: </w:t>
      </w:r>
      <w:r>
        <w:rPr>
          <w:rFonts w:ascii="Times New Roman" w:cs="Times New Roman" w:eastAsia="Times New Roman" w:hAnsi="Times New Roman"/>
          <w:sz w:val="17"/>
          <w:szCs w:val="17"/>
          <w:b w:val="1"/>
          <w:bCs w:val="1"/>
          <w:color w:val="auto"/>
        </w:rPr>
        <w:t>ACI-35.030: Potent antibody response with preference for pathological Tau</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Fast, high, phospho-Tau-specific, and boostable antibody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147955</wp:posOffset>
            </wp:positionV>
            <wp:extent cx="5554980" cy="2280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549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phosphorylated Tau; (2) Enriched paired helical filaments; (3) at weeks 2 and 10; (4) at week 10</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Streffer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CTAD 2022</w:t>
      </w:r>
    </w:p>
    <w:p>
      <w:pPr>
        <w:spacing w:after="0" w:line="227"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High responder rates were observed after the first, and all following vaccinations, across all dose levels. A 100% response rate for pTau was observed at the mid-dose at all time points measured. A higher responder rate on ePHF was observed for the mid-dose compared to the high dose at all time points measured.</w:t>
      </w:r>
    </w:p>
    <w:p>
      <w:pPr>
        <w:spacing w:after="0" w:line="179" w:lineRule="exact"/>
        <w:rPr>
          <w:sz w:val="20"/>
          <w:szCs w:val="20"/>
          <w:color w:val="auto"/>
        </w:rPr>
      </w:pPr>
    </w:p>
    <w:p>
      <w:pPr>
        <w:jc w:val="center"/>
        <w:ind w:left="1680"/>
        <w:spacing w:after="0" w:line="286" w:lineRule="auto"/>
        <w:rPr>
          <w:sz w:val="20"/>
          <w:szCs w:val="20"/>
          <w:color w:val="auto"/>
        </w:rPr>
      </w:pPr>
      <w:r>
        <w:rPr>
          <w:rFonts w:ascii="Times New Roman" w:cs="Times New Roman" w:eastAsia="Times New Roman" w:hAnsi="Times New Roman"/>
          <w:sz w:val="18"/>
          <w:szCs w:val="18"/>
          <w:b w:val="1"/>
          <w:bCs w:val="1"/>
          <w:color w:val="auto"/>
        </w:rPr>
        <w:t>Figure 14: Comparison of the anti-Tau and anti-ePHF IgG antibody response profiles to ACI-35.030 and JACI-35.054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121285</wp:posOffset>
            </wp:positionV>
            <wp:extent cx="5109210" cy="22199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0921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ACI-35.030 original sub-cohort 1.2 data; (2) Enriched paired helical filaments; (3) phosphorylated Tau; (4) Alzheimer’s disease; (5) Antibody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Streffer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CTAD 2022</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As seen in the Figure above, the antibody response induced by ACI-35.030 mid-dose preferentially targets pathological Tau species (ePHF) over normal Tau, whereas the antibody response induced by JACI-35.054, a conjugate vaccine, targets both normal Tau and pathological Tau. ACI-35.030 induced anti-ePHF antibodies with longer apparent half-lives, less variability and lower peak-to-trough ratios than those induced by JACI-35.054. ACI-35.030 induced anti-ePHF antibodies in 100% of patients after 1st injection of ACI-35.030 compared to 50% with JACI-35.054.</w:t>
      </w:r>
    </w:p>
    <w:p>
      <w:pPr>
        <w:spacing w:after="0" w:line="183" w:lineRule="exact"/>
        <w:rPr>
          <w:sz w:val="20"/>
          <w:szCs w:val="20"/>
          <w:color w:val="auto"/>
        </w:rPr>
      </w:pPr>
    </w:p>
    <w:p>
      <w:pPr>
        <w:ind w:left="60" w:right="399" w:firstLine="324"/>
        <w:spacing w:after="0" w:line="254" w:lineRule="auto"/>
        <w:rPr>
          <w:sz w:val="20"/>
          <w:szCs w:val="20"/>
          <w:color w:val="auto"/>
        </w:rPr>
      </w:pPr>
      <w:r>
        <w:rPr>
          <w:rFonts w:ascii="Times New Roman" w:cs="Times New Roman" w:eastAsia="Times New Roman" w:hAnsi="Times New Roman"/>
          <w:sz w:val="18"/>
          <w:szCs w:val="18"/>
          <w:color w:val="auto"/>
        </w:rPr>
        <w:t>Binding analyses show that the polyclonal antibodies induced by ACI-35.030 bind preferentially to pTau peptide without binding to the truncated C-terminal end of the peptide (see Figure below). In contrast, JACI-35.054 induces antibodies mostly binding to the very C-terminus of the peptide in a non-phospho specific manner. Together, these data indicate that the presentation of the B-cell peptide upon the surface of the liposomes in ACI-35.030 drives the antibody response towards pathological Tau species.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Figure 15: Mode of binding of antibodies induced by ACI-35.030 and JACI-35.054 towards pTau and Tau peptides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Streffer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CTAD 2022</w:t>
      </w:r>
    </w:p>
    <w:p>
      <w:pPr>
        <w:spacing w:after="0" w:line="227"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polyclonal sera from 7/8 subjects immunized with either ACI-35.030 (mid-dose) or Placebo, and from 8/8 subjects immunized with JACI-35.054 (low dose) or Placebo, were analyzed for their binding profiles to the pTau or Tau peptide, either without or including 1 additional amino acid (1aa) onto the C-terminal end of the peptide.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ACI-24.060</w:t>
      </w:r>
    </w:p>
    <w:p>
      <w:pPr>
        <w:spacing w:after="0" w:line="216"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ACI-24.060 derives from an original AC Immune anti-amyloid-beta vaccine, ACI-24, that was assessed in patients with AD and in subjects with DS. As ACI-24 was shown to be safe and well tolerated with preliminary evidence of immunogenicity and pharmacodynamic effects in these two study populations, the optimized version ACI-24.060 was created. ACI-24.060 contains additional Abeta unrelated T-helper cell epitopes and has demonstrated similar safety and tolerability in NHPs with superior immunogenicity in mouse and NHP studies as compared to the original ACI-24.</w:t>
      </w:r>
    </w:p>
    <w:p>
      <w:pPr>
        <w:spacing w:after="0" w:line="16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aim of the vaccine is to stimulate the patient’s immune system to produce and maintain antibodies that bind and remove pathological Abeta with the goal to prevent plaque accumulation and enhance clearance of toxic Abeta species. The Company is pursuing clinical development of ACI-24.060 in early AD as well as the population of people living with DS exhibiting the presence of brain amyloid pathology.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ACI-24.060 is proprietarily owned.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79" w:hanging="319"/>
        <w:spacing w:after="0" w:line="25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ACI-24.060 consists of an immunogenic peptide (Pal1-15) containing the amino acid sequence 1-15 of the human Abeta1-42 protein, an antigenic peptide with Abeta unrelated T-helper cell epitopes and an adjuvant, formulated together as a liposomal suspension. In this formulation, the immunogenic peptide, Pal1-15, is presented to B cells of the immune cells on the surface of the liposomes in a conformational format mimicking the pathological form of the protein. This presentation optimally drives antigen-specific antibody responses that bind to the pathological forms of Abeta (i.e. oligomeric and pyroglutamate (pyroGlu) Abeta). The incorporation of the Abeta unrelated T-helper cell epitopes aims to prime, boost and maintain a strong anti-Abeta IgG response while preserving the well tolerated safety profile observed with the original formulation of ACI-24;</w:t>
      </w:r>
    </w:p>
    <w:p>
      <w:pPr>
        <w:spacing w:after="0" w:line="19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proof of concept studies in models of Abeta pathology, vaccination with the immunogen, Pal1-15 in the original ACI-24 formulation demonstrated anti-Abeta IgG titers with concomitant plaque reduction and restoration of memory;</w:t>
      </w:r>
    </w:p>
    <w:p>
      <w:pPr>
        <w:spacing w:after="0" w:line="175"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safety studies, vaccination of NHPs with ACI-24.060 led to the anticipated enhanced anti-Abeta IgG titers (as compared to ACI-24) while maintaining with boosting effect the favorable safety profile, confirming the suitability to add the Abeta-unrelated T-helper cell epitopes to the vaccine;</w:t>
      </w:r>
    </w:p>
    <w:p>
      <w:pPr>
        <w:spacing w:after="0" w:line="175"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assessment of the kinetics and binding profile of the antibodies elicited by vaccination of NHPs with ACI-24.060 demonstrated enhanced antigen specific antibody titers with immunization as well as target binding to Abeta oligomers and pyroGlu Abeta (antibody titers against pyroGlu Abeta shown in the Figure 16);</w:t>
      </w:r>
    </w:p>
    <w:p>
      <w:pPr>
        <w:spacing w:after="0" w:line="173" w:lineRule="exact"/>
        <w:rPr>
          <w:rFonts w:ascii="Times New Roman" w:cs="Times New Roman" w:eastAsia="Times New Roman" w:hAnsi="Times New Roman"/>
          <w:sz w:val="18"/>
          <w:szCs w:val="18"/>
          <w:color w:val="auto"/>
        </w:rPr>
      </w:pPr>
    </w:p>
    <w:p>
      <w:pPr>
        <w:ind w:left="720" w:right="819" w:hanging="319"/>
        <w:spacing w:after="0" w:line="315" w:lineRule="auto"/>
        <w:tabs>
          <w:tab w:leader="none" w:pos="7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Target engagement was confirmed </w:t>
      </w:r>
      <w:r>
        <w:rPr>
          <w:rFonts w:ascii="Times New Roman" w:cs="Times New Roman" w:eastAsia="Times New Roman" w:hAnsi="Times New Roman"/>
          <w:sz w:val="17"/>
          <w:szCs w:val="17"/>
          <w:i w:val="1"/>
          <w:iCs w:val="1"/>
          <w:color w:val="auto"/>
        </w:rPr>
        <w:t>in situ</w:t>
      </w:r>
      <w:r>
        <w:rPr>
          <w:rFonts w:ascii="Times New Roman" w:cs="Times New Roman" w:eastAsia="Times New Roman" w:hAnsi="Times New Roman"/>
          <w:sz w:val="17"/>
          <w:szCs w:val="17"/>
          <w:color w:val="auto"/>
        </w:rPr>
        <w:t xml:space="preserve"> using sections from AD patients in which sera from the NHPs vaccinated with ACI-24.060 bound to the Abeta plaques while showing no reactivity to other tissues.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16: Abeta1-42 and pyroGlu Abeta IgG titers in NHP vaccinated with ACI-24.060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156845</wp:posOffset>
            </wp:positionV>
            <wp:extent cx="4166235" cy="21088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662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 Fiorini, AAIC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ABATE Phase 1b/2</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ABATE Phase 1b/2 study design</w:t>
      </w:r>
    </w:p>
    <w:p>
      <w:pPr>
        <w:spacing w:after="0" w:line="22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ABATE clinical study (NCT05462106) is a multicenter, adaptive, placebo-controlled, dose-escalation, double-blind, randomized study containing two parts.</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part 1:</w:t>
      </w:r>
    </w:p>
    <w:p>
      <w:pPr>
        <w:spacing w:after="0" w:line="241"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Study part 1 is currently conducted in subjects with prodromal AD to assess the effect of study treatment (ACI-24.060 or placebo) administered over 48 weeks.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study drug is being administered via intramuscular injections. Initially, a low dose of ACI-24.060 will be tested.</w:t>
      </w:r>
    </w:p>
    <w:p>
      <w:pPr>
        <w:spacing w:after="0" w:line="225"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Randomized AD subjects receive five study drug injections (ACI-24.060 or placebo) at weeks 0, 4, 12, 24, and 48. For each study subject, the treatment period will be followed by a 26-week follow-up period.</w:t>
      </w:r>
    </w:p>
    <w:p>
      <w:pPr>
        <w:spacing w:after="0" w:line="16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Up to four cohorts may be included in study part 1. Each cohort will differ from the others in terms of the dose per injection and/or the administration regimen with the possibility to expand any cohort at any time point to better understand antibody response and/or safety and tolerability. The initiation of randomization in the subsequent cohort(s) will be based on interim safety and tolerability data review from the previous cohort(s) and Data and Safety Monitoring Board (DSMB) approval.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Interim analyses will be conducted in each cohort at different predefined study time points.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Study part 1 is conducted in several centers located in the UK and Europe.</w:t>
      </w: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part 2:</w:t>
      </w:r>
    </w:p>
    <w:p>
      <w:pPr>
        <w:spacing w:after="0" w:line="227" w:lineRule="exact"/>
        <w:rPr>
          <w:sz w:val="20"/>
          <w:szCs w:val="20"/>
          <w:color w:val="auto"/>
        </w:r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Study part 2 will be conducted in up to 80 non-demented adult subjects with DS and with confirmed presence of amyloid pathology by PET scan to assess the effect of study treatment (ACI-24.060 or placebo) administered over 74 weeks.</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Randomized subjects with DS will receive their first five injections (ACI-24.060 or placebo) according to the same schedule administered in part 1, at weeks 0, 4, 12, 24, 48, plus an additional injection at week 74 in order to boost/maintain the response. For each study subject, the treatment period will be followed by a 26-week follow-up period.</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Randomization in study part 2 will be initiated with a dose of ACI-24.060 that has been shown to be immunogenic, safe and well tolerated in AD subjects.</w:t>
      </w:r>
    </w:p>
    <w:p>
      <w:pPr>
        <w:spacing w:after="0" w:line="162"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dose level of ACI-24.060 may need to be adjusted in the DS study population based on immunogenicity and safety/tolerability data.</w:t>
      </w:r>
    </w:p>
    <w:p>
      <w:pPr>
        <w:spacing w:after="0" w:line="14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Interim analyses may be conducted at different predefined study time points, during the treatment period and during the follow-up period.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Study part 2 will be conducted in the UK, Europe and the U.S.</w:t>
      </w:r>
    </w:p>
    <w:p>
      <w:pPr>
        <w:spacing w:after="0" w:line="22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Company’s CTA received approval from the UK MHRA in Q2 2022 and from the AEMPS in Q3 2022 to initiate development of the optimized formulation of ACI-24 in patients with prodromal AD and in adult subjects with DS with presence of brain amyloid pathology.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first dosing in study part 1 occurred in Q2 2022.</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ACI-24 development in AD in DS</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AD pathology that commonly develops in people with DS bears remarkable similarities to familial and sporadic forms of AD and is characterized by a progressive accumulation of brain Abeta amyloid plaques leading to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appearance of AD-related cognitive decline and a modification of other relevant biomarkers. The Company is pioneering the development of its anti-amyloid-beta vaccine in AD patients and subjects with DS.</w:t>
      </w:r>
    </w:p>
    <w:p>
      <w:pPr>
        <w:spacing w:after="0" w:line="162"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Individuals with DS have an extra copy of chromosome 21, which is where the gene for amyloid precursor protein (APP) resides. These individuals develop AD at a rate that is three to five times that of the general population and develop the disease at a much younger age. At autopsy, AD pathology has been reported in 80% of people with DS over the age of 40 and 100% over the age of 60 years. The prevalence of AD in people with DS is more than 50% over the age of 50 and 75–100% over the age of 60 years (Strydom, 2018). It is estimated that there are six million people with DS worldwide, with 250,000 in the U.S.. Preclinical results published by AC Immune in collaboration with Dr. Mobley of the University of California, San Diego in March 2016, showed, in a DS mouse model (Ts65Dn), a significant 20% memory improvement and a 27% reduction of Abeta in the brain following vaccination with ACI-DS-01, the mouse equivalent of ACI-24.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ACI-7104.056 – anti-a-syn vaccine</w:t>
      </w:r>
    </w:p>
    <w:p>
      <w:pPr>
        <w:spacing w:after="0" w:line="229"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Neurodegenerative conditions with a-syn accumulation, such as PD, are increasingly linked to dementia and movement disorders in the aging population.</w:t>
      </w:r>
    </w:p>
    <w:p>
      <w:pPr>
        <w:spacing w:after="0" w:line="162"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ACI-7104.056 is an optimized peptide-conjugate vaccine formulation designed to induce a-syn-specific antibodies recognizing aggregated a-syn species that have been demonstrated to be toxic to neurons. In contrast, ACI-7104.056-induced antibodies do not bind to the monomeric, physiological form of a-syn and do not cross-react with other members of the synuclein family such as beta- and gamma-synuclein.</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 substantial package of preclinical and clinical data has been generated with PD01 (predecessor of ACI-7104.056). This candidate was tested in two different transgenic mouse models of PD and Dementia with Lewy bodies (DLB), the mThy1- and the PDGF-human a-syn transgenic mice. Active vaccination with PD01 resulted in decreased a-syn pathology in brain areas most affected by transgene overexpression, including the substantia nigra and the striatum. This decrease was accompanied by a reduced neurodegeneration in both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by improvements in motor and memory deficits in the mThy1 and the PDGF-human a-syn transgenic mice, respectively.</w:t>
      </w:r>
    </w:p>
    <w:p>
      <w:pPr>
        <w:spacing w:after="0" w:line="18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PD01 was the first vaccine candidate against pathological a-syn to be tested in a clinical study involving patients with early PD. A series of Phase 1 studies were completed in June 2018. The start of the Phase 2 trial in early PD patients to evaluate ACI-7104.056 is scheduled to commence in H1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259" w:hanging="319"/>
        <w:spacing w:after="0" w:line="258"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ACI-7104.056 comprises a short engineered antigenic a-syn peptide. This peptide coupled to a carrier protein facilitates the induction of an a-syn-specific antibody response that binds to toxic aggregated a-syn species with high selectivity (Mandler-M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pacing w:after="0" w:line="196" w:lineRule="exact"/>
        <w:rPr>
          <w:rFonts w:ascii="Times New Roman" w:cs="Times New Roman" w:eastAsia="Times New Roman" w:hAnsi="Times New Roman"/>
          <w:sz w:val="18"/>
          <w:szCs w:val="18"/>
          <w:color w:val="auto"/>
        </w:rPr>
      </w:pPr>
    </w:p>
    <w:p>
      <w:pPr>
        <w:jc w:val="both"/>
        <w:ind w:left="720" w:right="259" w:hanging="319"/>
        <w:spacing w:after="0" w:line="280" w:lineRule="auto"/>
        <w:tabs>
          <w:tab w:leader="none" w:pos="7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Vaccination of wild-type and transgenic mice, resulted in high antibody titres in plasma, which crossed into the cerebrospinal fluid (CSF) and recognized a-syn aggregates. Vaccination resulted in a decreased aggregation and accumulation of a-syn oligomers in brains of transgenic animals (Mandler-M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Acta Neuropathol. 2014).</w:t>
      </w:r>
    </w:p>
    <w:p>
      <w:pPr>
        <w:spacing w:after="0" w:line="177" w:lineRule="exact"/>
        <w:rPr>
          <w:rFonts w:ascii="Times New Roman" w:cs="Times New Roman" w:eastAsia="Times New Roman" w:hAnsi="Times New Roman"/>
          <w:sz w:val="17"/>
          <w:szCs w:val="17"/>
          <w:color w:val="auto"/>
        </w:rPr>
      </w:pPr>
    </w:p>
    <w:p>
      <w:pPr>
        <w:jc w:val="both"/>
        <w:ind w:left="720" w:right="159" w:hanging="319"/>
        <w:spacing w:after="0" w:line="275"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Clearance of a-syn was accompanied by reduced neurodegeneration in both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and by improvements in motor and memory deficits the mThy1 and the PDGF-human a-syn transgenic mice, respectively (Mandler-M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Acta Neuropathol. 2014).</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1 study design</w:t>
      </w:r>
    </w:p>
    <w:p>
      <w:pPr>
        <w:spacing w:after="0" w:line="214"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safety, tolerability and immunogenicity of the ACI-7104.056 predecessor a-syn vaccine were studied over a three-and-a-half-year period in 24 early PD subjects and have been previously published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Lancet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Neurology 2020). There were four consecutive studies in this group of patients, with patients randomized to receive a lower or higher dose of the alpha synuclein vaccine. After four priming doses, subjects were re-randomized to receive a booster injection at one of the two doses, followed by a second booster injection at the high dose.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Phase 1 study series demonstrated a favorable long-term safety profile for PD01.</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Antibody response</w:t>
      </w:r>
    </w:p>
    <w:p>
      <w:pPr>
        <w:spacing w:after="0" w:line="22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PD01 induced a long lasting and boostable antibody response (Figure 17, left). Such induced antibodies have been shown to bind preferentially the aggregated species of a-syn. The induced antibodies were also demonstrated to bind to a-syn aggregates in human PD and DLB brain tissue.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Pharmacological and clinical effect</w:t>
      </w:r>
    </w:p>
    <w:p>
      <w:pPr>
        <w:spacing w:after="0" w:line="22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Evidence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and signals for clinical efficacy have been observed in these Phase 1 studies in PD, as immunization was associated with a decrease in oligomeric a-syn in CSF of treated patients and with a stabilization of clinical scores as shown by the MDS-UPDRS part 3 scores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The Lancet Neurology, 2020). Post hoc analyses of this study series delivered highly encouraging data with respect to target engagement and identification of a potential biomarker for PD, including:</w:t>
      </w:r>
    </w:p>
    <w:p>
      <w:pPr>
        <w:spacing w:after="0" w:line="183" w:lineRule="exact"/>
        <w:rPr>
          <w:sz w:val="20"/>
          <w:szCs w:val="20"/>
          <w:color w:val="auto"/>
        </w:rPr>
      </w:pPr>
    </w:p>
    <w:p>
      <w:pPr>
        <w:ind w:left="720" w:right="399" w:hanging="319"/>
        <w:spacing w:after="0" w:line="284"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target engagement of induced antibodies was demonstrated by lowering of oligomeric a-syn in CSF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vaccinated subjects (Figure 17, middle).</w:t>
      </w:r>
    </w:p>
    <w:p>
      <w:pPr>
        <w:spacing w:after="0" w:line="160"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significant correlation between oligomeric a-syn concentration in CSF and MDS-UPDRS 3 score (motor-symptoms) in PD patients at baseline was shown for the first time.</w:t>
      </w:r>
    </w:p>
    <w:p>
      <w:pPr>
        <w:spacing w:after="0" w:line="16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oligomeric a-syn in CSF correlated significantly with clinical improvement, the changes in MDS-UPDRS 3 score over time (Figure 17, right).</w:t>
      </w:r>
    </w:p>
    <w:p>
      <w:pPr>
        <w:spacing w:after="0" w:line="17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Figure 17: Pharmacokinetic and pharmacodynamic effect of PD01 vaccination in early 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5434965" cy="21170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3496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right="439" w:hanging="10"/>
        <w:spacing w:after="0" w:line="262" w:lineRule="auto"/>
        <w:tabs>
          <w:tab w:leader="none" w:pos="238"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from 75 ug dose group; (4) Cerebrospinal fluid; (5) Change in oligomeric a-syn calculated at week 26, change in UPDRS III calculated at week 100; (6) Unified Parkinson’s Disease Rating Scale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Volc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Lancet Neurology,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These combined data provide a validation of the role of a-syn in disease progression and demonstrate that a-syn directed vaccination has the potential to positively impact clinical outcome. These data also provide an excellent basis for design of the planned Phase 2 study of ACI-7104.056.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Semorinemab</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Semorinemab is a humanized high-affinity IgG4 isotype antibody candidate that binds all forms of Tau. Semorinemab is designed to intercept extracellular Tau, stopping or slowing cell-to-cell spread and propagation of pathological Tau in the brain. Semorinemab is in Phase 2 clinical development for AD as part of an ongoing collaboration, which was established in 2012, with Genentech.</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 characterization</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anti-Tau monoclonal antibody program successfully generated multiple humanized antibodies for potential use as passive immunotherapies, which are highly specific for pathological forms of Tau found in AD and other Tauopathies. Results from preclinical studies demonstrated a reduction in pathological Tau and improvement of long-term spatial memory. Efficacy studies run in mouse models of AD and other Tauopathies exhibited dose–response alleviation of Tau pathology with behavioral improvements.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18: Alleviation of Tau pathology in models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156845</wp:posOffset>
            </wp:positionV>
            <wp:extent cx="4663440" cy="12001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6344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right="779"/>
        <w:spacing w:after="0" w:line="265" w:lineRule="auto"/>
        <w:rPr>
          <w:sz w:val="20"/>
          <w:szCs w:val="20"/>
          <w:color w:val="auto"/>
        </w:rPr>
      </w:pPr>
      <w:r>
        <w:rPr>
          <w:rFonts w:ascii="Times New Roman" w:cs="Times New Roman" w:eastAsia="Times New Roman" w:hAnsi="Times New Roman"/>
          <w:sz w:val="13"/>
          <w:szCs w:val="13"/>
          <w:color w:val="auto"/>
        </w:rPr>
        <w:t xml:space="preserve">Representative images of hippocampal coronal sections from human Tau-P301L transgenic mice treated with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3"/>
          <w:szCs w:val="13"/>
          <w:color w:val="auto"/>
        </w:rPr>
        <w:t xml:space="preserve"> control antibody or </w:t>
      </w: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13"/>
          <w:szCs w:val="13"/>
          <w:color w:val="auto"/>
        </w:rPr>
        <w:t xml:space="preserve"> semorinemab, and immunostained for pathological Tau deposits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Ayalon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Science Trans. Med., 2021</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9" w:lineRule="exact"/>
        <w:rPr>
          <w:sz w:val="20"/>
          <w:szCs w:val="20"/>
          <w:color w:val="auto"/>
        </w:rPr>
      </w:pPr>
    </w:p>
    <w:p>
      <w:pPr>
        <w:ind w:left="60" w:right="139" w:firstLine="324"/>
        <w:spacing w:after="0" w:line="226" w:lineRule="auto"/>
        <w:rPr>
          <w:sz w:val="20"/>
          <w:szCs w:val="20"/>
          <w:color w:val="auto"/>
        </w:rPr>
      </w:pPr>
      <w:r>
        <w:rPr>
          <w:rFonts w:ascii="Times New Roman" w:cs="Times New Roman" w:eastAsia="Times New Roman" w:hAnsi="Times New Roman"/>
          <w:sz w:val="18"/>
          <w:szCs w:val="18"/>
          <w:color w:val="auto"/>
        </w:rPr>
        <w:t>A Phase 1 clinical trial involving 75 subjects evaluated the safety, tolerability, pharmacokinetics and preliminary data on therapeutic activity of semorinemab in people with AD and in healthy volunteers. This trial was completed in the second quarter of 2017. Semorinemab was administered at single doses of up to 16,800 mg to healthy volunteers, and at multiple doses of 8,400 mg to healthy volunteers and patients with mild-to-moderate AD. No dose-limiting toxicities and no SAEs were observed. No participant withdrawals, modifications or interruptions due to an adverse event were reported. Results were presented at multiple conferences, including the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International Conference on Alzheimer’s &amp; Parkinson’s Diseases and Related Neurological Disorders (AD/PD) in 2017, the AAIC in 2017, and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international CTAD conference in 2017.</w:t>
      </w:r>
    </w:p>
    <w:p>
      <w:pPr>
        <w:spacing w:after="0" w:line="198"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Semorinemab exhibited a dose-proportional pharmacokinetic profile and CNS exposure, with a median half-life of 32.3 days. Plasma total Tau concentration increased with increasing drug doses and was doubled in participants with AD compared with healthy volunteers, suggesting a pharmacodynamic signal as shown in the Figure below.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19: Phase 1 pharmacokinetic and plasma Tau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5349240" cy="12172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Kerchner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CTAD 2017</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 Phase 2 clinical trial (Tauriel) commenced in Q4 2017 with the dosing of the first patient. This multicenter trial, which enrolled 457 participants, assessed the safety, tolerability and efficacy of semorinemab in people with prodromal-to-mild AD. Participants received one of three active doses or a placebo for 72 weeks, followed by a 96-week optional open-label extension (OLE). Primary endpoints included safety assessment and the composite functional and cognitive endpoint CDR-SB score.</w:t>
      </w:r>
    </w:p>
    <w:p>
      <w:pPr>
        <w:spacing w:after="0" w:line="187"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Company reported that Genentech informed us of top line results which showed that semorinemab did not meet its primary efficacy endpoint of reducing decline on CDR-SB compared to placebo. Two secondary endpoints, Alzheimer’s Disease Assessment Scale-Cognitive Subscale 13 (ADAS-Cog13) and Alzheimer’s Disease Cooperative Study Group – Activities of Daily Living Inventory (ADCS-ADL), were also not met. The primary safety endpoint was however met.</w:t>
      </w:r>
    </w:p>
    <w:p>
      <w:pPr>
        <w:spacing w:after="0" w:line="183"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Further analyses revealed a dose-dependent increase in serum pharmacokinetics and evidence of target engagement, measured by an increase in plasma Tau levels, which is consistent with previous Phase 1 study results.</w:t>
      </w:r>
    </w:p>
    <w:p>
      <w:pPr>
        <w:spacing w:after="0" w:line="17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 second Phase 2 trial (Lauriet) was initiated in Q1 2019. This was a multicenter study enrolling 272 participants, and was designed to evaluate the clinical efficacy, safety, pharmacokinetics and pharmacodynamics of semorinemab in patients with moderate AD [Mini Mental State Examination (MMSE) 16–21, CDR-GS 1 or 2]. The study consisted of a screening period, a double-blind treatment period of 49 or 61 weeks, an optional OLE period, and a follow-up period, with the 11-item Alzheimer’s Disease Assessment Scale-cognitive subscale (ADAS-Cog11) and Alzheimer’s Disease Cooperative Study-Activities of Daily Living tools serving as the primary endpoints, and CDR-SB, MMSE and safety as secondary endpoints. Primary completion (last patient, last visit of the double-blind portion of the study) was in Q3 2021.</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August 2021 the Company reported that Genentech had informed the Company that the Lauriet study had met one of its co-primary endpoints, ADAS-Cog 11. The second co-primary endpoint, ADCS-ADL, was not met. Safety data showed that semorinemab was well tolerated with an acceptable safety profile and no unanticipated safety signals. In November 2021, the Company reported that Genentech had presented the full top-line data from the Lauriet study during a late-breaking session at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Clinical Trials on Alzheimer’s Disease conference.</w:t>
      </w:r>
    </w:p>
    <w:p>
      <w:pPr>
        <w:spacing w:after="0" w:line="70" w:lineRule="exact"/>
        <w:rPr>
          <w:sz w:val="20"/>
          <w:szCs w:val="20"/>
          <w:color w:val="auto"/>
        </w:rPr>
      </w:pPr>
    </w:p>
    <w:p>
      <w:pPr>
        <w:jc w:val="both"/>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272 subjects were randomized into the study and 267 dosed. 49 study centers participated in the U.S., France, Spain and Poland. In a modified intent to treat (mITT) population of all trial participants who had received at least one dose of study drug and had at least one post-baseline ADAS-Cog 11 assessment, there was a 42.2% slowing of cognitive decline compared to placebo, the result being highly statistically significant (p=0.0008).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20: Positive effect of semorinemab on cognition assessed by ADAS-Cog11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156845</wp:posOffset>
            </wp:positionV>
            <wp:extent cx="4671695" cy="23660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7169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Monteiro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2021</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effect on ADAS-Cog 11 was consistently seen at around the same magnitude in subgroup analyses looking at subjects with higher or lower baseline severity assessed by MMSE, brain Tau load assessed by GTP1-PET and different ApoE genotypes. The effect on ADAS-Cog11 was driven by an effect on memory items in the scale. No changes were apparent in the reported functional measures including the co-primary endpoint ADCS-ADL, and the secondary endpoint, CDR-SB, and there was no significant effect in the other secondary endpoint, the MMSE. The reason for the lack of functional effects is unclear. Regular interim analyses in the ongoing extension study are being made to test for later effects on function.</w:t>
      </w:r>
    </w:p>
    <w:p>
      <w:pPr>
        <w:spacing w:after="0" w:line="18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Plasma Tau rose markedly during the study confirming peripheral target engagement, with serum levels of semorinemab in the expected range. The ratio of CSF to plasma semorinemab concentration was 0.29%, in the expected range for similar monoclonal antibodies (Figure 21).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21: Plasma pharmacodynamics from all patients of the Lauriet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156845</wp:posOffset>
            </wp:positionV>
            <wp:extent cx="4286250" cy="19888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862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Schauer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There was no apparent effect on global or regional brain Tau load assessed by GTP-1 PET. However, CSF biomarker data were presented by Genentech at CTAD 2022 (Figure 22) and showed statistically significant reduction in pTau181, pTau217 and total Tau, but not N-terminal Tau. These results were similar to those observed in the Tauriel study.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22: CSF Tau pharmacodynamics pre- and post-treatment with semorinemab (at week 49 or week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156845</wp:posOffset>
            </wp:positionV>
            <wp:extent cx="5503545" cy="33775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0354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Schauer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2022</w:t>
      </w:r>
    </w:p>
    <w:p>
      <w:pPr>
        <w:spacing w:after="0" w:line="227" w:lineRule="exact"/>
        <w:rPr>
          <w:sz w:val="20"/>
          <w:szCs w:val="20"/>
          <w:color w:val="auto"/>
        </w:rPr>
      </w:pPr>
    </w:p>
    <w:p>
      <w:pPr>
        <w:jc w:val="both"/>
        <w:ind w:left="60" w:right="499" w:firstLine="324"/>
        <w:spacing w:after="0" w:line="255" w:lineRule="auto"/>
        <w:rPr>
          <w:sz w:val="20"/>
          <w:szCs w:val="20"/>
          <w:color w:val="auto"/>
        </w:rPr>
      </w:pPr>
      <w:r>
        <w:rPr>
          <w:rFonts w:ascii="Times New Roman" w:cs="Times New Roman" w:eastAsia="Times New Roman" w:hAnsi="Times New Roman"/>
          <w:sz w:val="18"/>
          <w:szCs w:val="18"/>
          <w:color w:val="auto"/>
        </w:rPr>
        <w:t>Safety data indicated that semorinemab was well tolerated, with no difference in the frequency of serious or non-serious adverse events or discontinuations due to adverse events. Infusion related reactions were more common in the semorinemab group compared to placebo (10.4% vs 3.8%, respectively). None were Grade 3 or higher (i.e. severe) in intensity.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Semorinemab’s results provide the first positive cognitive results for an anti-Tau mAb therapy in AD.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Crenezumab</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Crenezumab is a humanized, conformation-specific monoclonal antibody that targets misfolded Abeta and has a broad binding profile. Crenezumab was developed using our proprietary SupraAntigen platform. In 2006, we licensed crenezumab to Genentech, a company with a long history of developing and commercializing innovative biologics.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Mechanism of action</w:t>
      </w:r>
    </w:p>
    <w:p>
      <w:pPr>
        <w:spacing w:after="0" w:line="229" w:lineRule="exact"/>
        <w:rPr>
          <w:sz w:val="20"/>
          <w:szCs w:val="20"/>
          <w:color w:val="auto"/>
        </w:rPr>
      </w:pPr>
    </w:p>
    <w:p>
      <w:pPr>
        <w:ind w:left="720" w:right="179" w:hanging="319"/>
        <w:spacing w:after="0" w:line="266" w:lineRule="auto"/>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Crenezumab binds to multiple forms of Abeta, particularly oligomeric forms, which it binds to with ten times higher affinity than to monomers. This is a desirable property since oligomeric forms of Abeta are believed to be principally responsible for neurotoxicity in AD.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Crenezumab localizes to brain regions rich in oligomers, including the halo around plaques and hippocampal mossy fibers, but not to vascular Abeta (Maloney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2019).</w:t>
      </w:r>
    </w:p>
    <w:p>
      <w:pPr>
        <w:spacing w:after="0" w:line="161" w:lineRule="exact"/>
        <w:rPr>
          <w:rFonts w:ascii="Times New Roman" w:cs="Times New Roman" w:eastAsia="Times New Roman" w:hAnsi="Times New Roman"/>
          <w:sz w:val="18"/>
          <w:szCs w:val="18"/>
          <w:color w:val="auto"/>
        </w:rPr>
      </w:pPr>
    </w:p>
    <w:p>
      <w:pPr>
        <w:jc w:val="both"/>
        <w:ind w:left="720" w:right="399" w:hanging="319"/>
        <w:spacing w:after="0" w:line="257"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Crenezumab was designed with an IgG4 backbone to reduce effector function on microglia compared with an IgG1 backbone, and to clear Abeta from the brain while limiting inflammation by minimizing FcγR-mediated inflammatory activation of microglia (Adolfsson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J. Neurosci 2012).</w:t>
      </w:r>
    </w:p>
    <w:p>
      <w:pPr>
        <w:spacing w:after="0" w:line="1" w:lineRule="exact"/>
        <w:rPr>
          <w:rFonts w:ascii="Times New Roman" w:cs="Times New Roman" w:eastAsia="Times New Roman" w:hAnsi="Times New Roman"/>
          <w:sz w:val="18"/>
          <w:szCs w:val="18"/>
          <w:color w:val="auto"/>
        </w:rPr>
      </w:pPr>
    </w:p>
    <w:p>
      <w:pPr>
        <w:ind w:left="720" w:right="319" w:hanging="319"/>
        <w:spacing w:after="0" w:line="253"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better safety profile derived from a human IgG4 rather than a IgG1 backbone has been born out in practice by the safety findings from multiple Phase 1, 2 and 3 clinical studies of crenezumab, in which, following either single or multiple doses, no increase in ARIA-E was reported (Cummings et al., 2014 and Cummings et al., 2018).</w:t>
      </w:r>
    </w:p>
    <w:p>
      <w:pPr>
        <w:spacing w:after="0" w:line="175"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its capacity to bind to multiple forms of Abeta, with 10-fold higher specificity for oligomers, which are thought to be the most toxic species, crenezumab also protects against oligomer-induced neurotoxicity.</w:t>
      </w:r>
    </w:p>
    <w:p>
      <w:pPr>
        <w:spacing w:after="0" w:line="161"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Linked to its unique epitope, crenezumab has been shown to promote disaggregation of existing Abeta aggregates and to disrupt their assembly, preventing amyloid plaque formation. The crystal structure reveals binding interactions that are consistent with this flexible binding profile and provides further explanation for crenezumab’s ability to block aggregation and to promote disaggregation. (Adolfsson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J. Neurosci 2012 and Ultsch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Sci. Rep.,2016).</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activity in patients with milder AD (MMSE 22–26) in Phase 2 clinical trials</w:t>
      </w:r>
    </w:p>
    <w:p>
      <w:pPr>
        <w:spacing w:after="0" w:line="229" w:lineRule="exact"/>
        <w:rPr>
          <w:sz w:val="20"/>
          <w:szCs w:val="20"/>
          <w:color w:val="auto"/>
        </w:rPr>
      </w:pPr>
    </w:p>
    <w:p>
      <w:pPr>
        <w:ind w:left="720" w:right="159" w:hanging="319"/>
        <w:spacing w:after="0" w:line="282"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proof-of-concept Phase 2 studies of crenezumab, a positive trend in cognition was observed, with a greater effect on cognition in patients with a milder stage of AD (MMSE 22–26).</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161" w:lineRule="exact"/>
        <w:rPr>
          <w:rFonts w:ascii="Times New Roman" w:cs="Times New Roman" w:eastAsia="Times New Roman" w:hAnsi="Times New Roman"/>
          <w:sz w:val="18"/>
          <w:szCs w:val="18"/>
          <w:color w:val="auto"/>
        </w:rPr>
      </w:pPr>
    </w:p>
    <w:p>
      <w:pPr>
        <w:ind w:left="720" w:right="279" w:hanging="319"/>
        <w:spacing w:after="0" w:line="261"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BLAZE biomarker study, the high-dose arm showed a consistent trend of reduced Abeta accumulation in the brain over time, as shown in two independent exploratory analyses of florbetapir-PET data. In addition, results have shown that crenezumab has the ability to enhance the removal of these proteins from the brain as evidenced by a significant increase in CSF Abeta, confirming target engagement by crenezumab.</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Favorable safety profile allowing for higher dosing</w:t>
      </w:r>
    </w:p>
    <w:p>
      <w:pPr>
        <w:spacing w:after="0" w:line="229" w:lineRule="exact"/>
        <w:rPr>
          <w:sz w:val="20"/>
          <w:szCs w:val="20"/>
          <w:color w:val="auto"/>
        </w:rPr>
      </w:pPr>
    </w:p>
    <w:p>
      <w:pPr>
        <w:ind w:left="720" w:right="79" w:hanging="319"/>
        <w:spacing w:after="0" w:line="258"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data from ABBY and BLAZE studies suggested that there were no imbalances in overall rate of AEs, and these were not dose-related, with only one case of asymptomatic ARIA-E (0.4% in ABBY, 0.3% on active pooled) in patients treated with crenezumab. AEs also included inflammation of the throat and nasal passages, urinary tract infections and upper respiratory infections. However, no patients in the studies experienced SAEs that were believed related to the administration of crenezumab.</w:t>
      </w:r>
    </w:p>
    <w:p>
      <w:pPr>
        <w:spacing w:after="0" w:line="169"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 study with higher doses of crenezumab up to 120 mg/kg showed good tolerability with no investigator assessed drug-related SAEs and no events of ARIA-E, supporting the dose of 60 mg/kg in the Phase 3 CREAD clinical trials.</w:t>
      </w:r>
    </w:p>
    <w:p>
      <w:pPr>
        <w:spacing w:after="0" w:line="175"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 safety profile and lack of induction of ARIA-E was confirmed in the Phase 3 CREAD and CREAD 2 studies, as well as the API prevention study in which there was no increase in incidence of SAEs compared with placebo.</w:t>
      </w:r>
    </w:p>
    <w:p>
      <w:pPr>
        <w:spacing w:after="0" w:line="175"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2019, two Phase 3 clinical trials, CREAD and CREAD 2, in patients with prodromal-to-mild AD were discontinued after an interim analysis of the CREAD study conducted by our collaboration partner Genentech (Ostrowitzki et al., JAMA Neurology 2022). Crenezumab has also been evaluated in a Phase 2 clinical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spacing w:after="0" w:line="282" w:lineRule="auto"/>
        <w:rPr>
          <w:sz w:val="20"/>
          <w:szCs w:val="20"/>
          <w:color w:val="auto"/>
        </w:rPr>
      </w:pPr>
      <w:r>
        <w:rPr>
          <w:rFonts w:ascii="Times New Roman" w:cs="Times New Roman" w:eastAsia="Times New Roman" w:hAnsi="Times New Roman"/>
          <w:sz w:val="18"/>
          <w:szCs w:val="18"/>
          <w:color w:val="auto"/>
        </w:rPr>
        <w:t>prevention trial in Colombia, which has enrolled 252 cognitively healthy individuals of whom 169 are genetically predisposed to develop early AD.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Phase 2 studies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2 study design overview</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mild-to-moderate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dependencies were considered indicators of a response in this learning phase of development, with confirmation to then be sought in Phase 3. Both studies had two active arms: a low-dose arm receiving 300 mg subcutaneous injection, every 2 weeks and a higher-dose arm receiving 15 mg/kg intravenously every 4 weeks. The primary analysis was conducted at 73 weeks, after 68 weeks of treatment. Safety and tolerability measures included repeated MRI scans to assess for the development of ARIA, both vasogenic edema (E) and hemorrhages (H).</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ABBY study results</w:t>
      </w:r>
    </w:p>
    <w:p>
      <w:pPr>
        <w:spacing w:after="0" w:line="227"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In the ABBY study, a positive trend in cognition was observed with a greater effect on cognition in patients with a milder stage of AD (MMSE 22–26), although the study did not meet its co-primary endpoints in patients with mild-to-moderate AD (MMSE 18–26).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Figure below. The milder group was not pre-specified, meaning the group of patients with milder AD was not identified before commencing the Phase 2 clinical studies.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23: ABBY high-dose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156845</wp:posOffset>
            </wp:positionV>
            <wp:extent cx="5246370" cy="1619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4637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Cummings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AAIC 2014</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w:t>
      </w:r>
    </w:p>
    <w:p>
      <w:pPr>
        <w:spacing w:after="0" w:line="1" w:lineRule="exact"/>
        <w:rPr>
          <w:sz w:val="20"/>
          <w:szCs w:val="20"/>
          <w:color w:val="auto"/>
        </w:rPr>
      </w:pPr>
    </w:p>
    <w:p>
      <w:pPr>
        <w:ind w:left="60" w:right="259" w:hanging="10"/>
        <w:spacing w:after="0" w:line="260"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treated with high-dose intravenous crenezumab, there was a 16.8% reduction in cognitive decline. Effect sizes and p-values for exploratory analyses were not adjusted for multiplicity.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BLAZE study design</w:t>
      </w:r>
    </w:p>
    <w:p>
      <w:pPr>
        <w:spacing w:after="0" w:line="227" w:lineRule="exact"/>
        <w:rPr>
          <w:sz w:val="20"/>
          <w:szCs w:val="20"/>
          <w:color w:val="auto"/>
        </w:rPr>
      </w:pPr>
    </w:p>
    <w:p>
      <w:pPr>
        <w:jc w:val="both"/>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BLAZE study was a randomized, double-blind, parallel-group, placebo-controlled study to evaluate the effects of crenezumab on brain amyloid burden as assessed by amyloid PET imaging and other biomarker endpoints in patients with mild-to-moderate AD. The primary endpoint was the change in brain amyloid load using florbetapir-PET. The terms “brain amyloid burden” and “brain amyloid load” refer to the total amount of amyloid deposited in the brain. In total, 91 patients were included in the study.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BLAZE study results</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primary endpoint of change in brain amyloid load by florbetapir-PET was not met, but the study was not powered to detect statistically significant results. However, positive trends were observed as shown below in exploratory analyses of the BLAZE amyloid PET results using a white matter reference region, which is considered a more sensitive approach for longitudinal studies. These analyses, conducted independently by two laboratories, the Banner Alzheimer’s Institute and MNI Laboratories, produced analogous results, with a trend in the reduction of Abeta accumulation observed in the high-dose arm. As described below, a similar result was obtained in the Phase 3 studies.</w:t>
      </w:r>
    </w:p>
    <w:p>
      <w:pPr>
        <w:spacing w:after="0" w:line="18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BLAZE biomarker study high-dose intravenous cohort showed a consistent trend of reduced Abeta accumulation in the brain over time as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72" w:lineRule="exact"/>
        <w:rPr>
          <w:sz w:val="20"/>
          <w:szCs w:val="20"/>
          <w:color w:val="auto"/>
        </w:rPr>
      </w:pPr>
    </w:p>
    <w:p>
      <w:pPr>
        <w:ind w:left="60" w:right="539" w:firstLine="324"/>
        <w:spacing w:after="0" w:line="246" w:lineRule="auto"/>
        <w:rPr>
          <w:sz w:val="20"/>
          <w:szCs w:val="20"/>
          <w:color w:val="auto"/>
        </w:rPr>
      </w:pPr>
      <w:r>
        <w:rPr>
          <w:rFonts w:ascii="Times New Roman" w:cs="Times New Roman" w:eastAsia="Times New Roman" w:hAnsi="Times New Roman"/>
          <w:sz w:val="18"/>
          <w:szCs w:val="18"/>
          <w:color w:val="auto"/>
        </w:rPr>
        <w:t>In the BLAZE study, patients also showed a statistically significant increase in CSF Abeta</w:t>
      </w:r>
      <w:r>
        <w:rPr>
          <w:rFonts w:ascii="Times New Roman" w:cs="Times New Roman" w:eastAsia="Times New Roman" w:hAnsi="Times New Roman"/>
          <w:sz w:val="26"/>
          <w:szCs w:val="26"/>
          <w:color w:val="auto"/>
          <w:vertAlign w:val="subscript"/>
        </w:rPr>
        <w:t>1–42</w:t>
      </w:r>
      <w:r>
        <w:rPr>
          <w:rFonts w:ascii="Times New Roman" w:cs="Times New Roman" w:eastAsia="Times New Roman" w:hAnsi="Times New Roman"/>
          <w:sz w:val="18"/>
          <w:szCs w:val="18"/>
          <w:color w:val="auto"/>
        </w:rPr>
        <w:t>, which we believe confirms target engagement by crenezumab. Similar results were observed in the ABBY study, which assessed CSF Abeta</w:t>
      </w:r>
      <w:r>
        <w:rPr>
          <w:rFonts w:ascii="Times New Roman" w:cs="Times New Roman" w:eastAsia="Times New Roman" w:hAnsi="Times New Roman"/>
          <w:sz w:val="26"/>
          <w:szCs w:val="26"/>
          <w:color w:val="auto"/>
          <w:vertAlign w:val="subscript"/>
        </w:rPr>
        <w:t>1-42</w:t>
      </w:r>
      <w:r>
        <w:rPr>
          <w:rFonts w:ascii="Times New Roman" w:cs="Times New Roman" w:eastAsia="Times New Roman" w:hAnsi="Times New Roman"/>
          <w:sz w:val="18"/>
          <w:szCs w:val="18"/>
          <w:color w:val="auto"/>
        </w:rPr>
        <w:t xml:space="preserve"> level in 49 patients. These results suggest that Abeta is being eliminated from the brain when treated with crenezumab.</w:t>
      </w:r>
    </w:p>
    <w:p>
      <w:pPr>
        <w:spacing w:after="0" w:line="191" w:lineRule="exact"/>
        <w:rPr>
          <w:sz w:val="20"/>
          <w:szCs w:val="20"/>
          <w:color w:val="auto"/>
        </w:rPr>
      </w:pPr>
    </w:p>
    <w:p>
      <w:pPr>
        <w:ind w:left="60" w:right="539" w:firstLine="324"/>
        <w:spacing w:after="0" w:line="226" w:lineRule="auto"/>
        <w:rPr>
          <w:sz w:val="20"/>
          <w:szCs w:val="20"/>
          <w:color w:val="auto"/>
        </w:rPr>
      </w:pPr>
      <w:r>
        <w:rPr>
          <w:rFonts w:ascii="Times New Roman" w:cs="Times New Roman" w:eastAsia="Times New Roman" w:hAnsi="Times New Roman"/>
          <w:sz w:val="18"/>
          <w:szCs w:val="18"/>
          <w:color w:val="auto"/>
        </w:rPr>
        <w:t>The BLAZE study results suggest that Abeta is being eliminated from the brain as patients showed a statistically significant increase in CSF Abeta</w:t>
      </w:r>
      <w:r>
        <w:rPr>
          <w:rFonts w:ascii="Times New Roman" w:cs="Times New Roman" w:eastAsia="Times New Roman" w:hAnsi="Times New Roman"/>
          <w:sz w:val="26"/>
          <w:szCs w:val="26"/>
          <w:color w:val="auto"/>
          <w:vertAlign w:val="subscript"/>
        </w:rPr>
        <w:t>1–42</w:t>
      </w:r>
      <w:r>
        <w:rPr>
          <w:rFonts w:ascii="Times New Roman" w:cs="Times New Roman" w:eastAsia="Times New Roman" w:hAnsi="Times New Roman"/>
          <w:sz w:val="18"/>
          <w:szCs w:val="18"/>
          <w:color w:val="auto"/>
        </w:rPr>
        <w:t>, which confirms target engagement by crenezumab.</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data from ABBY and BLAZE studies</w:t>
      </w:r>
    </w:p>
    <w:p>
      <w:pPr>
        <w:spacing w:after="0" w:line="214"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As dose-limiting toxicities are a potential reason for the failure of other antibodies to demonstrate efficacy, crenezumab’s potential safety at high doses is a distinguishing product feature.</w:t>
      </w:r>
    </w:p>
    <w:p>
      <w:pPr>
        <w:spacing w:after="0" w:line="175"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At AAIC in 2014, it was reported that in the combined Phase 2 study populations, SAEs occurred at similar rates in patients treated with crenezumab (16.5%) and in patients given a placebo (11.9%).</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Phase 1b study to explore higher doses</w:t>
      </w:r>
    </w:p>
    <w:p>
      <w:pPr>
        <w:spacing w:after="0" w:line="22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To explore safety at higher doses, crenezumab was tested in a Phase 1b dose-escalation clinical study (NCT02353598) conducted in the U.S.. This randomized, placebo-controlled, double-blind, four parallel-arm study evaluated the safety and tolerability of at least four doses of intravenous crenezumab in 77 patients with mild-to-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moderate AD (MMSE 18–28) between the ages of 50 and 90 years. An optional OLE stage was offered to patients after completion of the double-blind stage of the study. At the 2017 AAIC meeting, Genentech presented the results of the four cohorts with mild-to-moderate AD. No dose-limiting toxicities were observed at crenezumab doses of 30, 45, 60 and 120 mg/kg. No events of ARIA-E were observed and only few patients (6 of 75) showed asymptomatic ARIA-H. The pharmacokinetic profile of crenezumab was dose-proportional up to the 120 mg/kg dose, with the 60mg/kg dose being selected for the Phase 3 CREAD and CREAD 2 studies.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Phase 2 AD prevention study</w:t>
      </w:r>
    </w:p>
    <w:p>
      <w:pPr>
        <w:spacing w:after="0" w:line="21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There is increasing understanding from studies in patients at risk of AD due to genetic mutations that the accumulation of Abeta in the brain is a very early event in the condition, starting approximately 25 years before symptoms develop (McDade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2018). To treat the underlying amyloid pathology effectively it may therefore be necessary to use anti-amyloid therapies in a preventive mode, starting in patients in whom symptoms have not yet emerged.</w:t>
      </w:r>
    </w:p>
    <w:p>
      <w:pPr>
        <w:spacing w:after="0" w:line="180"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In 2012, crenezumab was independently selected from among 25 product candidates for use in the first-ever AD prevention study of its kind. The study, a collaboration worth USD 100 million between the NIH, Banner Alzheimer’s Institute and Genentech, is the cornerstone of the global Alzheimer’s Prevention Initiative (API). Family members usually develop symptoms before the 45 years of age. 252 subjects were enrolled.</w:t>
      </w:r>
    </w:p>
    <w:p>
      <w:pPr>
        <w:spacing w:after="0" w:line="183"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Figure 24: Crenezumab AD prevention trial (Alzheimer’s Prevention Initiative AD/AD): unique population to study prevention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112395</wp:posOffset>
            </wp:positionV>
            <wp:extent cx="5452110" cy="2434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Mild cognitive impairment; (2) Alzheimer’s disease; (3) Presenilin-1</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McDade et al., Neurology, 2018</w:t>
      </w:r>
    </w:p>
    <w:p>
      <w:pPr>
        <w:spacing w:after="0" w:line="225" w:lineRule="exact"/>
        <w:rPr>
          <w:sz w:val="20"/>
          <w:szCs w:val="20"/>
          <w:color w:val="auto"/>
        </w:rPr>
      </w:pPr>
    </w:p>
    <w:p>
      <w:pPr>
        <w:ind w:left="60" w:right="79" w:firstLine="321"/>
        <w:spacing w:after="0" w:line="255" w:lineRule="auto"/>
        <w:rPr>
          <w:sz w:val="20"/>
          <w:szCs w:val="20"/>
          <w:color w:val="auto"/>
        </w:rPr>
      </w:pPr>
      <w:r>
        <w:rPr>
          <w:rFonts w:ascii="Times New Roman" w:cs="Times New Roman" w:eastAsia="Times New Roman" w:hAnsi="Times New Roman"/>
          <w:sz w:val="18"/>
          <w:szCs w:val="18"/>
          <w:color w:val="auto"/>
        </w:rPr>
        <w:t>169 carriers of the PSEN1 E280A mutation, who did not have mild cognitive impairment or dementia, were randomized to receive crenezumab (85 subjects) or placebo (84 subjects). A separate group of non-carriers (83 subjects) received a placebo. The mean age of the mutation carriers was 37 years old. This was approximately seven years before the median age for development of mild cognitive impairment.</w:t>
      </w:r>
    </w:p>
    <w:p>
      <w:pPr>
        <w:spacing w:after="0" w:line="187" w:lineRule="exact"/>
        <w:rPr>
          <w:sz w:val="20"/>
          <w:szCs w:val="20"/>
          <w:color w:val="auto"/>
        </w:rPr>
      </w:pPr>
    </w:p>
    <w:p>
      <w:pPr>
        <w:ind w:left="60" w:right="139" w:firstLine="321"/>
        <w:spacing w:after="0" w:line="282" w:lineRule="auto"/>
        <w:rPr>
          <w:sz w:val="20"/>
          <w:szCs w:val="20"/>
          <w:color w:val="auto"/>
        </w:rPr>
      </w:pPr>
      <w:r>
        <w:rPr>
          <w:rFonts w:ascii="Times New Roman" w:cs="Times New Roman" w:eastAsia="Times New Roman" w:hAnsi="Times New Roman"/>
          <w:sz w:val="18"/>
          <w:szCs w:val="18"/>
          <w:color w:val="auto"/>
        </w:rPr>
        <w:t>Subjects were followed under treatment for 5-8 years, with the double-blind treatment continuing until the last subject received treatment for 5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1"/>
        <w:spacing w:after="0" w:line="266" w:lineRule="auto"/>
        <w:rPr>
          <w:sz w:val="20"/>
          <w:szCs w:val="20"/>
          <w:color w:val="auto"/>
        </w:rPr>
      </w:pPr>
      <w:r>
        <w:rPr>
          <w:rFonts w:ascii="Times New Roman" w:cs="Times New Roman" w:eastAsia="Times New Roman" w:hAnsi="Times New Roman"/>
          <w:sz w:val="18"/>
          <w:szCs w:val="18"/>
          <w:color w:val="auto"/>
        </w:rPr>
        <w:t>Primary endpoints were the annualized rate of change in the API autosomal dominant AD (ADAD) composite score and the Free and Cued Selective Reminding Test Cueing Index (FCRST). The latter scale was promoted to a coprimary endpoint after a blinded interim analysis had indicated less decline than expected on the composite endpoint.</w:t>
      </w:r>
    </w:p>
    <w:p>
      <w:pPr>
        <w:spacing w:after="0" w:line="176" w:lineRule="exact"/>
        <w:rPr>
          <w:sz w:val="20"/>
          <w:szCs w:val="20"/>
          <w:color w:val="auto"/>
        </w:rPr>
      </w:pPr>
    </w:p>
    <w:p>
      <w:pPr>
        <w:ind w:left="60" w:right="79" w:firstLine="321"/>
        <w:spacing w:after="0" w:line="252" w:lineRule="auto"/>
        <w:rPr>
          <w:sz w:val="20"/>
          <w:szCs w:val="20"/>
          <w:color w:val="auto"/>
        </w:rPr>
      </w:pPr>
      <w:r>
        <w:rPr>
          <w:rFonts w:ascii="Times New Roman" w:cs="Times New Roman" w:eastAsia="Times New Roman" w:hAnsi="Times New Roman"/>
          <w:sz w:val="18"/>
          <w:szCs w:val="18"/>
          <w:color w:val="auto"/>
        </w:rPr>
        <w:t>Numerical differences favoring crenezumab were observed consistently across a wide range of clinical and biomarker endpoints. Plasma Abeta40 and Abeta42 rose throughout the study indicating peripheral target engagement. Only a small difference favoring crenezumab was observed in amyloid PET scan measures of fibrillary amyloid. Numerical differences favoring crenezumab compared to placebo were seen for clinical scales including both the two primary endpoints (i.e. API ADAD composite score, FCRST). Results did not reach statistical significance. However, the power to detect differences with statistical significance was low due to the lower and more variable rate of decline observed compared to that predicted at the start of the study. This effect may have been related to the younger and earlier stage of the condition in the subjects recruited compared to the population in the natural history study used to power the study.</w:t>
      </w:r>
    </w:p>
    <w:p>
      <w:pPr>
        <w:spacing w:after="0" w:line="192" w:lineRule="exact"/>
        <w:rPr>
          <w:sz w:val="20"/>
          <w:szCs w:val="20"/>
          <w:color w:val="auto"/>
        </w:rPr>
      </w:pPr>
    </w:p>
    <w:p>
      <w:pPr>
        <w:ind w:left="60" w:right="199" w:firstLine="321"/>
        <w:spacing w:after="0" w:line="254" w:lineRule="auto"/>
        <w:rPr>
          <w:sz w:val="20"/>
          <w:szCs w:val="20"/>
          <w:color w:val="auto"/>
        </w:rPr>
      </w:pPr>
      <w:r>
        <w:rPr>
          <w:rFonts w:ascii="Times New Roman" w:cs="Times New Roman" w:eastAsia="Times New Roman" w:hAnsi="Times New Roman"/>
          <w:sz w:val="18"/>
          <w:szCs w:val="18"/>
          <w:color w:val="auto"/>
        </w:rPr>
        <w:t>Numerical changes favoring crenezumab were also seen for the secondary endpoints including time to MCI/dementia due to AD, CDR-SB, time to non-zero score on CDR Global Score and RBANS total score. Similarly, numerical differences favoring crenezumab were seen across all reported biomarkers including Tau and FDG measures, CSF biomarkers, including pTau 181 and t-Tau, NfL and plasma pTau 181, pTau217, NfL, GFAP, YKL-40 and sTREM2. Only plasma GFAP reached statistical significance (p=0.04, not corrected for multiplicity).</w:t>
      </w:r>
    </w:p>
    <w:p>
      <w:pPr>
        <w:spacing w:after="0" w:line="187" w:lineRule="exact"/>
        <w:rPr>
          <w:sz w:val="20"/>
          <w:szCs w:val="20"/>
          <w:color w:val="auto"/>
        </w:rPr>
      </w:pPr>
    </w:p>
    <w:p>
      <w:pPr>
        <w:ind w:left="60" w:right="119" w:firstLine="321"/>
        <w:spacing w:after="0" w:line="261" w:lineRule="auto"/>
        <w:rPr>
          <w:sz w:val="20"/>
          <w:szCs w:val="20"/>
          <w:color w:val="auto"/>
        </w:rPr>
      </w:pPr>
      <w:r>
        <w:rPr>
          <w:rFonts w:ascii="Times New Roman" w:cs="Times New Roman" w:eastAsia="Times New Roman" w:hAnsi="Times New Roman"/>
          <w:sz w:val="18"/>
          <w:szCs w:val="18"/>
          <w:color w:val="auto"/>
        </w:rPr>
        <w:t>The dose of crenezumab was raised seven-fold during the study in response to emerging data from Phase 2 that higher doses may be more effective. The initial dose of 300mg subcutaneously injected every two weeks was increased to a maximum dose of 60mg/kg injected intravenously once monthly. On average, subjects were exposed to intravenous dosing for less than half of the treatment period.</w:t>
      </w:r>
    </w:p>
    <w:p>
      <w:pPr>
        <w:spacing w:after="0" w:line="180" w:lineRule="exact"/>
        <w:rPr>
          <w:sz w:val="20"/>
          <w:szCs w:val="20"/>
          <w:color w:val="auto"/>
        </w:rPr>
      </w:pPr>
    </w:p>
    <w:p>
      <w:pPr>
        <w:ind w:left="60" w:right="519" w:firstLine="321"/>
        <w:spacing w:after="0" w:line="282" w:lineRule="auto"/>
        <w:rPr>
          <w:sz w:val="20"/>
          <w:szCs w:val="20"/>
          <w:color w:val="auto"/>
        </w:rPr>
      </w:pPr>
      <w:r>
        <w:rPr>
          <w:rFonts w:ascii="Times New Roman" w:cs="Times New Roman" w:eastAsia="Times New Roman" w:hAnsi="Times New Roman"/>
          <w:sz w:val="18"/>
          <w:szCs w:val="18"/>
          <w:color w:val="auto"/>
        </w:rPr>
        <w:t>Tolerability was good, with low rates of ARIA, no instances of ARIA-E and no macrohemorrhages. All mutation carriers may continue to receive crenezumab while the data are further analyzed.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Phase 3 studies (CREAD and CREAD 2)</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randomized, double-blind, placebo-controlled, parallel-group Phase 3 CREAD study enrolled about 750 participants with prodromal or mild AD at the age of 50−85 years. A high dose of crenezumab (60 mg/kg) was administered intravenously once every 4 weeks for 100 weeks. The primary outcome measure was the change from baseline to week 105 in CDR-SB score. An exposure–response model to evaluate the best dose of crenezumab for the treatment of AD was established, which predicted an improved outcome of the Phase 3 CREAD study by using the higher dose of 60 mg/kg relative to the Phase 2 trials (Polhamus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CTAD 2016).</w:t>
      </w:r>
    </w:p>
    <w:p>
      <w:pPr>
        <w:spacing w:after="0" w:line="174" w:lineRule="exact"/>
        <w:rPr>
          <w:sz w:val="20"/>
          <w:szCs w:val="20"/>
          <w:color w:val="auto"/>
        </w:rPr>
      </w:pPr>
    </w:p>
    <w:p>
      <w:pPr>
        <w:ind w:left="60" w:right="519" w:firstLine="324"/>
        <w:spacing w:after="0" w:line="281" w:lineRule="auto"/>
        <w:rPr>
          <w:sz w:val="20"/>
          <w:szCs w:val="20"/>
          <w:color w:val="auto"/>
        </w:rPr>
      </w:pPr>
      <w:r>
        <w:rPr>
          <w:rFonts w:ascii="Times New Roman" w:cs="Times New Roman" w:eastAsia="Times New Roman" w:hAnsi="Times New Roman"/>
          <w:sz w:val="17"/>
          <w:szCs w:val="17"/>
          <w:color w:val="auto"/>
        </w:rPr>
        <w:t>In January 2019, we announced that Roche, the parent company of our collaboration partner, is discontinuing the CREAD and CREAD 2 (BN29552 and BN29553) Phase 3 studies of crenezumab in people with prodromal-to-mild sporadic AD. The decision came after an interim analysis of the first CREAD study conducted by the IDMC, which indicated that crenezumab was unlikely to meet its primary endpoint of change from baseline in CDR-SB score.</w:t>
      </w:r>
    </w:p>
    <w:p>
      <w:pPr>
        <w:spacing w:after="0" w:line="71" w:lineRule="exact"/>
        <w:rPr>
          <w:sz w:val="20"/>
          <w:szCs w:val="20"/>
          <w:color w:val="auto"/>
        </w:rPr>
      </w:pPr>
    </w:p>
    <w:p>
      <w:pPr>
        <w:jc w:val="both"/>
        <w:ind w:left="60" w:right="179" w:firstLine="324"/>
        <w:spacing w:after="0" w:line="263" w:lineRule="auto"/>
        <w:rPr>
          <w:sz w:val="20"/>
          <w:szCs w:val="20"/>
          <w:color w:val="auto"/>
        </w:rPr>
      </w:pPr>
      <w:r>
        <w:rPr>
          <w:rFonts w:ascii="Times New Roman" w:cs="Times New Roman" w:eastAsia="Times New Roman" w:hAnsi="Times New Roman"/>
          <w:sz w:val="18"/>
          <w:szCs w:val="18"/>
          <w:color w:val="auto"/>
        </w:rPr>
        <w:t>As presented at CTAD 2019, target engagement was observed with increases in levels of Abeta</w:t>
      </w:r>
      <w:r>
        <w:rPr>
          <w:rFonts w:ascii="Times New Roman" w:cs="Times New Roman" w:eastAsia="Times New Roman" w:hAnsi="Times New Roman"/>
          <w:sz w:val="26"/>
          <w:szCs w:val="26"/>
          <w:color w:val="auto"/>
          <w:vertAlign w:val="subscript"/>
        </w:rPr>
        <w:t>1–42</w:t>
      </w:r>
      <w:r>
        <w:rPr>
          <w:rFonts w:ascii="Times New Roman" w:cs="Times New Roman" w:eastAsia="Times New Roman" w:hAnsi="Times New Roman"/>
          <w:sz w:val="18"/>
          <w:szCs w:val="18"/>
          <w:color w:val="auto"/>
        </w:rPr>
        <w:t xml:space="preserve"> in blood and CSF. As shown in the Figure below, the number of subjects available for analysis fell significantly after the baseline. Due to the early termination of the studies, data at the 2-year time point was only available for 17 of the 139 crenezumab subjects in whom CSF Abeta was analyzed at baseline.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25: CSF total Abeta42 and total Abeta change from baseline, pooled CREAD/CREAD2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294005</wp:posOffset>
            </wp:positionV>
            <wp:extent cx="5434965" cy="2228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3496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Bittner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CTAD 2019</w:t>
      </w:r>
    </w:p>
    <w:p>
      <w:pPr>
        <w:spacing w:after="0" w:line="227"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Reduced accumulation of Abeta in the brain on florebetapir amyloid PET scans was observed, with a pattern very similar to that observed in the Phase 2 BLAZE studies.</w:t>
      </w:r>
    </w:p>
    <w:p>
      <w:pPr>
        <w:spacing w:after="0" w:line="158" w:lineRule="exact"/>
        <w:rPr>
          <w:sz w:val="20"/>
          <w:szCs w:val="20"/>
          <w:color w:val="auto"/>
        </w:rPr>
      </w:pPr>
    </w:p>
    <w:p>
      <w:pPr>
        <w:jc w:val="center"/>
        <w:ind w:left="1720" w:right="60"/>
        <w:spacing w:after="0" w:line="286" w:lineRule="auto"/>
        <w:rPr>
          <w:sz w:val="20"/>
          <w:szCs w:val="20"/>
          <w:color w:val="auto"/>
        </w:rPr>
      </w:pPr>
      <w:r>
        <w:rPr>
          <w:rFonts w:ascii="Times New Roman" w:cs="Times New Roman" w:eastAsia="Times New Roman" w:hAnsi="Times New Roman"/>
          <w:sz w:val="18"/>
          <w:szCs w:val="18"/>
          <w:b w:val="1"/>
          <w:bCs w:val="1"/>
          <w:color w:val="auto"/>
        </w:rPr>
        <w:t>Figure 26: [18F] Florbetapir amyloid PET standard uptake value ratio (SUVR) change from baseline, pooled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103505</wp:posOffset>
            </wp:positionV>
            <wp:extent cx="5212080" cy="2272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Bittner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CTAD 2019</w:t>
      </w:r>
    </w:p>
    <w:p>
      <w:pPr>
        <w:spacing w:after="0" w:line="227"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 numerical trend to reduction in level of total Tau and phospho-Tau 181 (pTau181) in the CSF in patients on crenezumab compared with placebo was observed although the small numbers in the analysis due to early termination of the studies preclude firm conclusions from being drawn.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27: CFS total Tau and pTau181 change from baseline, polled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156845</wp:posOffset>
            </wp:positionV>
            <wp:extent cx="5057775" cy="21170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5777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Bittner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CTAD 2019</w:t>
      </w:r>
    </w:p>
    <w:p>
      <w:pPr>
        <w:spacing w:after="0" w:line="22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Positive trends on a range of biomarkers associated with AD in CSF including neurogranin, neurofilament light chain (NFL), Glial fibrillary acidic protein (GFAP), soluble Triggering receptor expressed on myeloid cells 2 (sTREM2), Chitinase-3-like protein 1(YKL-40) and a-syn were reported by Roche at the CTAD 2019 conference, although again the small numbers due to early termination of the studies limit interpretability of the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28: Exploratory biomarkers: Roche NeuroToolkit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156845</wp:posOffset>
            </wp:positionV>
            <wp:extent cx="5092065" cy="2348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9206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Bittner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CTAD 2019</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Safety in the CREAD and CREAD 2 studies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decision to terminate the CREAD and CREAD 2 was not related to safety. No safety signals for crenezumab were observed in this analysis and the overall safety profile was similar to that seen in previous trials. There was no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difference in the rate of newly developing ARIA-E (0.3%) between the active and placebo arms and the rates of ARIA-H were also similar (8.8% on crenezumab vs 6.8% on placebo).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Morphomer Tau</w:t>
      </w:r>
    </w:p>
    <w:p>
      <w:pPr>
        <w:spacing w:after="0" w:line="22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Approximately 2,200 compounds have been screened thus far for the Morphomer Tau program. This has allowed for the identification of several chemical series of orally bioavailable small molecules with suitable CNS properties. The lead compounds displayed selectivity for binding to pathological Tau aggregates in preference to other protein aggregates. In addition, the lead compounds were able to prevent Tau aggregation and promote its disaggregation. Further characterization using multiple orthogonal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tests addressing pharmacology absorption, distribution, metabolism, and excretion (ADME), and safety properties led to the identification of the first clinical candidate ACI-3024.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ACI-3024</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ACI-3024 is a potent Tau aggregation inhibitor active against the 3R and 4R human Tau isoforms as well as the mutant forms associated with human Tauopathies, such as FTLD-Tau (e.g., PSP, Pick’s disease, corticobasal degeneration). ACI-3024 selectively binds to aggregated Tau and does not bind to the monomeric forms of Tau. Moreover, the binding to Tau aggregates is selective, with no cross-reactivity to aggregates of Abeta and a-syn.</w:t>
      </w:r>
    </w:p>
    <w:p>
      <w:pPr>
        <w:spacing w:after="0" w:line="18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ACI-3024 showed a potent and dose-dependent reduction in spontaneous intracellular Tau aggregation and misfolding as measured by immunocytochemistry in human neuronal-like cells over-expressing Tau. Furthermore, ACI-3024 promoted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disaggregation of Tau neurofibrillary tangles on human AD brain sections.</w:t>
      </w:r>
    </w:p>
    <w:p>
      <w:pPr>
        <w:spacing w:after="0" w:line="174"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of ACI-3024 was evaluated in the Tg4510 mouse model (Ramsden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2005).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treatment of Tg4510 transgenic mice with ACI-3024 reduced aggregated and insoluble hyper-phosphorylated Tau. Immunohistochemistry analysis of misfolded Tau using an MC1 antibody in Tg4510 brain sections of the same mice treated with ACI-3024 showed reduction of misfolded Tau. These effects were proportional to the plasma concentration of ACI-3024.</w:t>
      </w:r>
    </w:p>
    <w:p>
      <w:pPr>
        <w:spacing w:after="0" w:line="185"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Total Tau concentration in cerebrospinal fluid (CSF) was inversely correlated with ACI-3024 exposure in plasma, suggesting the possibility of exploring CSF Tau concentrations as a biomarker of target engagement.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Preclinical safety</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ACI-3024 has a good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ADME profile, including low clearance, long half-life and good CNS disposition as assessed by brain and CSF concentrations. ACI-3024 was negative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genotoxicity assays [Ames, micronucleus test (MNT) and mouse lymphoma cell mutagenesis (MLY)] and has undergone an extensive toxicology and safety pharmacology assessment. The no observed adverse effect level has been established at 300 mg/kg in rodent and at 450 mg/kg in non-rodent animals after 4 weeks of treatment (Poli, CTAD 2018).</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 on neuroinflammation</w:t>
      </w:r>
    </w:p>
    <w:p>
      <w:pPr>
        <w:spacing w:after="0" w:line="22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ACI-3024 efficacy on pathological Tau-induced neuroinflammation was assessed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ACI-3024 induced a potent reduction of Tau-induced neuroinflammation markers.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Tg4510 mice, treatment with ACI-3024 overall reduced microgliosis, most likely as a downstream consequence of reducing Tau pathology, by reducing the derived pathological Tau-induced microglial activation.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Phase 1 study</w:t>
      </w:r>
    </w:p>
    <w:p>
      <w:pPr>
        <w:spacing w:after="0" w:line="227" w:lineRule="exact"/>
        <w:rPr>
          <w:sz w:val="20"/>
          <w:szCs w:val="20"/>
          <w:color w:val="auto"/>
        </w:rPr>
      </w:pPr>
    </w:p>
    <w:p>
      <w:pPr>
        <w:ind w:left="60" w:right="319" w:firstLine="324"/>
        <w:spacing w:after="0" w:line="277" w:lineRule="auto"/>
        <w:rPr>
          <w:sz w:val="20"/>
          <w:szCs w:val="20"/>
          <w:color w:val="auto"/>
        </w:rPr>
      </w:pPr>
      <w:r>
        <w:rPr>
          <w:rFonts w:ascii="Times New Roman" w:cs="Times New Roman" w:eastAsia="Times New Roman" w:hAnsi="Times New Roman"/>
          <w:sz w:val="17"/>
          <w:szCs w:val="17"/>
          <w:color w:val="auto"/>
        </w:rPr>
        <w:t>This Phase 1 study was a first-in-human (FiH), randomized, placebo-controlled, double-blind, sequential single and multiple ascending dose study. The study assessed the safety, tolerability, pharmacokinetics, and pharmacodynamics of ACI-3024. Part I included five single ascending doses in healthy volunteers, with a food effect assessment in the fourth dose cohort. In Part II, three escalating multiple dose regimens were evaluated; regimen two was assessed in different populations of healthy volunteers. CSF samples were collected from the highest multiple dose group.</w:t>
      </w:r>
    </w:p>
    <w:p>
      <w:pPr>
        <w:spacing w:after="0" w:line="154"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The study was executed as planned and all single and multiple dosing regimens were completed in healthy young, elderly, and Japanese subjects. ACI-3024 was administered following single or multiple oral doses and dose-dependent plasma exposure was observed. ACI-3024 showed a long half-life (47.5 to 101 h), with steady state reached after 12-13 days. Low renal clearance was shown. After multiple doses, ACI-3024 concentrations in CSF exceeded target concentrations based on animal studies.</w:t>
      </w:r>
    </w:p>
    <w:p>
      <w:pPr>
        <w:spacing w:after="0" w:line="183" w:lineRule="exact"/>
        <w:rPr>
          <w:sz w:val="20"/>
          <w:szCs w:val="20"/>
          <w:color w:val="auto"/>
        </w:rPr>
      </w:pPr>
    </w:p>
    <w:p>
      <w:pPr>
        <w:ind w:left="60" w:right="439" w:firstLine="324"/>
        <w:spacing w:after="0" w:line="312" w:lineRule="auto"/>
        <w:rPr>
          <w:sz w:val="20"/>
          <w:szCs w:val="20"/>
          <w:color w:val="auto"/>
        </w:rPr>
      </w:pPr>
      <w:r>
        <w:rPr>
          <w:rFonts w:ascii="Times New Roman" w:cs="Times New Roman" w:eastAsia="Times New Roman" w:hAnsi="Times New Roman"/>
          <w:sz w:val="17"/>
          <w:szCs w:val="17"/>
          <w:color w:val="auto"/>
        </w:rPr>
        <w:t>ACI-3024 will not be further developed under the collaboration and the Companies have decided to pursue other promising Tau Morphomer candidates from AC Immune’s research platform for potential clinical development in AD.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Tau diagnostics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severity of cognitive impairment in patients with AD is correlated with the presence of Tau protein tangles, leading us to believe that an imaging agent for Tau is equally, if not more important than Abeta-PET to assess spreading of pathology in the brain. In May 2020, Eli Lilly received FDA approval for the first Tau-PET tracer TAUVID (flortaucipir F18 injection). However, TAUVID received approval only for a pathology indication (i.e., correlation with histopathology findings in Braak 5 and 6 patients), but has not received a prognostic label (i.e., prediction of cognitive deterioration based on a positive Tau-PET scan.)</w:t>
      </w:r>
    </w:p>
    <w:p>
      <w:pPr>
        <w:spacing w:after="0" w:line="18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Our Tau-PET tracers are designed to bind specifically to the pathological forms of human Tau in AD and other Tauopathies. They have demonstrated an excellent PET tracer profile with their ability to cross the blood brain barrier and a high selectivity to pathological Tau even in the early-stage disease.</w:t>
      </w:r>
    </w:p>
    <w:p>
      <w:pPr>
        <w:spacing w:after="0" w:line="18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May 2014, we established a license and collaboration agreement for our Tau-PET imaging program with LMI. The Phase 1 clinical study of our clinical candidate PI-2620 in AD was completed in Q1 2018. The Phase 2 longitudinal study in AD in South Korea (Asan Medical Center, NCT03903211) was completed in Q4 2021 and results presented at AAIC 2022. The pivotal ADvance Phase 3 histopathology study in AD (NCT05641688) was initiated in December with FPFV in December 2022. The first Alzheimer’s patient was imaged with PI-2620 scan in January 2023.</w:t>
      </w:r>
    </w:p>
    <w:p>
      <w:pPr>
        <w:spacing w:after="0" w:line="17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PI-2620 is selective for Tau over Abeta and other “off-target” binding compared with current published Tau-PET agents in development, as no binding to Abeta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no “off-target” retention in basal ganglia or choroid plexus was observed. In addition, PI-2620 was shown to be suitable for measuring longitudinal Tau accumulation. A major differentiator for PI-2620 is its ability to bind 4-repeat (4R) Tau isoforms, which are present in varying amounts in different neurodegenerative diseases. Most Tau-PET tracers in development are not able to bind 4R Tau and are of limited use for certain diseases driven by these Tau species.</w:t>
      </w:r>
    </w:p>
    <w:p>
      <w:pPr>
        <w:spacing w:after="0" w:line="179" w:lineRule="exact"/>
        <w:rPr>
          <w:sz w:val="20"/>
          <w:szCs w:val="20"/>
          <w:color w:val="auto"/>
        </w:rPr>
      </w:pPr>
    </w:p>
    <w:p>
      <w:pPr>
        <w:ind w:left="60" w:right="99" w:firstLine="324"/>
        <w:spacing w:after="0" w:line="209" w:lineRule="auto"/>
        <w:rPr>
          <w:sz w:val="20"/>
          <w:szCs w:val="20"/>
          <w:color w:val="auto"/>
        </w:rPr>
      </w:pPr>
      <w:r>
        <w:rPr>
          <w:rFonts w:ascii="Times New Roman" w:cs="Times New Roman" w:eastAsia="Times New Roman" w:hAnsi="Times New Roman"/>
          <w:sz w:val="18"/>
          <w:szCs w:val="18"/>
          <w:color w:val="auto"/>
        </w:rPr>
        <w:t xml:space="preserve">The Tau PET tracer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was included into a sub-study of the MissionAD trial of elenbecestat to evaluate Tau deposition in amyloid-beta positive subjects with a diagnosis of mild cognitive impairment (MCI) due to AD or mild AD dementia. The findings support the hypothesis that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PET imaging of neuropathologic Tau deposits may reflect underlying neurodegeneration in AD. Significant correlations were observed with hippocampal volume and CSF biomarkers, and an association between Tau and Abeta load. Quantifiable increases in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F-PI-2620 PET SUVR over 1 year were observed in regions with early Tau deposition and the results are consistent with the hypothesis that cortical Tau is associated with cognitive impairment. This study supports the utility of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PET to assess Tau load in an early AD population. Quantifiable Tau load and its corresponding increase in early AD could be a relevant target engagement marker of anti-Tau but also anti-amyloid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29: PI-2620 – Ability to detect Tau deposits in an early AD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156845</wp:posOffset>
            </wp:positionV>
            <wp:extent cx="4491990" cy="2803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91990" cy="280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Bullich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Alzheimer's Research &amp; Therapy, 2022</w:t>
      </w:r>
    </w:p>
    <w:p>
      <w:pPr>
        <w:spacing w:after="0" w:line="219" w:lineRule="exact"/>
        <w:rPr>
          <w:sz w:val="20"/>
          <w:szCs w:val="20"/>
          <w:color w:val="auto"/>
        </w:rPr>
      </w:pPr>
    </w:p>
    <w:p>
      <w:pPr>
        <w:jc w:val="both"/>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 xml:space="preserve">Figure 29 shows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SUVR PET images (scalp stripped) registered to the T1-weighted MRI illustrating the tracer distribution in a Tau negative subject (upper row), a Tau-positive subject with uptake in the mesial temporal cortex (center row), and a Tau-positive subject with extensive neocortical uptake (bottom row).</w:t>
      </w:r>
    </w:p>
    <w:p>
      <w:pPr>
        <w:spacing w:after="0" w:line="193" w:lineRule="exact"/>
        <w:rPr>
          <w:sz w:val="20"/>
          <w:szCs w:val="20"/>
          <w:color w:val="auto"/>
        </w:rPr>
      </w:pPr>
    </w:p>
    <w:p>
      <w:pPr>
        <w:jc w:val="both"/>
        <w:ind w:left="60" w:right="119" w:firstLine="324"/>
        <w:spacing w:after="0" w:line="241" w:lineRule="auto"/>
        <w:rPr>
          <w:sz w:val="20"/>
          <w:szCs w:val="20"/>
          <w:color w:val="auto"/>
        </w:rPr>
      </w:pPr>
      <w:r>
        <w:rPr>
          <w:rFonts w:ascii="Times New Roman" w:cs="Times New Roman" w:eastAsia="Times New Roman" w:hAnsi="Times New Roman"/>
          <w:sz w:val="17"/>
          <w:szCs w:val="17"/>
          <w:color w:val="auto"/>
        </w:rPr>
        <w:t xml:space="preserve">A recent study (Malarte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Mol. Psychiatry, 2022) showed that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H-PI-2620 has comparable binding affinity in AD, CBD and PSP brain tissue, although the binding site density can vary between these pathologies in the order: AD &gt; CBD &gt; PSP. Competitive binding studies indicate that PI-2620 can detect multiple binding sites in AD, CBD and PSP brain tissue. Importantly, in CBD and PSP brains, PI-2620 displayed high specificity which was not observed with other tracers.</w:t>
      </w:r>
    </w:p>
    <w:p>
      <w:pPr>
        <w:spacing w:after="0" w:line="195" w:lineRule="exact"/>
        <w:rPr>
          <w:sz w:val="20"/>
          <w:szCs w:val="20"/>
          <w:color w:val="auto"/>
        </w:rPr>
      </w:pPr>
    </w:p>
    <w:p>
      <w:pPr>
        <w:ind w:left="60" w:right="99" w:firstLine="324"/>
        <w:spacing w:after="0" w:line="267" w:lineRule="auto"/>
        <w:rPr>
          <w:sz w:val="20"/>
          <w:szCs w:val="20"/>
          <w:color w:val="auto"/>
        </w:rPr>
      </w:pPr>
      <w:r>
        <w:rPr>
          <w:rFonts w:ascii="Times New Roman" w:cs="Times New Roman" w:eastAsia="Times New Roman" w:hAnsi="Times New Roman"/>
          <w:sz w:val="18"/>
          <w:szCs w:val="18"/>
          <w:color w:val="auto"/>
        </w:rPr>
        <w:t xml:space="preserve">Franzmeier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 Communications, 2022) compared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Tau-PET analyses to independent post-mortem samples thereby providing further evidence that PI-2620 binds to 4R Tau. This study demonstrated a close link between 4R Tau deposition patterns and connectivity supporting the concept of trans-neuronal Tau spreading in 4R Tauopathies.</w:t>
      </w:r>
    </w:p>
    <w:p>
      <w:pPr>
        <w:spacing w:after="0" w:line="175" w:lineRule="exact"/>
        <w:rPr>
          <w:sz w:val="20"/>
          <w:szCs w:val="20"/>
          <w:color w:val="auto"/>
        </w:rPr>
      </w:pPr>
    </w:p>
    <w:p>
      <w:pPr>
        <w:ind w:left="60" w:right="459" w:firstLine="324"/>
        <w:spacing w:after="0" w:line="255" w:lineRule="auto"/>
        <w:rPr>
          <w:sz w:val="20"/>
          <w:szCs w:val="20"/>
          <w:color w:val="auto"/>
        </w:rPr>
      </w:pPr>
      <w:r>
        <w:rPr>
          <w:rFonts w:ascii="Times New Roman" w:cs="Times New Roman" w:eastAsia="Times New Roman" w:hAnsi="Times New Roman"/>
          <w:sz w:val="18"/>
          <w:szCs w:val="18"/>
          <w:color w:val="auto"/>
        </w:rPr>
        <w:t>Tau diagnostics are a major market opportunity that will be driven by the growth in the aging population and the testing and availability of disease-modifying drugs. We believe a best-in-class Tau tracer has the potential to achieve a substantial global market share in this large and growing market, which includes AD as well as other important Tauopathies.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A-syn diagnostics</w:t>
      </w:r>
    </w:p>
    <w:p>
      <w:pPr>
        <w:spacing w:after="0" w:line="22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We are also developing PET imaging agents to detect a-syn, which progressively accumulates in the brains of PD patients and is believed to be central to the neurodegenerative process of PD, as well as several other disorders, including Lewy body dementia and MSA, making it a priority target for development of therapeutics and diagnostics. We have identified molecules leveraging our Morphomer technology that selectively bind to a-syn pathological structures from human PD brain with affinity in the low-nanomolar range.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In the same timeframe, we have also initiated the clinical development of our third-generation candidate, ACI-12589. ACI-12589 is the first molecule capable to detect pathological a-syn in the brain of patient with MSA and to differentiate those from controls, other synucleinopathies and more generally other neurodegenerative diseases (Figure 30).</w:t>
      </w:r>
    </w:p>
    <w:p>
      <w:pPr>
        <w:spacing w:after="0" w:line="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Additionally, ACI-12589 showed some signal retention in familial PD cases in brain areas compatible with the expected distribution of pathological a-syn. The preclinical and clinical data obtained within the program were presented at AD/PD 2022 and AAIC 2022.</w:t>
      </w:r>
    </w:p>
    <w:p>
      <w:pPr>
        <w:spacing w:after="0" w:line="186" w:lineRule="exact"/>
        <w:rPr>
          <w:sz w:val="20"/>
          <w:szCs w:val="20"/>
          <w:color w:val="auto"/>
        </w:rPr>
      </w:pPr>
    </w:p>
    <w:p>
      <w:pPr>
        <w:ind w:left="60" w:right="339" w:firstLine="324"/>
        <w:spacing w:after="0" w:line="296" w:lineRule="auto"/>
        <w:rPr>
          <w:sz w:val="20"/>
          <w:szCs w:val="20"/>
          <w:color w:val="auto"/>
        </w:rPr>
      </w:pPr>
      <w:r>
        <w:rPr>
          <w:rFonts w:ascii="Times New Roman" w:cs="Times New Roman" w:eastAsia="Times New Roman" w:hAnsi="Times New Roman"/>
          <w:sz w:val="17"/>
          <w:szCs w:val="17"/>
          <w:color w:val="auto"/>
        </w:rPr>
        <w:t>The FiH clinical evaluation of ACI-12589 in PD, MSA and other a-synucleinopathies was completed in 2022. In preparation to further steps in clinical development, in Q4 2022 a dosimetry study in healthy volunteers was completed.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30: ACI-12589 PET signal in patients with MSA compared to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156845</wp:posOffset>
            </wp:positionV>
            <wp:extent cx="2383155" cy="20656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831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Capotosti, AAIC 2022</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Currently there are no imaging products in the market that target a-syn. This provides us with the opportunity to</w:t>
      </w:r>
    </w:p>
    <w:p>
      <w:pPr>
        <w:spacing w:after="0" w:line="27" w:lineRule="exact"/>
        <w:rPr>
          <w:sz w:val="20"/>
          <w:szCs w:val="20"/>
          <w:color w:val="auto"/>
        </w:rPr>
      </w:pPr>
    </w:p>
    <w:p>
      <w:pPr>
        <w:ind w:left="60" w:right="279"/>
        <w:spacing w:after="0" w:line="245" w:lineRule="auto"/>
        <w:rPr>
          <w:sz w:val="20"/>
          <w:szCs w:val="20"/>
          <w:color w:val="auto"/>
        </w:rPr>
      </w:pPr>
      <w:r>
        <w:rPr>
          <w:rFonts w:ascii="Times New Roman" w:cs="Times New Roman" w:eastAsia="Times New Roman" w:hAnsi="Times New Roman"/>
          <w:sz w:val="18"/>
          <w:szCs w:val="18"/>
          <w:color w:val="auto"/>
        </w:rPr>
        <w:t>become the market leader in a-syn PET imaging. We believe the ability to image a-syn deposits in the brain will enable a fundamental change in the approach toward diagnosing and treating a-syn-associated diseases.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2020, the Company’s a-syn-PET tracer won the Ken Griffin Alpha-synuclein Imaging Competition from the MJFF.</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2022, the Company received a continuation grant from the MJFF.</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preclinical programs</w:t>
      </w:r>
    </w:p>
    <w:p>
      <w:pPr>
        <w:spacing w:after="0" w:line="229" w:lineRule="exact"/>
        <w:rPr>
          <w:sz w:val="20"/>
          <w:szCs w:val="20"/>
          <w:color w:val="auto"/>
        </w:rPr>
      </w:pPr>
    </w:p>
    <w:p>
      <w:pPr>
        <w:ind w:left="60" w:right="179" w:firstLine="324"/>
        <w:spacing w:after="0" w:line="275" w:lineRule="auto"/>
        <w:rPr>
          <w:sz w:val="20"/>
          <w:szCs w:val="20"/>
          <w:color w:val="auto"/>
        </w:rPr>
      </w:pPr>
      <w:r>
        <w:rPr>
          <w:rFonts w:ascii="Times New Roman" w:cs="Times New Roman" w:eastAsia="Times New Roman" w:hAnsi="Times New Roman"/>
          <w:sz w:val="17"/>
          <w:szCs w:val="17"/>
          <w:color w:val="auto"/>
        </w:rPr>
        <w:t>Using our SupraAntigen and Morphomer platforms, we have generated additional discovery and preclinical stage molecules targeting key pathologies that drive a range of neurodegenerative diseases, including TDP-43, a-syn, and NLRP3. We are accelerating the development of several therapeutic product candidates currently in preclinical development, including several programs focused on indications outside of AD as a critical part of our expansion strategy.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31: Key pathologies for further pipeline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2348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hanging="170"/>
        <w:spacing w:after="0"/>
        <w:tabs>
          <w:tab w:leader="none" w:pos="2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Frontotemporal lobar degeneration; (2) Amyotrophic lateral sclerosis; (3) Limbic-predominant age-related TDP-43 encephalopathy; (4) TAR DNA-binding protein 43;</w:t>
      </w:r>
    </w:p>
    <w:p>
      <w:pPr>
        <w:spacing w:after="0" w:line="13" w:lineRule="exact"/>
        <w:rPr>
          <w:rFonts w:ascii="Times New Roman" w:cs="Times New Roman" w:eastAsia="Times New Roman" w:hAnsi="Times New Roman"/>
          <w:sz w:val="13"/>
          <w:szCs w:val="13"/>
          <w:color w:val="auto"/>
        </w:rPr>
      </w:pPr>
    </w:p>
    <w:p>
      <w:pPr>
        <w:ind w:left="220" w:hanging="170"/>
        <w:spacing w:after="0"/>
        <w:tabs>
          <w:tab w:leader="none" w:pos="2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alpha-synuclein; (6) NOD-like receptor protein 3</w:t>
      </w:r>
    </w:p>
    <w:p>
      <w:pPr>
        <w:spacing w:after="0" w:line="201"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Based on the data to date, our technology platforms can be applied to misfolded proteins across a broad range of indications. See our novel targets pipeline above at Figure 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A-syn antibody</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a-syn antibodies generated using our SupraAntigen platform have unique binding properties allowing them to bind preferentially to the pathological forms of a-syn. Leveraging the wide collection of anti-a-syn antibodies generated with diverse binding epitopes and sub-nM binding affinities to aggregated a-syn, new immunoassays are being developed for the detection of pathological a-syn in biofluids. A-syn aggregation and spreading are established targets for PD, MSA and other synucleinopathies. Antibodies that interfere with the aggregation and spreading mechanisms of a-syn provide a therapeutic option for the treatment of PD. The a-syn antibodies were able to significantly delay the seeded aggregation of pathological a-syn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aggregation assay, and were able to significantly decrease pathological a-syn spreading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 of PD. Characterization using multiple orthogonal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tests addressing binding, specificity, functionality and pharmacological properties has led to the identification of the lead candidate ACI-5755.</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 characterization</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ACI-5755 selectively binds to pathological forms of a-syn with low-nanomolar affinity and shows a significant preference over monomeric a-syn. Additionally, ACI-5755 shows strong recognition for pathological a-syn in patient-derived tissues in both PD and MSA. ACI-5755 showed a potent and dose-dependent reduction in the seeding capacity of pathological a-syn in a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aggregation assay. Moreover, ACI-5755 substantially reduced the propagation of a-syn aggregates in a cell-based model.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of ACI-5755 was evaluated in the M83 propagation mouse model (Luk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2012). Treatment of mice with ACI-5755 significantly decreased pathological a-syn spreading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Furthermore, a significant reduction in the rate of body weight loss compared with the vehicle-treated control group was observed for mice treated with ACI-5755.</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Morphomer a-syn</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Leveraging our Morphomer platform, we discovered and characterized the first biologically active small molecule inhibitors targeting intracellular a-syn aggregates. Identified compounds, from several distinct chemical series, which significantly decrease a-syn aggregate accumulation in neurons by interfering with the seeding and fibrillation processes. Iterative medicinal chemistry optimization led to the identification of orally available compounds with favorable CNS-penetrant pharmacokinetic properties, which progressed into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proof-of-concept study in an animal model of alpha-synucleinopathies. Treatment with hit compound resulted in significant, dose-dependent decrease of pathological a-syn aggregates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Medicinal chemistry efforts will continue on improving properties of lead chemical series, in parallel to identifying structurally diverse compounds fulfilling the target product profile.</w:t>
      </w:r>
    </w:p>
    <w:p>
      <w:pPr>
        <w:spacing w:after="0" w:line="19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In December 2021, the Company received a grant from the MJFF to fund the optimization of the current compound series and declare a preclinical lead, which commenced in Q1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antibody</w:t>
      </w:r>
    </w:p>
    <w:p>
      <w:pPr>
        <w:spacing w:after="0" w:line="229" w:lineRule="exact"/>
        <w:rPr>
          <w:sz w:val="20"/>
          <w:szCs w:val="20"/>
          <w:color w:val="auto"/>
        </w:rPr>
      </w:pPr>
    </w:p>
    <w:p>
      <w:pPr>
        <w:ind w:left="60" w:right="639" w:firstLine="324"/>
        <w:spacing w:after="0" w:line="258" w:lineRule="auto"/>
        <w:rPr>
          <w:sz w:val="20"/>
          <w:szCs w:val="20"/>
          <w:color w:val="auto"/>
        </w:rPr>
      </w:pPr>
      <w:r>
        <w:rPr>
          <w:rFonts w:ascii="Times New Roman" w:cs="Times New Roman" w:eastAsia="Times New Roman" w:hAnsi="Times New Roman"/>
          <w:sz w:val="18"/>
          <w:szCs w:val="18"/>
          <w:color w:val="auto"/>
        </w:rPr>
        <w:t>TDP-43 is a recently identified target of growing interest for NeuroOrphan indications such as frontotemporal dementia (FTD) and ALS. Interestingly, TDP-43 also plays an important role in other significant neurodegenerative indications such as AD or LATE.</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Anti-TDP-43 antibodies binding to various regions of TDP-43 were generated by our SupraAntigen platform. A subset displayed conformational selectivity to misfolded TDP-43, while others recognized all TDP-43 isoforms (Figure 32A). Multiple antibodies were generated and characterized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from which two pan-TDP-43 antibodies (ACI-5891 and ACI-5886) were selected for the evaluation of their efficacy in mitigating TDP-43 aggregation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(Figure 32B-C). ACI-5891 showed a high binding affinity for TDP-43 and ability to reduce TDP-43 aggregation </w:t>
      </w:r>
      <w:r>
        <w:rPr>
          <w:rFonts w:ascii="Times New Roman" w:cs="Times New Roman" w:eastAsia="Times New Roman" w:hAnsi="Times New Roman"/>
          <w:sz w:val="18"/>
          <w:szCs w:val="18"/>
          <w:i w:val="1"/>
          <w:iCs w:val="1"/>
          <w:color w:val="auto"/>
        </w:rPr>
        <w:t>in vitro and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vivo</w:t>
      </w:r>
      <w:r>
        <w:rPr>
          <w:rFonts w:ascii="Times New Roman" w:cs="Times New Roman" w:eastAsia="Times New Roman" w:hAnsi="Times New Roman"/>
          <w:sz w:val="18"/>
          <w:szCs w:val="18"/>
          <w:color w:val="auto"/>
        </w:rPr>
        <w:t>. ACI-5891 was successfully humanized and clinical lead selected (ACI-5891.9). The lead molecule shows excellent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pharmacokinetics in non-human primates and good developability profile.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 characterization</w:t>
      </w:r>
    </w:p>
    <w:p>
      <w:pPr>
        <w:spacing w:after="0" w:line="22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To evaluate the functional efficacy of TDP-43 antibodies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the ability of ACI-5891 to inhibit TDP-43 aggregation was tested.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 with recombinant TDP-43, ACI-5891 significantly inhibited TDP-43 aggregation by 98% compared with the isotype control and significantly promoted their phagocytosis by mouse primary and ALS patient-derived microglia. Using FTLD-TDP patient-derived brain extracts to induce templated TDP-43 aggregation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ACI-5891, which binds to the C-terminal domain of TDP-43, was able to substantially interfere with this process of seeding (Figure 32B). Moreover, ACI-5891 demonstrated functional efficacy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by reducing pathological TDP-43 in two different mouse models of ALS and FTD (Figure 32C). Importantly, these beneficial effects are achieved while preserving physiological TDP-43 activity. Our findings demonstrate, for the first time, that a monoclonal antibody targeting the C-terminal region of TDP-43 limits pathology and neurotoxicity by enabling clearance of misfolded TDP-43 through microglia engagement and support the clinical strategy to target TDP-43 by passive immunotherapy.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lead declaration and initiation of IND-enabling studies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ACI-5891 was successfully humanized on a human antibody framework. Several variants had a similar binding capacity for TDP-43 while retaining the potency for inhibition of TDP-43 aggregation as compared to the chimeric monoclonal antibody. The target values were achieved for the lead candidates in terms of target affinity, functional efficacy, and percentage humanness. These variants were then evaluated for pharmacokinetics in non-human primates. The selected clinical lead (ACI-5891.9) shows excellent pharmacokinetics in non-human primates. Developability of clinical lead candidates was further confirmed in manufacturability assessment studies. Dose-range finding study to evaluate safety of clinical lead in non-human primates is ongoing.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antibody-based biofluid assay</w:t>
      </w:r>
    </w:p>
    <w:p>
      <w:pPr>
        <w:spacing w:after="0" w:line="22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Since the levels of TDP-43 are low in biofluids, a real-time quaking-induced conversion (RT-QuIC) assay was developed for the detection of pathological TDP-43 seeds. Using this assay, the presence of seeding-competent TDP-43 species was confirmed in CSF of sporadic ALS donors compared to healthy controls. In addition, to evaluate target engagement of the clinical lead in vivo, novel assays to measure free TDP-43 in biofluids were established using SIMOA technology. The assay allows the measurement of free TDP-43 in serum and CSF from animals dosed with the clinical lead.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32: Key results for TDP-43 antibodies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156845</wp:posOffset>
            </wp:positionV>
            <wp:extent cx="3137535" cy="28460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3753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Afroz, AD/PD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Neuroinflammation and the NLRP3-ASC inflammasome pathway</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Microglial cells are the main resident immune cells in the brain, which maintain a healthy environment by removing damaged cells and misfolded protein aggregates. When overstimulated, microglia can drive neuroinflammation, leading to increased neuronal death and disease progression. A key molecular pathway that is activated by misfolded proteins related to neurodegenerative and other diseases, is the NLRP3 inflammasome, a multi-protein complex that forms within microglia leading to production of pro-inflammatory factors that exacerbate neuronal atrophy. A critical component of the NLRP3 pathway is ASC (apoptosis-associated speck-like protein containing a C-terminal caspase recruitment domain), which is formed and released by activated microglia. Intracellularly, ASC specks participate in the production of pro-inflammatory cytokines, whereas extracellular ASC specks cause acute inflammatory reactions. ASC specks have been identified in microglia within the CNS of patients with NDD (Venegas, 2017) as well as patients’ body fluids.</w:t>
      </w:r>
    </w:p>
    <w:p>
      <w:pPr>
        <w:spacing w:after="0" w:line="190"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illustrated in Figure 33, pathological species of Abeta, Tau, a-syn and TDP-43 induce NLRP3 inflammasome activation and ASC speck formation. AC Immune is developing multiple small molecule and antibody-based candidates with the potential to inhibit the NLRP3 pathway.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experiments in animal models of AD, PD and ALS have validated this approach.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33: Proteinopathies exacerbate NLRP3-driven neuronal damage and promote further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28721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99" w:hanging="10"/>
        <w:spacing w:after="0" w:line="262" w:lineRule="auto"/>
        <w:tabs>
          <w:tab w:leader="none" w:pos="238"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Amyotrophic lateral sclerosis; (2) Frontotemporal lobar dementia; (3) TAR DNA-binding protein 43; (4) NOD-like receptor protein 3; (5) Apoptosis-associated speck-like protein containing a CARD, also PYCARD; (6) Neurofibrillary tangle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Targeting NLRP3-ASC in neurodegenerative diseases</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AD, Abeta peptides, which accumulate to form the characteristic plaques in AD activate the NLRP3 inflammasome (Halle, 2008). The downstream pro-inflammatory factors, IL-1b and IL-18, are increased in cells isolated in these patients (Saresella, 2016). Further validation of these targets in AD involve crossing NLRP3 or ASC knockout mice to models of Abeta-driven pathology. In these models, neuroinflammation decreased and neuronal and memory function improved (Heneka, 2013; Demspey, 2017; Venegas, 2017). Recently, ASC speck and IL-18 levels were shown to be higher in human Mild Cognitive Impairment (MCI) and AD brain samples indicating that ASC is a promising biomarker of MCI and AD (Scott, 2020).</w:t>
      </w:r>
    </w:p>
    <w:p>
      <w:pPr>
        <w:spacing w:after="0" w:line="187" w:lineRule="exact"/>
        <w:rPr>
          <w:sz w:val="20"/>
          <w:szCs w:val="20"/>
          <w:color w:val="auto"/>
        </w:rPr>
      </w:pPr>
    </w:p>
    <w:p>
      <w:pPr>
        <w:ind w:left="60" w:right="299" w:firstLine="324"/>
        <w:spacing w:after="0" w:line="252" w:lineRule="auto"/>
        <w:rPr>
          <w:sz w:val="20"/>
          <w:szCs w:val="20"/>
          <w:color w:val="auto"/>
        </w:rPr>
      </w:pPr>
      <w:r>
        <w:rPr>
          <w:rFonts w:ascii="Times New Roman" w:cs="Times New Roman" w:eastAsia="Times New Roman" w:hAnsi="Times New Roman"/>
          <w:sz w:val="18"/>
          <w:szCs w:val="18"/>
          <w:color w:val="auto"/>
        </w:rPr>
        <w:t>In Parkinson’s disease, NLRP3 is activated and ASC formation is upregulated (Gordon, 2018 and Anderson, 2021). Exome sequencing analysis identified multiple single-nucleotide polymorphisms of NLRP3 including rs7525979, which was associated with a significantly reduced risk of developing PD (von Herrmann, 2018). In vitro, NLRP3 inhibition decreases a-syn-mediated inflammasome activation in mouse microglial cells and extracellular ASC release. In multiple PD animal models, targeting NLRP3 effectively mitigates motor deficits, nigrostriatal dopaminergic degeneration and accumulation of a-syn aggregates (Gordon 2018). Taken together, NLRP3 is responsible for driving neuroinflammation that results in progressive dopaminergic neuropathology, highlighting NLRP3 as a potential target for PD disease-modifying treatments.</w:t>
      </w:r>
    </w:p>
    <w:p>
      <w:pPr>
        <w:spacing w:after="0" w:line="192" w:lineRule="exact"/>
        <w:rPr>
          <w:sz w:val="20"/>
          <w:szCs w:val="20"/>
          <w:color w:val="auto"/>
        </w:rPr>
      </w:pPr>
    </w:p>
    <w:p>
      <w:pPr>
        <w:ind w:left="60" w:right="4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illustrated in Figure 33, extracellular Tau activates NLRP3 and ASC formation in microglia. In patients with frontotemporal dementia, elevated cleavage of caspase-1, increased ASC levels and mature IL-1b are observed (Ising, 2019). Furthermore, in preclinical models, injection of fibrillar Abeta induces Tau pathology in an NLRP3-dependent manner (Ising, 2019) and the absence of ASC or inhibition of NLRP3 decreases seeding by Tau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(Stancu, 2019). Finally, NLRP3 inhibition ameliorates inflammation and ER stress signaling in a model of Tau-driven pathology, as well as partially normalizes phospho-Tau levels (Hull, 2020).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Concerning ALS, TDP-43-mediated activation of microglia causes motor neuron cell death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(Zhao, 2015) with downstream activation of NF-kB and NLRP3 (Clark, 2020) and involves CD14. This finding is clinically relevant as increased CD14 expression by microglia is observed in postmortem spinal cord tissue from patients with ALS, a TDP-43-driven disease (Clark, 2020). Furthermore, wildtype and mutant forms of TDP-43 activate microglia to generate IL-1b, which is abolished by NLRP3 inhibition (Deora, 2019).</w:t>
      </w:r>
    </w:p>
    <w:p>
      <w:pPr>
        <w:spacing w:after="0" w:line="185" w:lineRule="exact"/>
        <w:rPr>
          <w:sz w:val="20"/>
          <w:szCs w:val="20"/>
          <w:color w:val="auto"/>
        </w:rPr>
      </w:pPr>
    </w:p>
    <w:p>
      <w:pPr>
        <w:jc w:val="both"/>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Microglia isolated from the ALS mouse model, SOD1G93A, express elevated levels of NLRP3 (Deora, 2019). When microglia are incubated with soluble or aggregated SOD1G93A, NLRP3 is activated, ASC specks are formed and IL-1b is secreted which is prevented by treatment with an NLRP3 inhibitor (Deora, 2019).</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 for targeting the NLRP3-ASC inflammasome</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AC Immune is exploring this key pathway in order to reduce the unwanted progression of inflammation in diseases and syndromes caused by the hyper-activation of the NLRP3 inflammasome. Our aim is to develop therapeutics that decrease production of pro-inflammatory factors yet maintain normal phagocytosis of debris and misfolded proteins as well as allow the function of other pathogen-sensing pathways. Currently, AC Immune is targeting the NLRP3-ASC pathway using two complementary approaches, derived from our two technology platforms (Figure 34):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34: Strategy to use our dual proprietary technology platforms to target NLRP3-ASC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6574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549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right="319" w:hanging="10"/>
        <w:spacing w:after="0" w:line="250" w:lineRule="auto"/>
        <w:tabs>
          <w:tab w:leader="none" w:pos="23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(NOD)-like receptor protein 3; (2) Neurodegenerative disease; (3) Central nervous system; (4) Nanomolar; (5) Parkinson’s Disease; (6) picomolar affinity to human and mouse ASC; (7) Apoptosis-associated speck-like protein containing a CARD, also PYCARD; (8) Alzheimer’s Disease; (9) Down syndrome; (10) Multiple sclerosis; (11) Cryopyrin-associated periodic syndrome; (12) Hidradenitis suppurativa</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Adapted from Ransohoff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Nature, 2017</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Small molecule inhibitors of NLRP3</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Leveraging our proprietary Morphomer platform, the Company has successfully identified various chemical series of potent small molecule NLRP3 inhibitors. The Company has established biological activity for these compounds in multiple functional assays (Figures 35 and 36), and initial animal studies show highly potent target inhibition in a model of peripheral inflammation (Figure 37), providing the first evidence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AC Immune is currently evaluating potential lead compounds for further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and optimization for CNS delivery.</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In December 2021, the Company received a grant from the MJFF to fund the development of novel brain penetrant NLRP3 inflammasome inhibitors as potential therapeutics for Parkinson’s disease, which commenced in Q1 2022.</w:t>
      </w:r>
    </w:p>
    <w:p>
      <w:pPr>
        <w:spacing w:after="0" w:line="136" w:lineRule="exact"/>
        <w:rPr>
          <w:sz w:val="20"/>
          <w:szCs w:val="20"/>
          <w:color w:val="auto"/>
        </w:rPr>
      </w:pPr>
    </w:p>
    <w:p>
      <w:pPr>
        <w:jc w:val="center"/>
        <w:ind w:left="1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Figure 35: Screening assay to quantify the compound-mediated inhibition of IL-1β production </w:t>
      </w:r>
      <w:r>
        <w:rPr>
          <w:rFonts w:ascii="Times New Roman" w:cs="Times New Roman" w:eastAsia="Times New Roman" w:hAnsi="Times New Roman"/>
          <w:sz w:val="18"/>
          <w:szCs w:val="18"/>
          <w:b w:val="1"/>
          <w:bCs w:val="1"/>
          <w:i w:val="1"/>
          <w:iCs w:val="1"/>
          <w:color w:val="auto"/>
        </w:rPr>
        <w:t>in vitro</w:t>
      </w:r>
      <w:r>
        <w:rPr>
          <w:rFonts w:ascii="Times New Roman" w:cs="Times New Roman" w:eastAsia="Times New Roman" w:hAnsi="Times New Roman"/>
          <w:sz w:val="18"/>
          <w:szCs w:val="18"/>
          <w:b w:val="1"/>
          <w:bCs w:val="1"/>
          <w:color w:val="auto"/>
        </w:rPr>
        <w:t xml:space="preserve"> using human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112395</wp:posOffset>
            </wp:positionV>
            <wp:extent cx="4646295" cy="1945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4629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NOD-like receptor protein 3; (2) Interleukin 1 beta</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Adapted from Choi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Mol Cell 2014</w:t>
      </w:r>
    </w:p>
    <w:p>
      <w:pPr>
        <w:spacing w:after="0" w:line="214" w:lineRule="exact"/>
        <w:rPr>
          <w:sz w:val="20"/>
          <w:szCs w:val="20"/>
          <w:color w:val="auto"/>
        </w:rPr>
      </w:pPr>
    </w:p>
    <w:p>
      <w:pPr>
        <w:ind w:left="60" w:right="459" w:firstLine="324"/>
        <w:spacing w:after="0" w:line="258" w:lineRule="auto"/>
        <w:rPr>
          <w:sz w:val="20"/>
          <w:szCs w:val="20"/>
          <w:color w:val="auto"/>
        </w:rPr>
      </w:pPr>
      <w:r>
        <w:rPr>
          <w:rFonts w:ascii="Times New Roman" w:cs="Times New Roman" w:eastAsia="Times New Roman" w:hAnsi="Times New Roman"/>
          <w:sz w:val="18"/>
          <w:szCs w:val="18"/>
          <w:color w:val="auto"/>
        </w:rPr>
        <w:t>In the Figure above, the left panel illustrates the signal transduction pathway leading to NLRP3 inflammasome activation. The right panel shows the dose dependent inhibition by a small molecule candidate (cmpd 1) and reference molecule (MCC950) of the NLRP3 pathway post stimulation with monosodium urate (MSU) crystal that induced interleukin-1β production by human macrophages. IC50 (inhibition concentration at 50%); DMSO (negative vehicle control).</w:t>
      </w:r>
    </w:p>
    <w:p>
      <w:pPr>
        <w:spacing w:after="0" w:line="172" w:lineRule="exact"/>
        <w:rPr>
          <w:sz w:val="20"/>
          <w:szCs w:val="20"/>
          <w:color w:val="auto"/>
        </w:rPr>
      </w:pPr>
    </w:p>
    <w:p>
      <w:pPr>
        <w:jc w:val="center"/>
        <w:ind w:left="1520" w:right="180"/>
        <w:spacing w:after="0" w:line="219" w:lineRule="auto"/>
        <w:rPr>
          <w:sz w:val="20"/>
          <w:szCs w:val="20"/>
          <w:color w:val="auto"/>
        </w:rPr>
      </w:pPr>
      <w:r>
        <w:rPr>
          <w:rFonts w:ascii="Times New Roman" w:cs="Times New Roman" w:eastAsia="Times New Roman" w:hAnsi="Times New Roman"/>
          <w:sz w:val="18"/>
          <w:szCs w:val="18"/>
          <w:b w:val="1"/>
          <w:bCs w:val="1"/>
          <w:color w:val="auto"/>
        </w:rPr>
        <w:t>Figure 36: Secondary assays involving NLRP3</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inhibition in primary mouse microglia and human whole blood demonstrate potent hit compounds active </w:t>
      </w:r>
      <w:r>
        <w:rPr>
          <w:rFonts w:ascii="Times New Roman" w:cs="Times New Roman" w:eastAsia="Times New Roman" w:hAnsi="Times New Roman"/>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128905</wp:posOffset>
            </wp:positionV>
            <wp:extent cx="3480435" cy="1885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8043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NOD-like receptor protein 3; (2) Interleukin 1 beta; (3) lipopolysaccharide; (4) adenosine triphosphate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 AC Immune unpublished data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520"/>
        <w:spacing w:after="0" w:line="230" w:lineRule="auto"/>
        <w:rPr>
          <w:sz w:val="20"/>
          <w:szCs w:val="20"/>
          <w:color w:val="auto"/>
        </w:rPr>
      </w:pPr>
      <w:r>
        <w:rPr>
          <w:rFonts w:ascii="Times New Roman" w:cs="Times New Roman" w:eastAsia="Times New Roman" w:hAnsi="Times New Roman"/>
          <w:sz w:val="18"/>
          <w:szCs w:val="18"/>
          <w:b w:val="1"/>
          <w:bCs w:val="1"/>
          <w:color w:val="auto"/>
        </w:rPr>
        <w:t>Figure 37: In a mouse model of peritonitis, several of the initial hits targeting NLRP3</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show significant inhibition of IL-1β</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production </w:t>
      </w:r>
      <w:r>
        <w:rPr>
          <w:rFonts w:ascii="Times New Roman" w:cs="Times New Roman" w:eastAsia="Times New Roman" w:hAnsi="Times New Roman"/>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66675</wp:posOffset>
            </wp:positionV>
            <wp:extent cx="5066030" cy="1697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6603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NOD-like receptor protein 3; (2) Interleukin 1 beta</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AC Immune unpublished data</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Therapeutic monoclonal antibodies for neuroinflammation (mAb-ASC)</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Apoptosis associated speck like protein containing CARD (ASC) is widely researched and recognized as an adaptor protein participating in inflammasome assembly and pyroptosis. It contains a bipartite structure comprising of a pyrin (PYD) and a caspase recruitment domain (CARD) domain. These two domains help ASC function as an adaptor molecule. ASC plays pivotal role in various inflammatory diseases in the CNS as well as peripherally. Thus, the use of antibodies against ASC is an attractive therapeutic approach. It has been shown in the APP/PSI mouse model of AD, intracellular and extracellular ASC specks are present. Treatment using an anti-ASC antibody, which targets extracellular ASC specks, decreases the Abeta load in these mice (Figure 38).</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38: ASC</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specks in AD patients and mouse model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95250</wp:posOffset>
            </wp:positionV>
            <wp:extent cx="3754755" cy="20999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5475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Apoptosis-associated speck-like protein containing a CARD; (2) Amyloid precursor protein/presenilin 1</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 Venegas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Nature, 2017</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Using our SupraAntigen platform, AC Immune generated and characterized a novel class of anti-ASC monoclonal antibodies. ASC mAbs recognize either the PYD or the CARD domain of the protein, and show picomolar affinity (Figure 39A). Specificity of ASC detection was assessed in cell lysates of human and mouse macrophages by western blot experiment and confirmed the absence of signal in human macrophages lacking ASC proteins (Figure 39B). Furthermore, immunofluorescence analysis revealed the ability of our ASC mAbs to recognize ASC proteins in both free cytosolic form and aggregated as specks (arrows in the immunofluorescence images, Figure 39C).</w:t>
      </w:r>
    </w:p>
    <w:p>
      <w:pPr>
        <w:spacing w:after="0" w:line="185" w:lineRule="exact"/>
        <w:rPr>
          <w:sz w:val="20"/>
          <w:szCs w:val="20"/>
          <w:color w:val="auto"/>
        </w:rPr>
      </w:pPr>
    </w:p>
    <w:p>
      <w:pPr>
        <w:jc w:val="both"/>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 xml:space="preserve">Efficacy of selected antibodies was evaluated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using mouse models of neuroinflammation and demyelination. ASC mAbs significantly slowed down the progression of the disease (decreases clinical score on Figure 40A), decreased demyelination (black arrows; Figure 40B) and infiltration of T-cells in the spinal cord (black arrows in Figure 40C).</w:t>
      </w:r>
    </w:p>
    <w:p>
      <w:pPr>
        <w:spacing w:after="0" w:line="16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efficacy of ASC mAbs will be further tested in other relevant mouse models of CNS and non-CNS disease for lead declaration. These innovative, potentially disease-modifying antibodies are designed to have the highest potential to prevent inflammation and modify the downstream exacerbation of various proteinopathies.</w:t>
      </w:r>
    </w:p>
    <w:p>
      <w:pPr>
        <w:spacing w:after="0" w:line="388" w:lineRule="exact"/>
        <w:rPr>
          <w:sz w:val="20"/>
          <w:szCs w:val="20"/>
          <w:color w:val="auto"/>
        </w:rPr>
      </w:pPr>
    </w:p>
    <w:p>
      <w:pPr>
        <w:jc w:val="center"/>
        <w:ind w:left="1580" w:right="120"/>
        <w:spacing w:after="0" w:line="271" w:lineRule="auto"/>
        <w:rPr>
          <w:sz w:val="20"/>
          <w:szCs w:val="20"/>
          <w:color w:val="auto"/>
        </w:rPr>
      </w:pPr>
      <w:r>
        <w:rPr>
          <w:rFonts w:ascii="Times New Roman" w:cs="Times New Roman" w:eastAsia="Times New Roman" w:hAnsi="Times New Roman"/>
          <w:sz w:val="18"/>
          <w:szCs w:val="18"/>
          <w:b w:val="1"/>
          <w:bCs w:val="1"/>
          <w:color w:val="auto"/>
        </w:rPr>
        <w:t>Figure 39: Binding affinity and target engagement of neutralizing anti-ASC antibodies recognizing murine and human 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257175</wp:posOffset>
            </wp:positionV>
            <wp:extent cx="5366385" cy="2254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6638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right="339" w:hanging="10"/>
        <w:spacing w:after="0" w:line="262" w:lineRule="auto"/>
        <w:tabs>
          <w:tab w:leader="none" w:pos="23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monoclonal antibody; (2) caspase activation and recruitment domain; (3) Pyrin domain (4) Apoptosis-associated speck-like protein; (5) recombinant: (6) knock-out; (7) molecular weight, (8) 4',6-diamidino-2-phenylindole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Seredenina, 4th Inflammasome Therapeutics Summit,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40: Anti-ASC mAb shows functional improvement in the model of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156845</wp:posOffset>
            </wp:positionV>
            <wp:extent cx="5452110" cy="15862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5211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Myelin basic protein; (2) Immunohistochemistry</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Seredenina, 4th Inflammasome Therapeutics Summit,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TDP-43 imaging diagnostics</w:t>
      </w:r>
    </w:p>
    <w:p>
      <w:pPr>
        <w:spacing w:after="0" w:line="229" w:lineRule="exact"/>
        <w:rPr>
          <w:sz w:val="20"/>
          <w:szCs w:val="20"/>
          <w:color w:val="auto"/>
        </w:rPr>
      </w:pPr>
    </w:p>
    <w:p>
      <w:pPr>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To complement our pipeline of PET imaging tracers, we also selected TDP-43 as a third target (after Tau and a-syn). Using proprietary assays, a set of small molecular weight compounds from four chemically distinct series were identified. These bind to patient-derived pathological TDP-43. Several of these compounds demonstrated favorable pharmacokinetic profiles in rodents suggesting suitable properties for further development as PET ligands. We identified candidates showing nanomolar affinities on TDP-43 aggregates enriched from patients with TDP-43 proteinopathies. A selected compound is able to differentiate FTLD-TDP pathology from control cases by classical autoradiography and shows target engagement on TDP-43 inclusions in FTLD-TDP brain sections by high resolution autoradiography. This compound is selective over Abeta and a-syn in AD and PD brain homogenates respectively. Pharmacokinetic profile of this compound in non-human primate brain is suitable for FiH evaluation. Medicinal chemistry optimization is ongoing to explore SAR and enrich our TDP-43 PET tracer library with additional candidates to deliver a potential first-in-class PET tracer for TDP-43.</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360"/>
        <w:spacing w:after="0" w:line="286" w:lineRule="auto"/>
        <w:rPr>
          <w:sz w:val="20"/>
          <w:szCs w:val="20"/>
          <w:color w:val="auto"/>
        </w:rPr>
      </w:pPr>
      <w:r>
        <w:rPr>
          <w:rFonts w:ascii="Times New Roman" w:cs="Times New Roman" w:eastAsia="Times New Roman" w:hAnsi="Times New Roman"/>
          <w:sz w:val="18"/>
          <w:szCs w:val="18"/>
          <w:b w:val="1"/>
          <w:bCs w:val="1"/>
          <w:color w:val="auto"/>
        </w:rPr>
        <w:t>Figure 41: TDP-43 PET imaging tracer demonstrates target engagement in FTLD-TDP brain sections and promising PK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112395</wp:posOffset>
            </wp:positionV>
            <wp:extent cx="5212080" cy="27857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 Seredenina, ISFDT Conference, 2022</w:t>
      </w:r>
    </w:p>
    <w:p>
      <w:pPr>
        <w:spacing w:after="0" w:line="22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There are no imaging products in the market today targeting TDP-43. This provides us with a unique opportunity to become the first company to provide a TDP-43-PET tracer to the market. We believe the ability to image TDP-43 deposits in the brain will enable fundamental change in the approach toward treating primary and secondary TDP-43 proteinopathies including improved design for AD clinical trials to provide better outcomes for patients.</w:t>
      </w:r>
    </w:p>
    <w:p>
      <w:pPr>
        <w:spacing w:after="0" w:line="16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announced that it had been awarded USD 500 thousand in new grants from the MJFF to support the development of its TDP-43 PET tracer program.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SupraAntigen and Morphomer platforms have generated large numbers of clinical assets that address multiple diseases related to protein misfolding. Selected key assets in the product pipeline have been licensed for upfront payments, milestones and royalties to help offset the cost of our research and internal product development. We have signed a number of licensing agreements with leading pharmaceutical companies to assist and accelerate the development of our product pipeline, including:</w:t>
      </w:r>
    </w:p>
    <w:p>
      <w:pPr>
        <w:spacing w:after="0" w:line="187" w:lineRule="exact"/>
        <w:rPr>
          <w:sz w:val="20"/>
          <w:szCs w:val="20"/>
          <w:color w:val="auto"/>
        </w:rPr>
      </w:pPr>
    </w:p>
    <w:p>
      <w:pPr>
        <w:ind w:left="720" w:right="79" w:hanging="319"/>
        <w:spacing w:after="0" w:line="261"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Genentech signed in November 2006 (and amended in March 2009, January 2013, May 2014 and May 2015) for anti-Abeta antibodies for AD and potentially other indications, under which we may become eligible to receive payments potentially greater than USD 340 (CHF 317) million, excluding royalties;</w:t>
      </w:r>
    </w:p>
    <w:p>
      <w:pPr>
        <w:spacing w:after="0" w:line="166"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Genentech signed in June 2012 (and amended in December 2015) for anti-Tau antibodies to treat AD and potentially other indications, under which we may become eligible to receive payments potentially greater than CHF 400 million, excluding royalties;</w:t>
      </w:r>
    </w:p>
    <w:p>
      <w:pPr>
        <w:spacing w:after="0" w:line="175"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agreement with Janssen signed in December 2014 (and amended in April 2016, July 2017, January 2019, November 2019 and December 2022) for therapeutic anti-Tau vaccines for AD,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39"/>
        <w:spacing w:after="0" w:line="282" w:lineRule="auto"/>
        <w:rPr>
          <w:sz w:val="20"/>
          <w:szCs w:val="20"/>
          <w:color w:val="auto"/>
        </w:rPr>
      </w:pPr>
      <w:r>
        <w:rPr>
          <w:rFonts w:ascii="Times New Roman" w:cs="Times New Roman" w:eastAsia="Times New Roman" w:hAnsi="Times New Roman"/>
          <w:sz w:val="18"/>
          <w:szCs w:val="18"/>
          <w:color w:val="auto"/>
        </w:rPr>
        <w:t>potentially other Tauopathies, under which we may become eligible to receive payments totaling up to CHF 500 million, excluding royalties;</w:t>
      </w:r>
    </w:p>
    <w:p>
      <w:pPr>
        <w:spacing w:after="0" w:line="162" w:lineRule="exact"/>
        <w:rPr>
          <w:sz w:val="20"/>
          <w:szCs w:val="20"/>
          <w:color w:val="auto"/>
        </w:rPr>
      </w:pPr>
    </w:p>
    <w:p>
      <w:pPr>
        <w:jc w:val="both"/>
        <w:ind w:left="720" w:right="319" w:hanging="319"/>
        <w:spacing w:after="0" w:line="266"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licensing and collaboration agreement (LCA) with LMI (formerly Piramal Imaging SA) signed in May 2014 (and amended in June 2022) for small-molecule Tau ligands for use as PET tracers under which we may become eligible to receive payments totaling up to EUR 160 (CHF 159) million, excluding royalties; and</w:t>
      </w:r>
    </w:p>
    <w:p>
      <w:pPr>
        <w:spacing w:after="0" w:line="175"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license agreement with Lilly to research and develop Morphomer Tau small molecules for the treatment of AD and other neurodegenerative diseases, which was entered into in December 2018 (and amended in September 2019 and March 2020). The agreement was deemed effective on January 23, 2019. Under this agreement, we may become eligible to receive payments up to approximately CHF 1.9 billion, excluding royalties.</w:t>
      </w:r>
    </w:p>
    <w:p>
      <w:pPr>
        <w:spacing w:after="0" w:line="170"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Further information concerning details of our agreements and collaborations can be found under “Item 5: Operating and financial review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pharmaceutical and biopharmaceutical industries are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Currently, there are two approved disease-modifying products for AD. Most currently approved therapies seek to treat the symptoms of AD, such as cognitive decline, but do not slow or stop the progression of the disease. In addition, commonly, there is off-label prescription of antidepressant and antipsychotic agents for more patients with advanced AD who may have agitation, aggressive behaviors, psychosis and depression.</w:t>
      </w:r>
    </w:p>
    <w:p>
      <w:pPr>
        <w:spacing w:after="0" w:line="180"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We expect there to be several classes of disease-modifying agents that will enter the AD market. Among our monoclonal antibodies, semorinemab targets extracellular Tau and crenezumab targets pathologic Abeta oligomers. Therapeutic vaccines are another class of potentially disease-modifying immunotherapies targeting pathologic protein species, and include our candidate products ACI-35.030, which targets aggregated, phosphorylated Tau protein and ACI-24.060, which targets oligomeric and pyroglutamate Abeta. A further class of disease-modifying therapies, small molecules, include our Morphomer Tau program, which inhibits Tau aggregates.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availability of novel diagnostic agents to visualize the disease development in patients with AD is critical for successful clinical development of disease-modifying products in AD. At the forefront of this new diagnostic effort are PET agents for imaging of disease pathology, and in particular, Tau-targeting PET agents, which we believe will allow precise assessment of disease in patients with AD. A similar situation is developing in other NDD, such as PD, where PET imaging is becoming available.</w:t>
      </w:r>
    </w:p>
    <w:p>
      <w:pPr>
        <w:spacing w:after="0" w:line="183" w:lineRule="exact"/>
        <w:rPr>
          <w:sz w:val="20"/>
          <w:szCs w:val="20"/>
          <w:color w:val="auto"/>
        </w:rPr>
      </w:pPr>
    </w:p>
    <w:p>
      <w:pPr>
        <w:ind w:left="60" w:right="49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ACI-35.030. </w:t>
      </w:r>
      <w:r>
        <w:rPr>
          <w:rFonts w:ascii="Times New Roman" w:cs="Times New Roman" w:eastAsia="Times New Roman" w:hAnsi="Times New Roman"/>
          <w:sz w:val="18"/>
          <w:szCs w:val="18"/>
          <w:color w:val="auto"/>
        </w:rPr>
        <w:t>ACI-35.030, if approved, would potentially compete with other Tau-targeting therapeutic vaccines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being developed. This could include, for example, the AADvac1 vaccine being developed by Axon Neuroscience, which completed a Phase 2 study in 2019 and AV-1980R (Nuravax) which is expected to enter phase 1 clinical development in the near future.</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ACI-24.060 for AD. </w:t>
      </w:r>
      <w:r>
        <w:rPr>
          <w:rFonts w:ascii="Times New Roman" w:cs="Times New Roman" w:eastAsia="Times New Roman" w:hAnsi="Times New Roman"/>
          <w:sz w:val="18"/>
          <w:szCs w:val="18"/>
          <w:color w:val="auto"/>
        </w:rPr>
        <w:t>ACI-24.060, if approved, would potentially compete with other anti-Abeta-targeting therapeutic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vaccines currently being developed. This includes the ABvac 40 (Araclon Biotech), which is currently being evaluated in a Phase 2 study and UB-311(Vaxxinity), which has completed a Phase 2a study. In addition, ABvac 42 (Araclon Biotech) has completed a Phase 1 study and ALZ-101 (Alzinova) is currently being evaluated in a Phase 1b study and AV-1959D (Nuravax) in Phase 1 clinical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ACI-24.060 for DS. </w:t>
      </w:r>
      <w:r>
        <w:rPr>
          <w:rFonts w:ascii="Times New Roman" w:cs="Times New Roman" w:eastAsia="Times New Roman" w:hAnsi="Times New Roman"/>
          <w:sz w:val="17"/>
          <w:szCs w:val="17"/>
          <w:color w:val="auto"/>
        </w:rPr>
        <w:t>ACI-24.060 is the first disease-modifying vaccine candidate addressing DS-related AD, with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potential preventive and therapeutic application. Although there are symptomatic treatments of DS in clinical development, to our knowledge there are currently no other disease-modifying treatments in clinical development for AD in DS.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ACI-7104.056. </w:t>
      </w:r>
      <w:r>
        <w:rPr>
          <w:rFonts w:ascii="Times New Roman" w:cs="Times New Roman" w:eastAsia="Times New Roman" w:hAnsi="Times New Roman"/>
          <w:sz w:val="17"/>
          <w:szCs w:val="17"/>
          <w:color w:val="auto"/>
        </w:rPr>
        <w:t>ACI-7104.056, if approved, would potentially compete with other a-syn-targeting therapeutic vaccines.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includes the UB-312 vaccine developed by Vaxxinity, which is being evaluated in a Phase 1b study.</w:t>
      </w:r>
    </w:p>
    <w:p>
      <w:pPr>
        <w:spacing w:after="0" w:line="203"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Semorinemab. </w:t>
      </w:r>
      <w:r>
        <w:rPr>
          <w:rFonts w:ascii="Times New Roman" w:cs="Times New Roman" w:eastAsia="Times New Roman" w:hAnsi="Times New Roman"/>
          <w:sz w:val="18"/>
          <w:szCs w:val="18"/>
          <w:color w:val="auto"/>
        </w:rPr>
        <w:t>Semorinemab is one of several Tau-targeting monoclonal antibodies in development to potentially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disease-modifying agents. Bepranemab (UCB/Roche) and JNJ-63733657 (Janssen) are being evaluated in Phase 2 studies. E-2814 (Eisai) is being evaluated in a Phase 2/3 prevention study. Lu AF87908 (Lundbeck), APNmAb005 (Aprinoia Therapeutics), MK-2214 (Merck/Teijin Pharma) and PRX005 (Prothena/BMS) are being evaluated in Phase 1 studies.</w:t>
      </w:r>
    </w:p>
    <w:p>
      <w:pPr>
        <w:spacing w:after="0" w:line="18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Crenezumab. </w:t>
      </w:r>
      <w:r>
        <w:rPr>
          <w:rFonts w:ascii="Times New Roman" w:cs="Times New Roman" w:eastAsia="Times New Roman" w:hAnsi="Times New Roman"/>
          <w:sz w:val="18"/>
          <w:szCs w:val="18"/>
          <w:color w:val="auto"/>
        </w:rPr>
        <w:t>Crenezumab is the first monoclonal antibody candidate that targets Abeta in cognitively healthy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at risk of developing familial AD. However, Lilly’s solanezumab and donanemab (Eli Lilly) are being evaluated in studies of presymptomatic AD. ADUHELM (Biogen) and Leqembi (BioArctic/Eisai/Biogen) have been approved by FDA under the accelerated approval pathway for the treatment of patients with mild cognitive impairment and mild dementia.</w:t>
      </w:r>
    </w:p>
    <w:p>
      <w:pPr>
        <w:spacing w:after="0" w:line="183" w:lineRule="exact"/>
        <w:rPr>
          <w:sz w:val="20"/>
          <w:szCs w:val="20"/>
          <w:color w:val="auto"/>
        </w:rPr>
      </w:pPr>
    </w:p>
    <w:p>
      <w:pPr>
        <w:ind w:left="60" w:right="11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Morphomer Tau. </w:t>
      </w:r>
      <w:r>
        <w:rPr>
          <w:rFonts w:ascii="Times New Roman" w:cs="Times New Roman" w:eastAsia="Times New Roman" w:hAnsi="Times New Roman"/>
          <w:sz w:val="18"/>
          <w:szCs w:val="18"/>
          <w:color w:val="auto"/>
        </w:rPr>
        <w:t>In collaboration with Lilly, we are researching and developing small molecule Tau aggregation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with plans to evaluate candidates in AD and NeuroOrphan tauopathies. We completed a Phase 1 study in healthy volunteers with ACI-3024 in Q2 2020. Continued candidate characterization across the research program also identified new and highly differentiated candidates with excellent cerebrospinal fluid exposure and selectivity for pathological aggregated Tau.</w:t>
      </w:r>
    </w:p>
    <w:p>
      <w:pPr>
        <w:spacing w:after="0" w:line="17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Tau-PET tracer. </w:t>
      </w:r>
      <w:r>
        <w:rPr>
          <w:rFonts w:ascii="Times New Roman" w:cs="Times New Roman" w:eastAsia="Times New Roman" w:hAnsi="Times New Roman"/>
          <w:sz w:val="18"/>
          <w:szCs w:val="18"/>
          <w:color w:val="auto"/>
        </w:rPr>
        <w:t>Tauvid (previously known as Flortaucipir) was developed by Eli Lilly and approved by FDA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2020. However, should the Company’s PI-2620 be approved, it would also compete with (i) 18F-florzolotau (previously known as APN-1607), a product candidate in a Phase 3 study and being advanced by Aprinoia; (ii) 18F-MK-6240, which is being evaluated by Cerveau/Merck in a Phase 2 clinical trial in patients with ADAD; (iii) 18F-GTP1, which is being developed by Genentech and has completed a Phase 2 study in subjects at risk of developing ADAD, (iv) 18F-RO6958948, for which Roche has completed a Phase 1 study in patients with AD and (v)18F-JNJ-067, for which Janssen has completed a Phase 1 study in patients with AD.</w:t>
      </w:r>
    </w:p>
    <w:p>
      <w:pPr>
        <w:spacing w:after="0" w:line="187" w:lineRule="exact"/>
        <w:rPr>
          <w:sz w:val="20"/>
          <w:szCs w:val="20"/>
          <w:color w:val="auto"/>
        </w:rPr>
      </w:pPr>
    </w:p>
    <w:p>
      <w:pPr>
        <w:ind w:left="60" w:right="13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ACI-12589. </w:t>
      </w:r>
      <w:r>
        <w:rPr>
          <w:rFonts w:ascii="Times New Roman" w:cs="Times New Roman" w:eastAsia="Times New Roman" w:hAnsi="Times New Roman"/>
          <w:sz w:val="18"/>
          <w:szCs w:val="18"/>
          <w:color w:val="auto"/>
        </w:rPr>
        <w:t>ACI-12589, if approved, would potentially compete with other a-syn-targeting PET tracers.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18F-UCB-2897 tracer developed by UCB, which is being evaluated in a Phase 1 study.</w:t>
      </w:r>
    </w:p>
    <w:p>
      <w:pPr>
        <w:spacing w:after="0" w:line="141" w:lineRule="exact"/>
        <w:rPr>
          <w:sz w:val="20"/>
          <w:szCs w:val="20"/>
          <w:color w:val="auto"/>
        </w:rPr>
      </w:pPr>
    </w:p>
    <w:p>
      <w:pPr>
        <w:ind w:left="60" w:right="2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A-syn antibody. </w:t>
      </w:r>
      <w:r>
        <w:rPr>
          <w:rFonts w:ascii="Times New Roman" w:cs="Times New Roman" w:eastAsia="Times New Roman" w:hAnsi="Times New Roman"/>
          <w:sz w:val="18"/>
          <w:szCs w:val="18"/>
          <w:color w:val="auto"/>
        </w:rPr>
        <w:t>Several a-syn antibodies are currently in development. Roche/Prothena entered a Phase 2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prasinezumab in June 2017 and in May 2021, began a Phase 2b study in PD patients with more advanced symptoms; AstraZeneca/Takeda started a Phase 1 study in patients with PDf with MEDI1341 in August 2020 and a Phase 2 study in MSA in November, 2022; Lundbeck/Genmab entered a Phase 2 in MSA with Lu AF82422 in November 2021; and UCB7853 (UCB/Novartis) entered a Phase 1 study in December 2020.</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TDP-43 antibodies. </w:t>
      </w:r>
      <w:r>
        <w:rPr>
          <w:rFonts w:ascii="Times New Roman" w:cs="Times New Roman" w:eastAsia="Times New Roman" w:hAnsi="Times New Roman"/>
          <w:sz w:val="18"/>
          <w:szCs w:val="18"/>
          <w:color w:val="auto"/>
        </w:rPr>
        <w:t>To our knowledge, there are no TDP-43 antibodies in the clinic.</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and human resources than we have. Mergers and acquisitions in the pharmaceutical and biotechnology industries may result in even more resources being concentrated among a smaller number of our competitors. Our commercial opportunities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strategy to date has been to focus on identifying partnerships for our early-stage product candidates as both a way to secure non-dilutive capital to fund our other research and development programs and also as a way to accelerate the development of these partnered products by leveraging our partners’ extensive knowledge in clinical studies, drug development, manufacturing and commercialization.</w:t>
      </w:r>
    </w:p>
    <w:p>
      <w:pPr>
        <w:spacing w:after="0" w:line="18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7"/>
          <w:szCs w:val="17"/>
          <w:color w:val="auto"/>
        </w:rPr>
        <w:t>With greater financial resources at our disposal and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while we ultimately plan to seek a strategic partner for our Abeta vaccine program in AD, we currently plan to retain full control of this asset for development in the DS population. We have commenced a Phase 1b/2 study for AD in advance of potentially partnering this program and intend to fund further clinical development in DS with our own financial resources. In the field of diagnostics, the parallel development of therapeutic compounds and companion diagnostics is of growing importance to the pharmaceutical and biopharmaceutical industries.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diagnostics for NDDs which provides additional partnering opportunities.</w:t>
      </w:r>
    </w:p>
    <w:p>
      <w:pPr>
        <w:spacing w:after="0" w:line="18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Given our current stage of product development, we currently do not have a commercialization infrastructure. If any of our product candidates is granted marketing approval, we intend to focus our initial commercial efforts in the U.S. and select European markets, which we believe represent the largest market opportunities for us. In those markets, we expect our commercial operations to potentially include our own specialty sales force that will target Neurologists and Gerontologists, both in hospitals and in private practice. In other markets, we expect to seek partnerships that would maximize our products’ commercial potential.</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and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7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success will significantly depend on our and our collaboration and licensing partners’ ability to obtain and maintain patent and other proprietary protection for commercially important technology, inventions and know-how related to our business, to defend and enforce patents, to preserve the confidentiality of our trade secrets and to operate our business without infringing any patents and other intellectual property or proprietary rights of third parties. See the section titled “Risk factors— Risks related to intellectual property” for additional information.</w:t>
      </w:r>
    </w:p>
    <w:p>
      <w:pPr>
        <w:spacing w:after="0" w:line="18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we owned or co-owned with our collaboration and licensing partners, approximately 48 issued U.S. patents and 399 issued patents in other jurisdictions, as well as 34 pending U.S. patent applications and 565 pending foreign patent applications. As of December 31, 2022, we licensed approximately 32 issued U.S. patents and 282 issued patents in other jurisdictions, as well as 16 pending U.S. patent applications and 317 pending foreign patent applications.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patent portfolios for our most advanced product candidates as of December 31, 2022 are summarized below:</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Anti-Tau vaccines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anti-Tau vaccines includes a patent family with composition-of-matter claims (including claims directed to the ACI-35 antigenic peptide and a pharmaceutical composition comprising such an antigenic peptide), claims directed to treating certain indications using ACI-35 including AD, and claims directed to using ACI-35 to induce an immune response. This patent family currently contains approximately 28 issued patents and two pending patent applications in 27 countries. The issued patents in this patent family, if the appropriate maintenance, renewal, annuity or other governmental fees are paid, are expected to expire in 2030, excluding any additional term for patent term adjustments or patent term extensions.</w:t>
      </w:r>
    </w:p>
    <w:p>
      <w:pPr>
        <w:spacing w:after="0" w:line="18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anti-Tau vaccines also includes a patent family relating to therapeutic Tau vaccine claims (including claims directed to a pharmaceutical composition comprising an antigenic Tau peptide), claims directed to using such vaccines to induce an immune response in a subject, and claims directed to methods for preventing or treating a neurodegenerative disease or disorder, including AD, among others. This patent family currently contains 1 issued patent and approximately 46 pending patent applications in 38 countries. The issued patent and any patents issuing in this patent family, if the appropriate maintenance, renewal, annuity or other governmental fees are paid, are expected to expire in 2038, excluding any additional term for patent term adjustments or patent term extensions.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ACI-24</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ACI-24 includes a patent family with composition-of-matter claims (including claims directed to the ACI-24 antigenic construct), claims directed to treating certain indications using ACI-24 including AD, and claims directed to using ACI-24 to induce an immune response. As of December 31, 2022, in this patent family, we owned approximately 27 issued patents and 6 pending patent applications in 30 countries. With respect to the U.S., we owned two issued U.S. patents. The issued patents in this patent family, if the appropriate maintenance, renewal, annuity or other governmental fees are paid, are expected to expire in 2026, excluding any additional term for patent term adjustments or patent term extensions.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ACI-24 also includes a patent family directed to the use of the ACI-24 vaccine in the treatment and/or prevention of memory and/or cognitive impairments or abnormalities in the DS population, among others. As of December 31, 2022, in this patent family, we owned approximately 14 issued patents and 4 pending patent applications in 18 countries. Issued patents in this patent family, if the appropriate maintenance, renewal, annuity or other governmental fees are paid, are expected to expire in 2032, excluding any additional term for patent term adjustments or patent term extensions.</w:t>
      </w:r>
    </w:p>
    <w:p>
      <w:pPr>
        <w:spacing w:after="0" w:line="18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for ACI-24 also includes a patent family relating to therapeutic anti-Abeta vaccine claims (including claims directed to a pharmaceutical composition comprising an antigenic peptide), and claims directed to using such vaccines in treating, preventing, inducing a protective immune response against or alleviating the symptoms associated with an Abeta-associated disease in a subject, among others. As of December 31, 2022, in this patent family, we owned one issued U.S. patent and approximately 33 pending patent applications in 32 countries. Any issued patents in this patent family, if the appropriate maintenance, renewal, annuity or other governmental fees are paid, are expected to expire in 2039, excluding any additional term for patent term adjustments or patent term extensions.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ACI-7104</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patent portfolio relating to ACI-7104 includes patents and patent applications with composition-of-matter claims (including claims directed to the peptide, as well as pharmaceutical formulations comprising the peptide), and claims directed to the use of compounds comprising the peptide in treating or preventing synucleinopathies including PD and MSA.</w:t>
      </w:r>
    </w:p>
    <w:p>
      <w:pPr>
        <w:spacing w:after="0" w:line="180"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Our patent portfolio relating to ACI-7104 includes patents and patent applications that we own in two different patent families. As of December 31, 2022, in these patent families, we owned approximately 13 issued patents and 17</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pending patent applications, in 11 countries. With respect to the U.S., we owned two issued U.S. patents. Issued patents in the basic patent family, if the appropriate maintenance, renewal, annuity or other governmental fees are paid, are expected to expire in 2029, excluding any additional term for patent term adjustments or patent term extensions.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Semorinemab</w:t>
      </w:r>
    </w:p>
    <w:p>
      <w:pPr>
        <w:spacing w:after="0" w:line="229"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Our global patent portfolio relating to semorinemab includes patents and patent applications with claims directed to compositions of matter, methods of treatment for certain indications including AD, and methods of use, among others.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Crenezumab</w:t>
      </w:r>
    </w:p>
    <w:p>
      <w:pPr>
        <w:spacing w:after="0" w:line="21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8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Our patent portfolio relating to crenezumab includes patents and patent applications that we own or co-own in four different patent families. As of December 31, 2022, we owned or co-owned approximately 50 patents (not including the patents in the individual countries where the issued European patent was validated) and 12 patent applications in 34 countries in our main patent family directed to the crenezumab antibody and methods of using the crenezumab antibody to treat certain indications, including AD. This patent portfolio includes three issued U.S. patents and one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that was filed on July 13, 2007. If the appropriate maintenance, renewal, annuity, or other governmental fees are paid, national-stage applications claiming priority from this PCT patent application, if issued, are expected to expire in 2027, excluding any additional term for patent term adjustments or patent term extensions, as applicable.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Morphomer Tau</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patent portfolio relating to Morphomer Tau therapeutics includes patent applications with claims directed to composition of matter (including claims directed to the molecule, a pharmaceutical composition comprising such molecule and a mixture comprising such molecule), and claims directed to prevention and treatment of certain indications using such molecules including AD and PSP, among others.</w:t>
      </w:r>
    </w:p>
    <w:p>
      <w:pPr>
        <w:spacing w:after="0" w:line="166" w:lineRule="exact"/>
        <w:rPr>
          <w:sz w:val="20"/>
          <w:szCs w:val="20"/>
          <w:color w:val="auto"/>
        </w:rPr>
      </w:pPr>
    </w:p>
    <w:p>
      <w:pPr>
        <w:ind w:left="60" w:right="279" w:firstLine="324"/>
        <w:spacing w:after="0" w:line="274" w:lineRule="auto"/>
        <w:rPr>
          <w:sz w:val="20"/>
          <w:szCs w:val="20"/>
          <w:color w:val="auto"/>
        </w:rPr>
      </w:pPr>
      <w:r>
        <w:rPr>
          <w:rFonts w:ascii="Times New Roman" w:cs="Times New Roman" w:eastAsia="Times New Roman" w:hAnsi="Times New Roman"/>
          <w:sz w:val="17"/>
          <w:szCs w:val="17"/>
          <w:color w:val="auto"/>
        </w:rPr>
        <w:t>Our patent portfolio relating to the Morphomer Tau therapeutic program includes patent applications that we own or co-own in four different patent families. As of December 31, 2022, we owned or co-owned approximately 48 pending patent applications and 4 issued patents, including one U.S. issued patent in our main patent family directed to the ACI-3024 small molecule Tau aggregation inhibitor. If the appropriate maintenance, renewal, annuity, or other governmental fees are paid, national-stage applications claiming priority from this PCT patent application, if issued, are expected to expire in 2039, excluding any additional term for patent term adjustments or patent term extensions, as applicable.</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PI-2620</w:t>
      </w:r>
    </w:p>
    <w:p>
      <w:pPr>
        <w:spacing w:after="0" w:line="216"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Our patent portfolio relating to PI-2620 includes patent applications with claims directed to composition of matter (including claims directed to the molecule, its precursor and a diagnostic composition comprising such molecule), claims directed to diagnosis of certain indications using PI-2620 including AD and PSP, and claims directed to a method of manufacturing PI-2620, among others.</w:t>
      </w:r>
    </w:p>
    <w:p>
      <w:pPr>
        <w:spacing w:after="0" w:line="180"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Our patent portfolio relating to PI-2620 includes patent applications that we own or co-own in three different patent families. As of December 31, 2022, we owned or co-owned 6 patents and approximately 12 patent applications in 16</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countries in our main patent family directed to the PI-2620 molecule, its precursor and methods of using the PI-2620 to diagnose certain indications, including AD and PSP. This main patent family includes one issued U.S. patent. If the appropriate maintenance, renewal, annuity, or other governmental fees are paid, national-stage applications claiming priority from this PCT patent application, if issued, are expected to expire in 2037, excluding any additional term for patent term adjustments or patent term extensions, as applicable.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ACI-12589</w:t>
      </w:r>
    </w:p>
    <w:p>
      <w:pPr>
        <w:spacing w:after="0" w:line="229" w:lineRule="exact"/>
        <w:rPr>
          <w:sz w:val="20"/>
          <w:szCs w:val="20"/>
          <w:color w:val="auto"/>
        </w:rPr>
      </w:pPr>
    </w:p>
    <w:p>
      <w:pPr>
        <w:jc w:val="both"/>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patent portfolio relating to a-syn diagnostics includes composition of matter claims (including claims directed to the ACI-12589 molecule, its precursor, and diagnostic compositions comprising the molecule), and claims directed to use of the molecule in imaging and in diagnostics of a-synucleinopathies including PD and MSA.</w:t>
      </w:r>
    </w:p>
    <w:p>
      <w:pPr>
        <w:spacing w:after="0" w:line="18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a-syn diagnostics includes patents and patent applications that we own in three different patent families. As of December 31, 2022, we owned or co-owned approximately 17 patent applications in 17 countries in our main patent family directed to the ACI 12589 molecule, its precursor, diagnostic compositions, and methods of using ACI-12589 for imaging and diagnostics of a-synucleinopathies including PD and MSA. If the appropriate maintenance, renewal, annuity or other governmental fees are paid, any issued patents are expected to provide protection up to 2041, excluding any additional term for patent term adjustments or patent term extensions, as applicable.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do not own or operate facilities for the manufacture, testing, packaging, labeling, storage or distribution of preclinical or clinical supplies of any of our product candidates. We instead contract with and rely on third-party CMOs to manufacture, package, label, store, test and distribute all preclinical and clinical supplies of our product candidates, and we plan to continue to do so for the foreseeable future. We have established relationships with CMOs such as WuXi AppTec (WuXi STA), WuXi Biologics, Avecia, Almac Clinical Services, Bachem AG, Evonik Industries AG, Polymun Scientific Immunbiologische Forschung GmbH, piCHEM Forschungs-und Entwicklungs GmbH, Baccinex SA, Solvias AG and Pfenex Inc. among others.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governing rules and quality requirements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facilities used by our collaboration partners and CMOs to manufacture our product candidates are systematically audited by local authorities and occasionally inspected by competent authorities where the clinical studies are ongoing. The facilities where the commercial productions are performed will have to be approved by the FDA or other relevant regulatory authorities, pursuant to inspections that are conducted after we submit our NDA or comparable marketing applications. We perform periodic quality audits of the manufacturing facilities and CMOs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QCs and QA systems including personnel qualification.</w:t>
      </w:r>
    </w:p>
    <w:p>
      <w:pPr>
        <w:spacing w:after="0" w:line="192" w:lineRule="exact"/>
        <w:rPr>
          <w:sz w:val="20"/>
          <w:szCs w:val="20"/>
          <w:color w:val="auto"/>
        </w:rPr>
      </w:pPr>
    </w:p>
    <w:p>
      <w:pPr>
        <w:ind w:left="60" w:right="479" w:firstLine="324"/>
        <w:spacing w:after="0" w:line="253" w:lineRule="auto"/>
        <w:rPr>
          <w:sz w:val="20"/>
          <w:szCs w:val="20"/>
          <w:color w:val="auto"/>
        </w:rPr>
      </w:pPr>
      <w:r>
        <w:rPr>
          <w:rFonts w:ascii="Times New Roman" w:cs="Times New Roman" w:eastAsia="Times New Roman" w:hAnsi="Times New Roman"/>
          <w:sz w:val="18"/>
          <w:szCs w:val="18"/>
          <w:color w:val="auto"/>
        </w:rPr>
        <w:t>After manufacturing, our products are submitted to extensive characterization and QC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product stability during the storage period; this, in addition to guaranteeing the safety of the products, supports the definition of a suitable supply chain that may encompass the distribution of the products in different continents.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Contractual framework</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with CMOs supplying and testing active pharmaceutical ingredients, drug substances or drug products under cGMP, quality agreements and master service agreements. Quality agreements define the quality standards required to develop, produce and supply the product, and also define the responsibilities related to the collaboration with regards to the quality related aspects. Manufacturing service agreements define the commercial and</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financial framework under which product manufacturing and testing under cGMP is performed. Any failure to achieve and maintain compliance with the laws, regulations and standards, suspension of the manufacturing of our product candidates or withdrawals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that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which may offer the chance to rapidly identify alternative contract manufacturers to whom the manufacturing process could be transferred providing continuity for the clinical study. Finally, our contracts may also offer us limited remedies.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Interaction with CMOs</w:t>
      </w:r>
    </w:p>
    <w:p>
      <w:pPr>
        <w:spacing w:after="0" w:line="22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Finally, our partnerships with CMOs are managed through an efficient project management platform in which teams are formed with the representatives of each key function from both parties. Meetings occur either through telephone conferences aimed at updating short-term actions or face-to-face conferences when mid- to long-term development plans are discussed.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 regulation and our regulatory department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regulatory department has a strong culture of regulatory compliance, operating under three guiding principles, to:</w:t>
      </w:r>
    </w:p>
    <w:p>
      <w:pPr>
        <w:spacing w:after="0" w:line="225" w:lineRule="exact"/>
        <w:rPr>
          <w:sz w:val="20"/>
          <w:szCs w:val="20"/>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constructive regulatory input for development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smooth regulatory approvals by anticipating hurdles;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confidence with regulators by continuous communication.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QA group is included within the regulatory department with the mission to:</w:t>
      </w:r>
    </w:p>
    <w:p>
      <w:pPr>
        <w:spacing w:after="0" w:line="225" w:lineRule="exact"/>
        <w:rPr>
          <w:sz w:val="20"/>
          <w:szCs w:val="20"/>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maintain a corporate quality management system;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cGCP, cGMP, cGLP and current Good Distribution Practice (cGDP) compliance.</w:t>
      </w:r>
    </w:p>
    <w:p>
      <w:pPr>
        <w:spacing w:after="0" w:line="225"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A science-driven approach is the cornerstone of our interactions and this has helped us to build and maintain a high level of trust with regulators. Besides informal conversations with the authorities, our regulatory department has conducted several pre-Investigational New Drug (pre-IND), Type B and Type C meetings with the FDA (ACI-24.060 for AD and DS, ACI-7104.056 and PI-2620) and Scientific Advice meetings, which are the European equivalent of pre-IND meetings (with the German Paul-Ehrlich-Institut, Swedish Medical Products Agency; UK Medicine &amp; Healthcare Products Regulatory Agency, Finnish Medicines Agency, the Spanish Agency of Medicines and Medical Devices and the EMA). Since 2008, our regulatory department has filed a total of 24 clinical trial applications in the EU (one each in Austria, Denmark, the Netherlands and Poland, two in Spain, three in Germany, three in Sweden, four in Finland and eight in the UK) and 4 INDs in the U.S..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and the EMA, are intended to facilitate expeditious execution through the regulatory approval process.</w:t>
      </w:r>
    </w:p>
    <w:p>
      <w:pPr>
        <w:spacing w:after="0" w:line="194"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regulatory department contains a QA group. As every quality issue ultimately requires regulatory involvement and input, this approach is intended to lead to rapid resolution of issues and ensure full compliance to satisfy both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color w:val="auto"/>
        </w:rPr>
        <w:t>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regulatory department is also tasked with generating our annual quality plan. The personnel tasked with QA have issued a set of approximately 109 standard operating procedures and working instructions and continuously train the relevant staff. Our QA personnel conduct regular audits, including in-person audits of the contract manufacturers, contract research organizations and laboratories conducting primary endpoint analysis. In addition, we have a full-time QA documentation assistant to ensure good documentation practice and archiving.</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 process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clinical studies, manufacturing, labeling, storage, distribution, record-keeping, advertising, promotion, import, export and marketing, among other things, of our product candidates are subject to extensive regulation by governmental authorities in the U.S. and other countries. The U.S. FDA, under the Federal Food, Drug, and Cosmetic Act (FDCA), regulates pharmaceutical products in the U.S.. The steps required before a drug may be approved for marketing in the U.S. generally include:</w:t>
      </w:r>
    </w:p>
    <w:p>
      <w:pPr>
        <w:spacing w:after="0" w:line="170" w:lineRule="exact"/>
        <w:rPr>
          <w:sz w:val="20"/>
          <w:szCs w:val="20"/>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preclinical laboratory tests and animal tests conducted under cGLP regulations;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application for human clinical testing, which must become effective before human clinical studies commence;</w:t>
      </w:r>
    </w:p>
    <w:p>
      <w:pPr>
        <w:spacing w:after="0" w:line="161"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positive opinion from the ethics committee (Europe)/institutional review board (U.S.) to commence study on human subjects;</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adequate and well-controlled human clinical studies to establish the safety and efficacy of the product candidate for each proposed indication and conducted in accordance with cGCP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pre-NDA submission meeting with FDA (highly recommended);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NDA;</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acceptance of the NDA;</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(PAI) of the manufacturing facilities at which the product is made to assess compliance with cGMP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an NDA prior to any commercial marketing or sale of the drug in the U.S.; and</w:t>
      </w:r>
    </w:p>
    <w:p>
      <w:pPr>
        <w:spacing w:after="0" w:line="22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parallel scientific advice from the EMA or Health Technology Assessment body whereby the payors are involved at the outset (Phase 2), which is intended to facilitate the design of clinical studies to target primarily populations with a high chance of obtaining reimbursement and accelerate the process of time to reimbursement.</w:t>
      </w:r>
    </w:p>
    <w:p>
      <w:pPr>
        <w:spacing w:after="0" w:line="1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designation, which are intended to increase agency interactions, expedite or facilitate the process for reviewing product candidates, and/or provide for initial approval based on surrogate endpoints. We believe that one or more of our product candidates may qualify for some of these expedited development and review programs. However, even if a product candidate qualifies for one or more of these programs, the FDA may later decide that the product candidate no longer meets the conditions for qualification.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it provides a significant improvement in the treatment, diagnosis or prevention of a disease compared with marketed products. The FDA will attempt to direct additional resources to the evaluation of an application for a new drug designated for Priority Review to facilitate the review. Additionally, a product may be eligible for the Accelerated Approval program. Product candidates that are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as a condition for Accelerated Approval the FDA currently requires pre-approval of promotional materials, which could adversely impact the timing of the commercial launch of the product. The Fast Track, Priority Review and Accelerated Approval programs do not change the standards for approval but may expedite the development or approval process.</w:t>
      </w:r>
    </w:p>
    <w:p>
      <w:pPr>
        <w:spacing w:after="0" w:line="17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The Food and Drug Administration Safety and Innovation Act of 2012 also amended the FDCA to require the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in one or more clinically significant endpoints. A sponsor may request that a drug be designated as a breakthrough therapy at any time during the clinical development of the product. If so designated, the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receipt and timing of any approval is uncertain. Given this paradigm, AD has been given Life-Threatening Disease status by the FDA and therefore AD therapies are eligible for the expanded access program for investigational drugs and other pathways such as Breakthrough Therapy, Accelerated Approval and Priority Review. Additionally, a single well-designed, well-conducted, pivotal clinical study could be sufficient to trigger market approval pending a successful PAI.</w:t>
      </w:r>
    </w:p>
    <w:p>
      <w:pPr>
        <w:spacing w:after="0" w:line="17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automatically become effective 30 days after receipt by the FDA,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unless the FDA raises concerns or questions about the conduct of the studies as outlined in the IND prior to that time. In this case, the IND sponsor and the FDA must resolve any outstanding concerns before clinical studies can proceed.</w:t>
      </w:r>
    </w:p>
    <w:p>
      <w:pPr>
        <w:spacing w:after="0" w:line="162"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Board/Committee. This group provides authorization for whether or not a study may move forward at designated checkpoints based on access to certain data from the study. We may also suspend or terminate a clinical study based on evolving business objectives and/or competitive climate.</w:t>
      </w:r>
    </w:p>
    <w:p>
      <w:pPr>
        <w:spacing w:after="0" w:line="194"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Clinical studies are typically conducted in three sequential phases prior to approval, but the phases may overlap. These phases generally include the following:</w:t>
      </w:r>
    </w:p>
    <w:p>
      <w:pPr>
        <w:spacing w:after="0" w:line="162"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76"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Phase 2. Phase 2 clinical studies usually involve studies in a limited patient population to (i) evaluate the efficacy of the product candidate for specific indications, (ii) determine dosage tolerance and optimal dosage, and (iii) identify possible adverse effects and safety risks.</w:t>
      </w:r>
    </w:p>
    <w:p>
      <w:pPr>
        <w:spacing w:after="0" w:line="18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Phase 4. 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post-marketing requirements or commitments. Failure to conduct any required Phase 4 clinical studies promptly could result in withdrawal of approval.</w:t>
      </w:r>
    </w:p>
    <w:p>
      <w:pPr>
        <w:spacing w:after="0" w:line="18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user-fee payment. The FDA has substantial discretion in the approval process and may refuse to accept any application or decide that the data is insufficient for approval and require additional preclinical, clinical or other studies.</w:t>
      </w:r>
    </w:p>
    <w:p>
      <w:pPr>
        <w:spacing w:after="0" w:line="170"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estimate that it generally takes 10 to 15 years, or possibly longer, to discover, develop and bring to market a new pharmaceutical or biopharmaceutical product in the U.S.. Several years may be needed to complete each phase, including discovery, preclinical, Phase 1, 2 or 3, or marketing authorization.</w:t>
      </w:r>
    </w:p>
    <w:p>
      <w:pPr>
        <w:spacing w:after="0" w:line="176" w:lineRule="exact"/>
        <w:rPr>
          <w:sz w:val="20"/>
          <w:szCs w:val="20"/>
          <w:color w:val="auto"/>
        </w:rPr>
      </w:pPr>
    </w:p>
    <w:p>
      <w:pPr>
        <w:jc w:val="both"/>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(FDASIA), which was signed into law on July 9, 2012, amended the FDCA. The FDASIA requires that a sponsor who is planning to submit a marketing application for a drug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or biological product that includes a new active ingredient, new indication, new dosage form, new dosing regimen or new route of administration submit an initial Pediatric Study Plan within 60 days of an end-of-Phase-2 meeting or as may be agreed between the sponsor and the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Pediatric Study Plan. A sponsor can submit amendments to an agreed-upon initial Pediatric Study Plan at any time if changes to the pediatric plan need to be considered based on data collected from nonclinical studies, early-phase clinical trials, and/or other clinical development programs.</w:t>
      </w:r>
    </w:p>
    <w:p>
      <w:pPr>
        <w:spacing w:after="0" w:line="18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(PDUFA), as amended, each NDA must be accompanied by a user fee. The FDA adjusts the PDUFA user fees on an annual basis. PDUFA VI eliminates fees for supplements as well as for establishments, although applicants will be assessed for annual prescription drug program fees for prescription drug products, rather than the prescription drug product fee assessed under the previous iteration of PDUFA. According to the FDA’s fee schedule for the 2022 FY, the user fee for each NDA application requiring clinical data is USD 3,242,026 and the annual program fee is USD 393,933.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Once the NDA submission has been submitted, the FDA has 60 days after submission of the NDA to conduct an initial review to determine whether it is sufficient to accept for filing. Under the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 regulations and may also inspect clinical study sites for integrity of the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After the FDA evaluates the NDA and conducts inspections of the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 or studies,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post-marketing studies or clinical studies. Such post-marketing testing may include Phase 4 clinical studies and surveillance to further assess and monitor the product’s safety and effectiveness after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Special protocol assessment</w:t>
      </w:r>
    </w:p>
    <w:p>
      <w:pPr>
        <w:spacing w:after="0" w:line="229"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The FDA and an IND sponsor may agree in writing on the design and size of clinical studies intended to form the primary basis of a claim of effectiveness in an NDA. This process is known as a special protocol assessment (SPA). Upon a specific request for a SPA by an IND sponsor, the FDA will evaluate the protocol. If an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agreed-upon protocol, or the relevant data, assumptions, or information provided by the IND sponsor when requesting a SPA agreement change, are found to be false statements or misstatements, or are found to omit relevant facts. An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Orphan-drug designation</w:t>
      </w:r>
    </w:p>
    <w:p>
      <w:pPr>
        <w:spacing w:after="0" w:line="21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a disease or condition that either affects fewer than 200,000 individuals in the U.S., or affects more than 200,000 individuals in the U.S. but there is no reasonable expectation that the cost of developing and making a drug product available in the U.S. for this type of disease or condition will be recovered from sales of the product in the U.S.. Orphan-product designation must be requested before submitting an NDA. After the FDA grants orphan-product designation, the identity of the therapeutic agent and its potential orphan use are disclosed publicly by the FDA. Orphan-product designation does not convey any advantage in or shorten the duration of the regulatory review and approval process.</w:t>
      </w:r>
    </w:p>
    <w:p>
      <w:pPr>
        <w:spacing w:after="0" w:line="178" w:lineRule="exact"/>
        <w:rPr>
          <w:sz w:val="20"/>
          <w:szCs w:val="20"/>
          <w:color w:val="auto"/>
        </w:rPr>
      </w:pPr>
    </w:p>
    <w:p>
      <w:pPr>
        <w:ind w:left="60" w:right="79" w:firstLine="324"/>
        <w:spacing w:after="0" w:line="265"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orphan-product exclusivity, which means that the FDA cannot approve any other applications to market the same drug or biological product for the same indication for 7 years, except in limited circumstances, such as a showing of clinical superiority to the product with orphan exclusivity. The designation of such drug also entitles a party to financial incentives such as opportunities for grant funding toward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Orphan-product exclusivity also could block the approval of one of our products for</w:t>
      </w:r>
    </w:p>
    <w:p>
      <w:pPr>
        <w:spacing w:after="0" w:line="6"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7 years if a competitor obtains approval of the same drug or biological product as defined by the FDA or if our product candidate is determined to be contained within the competitor’s product for the same indication or disease. If a drug product designated as an orphan product receives marketing approval for an indication broader than what is designated, it may not be entitled to orphan-product exclusivity. Orphan-drug status in the EU has similar but not identical benefits in that jurisdiction.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21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be required to be disclosed in the future.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199" w:firstLine="324"/>
        <w:spacing w:after="0" w:line="274"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user-fee requirements for any marketed products and the establishments at which such products are manufactured, as well as new application fees for supplemental applications with clinical data.</w:t>
      </w:r>
    </w:p>
    <w:p>
      <w:pPr>
        <w:spacing w:after="0" w:line="15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areas of production and QC to maintain cGMP compliance.</w:t>
      </w:r>
    </w:p>
    <w:p>
      <w:pPr>
        <w:spacing w:after="0" w:line="17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or other restrictions under a REMS program. Other potential consequences include, among other things:</w:t>
      </w:r>
    </w:p>
    <w:p>
      <w:pPr>
        <w:spacing w:after="0" w:line="187" w:lineRule="exact"/>
        <w:rPr>
          <w:sz w:val="20"/>
          <w:szCs w:val="20"/>
          <w:color w:val="auto"/>
        </w:rPr>
      </w:pPr>
    </w:p>
    <w:p>
      <w:pPr>
        <w:ind w:left="720" w:right="559" w:hanging="319"/>
        <w:spacing w:after="0" w:line="282"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product candidates, some of our U.S. patents may be eligible for limited patent term extension under the Drug Price Competition and Patent Term Restoration Act of 1984, referred to as the Hatch-Waxman Act. The Hatch-Waxman Act permits a patent term to be extended up to 5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of the time between the effective date of an IND and the submission date of an NDA, plus the time between the submission date of an NDA and the approval of that application, except that the review period is reduced by any time during which the applicant failed 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exercise due diligence. Only one patent applicable to an approved drug is eligible for the extension. Extensions are not granted as a matter of right and the extension must be applied for prior to expiration of the patent and within a 60-day period from the date the product is first approved for commercial marketing. The USPTO,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 containing it.</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the future, we may apply for patent term restoration for some of our presently owned patents to add patent life</w:t>
      </w:r>
    </w:p>
    <w:p>
      <w:pPr>
        <w:spacing w:after="0" w:line="1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beyond their current expiration date, depending on the expected length of clinical studies and other factors involved in the submission of the relevant NDA; however, there can be no assurance that any such extension will be granted to us.</w:t>
      </w:r>
    </w:p>
    <w:p>
      <w:pPr>
        <w:spacing w:after="0" w:line="183"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provides up to 12 years of non-patent data exclusivity within the U.S. to the first applicant to gain approval of a Biologics License Application for a new biologic product that has not previously been approved by the FDA, which we refer to as a reference product. This 12-year data exclusivity does prohibit the FDA from approving a biosimilar or interchangeable product of such reference product until 12 years after the licensure of such reference product. In addition, the FDA will not accept a biosimilar or interchangeable product application for review until 4 years after the date of first licensure of such reference product. Under 21CFR314.108,</w:t>
      </w:r>
    </w:p>
    <w:p>
      <w:pPr>
        <w:spacing w:after="0" w:line="2" w:lineRule="exact"/>
        <w:rPr>
          <w:sz w:val="20"/>
          <w:szCs w:val="20"/>
          <w:color w:val="auto"/>
        </w:rPr>
      </w:pPr>
    </w:p>
    <w:p>
      <w:pPr>
        <w:ind w:left="60" w:right="359"/>
        <w:spacing w:after="0" w:line="250" w:lineRule="auto"/>
        <w:rPr>
          <w:sz w:val="20"/>
          <w:szCs w:val="20"/>
          <w:color w:val="auto"/>
        </w:rPr>
      </w:pPr>
      <w:r>
        <w:rPr>
          <w:rFonts w:ascii="Times New Roman" w:cs="Times New Roman" w:eastAsia="Times New Roman" w:hAnsi="Times New Roman"/>
          <w:sz w:val="18"/>
          <w:szCs w:val="18"/>
          <w:color w:val="auto"/>
        </w:rPr>
        <w:t>5 years’ exclusivity is also granted to new chemical entities that contain no active moiety that has been approved by the FDA under section 505(b). This market exclusivity bars the FDA from accepting for review any ANDA or 505(b)</w:t>
      </w:r>
    </w:p>
    <w:p>
      <w:pPr>
        <w:spacing w:after="0" w:line="1" w:lineRule="exact"/>
        <w:rPr>
          <w:sz w:val="20"/>
          <w:szCs w:val="20"/>
          <w:color w:val="auto"/>
        </w:rPr>
      </w:pPr>
    </w:p>
    <w:p>
      <w:pPr>
        <w:ind w:left="60" w:right="99" w:hanging="10"/>
        <w:spacing w:after="0" w:line="249" w:lineRule="auto"/>
        <w:tabs>
          <w:tab w:leader="none" w:pos="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a drug containing the same active moiety for (i) 5 years if an ANDA or 505(b)(2) application does not contain a paragraph IV certification to a listed patent, or (ii) 4 years if an ANDA or 505(b)(2) is submitted containing a paragraph IV certification to a listed patent. Moreover, pediatric exclusivity, if granted, may add 6 months of exclusivity if the reference product has been studied with respect to a pediatric indication in accordance with certain regulatory requirements. A reference product may also be granted 7 years of orphan-drug exclusivity for the treatment of a rare disease or condition under section 527(a) of FDCA, which would run in parallel with the 12 years of data exclusivity of the reference product, if applicable.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Non-U.S. regulation</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U.S. apply similarly in the context of the EU,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EU drug review approval</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the EEA, which is comprised of the 27 Member States of the EU plus Norway, Iceland and Liechtenstein medicinal products can only be commercialized after obtaining a marketing authorization. There are two types of marketing authorization: the Community Marketing Authorization, which is issued by the EC through the Centralized Procedure based on the opinion of the Committee for Medicinal Products for Human Use (CHMP), a body of the EMA, and which is valid throughout the entire territory of the EEA; and the National Marketing Authorization, which is issued by the competent authorities of the Member States of the EEA and authorizes marketing only in that Member State’s national territory and not the EEA as a whole.</w:t>
      </w:r>
    </w:p>
    <w:p>
      <w:pPr>
        <w:spacing w:after="0" w:line="18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Centralized Procedure is compulsory for human medicines for the treatment of human immunodeficiency virus or acquired immune deficiency syndrome (AIDS), cancer, diabetes, neurodegenerative diseases, autoimmune and other immune dysfunctions, and viral diseases; for veterinary medicines for use as growth or yield enhancers; for medicines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7"/>
          <w:szCs w:val="17"/>
          <w:color w:val="auto"/>
        </w:rPr>
        <w:t>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 The National Marketing Authorization is for products not falling within the mandatory scope of the Centralized Procedure. Where a product has already been authorized for marketing in a Member State of the EEA, this National Marketing Authorization can be recognized in another Member State through the Mutual Recognition Procedure. If the product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marketing authorization is sought, one of which is selected by the applicant as the Reference Member State (RMS). If the RMS proposes to authorize the product, and the other Member States do not raise objections, the product is granted a National Marketing Authorization in all the Member States in which the authorization was sought. Before granting the marketing authorization, the EMA or the competent authorities of the Member States of the EEA assesses the risk–benefit balance of the product on the basis of scientific criteria concerning its quality, safety and efficacy.</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EU</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the regulatory approval process, and safety monitoring of medicinal products and their manufacturers in the EU proceed in much the same manner as they do in the U.S.. Therefore, many of the issues discussed above apply similarly in the context of the EU. In addition, drugs are subject to the extensive price and reimbursement regulations of the various EU Member States.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w:t>
      </w:r>
    </w:p>
    <w:p>
      <w:pPr>
        <w:spacing w:after="0" w:line="229" w:lineRule="exact"/>
        <w:rPr>
          <w:sz w:val="20"/>
          <w:szCs w:val="20"/>
          <w:color w:val="auto"/>
        </w:rPr>
      </w:pPr>
    </w:p>
    <w:p>
      <w:pPr>
        <w:ind w:left="60" w:right="99" w:firstLine="324"/>
        <w:spacing w:after="0" w:line="249" w:lineRule="auto"/>
        <w:rPr>
          <w:sz w:val="20"/>
          <w:szCs w:val="20"/>
          <w:color w:val="auto"/>
        </w:rPr>
      </w:pPr>
      <w:r>
        <w:rPr>
          <w:rFonts w:ascii="Times New Roman" w:cs="Times New Roman" w:eastAsia="Times New Roman" w:hAnsi="Times New Roman"/>
          <w:sz w:val="18"/>
          <w:szCs w:val="18"/>
          <w:color w:val="auto"/>
        </w:rPr>
        <w:t>As is the case in the U.S., the various phases of preclinical and clinical research in the EU are subject to significant regulatory controls. The new Clinical Trials Regulation (Regulation (EU) No 536/2014) came into force on 31 January 2022. The new Regulation repealed the Clinical Trials Directive (EC) No. 2001/20/EC and national implementing legislation in the EU Member States, which regulated clinical trials in the EU until the Regulation's entry into application. A transition period applies to new clinical trial submissions under the Regulation. New clinical trial applications may be submitted under the Clinical Trials Directive until 30 January 2023, after which all new clinical trial applications will need to be submitted under the Regulation. Ongoing clinical trials under the Clinical Trials Directive have until 30 January 2025 to transition to the Regulation. The Regulation, provides a system for the approval of clinical studies in the European Union via a single online platform known as the Clinical Trials Information System (CTIS) for approval to run a clinical trial in several European countries, making it more efficient to carry out such multinational trials. Under this system, a single application dossier is submitted through CTIS to all Concerned Member States (CMS) where it is intended to conduct the trial. Using a harmonized format, the dossier consists of two parts, Part I contains the more scientific documents, whereas Part II contains the national documents. The review and evaluation is coordinated by one of the Member States, referred to as the Reference Member State (RMS). The Reference Member State is responsible for the evaluation of Part I whereas Part II assessment will be conducted separately by each individual CMS for its own country, including the review by the Ethics Committee. A clinical trial may only be started after the positive assessment by the RMS, and the approval by each CMS.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EEA. European regulators and ethics committees also require the submission of AE reports during a study and a copy of the final study report.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216"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Marketing approvals under the EU regulatory system may be obtained through a centralized or decentralized procedure. The centralized procedure results in the grant of a single marketing authorization, which is valid for all (currently 27) EU Member States and the three European Free Trade Association (EFTA) members (Norway, Iceland and Liechtenstein).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Pursuant to Regulation (EC) No. 726/2004, as amended, the centralized procedure is mandatory for drugs developed by means of specified biotechnological processes, advanced-therapy medicinal products, drugs for human use containing a new active substance for which the therapeutic indication is the treatment of specified diseases, including but not limited to AIDS,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8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the marketing authorization application, the applicant must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the manufacturing and control information that should be submitted in a marketing authorization application, and the post-approval measures required to monitor patients and evaluate the long-term efficacy and potential adverse reactions. Although these guidelines are not legally binding, we believe that our compliance with them is likely to be necessary to gain approval for any of our product candidates.</w:t>
      </w:r>
    </w:p>
    <w:p>
      <w:pPr>
        <w:spacing w:after="0" w:line="18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maximum timeframe for the evaluation of a marketing authorization application by the CHMP under the centralized procedure is 210 days after receipt of a valid application. This period will be suspended until such time as the supplementary information requested by the CHMP has been provided by the applicant. Likewise, this time limit will be suspended for the time allowed for the applicant to prepare oral or written explanations. When an application is submitted for a marketing authorization in respect of a drug that is of major interest from the viewpoint of public health and in particular therapeutic innovation, the applicant may request an accelerated assessment procedure. If the CHMP accepts such a request, the time limit of 210 days will be reduced to 150 days, but it is possible that the CHMP can revert to the standard time limit for the centralized procedure if it considers that it is no longer appropriate to conduct an accelerated assessment.</w:t>
      </w:r>
    </w:p>
    <w:p>
      <w:pPr>
        <w:spacing w:after="0" w:line="190"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If the CHMP concludes that the quality, safety and efficacy of the product are sufficiently proven, it adopts a positive opinion. This is sent to the EC, which drafts a decision within approximately 67 days following the CHMP opinion. After consulting with the Member States, the EC adopts a decision and grants a marketing authorization, which is valid for the whole of the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EMA has various programs, including accelerated assessment, conditional approval and PRIority MEdicines (PRIME), which are intended to increase agency interactions, expedite or facilitate the process for reviewing product candidates, and/or provide for initial approval on the basis of surrogate endpoints. One or more of our product candidates may qualify for some of these expedited development and review programs. However, even if a product candidate qualifies for one or more of these programs, the EMA may later decide that the product candidate no longer meets the conditions for qualification. Eligibility to the PRIME scheme is limited to products considered to offer a major therapeutic advantage in populations with high unmet need. PRIME is a voluntary scheme aimed at enhancing interaction and early dialogue with developers of promising medicines through achieving the early appointment of the Rapporteur for the product, optimizing development plans and speeding up evaluation so these medicines can reach patients earlier. Products benefiting from PRIME can expect to be eligible for accelerated assessment at the time of application for a marketing authorization application.</w:t>
      </w:r>
    </w:p>
    <w:p>
      <w:pPr>
        <w:spacing w:after="0" w:line="174"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EU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8 years of data exclusivity and an additional 2 years of market exclusivity. Data exclusivity prevents regulatory authorities in the EU from referencing the innovator’s data to assess a generic (abbreviated) application. During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additional 2-year period of market exclusivity, a generic marketing authorization can be submitted, and the innovator’s data may be referenced, but no generic medicinal product can be marketed until the expiration of the market exclusivity. The overall 10-year period will be extended to a maximum of 11 years if, during the first 8 years of those 10 years, the marketing authorization holder (MAH) obtains an authorization for one or more new therapeutic indications that, during the scientific evaluation prior to their authorization, are held to bring a significant clinical benefit in comparison with existing therapies. Even if a compound is considered to be a new chemical entity and the innovator can gain the period of data exclusivity, another company nevertheless could also market another version of the drug if such company obtained marketing authorization based on a marketing authorization application with a completely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an SPC of up to 5 years’, pursuant to Regulation (EC) No. 469/2009. Such SPCs extend the rights under the basic patent for the drug.</w:t>
      </w:r>
    </w:p>
    <w:p>
      <w:pPr>
        <w:spacing w:after="0" w:line="19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an orphan medicinal product pursuant to Regulation (EC) No. 141/2000, as amended. Instead, a medicinal product designated as an orphan medicinal product may enjoy an extension of the 10-year market exclusivity period granted under Regulation (EC) No. 141/2000 to 12 years subject to the conditions applicable to orphan drugs.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Orphan drug regulation</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 the EU, Regulation (EC) No. 141/2000, as amended, states that a drug will be designated as an orphan drug if its sponsor can establish:</w:t>
      </w:r>
    </w:p>
    <w:p>
      <w:pPr>
        <w:spacing w:after="0" w:line="162" w:lineRule="exact"/>
        <w:rPr>
          <w:sz w:val="20"/>
          <w:szCs w:val="20"/>
          <w:color w:val="auto"/>
        </w:rPr>
      </w:pPr>
    </w:p>
    <w:p>
      <w:pPr>
        <w:ind w:left="720" w:right="439" w:hanging="319"/>
        <w:spacing w:after="0" w:line="254"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intended for the diagnosis, prevention or treatment of a life-threatening or chronically debilitating condition affecting not more than 5 in 10,000 persons in the EU when the application is made, or that it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and</w:t>
      </w:r>
    </w:p>
    <w:p>
      <w:pPr>
        <w:spacing w:after="0" w:line="187"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exists no satisfactory method of diagnosis, prevention or treatment of the condition in question that has been authorized in the EU or, if such method exists, that the drug will be of significant benefit to those affected by that condition.</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If an EU-wide community marketing authorization in respect of an orphan drug is granted or if all the EU Member States have granted marketing authorizations in accordance with the procedures for mutual recognition, the EU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6 years if, at the end of the fifth year, it is established, with respect to the drug concerned, that the criteria for orphan-drug designation are no longer met; in other words, when it is shown on the basis of available evidence that the product is sufficiently profitable not to justify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maintenance of market exclusivity. Notwithstanding the foregoing, a marketing authorization may be granted, for the same therapeutic indication, to a similar drug if:</w:t>
      </w:r>
    </w:p>
    <w:p>
      <w:pPr>
        <w:spacing w:after="0" w:line="162" w:lineRule="exact"/>
        <w:rPr>
          <w:sz w:val="20"/>
          <w:szCs w:val="20"/>
          <w:color w:val="auto"/>
        </w:rPr>
      </w:pPr>
    </w:p>
    <w:p>
      <w:pPr>
        <w:ind w:left="720" w:right="759" w:hanging="319"/>
        <w:spacing w:after="0" w:line="282"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drug has given its consent to the second applicant;</w:t>
      </w:r>
    </w:p>
    <w:p>
      <w:pPr>
        <w:spacing w:after="0" w:line="16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drug is unable to supply sufficient quantities of the drug; or</w:t>
      </w:r>
    </w:p>
    <w:p>
      <w:pPr>
        <w:spacing w:after="0" w:line="16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the application that the second drug, although similar to the orphan drug already authorized, is safer, more effective or otherwise clinically superior.</w:t>
      </w:r>
    </w:p>
    <w:p>
      <w:pPr>
        <w:spacing w:after="0" w:line="16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Other incentives available to orphan drugs in the EU include financial incentives such as a reduction of fees or fee waivers and protocol assistance. Orphan-drug designation does not shorten the duration of the regulatory review and approval process.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manufacturers’ license</w:t>
      </w:r>
    </w:p>
    <w:p>
      <w:pPr>
        <w:spacing w:after="0" w:line="229"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Wholesale distribution and license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cGDP.</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left="60" w:right="319" w:firstLine="324"/>
        <w:spacing w:after="0" w:line="274" w:lineRule="auto"/>
        <w:rPr>
          <w:sz w:val="20"/>
          <w:szCs w:val="20"/>
          <w:color w:val="auto"/>
        </w:rPr>
      </w:pPr>
      <w:r>
        <w:rPr>
          <w:rFonts w:ascii="Times New Roman" w:cs="Times New Roman" w:eastAsia="Times New Roman" w:hAnsi="Times New Roman"/>
          <w:sz w:val="17"/>
          <w:szCs w:val="17"/>
          <w:color w:val="auto"/>
        </w:rPr>
        <w:t xml:space="preserve">In the EU, the promotion of prescription medicines is subject to intense regulation and control, including EU and national legislation as well as self-regulatory codes (industry codes). Advertising legislation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xml:space="preserve"> includes a prohibition on direct-to-consumer advertising. All advertising of prescription medicines must be consistent with the product’s approved Summary of Product Characteristics, and must be factual, accurate, balanced and not misleading. Advertising of prescription medicines pre-approval or off-label is not allowed. Some jurisdictions require that all promotional materials for prescription medicines be subjected to prior review and approval, either internal or regulatory.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An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The obligations of an MAH include the following:</w:t>
      </w:r>
    </w:p>
    <w:p>
      <w:pPr>
        <w:spacing w:after="0" w:line="225" w:lineRule="exact"/>
        <w:rPr>
          <w:sz w:val="20"/>
          <w:szCs w:val="20"/>
          <w:color w:val="auto"/>
        </w:rPr>
      </w:pPr>
    </w:p>
    <w:p>
      <w:pPr>
        <w:ind w:left="720" w:right="179" w:hanging="319"/>
        <w:spacing w:after="0" w:line="290" w:lineRule="auto"/>
        <w:tabs>
          <w:tab w:leader="none" w:pos="7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Manufacturing and batch release</w:t>
      </w:r>
      <w:r>
        <w:rPr>
          <w:rFonts w:ascii="Times New Roman" w:cs="Times New Roman" w:eastAsia="Times New Roman" w:hAnsi="Times New Roman"/>
          <w:sz w:val="17"/>
          <w:szCs w:val="17"/>
          <w:color w:val="auto"/>
        </w:rPr>
        <w:t>—MAHs should guarantee that all manufacturing operations comply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relevant laws and regulations, applicable GMPs, and the product specifications and manufacturing conditions set out in the marketing authorization, and that each batch of product is subject to appropriate release formalities.</w:t>
      </w:r>
    </w:p>
    <w:p>
      <w:pPr>
        <w:spacing w:after="0" w:line="155" w:lineRule="exact"/>
        <w:rPr>
          <w:rFonts w:ascii="Times New Roman" w:cs="Times New Roman" w:eastAsia="Times New Roman" w:hAnsi="Times New Roman"/>
          <w:sz w:val="17"/>
          <w:szCs w:val="17"/>
          <w:color w:val="auto"/>
        </w:rPr>
      </w:pPr>
    </w:p>
    <w:p>
      <w:pPr>
        <w:ind w:left="720" w:right="79" w:hanging="319"/>
        <w:spacing w:after="0" w:line="258"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and continuous supply</w:t>
      </w:r>
      <w:r>
        <w:rPr>
          <w:rFonts w:ascii="Times New Roman" w:cs="Times New Roman" w:eastAsia="Times New Roman" w:hAnsi="Times New Roman"/>
          <w:sz w:val="18"/>
          <w:szCs w:val="18"/>
          <w:color w:val="auto"/>
        </w:rPr>
        <w:t>—Pursuant to Directive 2001/83/EC, as transposed into the national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States, the MAH for a 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69" w:lineRule="exact"/>
        <w:rPr>
          <w:rFonts w:ascii="Times New Roman" w:cs="Times New Roman" w:eastAsia="Times New Roman" w:hAnsi="Times New Roman"/>
          <w:sz w:val="18"/>
          <w:szCs w:val="18"/>
          <w:color w:val="auto"/>
        </w:rPr>
      </w:pPr>
    </w:p>
    <w:p>
      <w:pPr>
        <w:ind w:left="720" w:right="179" w:hanging="319"/>
        <w:spacing w:after="0" w:line="267"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Pharmacovigilance</w:t>
      </w:r>
      <w:r>
        <w:rPr>
          <w:rFonts w:ascii="Times New Roman" w:cs="Times New Roman" w:eastAsia="Times New Roman" w:hAnsi="Times New Roman"/>
          <w:sz w:val="18"/>
          <w:szCs w:val="18"/>
          <w:color w:val="auto"/>
        </w:rPr>
        <w:t>—MAHs are obliged to establish and maintain a pharmacovigilance system,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person responsible for oversight, to submit safety reports to the regulators and to comply with the good pharmacovigilance practice guidelines adopted by the EMA.</w:t>
      </w:r>
    </w:p>
    <w:p>
      <w:pPr>
        <w:spacing w:after="0" w:line="173"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Advertising and promotion</w:t>
      </w:r>
      <w:r>
        <w:rPr>
          <w:rFonts w:ascii="Times New Roman" w:cs="Times New Roman" w:eastAsia="Times New Roman" w:hAnsi="Times New Roman"/>
          <w:sz w:val="18"/>
          <w:szCs w:val="18"/>
          <w:color w:val="auto"/>
        </w:rPr>
        <w:t>—MAHs remain responsible for all advertising and promotion of their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promotional activities by 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69" w:lineRule="exact"/>
        <w:rPr>
          <w:rFonts w:ascii="Times New Roman" w:cs="Times New Roman" w:eastAsia="Times New Roman" w:hAnsi="Times New Roman"/>
          <w:sz w:val="18"/>
          <w:szCs w:val="18"/>
          <w:color w:val="auto"/>
        </w:rPr>
      </w:pPr>
    </w:p>
    <w:p>
      <w:pPr>
        <w:ind w:left="720" w:right="159" w:hanging="319"/>
        <w:spacing w:after="0" w:line="284"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Medical affairs/scientific service</w:t>
      </w:r>
      <w:r>
        <w:rPr>
          <w:rFonts w:ascii="Times New Roman" w:cs="Times New Roman" w:eastAsia="Times New Roman" w:hAnsi="Times New Roman"/>
          <w:sz w:val="18"/>
          <w:szCs w:val="18"/>
          <w:color w:val="auto"/>
        </w:rPr>
        <w:t>—MAHs are required to disseminate scientific and medical information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medicinal products to healthcare professionals, regulators and patients.</w:t>
      </w:r>
    </w:p>
    <w:p>
      <w:pPr>
        <w:spacing w:after="0" w:line="158" w:lineRule="exact"/>
        <w:rPr>
          <w:rFonts w:ascii="Times New Roman" w:cs="Times New Roman" w:eastAsia="Times New Roman" w:hAnsi="Times New Roman"/>
          <w:sz w:val="18"/>
          <w:szCs w:val="18"/>
          <w:color w:val="auto"/>
        </w:rPr>
      </w:pPr>
    </w:p>
    <w:p>
      <w:pPr>
        <w:ind w:left="720" w:right="339" w:hanging="319"/>
        <w:spacing w:after="0" w:line="284"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representation and distributor issues</w:t>
      </w:r>
      <w:r>
        <w:rPr>
          <w:rFonts w:ascii="Times New Roman" w:cs="Times New Roman" w:eastAsia="Times New Roman" w:hAnsi="Times New Roman"/>
          <w:sz w:val="18"/>
          <w:szCs w:val="18"/>
          <w:color w:val="auto"/>
        </w:rPr>
        <w:t>—MAHs are responsible for regulatory actions or inactions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agents.</w:t>
      </w:r>
    </w:p>
    <w:p>
      <w:pPr>
        <w:spacing w:after="0" w:line="158"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Preparation, filing and maintenance of the application and subsequent marketing authorization</w:t>
      </w:r>
      <w:r>
        <w:rPr>
          <w:rFonts w:ascii="Times New Roman" w:cs="Times New Roman" w:eastAsia="Times New Roman" w:hAnsi="Times New Roman"/>
          <w:sz w:val="18"/>
          <w:szCs w:val="18"/>
          <w:color w:val="auto"/>
        </w:rPr>
        <w:t>— MAHs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appropriate records, 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Pricing and reimbursement</w:t>
      </w:r>
    </w:p>
    <w:p>
      <w:pPr>
        <w:spacing w:after="0" w:line="22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the EU,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to the entry of new products are being erected and some EU countries require the completion of studies that compare the cost-effectiveness of a particular product candidate with that of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229"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or biopharmaceutical products, federal and state healthcare laws restrict certain business practices in the pharmaceutical and biopharmaceutical industries. These laws include, but are not limited to, anti-kickback, false claims, data privacy and security, and transparency statutes and regulations.</w:t>
      </w:r>
    </w:p>
    <w:p>
      <w:pPr>
        <w:spacing w:after="0" w:line="180"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 xml:space="preserve">The U.S.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and biopharmaceutical manufacturers on the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the criteria for a statutory exception or safe harbor protection. Practices involving remuneration that may be alleged to be intended to induce prescribing, purchases or recommendations may be subject to scrutiny if they do not qualify for an exception or safe harbor. Failure to meet all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healthcare-covered business, the statute has been violated. The Patient Protection and Affordable Care Act as amended by the Health Care and Education Reconciliation Act (collectively, the Health Care Reform Law),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the Health Care Reform Law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Law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Additionally, the Health Care Reform Law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Additionally, many states have similar healthcare statutes or regulations that apply to items and services reimbursed under Medicaid and other state programs, or, in several states, apply regardless of the payor. Certain states require the posting of information relating to clinical studies, and require pharmaceutical companies to implement a comprehensive compliance program that includes a limit on expenditures for, or payments to, individual medical or health professionals and to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 xml:space="preserve">In addition, we may be subject to international, federal and state data privacy and security laws, regulations, rules and standards. Internationally, laws, regulations and standards in many jurisdictions, such as the GDPR, the Swiss Federal Data Protection Act and the UK GDPR, apply broadly to the collection, use, retention, security, disclosure, transfer and other processing of personal information. At the federal level,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to seek attorneys’ fees and costs associated with pursuing federal civil actions. In addition, state laws, (such as the CCPA and the CPRA,) govern the privacy and security of health and other personal information in certain circumstances, many of which differ from each other in significant ways and may not have the same effect, thus complicating compliance efforts. Non-compliance with these laws, regulations, rules and standards could result in significant penalties or legal liability. Although we take steps to comply with applicable laws, rules and regulations, we cannot ensure that we will not be subject to regulatory or private actions, investigations, disputes and litigation, which may include substantial fines or other legal liability for noncompliance of data privacy and security laws, rules and regulations, including in the event of a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business, results of operations or financial condition. See “Risk Factors— </w:t>
      </w:r>
      <w:r>
        <w:rPr>
          <w:rFonts w:ascii="Times New Roman" w:cs="Times New Roman" w:eastAsia="Times New Roman" w:hAnsi="Times New Roman"/>
          <w:sz w:val="18"/>
          <w:szCs w:val="18"/>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have a material adverse effect on our reputation, results of operations, financial condition and cash flows.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both domestic and foreign markets, our or our collaboration partners’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or biopharmaceutical companies. Additionally, third-party payors may refuse to include a particular branded drug in their formularies or otherwise restrict patient access to a branded drug when a less costly generic equivalent or another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9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Furthermore, in many foreign countries, particularly the countries of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or biopharmaceutical products. In addition, there may be importation of foreign products that compete with our own products, which could negatively impact our profitability.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the U.S., EU and other jurisdictions, there have been, and we expect there will continue to be, a number of legislative and regulatory changes to the healthcare system that could affect our future results of operations as we begin to commercialize our products directly.</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8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not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approval testing and other requirements.</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7"/>
          <w:szCs w:val="17"/>
          <w:color w:val="auto"/>
        </w:rPr>
        <w:t>product pricing, review the relationship between pricing and manufacturer patient programs, and reform government program reimbursement methodologies for products. At both the federal and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One significant example of recent legislative action is the IRA, which has been considered a scaled-back version of the Build Back Better Act.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At this time, we cannot predict the implications the IRA provisions will have on our business.</w:t>
      </w:r>
    </w:p>
    <w:p>
      <w:pPr>
        <w:spacing w:after="0" w:line="17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cost-containment and healthcare-reform measures. Such policy actions could have a material adverse impact on our profitability.</w:t>
      </w:r>
    </w:p>
    <w:p>
      <w:pPr>
        <w:spacing w:after="0" w:line="1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Moreover, the federal Drug Supply Chain Security Act imposes new obligations on manufacturers of pharmaceutical or biopharmaceutical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that are otherwise unfit for distribution such that they would be reasonably likely to result in serious health consequences or death.</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Physician Payment Sunshine Act and transparency</w:t>
      </w:r>
    </w:p>
    <w:p>
      <w:pPr>
        <w:spacing w:after="0" w:line="22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The Physician Payment Sunshine Act requires most pharmaceutical and biopharmaceutical manufacturers to report annually to the Secretary of Health and Human Services any and all financial arrangements, payments, or other transfers of value made by that entity to physicians and teaching hospitals. The payment information is made publicly available in a searchable format on a content management system website. Once we have an approved product,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 In addition, the Code of Ethics from the EFPIA requires certain disclosures of interactions with institutions and healthcare professionals, depending on the jurisdictions in which we operate.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Environmental, health and safety laws and regulations</w:t>
      </w:r>
    </w:p>
    <w:p>
      <w:pPr>
        <w:spacing w:after="0" w:line="229" w:lineRule="exact"/>
        <w:rPr>
          <w:sz w:val="20"/>
          <w:szCs w:val="20"/>
          <w:color w:val="auto"/>
        </w:rPr>
      </w:pPr>
    </w:p>
    <w:p>
      <w:pPr>
        <w:ind w:left="60" w:right="399" w:firstLine="324"/>
        <w:spacing w:after="0" w:line="275"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that legal or regulatory changes may occur in the future, they could result in, among other things, increased costs to us or the impairment of our research, development or production efforts.</w:t>
      </w:r>
    </w:p>
    <w:p>
      <w:pPr>
        <w:spacing w:after="0" w:line="179"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general telephone number is (41) 21 345 91 21 and our internet address is www.acimmune.com. References to our website address do not constitute incorporation by reference of the information contained on the website, and the information contained on the website is not part of this document or any other document that we file with or furnish to the SEC. The SEC maintains an internet site that contains reports, proxy and information statements and other information regarding issuers that file electronically with the SEC, which can be found at http://www.sec.gov. Our agent for service of process in the United States is Cogency Global Inc. located at 122 East 42nd Street, 18th Floor, New York, New York 10168.</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controls a fully-owned subsidiary, AC Immune USA, Inc. (“AC Immune USA” or “Subsidiary”), which was registered and organized under the laws of Delaware, USA in Q2 2021. The Company and its Subsidiary form the Group.</w:t>
      </w:r>
    </w:p>
    <w:p>
      <w:pPr>
        <w:spacing w:after="0" w:line="179"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The Company’s capital expenditures were CHF 0.9 million in 2022 with CHF 0.8 million for laboratory equipment, additional laboratory space and leasehold improvements. These investments were made to enhance our research facilities.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We do not own any real property. The table below details the sizes and uses of our leased facilities as of December 31, 2022:</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Function</w:t>
            </w: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198"/>
        </w:trPr>
        <w:tc>
          <w:tcPr>
            <w:tcW w:w="298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École Polytechnique Fédérale Lausanne</w:t>
            </w:r>
          </w:p>
        </w:tc>
        <w:tc>
          <w:tcPr>
            <w:tcW w:w="3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Headquarters</w:t>
            </w:r>
          </w:p>
        </w:tc>
        <w:tc>
          <w:tcPr>
            <w:tcW w:w="2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27,000 square feet</w:t>
            </w:r>
          </w:p>
        </w:tc>
      </w:tr>
      <w:tr>
        <w:trPr>
          <w:trHeight w:val="216"/>
        </w:trPr>
        <w:tc>
          <w:tcPr>
            <w:tcW w:w="3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(EPFL)</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Innovation Park Building B,</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discovery, preclinical and</w:t>
            </w:r>
          </w:p>
        </w:tc>
        <w:tc>
          <w:tcPr>
            <w:tcW w:w="2560" w:type="dxa"/>
            <w:vAlign w:val="bottom"/>
            <w:shd w:val="clear" w:color="auto" w:fill="CCEEFF"/>
          </w:tcPr>
          <w:p>
            <w:pPr>
              <w:spacing w:after="0"/>
              <w:rPr>
                <w:sz w:val="18"/>
                <w:szCs w:val="18"/>
                <w:color w:val="auto"/>
              </w:rPr>
            </w:pPr>
          </w:p>
        </w:tc>
      </w:tr>
      <w:tr>
        <w:trPr>
          <w:trHeight w:val="248"/>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1015</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Lausanne, Vaud, Switzerland</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development</w:t>
            </w:r>
          </w:p>
        </w:tc>
        <w:tc>
          <w:tcPr>
            <w:tcW w:w="2560" w:type="dxa"/>
            <w:vAlign w:val="bottom"/>
            <w:shd w:val="clear" w:color="auto" w:fill="CCEEFF"/>
          </w:tcPr>
          <w:p>
            <w:pPr>
              <w:spacing w:after="0"/>
              <w:rPr>
                <w:sz w:val="21"/>
                <w:szCs w:val="21"/>
                <w:color w:val="auto"/>
              </w:rPr>
            </w:pPr>
          </w:p>
        </w:tc>
      </w:tr>
      <w:tr>
        <w:trPr>
          <w:trHeight w:val="445"/>
        </w:trPr>
        <w:tc>
          <w:tcPr>
            <w:tcW w:w="3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Chemistry manufacturing and control</w:t>
            </w:r>
          </w:p>
        </w:tc>
        <w:tc>
          <w:tcPr>
            <w:tcW w:w="2560" w:type="dxa"/>
            <w:vAlign w:val="bottom"/>
            <w:shd w:val="clear" w:color="auto" w:fill="CCEEFF"/>
          </w:tcPr>
          <w:p>
            <w:pPr>
              <w:spacing w:after="0"/>
              <w:rPr>
                <w:sz w:val="24"/>
                <w:szCs w:val="24"/>
                <w:color w:val="auto"/>
              </w:rPr>
            </w:pPr>
          </w:p>
        </w:tc>
      </w:tr>
      <w:tr>
        <w:trPr>
          <w:trHeight w:val="198"/>
        </w:trPr>
        <w:tc>
          <w:tcPr>
            <w:tcW w:w="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1230</w:t>
            </w:r>
          </w:p>
        </w:tc>
        <w:tc>
          <w:tcPr>
            <w:tcW w:w="29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Avenue of the Americas</w:t>
            </w: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operations</w:t>
            </w: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1,600 square feet</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Suite 1634</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 New York 10020</w:t>
            </w: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Innovation Park of the EPFL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We believe that the space of our existing facilities is sufficient to meet our current needs.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1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audited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71" w:lineRule="exact"/>
        <w:rPr>
          <w:sz w:val="20"/>
          <w:szCs w:val="20"/>
          <w:color w:val="auto"/>
        </w:rPr>
      </w:pPr>
    </w:p>
    <w:p>
      <w:pPr>
        <w:ind w:left="60" w:right="7299" w:hanging="10"/>
        <w:spacing w:after="0" w:line="503" w:lineRule="auto"/>
        <w:tabs>
          <w:tab w:leader="none" w:pos="38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proceeds from our public offerings, share issuances, contract revenues from license and collaboration agreements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We incurred net losses of CHF 70.8 million for the fiscal year ended December 31, 2022 and have an accumulated losses balance of CHF 264.0 million as of December 31, 2022.</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collaborations and licensing agreements</w:t>
      </w:r>
    </w:p>
    <w:p>
      <w:pPr>
        <w:spacing w:after="0" w:line="229" w:lineRule="exact"/>
        <w:rPr>
          <w:sz w:val="20"/>
          <w:szCs w:val="20"/>
          <w:color w:val="auto"/>
        </w:rPr>
      </w:pPr>
    </w:p>
    <w:p>
      <w:pPr>
        <w:ind w:left="60" w:right="179" w:firstLine="324"/>
        <w:spacing w:after="0" w:line="275" w:lineRule="auto"/>
        <w:rPr>
          <w:sz w:val="20"/>
          <w:szCs w:val="20"/>
          <w:color w:val="auto"/>
        </w:rPr>
      </w:pPr>
      <w:r>
        <w:rPr>
          <w:rFonts w:ascii="Times New Roman" w:cs="Times New Roman" w:eastAsia="Times New Roman" w:hAnsi="Times New Roman"/>
          <w:sz w:val="17"/>
          <w:szCs w:val="17"/>
          <w:color w:val="auto"/>
        </w:rPr>
        <w:t>Since our inception, we have entered into strategic collaboration agreements with a range of partners covering a number of our product candidates. We entered into a strategic collaboration with Genentech in November 2006 (as amended in March 2009, January 2013, May 2014 and May 2015) regarding the development, manufacture and commercialization of anti-Abeta antibodies including crenezumab, and we refer to this agreement as the 2006 Agreement.</w:t>
      </w:r>
    </w:p>
    <w:p>
      <w:pPr>
        <w:spacing w:after="0" w:line="171"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June 2012, we entered into an additional strategic collaboration agreement with Genentech regarding the development, manufacture and commercialization of anti-Tau antibodies, which covers semorinemab, and we refer to this agreement as the 2012 Agreement. We expect to capitalize on Genentech’s drug development and regulatory expertise and commercial capabilities to bring our partnered therapeutic products to market.</w:t>
      </w:r>
    </w:p>
    <w:p>
      <w:pPr>
        <w:spacing w:after="0" w:line="180"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 May 2014 (as amended in June 2022), we entered into a license and collaboration agreement with LMI (formerly Piramal Imaging SA) covering our Tau-PET Imaging tracers.</w:t>
      </w:r>
    </w:p>
    <w:p>
      <w:pPr>
        <w:spacing w:after="0" w:line="148"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In December 2014 (as amended in April 2016, July 2017, January 2019, November 2019 and December 2022), we entered into a strategic collaboration agreement with Janssen regarding the development, manufacture and commercialization of anti-Tau vaccines, which covers ACI-35. We expect to capitalize on Janssen and Johnson &amp;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Johnson’s extensive regulatory expertise and experience in developing, manufacturing and, if approved, commercializing vaccines to bring ACI-35 to market.</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entered into a license agreement with Lilly in December 2018 (as amended in September 2019 and March 2020) to research and develop Morphomer Tau small molecules for the treatment of AD and other neurodegenerative diseases. Under the terms of this agreement, we have completed a Phase 1 clinical study with ACI-3024. Lilly is responsible for leading and funding further clinical development for small molecule Tau aggregation inhibitors with plans to evaluate candidates in AD and NeuroOrphan tauopathies. Lilly will also retain global commercialization rights for all indications.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Genentech, a member of the Roche Group</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We have two partnership agreements with Genentech, a company with a reputation for scientific excellence and a history of bringing innovative protein therapeutics to market.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antibody in AD – 2006 agreement</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317) million. The structure of the collaboration agreement is as follows:</w:t>
      </w:r>
    </w:p>
    <w:p>
      <w:pPr>
        <w:spacing w:after="0" w:line="187" w:lineRule="exact"/>
        <w:rPr>
          <w:sz w:val="20"/>
          <w:szCs w:val="20"/>
          <w:color w:val="auto"/>
        </w:rPr>
      </w:pPr>
    </w:p>
    <w:p>
      <w:pPr>
        <w:ind w:left="720" w:hanging="319"/>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23"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payments</w:t>
      </w:r>
      <w:r>
        <w:rPr>
          <w:rFonts w:ascii="Times New Roman" w:cs="Times New Roman" w:eastAsia="Times New Roman" w:hAnsi="Times New Roman"/>
          <w:sz w:val="18"/>
          <w:szCs w:val="18"/>
          <w:color w:val="auto"/>
        </w:rPr>
        <w:t>: payable upon commencement of each of Phase 1 and Phase 2 of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and upon the earlier of 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169" w:lineRule="exact"/>
        <w:rPr>
          <w:rFonts w:ascii="Times New Roman" w:cs="Times New Roman" w:eastAsia="Times New Roman" w:hAnsi="Times New Roman"/>
          <w:sz w:val="18"/>
          <w:szCs w:val="18"/>
          <w:color w:val="auto"/>
        </w:rPr>
      </w:pPr>
    </w:p>
    <w:p>
      <w:pPr>
        <w:ind w:left="720" w:right="119" w:hanging="319"/>
        <w:spacing w:after="0" w:line="267"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making regulatory filings in the U.S. and Europe, respectively,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 payments upon obtaining marketing approval in each of the U.S. and Europe. In addition, for a second indication, additional regulatory and approval milestones would be payable.</w:t>
      </w:r>
    </w:p>
    <w:p>
      <w:pPr>
        <w:spacing w:after="0" w:line="173" w:lineRule="exact"/>
        <w:rPr>
          <w:rFonts w:ascii="Times New Roman" w:cs="Times New Roman" w:eastAsia="Times New Roman" w:hAnsi="Times New Roman"/>
          <w:sz w:val="18"/>
          <w:szCs w:val="18"/>
          <w:color w:val="auto"/>
        </w:rPr>
      </w:pPr>
    </w:p>
    <w:p>
      <w:pPr>
        <w:jc w:val="both"/>
        <w:ind w:left="720" w:right="119" w:hanging="319"/>
        <w:spacing w:after="0" w:line="267"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different royalty rates applicable in the U.S. and Europe. Royalty levels are tied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annual sales volumes. We may receive royalties on sales of crenezumab with the percentage rates ranging from the mid-single digits to mid-teens.</w:t>
      </w:r>
    </w:p>
    <w:p>
      <w:pPr>
        <w:spacing w:after="0" w:line="175"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To date, we have received total milestone payments of USD 65 (CHF 70.1) million comprised of an upfront payment of USD 25 (CHF 31.6) million and of USD 40 (CHF 38.2) million for clinical development milestones achieved, all prior to January 1, 2017.</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along with manufacturing sales and marketing costs.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when that notice is given.</w:t>
      </w:r>
    </w:p>
    <w:p>
      <w:pPr>
        <w:spacing w:after="0" w:line="18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In January 2019, we announced that Roche, the parent of Genentech, is discontinuing the CREAD and CREAD 2 (BN29552 and BN29553) Phase 3 studies of crenezumab in people with prodromal-to-mild sporadic AD.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firstLine="324"/>
        <w:spacing w:after="0" w:line="272" w:lineRule="auto"/>
        <w:rPr>
          <w:sz w:val="20"/>
          <w:szCs w:val="20"/>
          <w:color w:val="auto"/>
        </w:rPr>
      </w:pPr>
      <w:r>
        <w:rPr>
          <w:rFonts w:ascii="Times New Roman" w:cs="Times New Roman" w:eastAsia="Times New Roman" w:hAnsi="Times New Roman"/>
          <w:sz w:val="18"/>
          <w:szCs w:val="18"/>
          <w:color w:val="auto"/>
        </w:rPr>
        <w:t>In August 2022, the Company provided an update on its Alzheimer’s Prevention Initiative study evaluating crenezumab in autosomal dominant Alzheimer’s disease. Crenezumab did not statistically significantly slow or prevent cognitive decline in people with a specific genetic mutation which causes early-onset Alzheimer’s disease. However, numerical differences favoring crenezumab over placebo were observed across the co-primary, multiple secondary and exploratory endpoints. Initial data was presented at the Alzheimer's Association International Conference (AAIC) on August 2, 2022. All participants in the study were offered up to one year of continued treatment (crenezumab for all carriers and placebo for all non-carrier) following the end of the double-blind period while primary results and additional analyses were pending. Final efficacy visits have begun.</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Anti-Tau antibody in AD – 2012 agreement</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w:t>
      </w:r>
    </w:p>
    <w:p>
      <w:pPr>
        <w:spacing w:after="0" w:line="17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5" w:lineRule="exact"/>
        <w:rPr>
          <w:sz w:val="20"/>
          <w:szCs w:val="20"/>
          <w:color w:val="auto"/>
        </w:rPr>
      </w:pPr>
    </w:p>
    <w:p>
      <w:pPr>
        <w:ind w:left="720" w:hanging="319"/>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23" w:lineRule="exact"/>
        <w:rPr>
          <w:rFonts w:ascii="Times New Roman" w:cs="Times New Roman" w:eastAsia="Times New Roman" w:hAnsi="Times New Roman"/>
          <w:sz w:val="18"/>
          <w:szCs w:val="18"/>
          <w:color w:val="auto"/>
        </w:rPr>
      </w:pPr>
    </w:p>
    <w:p>
      <w:pPr>
        <w:ind w:left="720" w:right="99" w:hanging="319"/>
        <w:spacing w:after="0" w:line="259"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Preclinical and clinical milestone payments</w:t>
      </w:r>
      <w:r>
        <w:rPr>
          <w:rFonts w:ascii="Times New Roman" w:cs="Times New Roman" w:eastAsia="Times New Roman" w:hAnsi="Times New Roman"/>
          <w:sz w:val="18"/>
          <w:szCs w:val="18"/>
          <w:color w:val="auto"/>
        </w:rPr>
        <w:t>: payable upon selection of a lead candidate and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Phase 1, 2 and 3 of clinical development. In addition, for a second indication, clinical milestone payments would be payable upon commencement of each of Phase 2 and 3 of clinical development.</w:t>
      </w:r>
    </w:p>
    <w:p>
      <w:pPr>
        <w:spacing w:after="0" w:line="193" w:lineRule="exact"/>
        <w:rPr>
          <w:rFonts w:ascii="Times New Roman" w:cs="Times New Roman" w:eastAsia="Times New Roman" w:hAnsi="Times New Roman"/>
          <w:sz w:val="18"/>
          <w:szCs w:val="18"/>
          <w:color w:val="auto"/>
        </w:rPr>
      </w:pPr>
    </w:p>
    <w:p>
      <w:pPr>
        <w:ind w:left="720" w:right="299" w:hanging="319"/>
        <w:spacing w:after="0" w:line="268"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making regulatory filings for marketing approvals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Europe and Japan. In addition, for a second indication, similar regulatory milestones would be payable.</w:t>
      </w:r>
    </w:p>
    <w:p>
      <w:pPr>
        <w:spacing w:after="0" w:line="185" w:lineRule="exact"/>
        <w:rPr>
          <w:rFonts w:ascii="Times New Roman" w:cs="Times New Roman" w:eastAsia="Times New Roman" w:hAnsi="Times New Roman"/>
          <w:sz w:val="18"/>
          <w:szCs w:val="18"/>
          <w:color w:val="auto"/>
        </w:rPr>
      </w:pPr>
    </w:p>
    <w:p>
      <w:pPr>
        <w:ind w:left="720" w:right="139" w:hanging="319"/>
        <w:spacing w:after="0" w:line="259"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payable upon making a first commercial sale in each of the U.S., Europe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Japan. For a second indication, commercialization milestones exist for each of the U.S., Europe and Japan, which are triggered by the first commercial sale for the second indication in each of those jurisdictions.</w:t>
      </w:r>
    </w:p>
    <w:p>
      <w:pPr>
        <w:spacing w:after="0" w:line="193" w:lineRule="exact"/>
        <w:rPr>
          <w:rFonts w:ascii="Times New Roman" w:cs="Times New Roman" w:eastAsia="Times New Roman" w:hAnsi="Times New Roman"/>
          <w:sz w:val="18"/>
          <w:szCs w:val="18"/>
          <w:color w:val="auto"/>
        </w:rPr>
      </w:pPr>
    </w:p>
    <w:p>
      <w:pPr>
        <w:jc w:val="both"/>
        <w:ind w:left="720" w:right="99" w:hanging="319"/>
        <w:spacing w:after="0" w:line="259"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source of the intellectual property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commercial product. We may receive royalties on sales at a percentage rate ranging from the mid-single digits to low-double digits.</w:t>
      </w:r>
    </w:p>
    <w:p>
      <w:pPr>
        <w:spacing w:after="0" w:line="19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Genentech bears all the costs of developing semorinemab through the clinical phases. In addition, Genentech is responsible for the costs associated with seeking and obtaining regulatory and marketing approvals, along with manufacturing, sales and marketing costs.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when that notice is given.</w:t>
      </w:r>
    </w:p>
    <w:p>
      <w:pPr>
        <w:spacing w:after="0" w:line="189"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In September 2020, the Company reported that Genentech informed us of top line results from a Phase 2 trial of the anti-Tau antibody, semorinemab, in early (prodromal to mild) Alzheimer’s disease (AD) which show that semorinemab</w:t>
      </w:r>
    </w:p>
    <w:p>
      <w:pPr>
        <w:sectPr>
          <w:pgSz w:w="11900" w:h="16838" w:orient="portrait"/>
          <w:cols w:equalWidth="0" w:num="1">
            <w:col w:w="9019"/>
          </w:cols>
          <w:pgMar w:left="1440" w:top="513" w:right="1440"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did not meet its primary efficacy endpoint of reducing decline on Clinical Dementia Rating-Sum of Boxes (CDR-SB) compared to placebo. The primary safety endpoint was however met. Two secondary endpoints, ADAS-Cog13 and ADCS-ADL, were not met.</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August 2021, the Company reported that Genentech had informed the Company that the Lauriet study had met one of its co-primary endpoints, ADAS-Cog 11. The second co-primary endpoint, ADCS-ADL, was not met. Safety data showed that semorinemab was well tolerated with an acceptable safety profile and no unanticipated safety signals. In November 2021, the Company reported that Genentech had presented the full top-line data from the Lauriet study during a late-breaking session at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Clinical Trials on Alzheimer’s Disease conference.</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Janssen Pharmaceuticals, Inc.</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 Vaccine in AD – 2014 agreement</w:t>
      </w:r>
    </w:p>
    <w:p>
      <w:pPr>
        <w:spacing w:after="0" w:line="22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(Janssen), part of the Janssen Pharmaceutical Companies of Johnson &amp; Johnson, to develop and commercialize therapeutic anti-Tau vaccines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high-single digits to the mid-teens for the phospho-Tau vaccine program. In April 2016, July 2017, January 2019, November 2019 and December 2022, the companies entered into the first, second, third, fourth and fifth amendments, respectively. These amendments allow for the alignment of certain payment and activity provisions with the Development Plan and Research Plan activities. We and Janssen have completed the co-development of the second-generation lead therapeutic vaccines, ACI-35.030 and JACI-35.054, through Phase 1b/2a. In November 2022, it was announced that ACI-35.030 was selected to advance into further development based on interim data from the ongoing Phase 1b/2a trial.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w:t>
      </w:r>
    </w:p>
    <w:p>
      <w:pPr>
        <w:spacing w:after="0" w:line="194"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received an upfront, non-refundable license fee of CHF 25.9 million, which we recognized as revenue in 2014. In May 2016, we received a payment of CHF 4.9 million for reaching a clinical milestone in the Phase 1b study. As we met all performance obligations on reaching the milestone, we recognized this milestone as revenue.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5" w:lineRule="exact"/>
        <w:rPr>
          <w:sz w:val="20"/>
          <w:szCs w:val="20"/>
          <w:color w:val="auto"/>
        </w:rPr>
      </w:pPr>
    </w:p>
    <w:p>
      <w:pPr>
        <w:ind w:left="720" w:hanging="319"/>
        <w:spacing w:after="0"/>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23" w:lineRule="exact"/>
        <w:rPr>
          <w:rFonts w:ascii="Times New Roman" w:cs="Times New Roman" w:eastAsia="Times New Roman" w:hAnsi="Times New Roman"/>
          <w:sz w:val="18"/>
          <w:szCs w:val="18"/>
          <w:color w:val="auto"/>
        </w:rPr>
      </w:pPr>
    </w:p>
    <w:p>
      <w:pPr>
        <w:ind w:left="720" w:right="139" w:hanging="319"/>
        <w:spacing w:after="0" w:line="254"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payments</w:t>
      </w:r>
      <w:r>
        <w:rPr>
          <w:rFonts w:ascii="Times New Roman" w:cs="Times New Roman" w:eastAsia="Times New Roman" w:hAnsi="Times New Roman"/>
          <w:sz w:val="18"/>
          <w:szCs w:val="18"/>
          <w:color w:val="auto"/>
        </w:rPr>
        <w:t>: payable upon reaching certain milestones in the Phase 1b study,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Phase 2b or 2b/3 of clinical development, upon reaching enrollment thresholds in the first Phase 2b or Phase 2b part of the first Phase 2b/3, commencement of the first Phase 3 or Phase 3 part of a Phase 2b/3 study. In addition, for a second indication, clinical milestone payments would be payable upon commencement of a Phase 3 clinical study, which would be payable concurrently with the first regulatory milestone, if Janssen were to file for regulatory approval based on Phase 2 clinical data.</w:t>
      </w:r>
    </w:p>
    <w:p>
      <w:pPr>
        <w:spacing w:after="0" w:line="184" w:lineRule="exact"/>
        <w:rPr>
          <w:rFonts w:ascii="Times New Roman" w:cs="Times New Roman" w:eastAsia="Times New Roman" w:hAnsi="Times New Roman"/>
          <w:sz w:val="18"/>
          <w:szCs w:val="18"/>
          <w:color w:val="auto"/>
        </w:rPr>
      </w:pPr>
    </w:p>
    <w:p>
      <w:pPr>
        <w:ind w:left="720" w:right="319" w:hanging="319"/>
        <w:spacing w:after="0" w:line="256"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making regulatory filings in the U.S., Europe, and Japan,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 addition, for a second indication, similar regulatory milestones would be payable. For a second indication, additional regulatory milestone payments are payable by Janssen to us upon receipt of each of the regulatory approvals in the U.S., Europe and Japan.</w:t>
      </w:r>
    </w:p>
    <w:p>
      <w:pPr>
        <w:spacing w:after="0" w:line="183" w:lineRule="exact"/>
        <w:rPr>
          <w:rFonts w:ascii="Times New Roman" w:cs="Times New Roman" w:eastAsia="Times New Roman" w:hAnsi="Times New Roman"/>
          <w:sz w:val="18"/>
          <w:szCs w:val="18"/>
          <w:color w:val="auto"/>
        </w:rPr>
      </w:pPr>
    </w:p>
    <w:p>
      <w:pPr>
        <w:ind w:left="720" w:right="499" w:hanging="319"/>
        <w:spacing w:after="0" w:line="268"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payable upon making a first commercial sale in each of the U.S., Europe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Japan, and upon achieving certain commercial milestones.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359" w:hanging="319"/>
        <w:spacing w:after="0" w:line="267" w:lineRule="auto"/>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level of annual sales. We may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on sales at a percentage rate ranging from the high-single digits to the mid-teens for the phospho-Tau vaccine program.</w:t>
      </w:r>
    </w:p>
    <w:p>
      <w:pPr>
        <w:spacing w:after="0" w:line="175"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LMI (formerly Piramal Imaging SA)</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Tau-PET imaging agent – 2014 agreement</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159) million, plus royalties on sales at a percentage rate ranging from mid-single digits to low-teens. LMI may terminate the LCA at any time by providing 3 months’ notice to us.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25" w:lineRule="exact"/>
        <w:rPr>
          <w:sz w:val="20"/>
          <w:szCs w:val="20"/>
          <w:color w:val="auto"/>
        </w:rPr>
      </w:pPr>
    </w:p>
    <w:p>
      <w:pPr>
        <w:ind w:left="720" w:hanging="319"/>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license.</w:t>
      </w:r>
    </w:p>
    <w:p>
      <w:pPr>
        <w:spacing w:after="0" w:line="223" w:lineRule="exact"/>
        <w:rPr>
          <w:rFonts w:ascii="Times New Roman" w:cs="Times New Roman" w:eastAsia="Times New Roman" w:hAnsi="Times New Roman"/>
          <w:sz w:val="18"/>
          <w:szCs w:val="18"/>
          <w:color w:val="auto"/>
        </w:rPr>
      </w:pPr>
    </w:p>
    <w:p>
      <w:pPr>
        <w:jc w:val="both"/>
        <w:ind w:left="720" w:right="259" w:hanging="319"/>
        <w:spacing w:after="0" w:line="259"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payments</w:t>
      </w:r>
      <w:r>
        <w:rPr>
          <w:rFonts w:ascii="Times New Roman" w:cs="Times New Roman" w:eastAsia="Times New Roman" w:hAnsi="Times New Roman"/>
          <w:sz w:val="18"/>
          <w:szCs w:val="18"/>
          <w:color w:val="auto"/>
        </w:rPr>
        <w:t>: payable upon the commencement of the Phase 1, 2 and 3 studies for generation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intended to support a regulatory submission in the U.S. or the EU. We would be entitled to further clinical milestone payments for the commencement of a Phase 2 and 3 study for a second indication.</w:t>
      </w:r>
    </w:p>
    <w:p>
      <w:pPr>
        <w:spacing w:after="0" w:line="193"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upon acceptance of Regulatory filing (NDA) and Regulatory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Commercialization in the U.S. or the EU.</w:t>
      </w:r>
    </w:p>
    <w:p>
      <w:pPr>
        <w:spacing w:after="0" w:line="15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tied to specific annual net sales amounts.</w:t>
      </w:r>
    </w:p>
    <w:p>
      <w:pPr>
        <w:spacing w:after="0" w:line="225" w:lineRule="exact"/>
        <w:rPr>
          <w:rFonts w:ascii="Times New Roman" w:cs="Times New Roman" w:eastAsia="Times New Roman" w:hAnsi="Times New Roman"/>
          <w:sz w:val="18"/>
          <w:szCs w:val="18"/>
          <w:color w:val="auto"/>
        </w:rPr>
      </w:pPr>
    </w:p>
    <w:p>
      <w:pPr>
        <w:ind w:left="720" w:right="619" w:hanging="319"/>
        <w:spacing w:after="0" w:line="284"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payable on sales, with royalty rates differing based on the level of annual sales. We may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on sales at a percentage rate ranging from the mid-single digits to the low-teens.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Morphomer Tau small molecule – 2018 license agreement</w:t>
      </w:r>
    </w:p>
    <w:p>
      <w:pPr>
        <w:spacing w:after="0" w:line="214"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December 2018, we entered into an exclusive, worldwide licensing agreement with Eli Lilly and Company (Lilly) to research and develop Morphomer Tau small molecules for the treatment of AD and other neurodegenerative diseases. Per the terms of the agreement, the Company received an initial upfront payment of CHF 80 million in Q1 2019 for the rights granted by the Company to Lilly. To date, the Company has completed a Phase 1 clinical study with ACI-3024.</w:t>
      </w:r>
    </w:p>
    <w:p>
      <w:pPr>
        <w:spacing w:after="0" w:line="16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left="60" w:right="259" w:firstLine="324"/>
        <w:spacing w:after="0" w:line="276" w:lineRule="auto"/>
        <w:rPr>
          <w:sz w:val="20"/>
          <w:szCs w:val="20"/>
          <w:color w:val="auto"/>
        </w:rPr>
      </w:pPr>
      <w:r>
        <w:rPr>
          <w:rFonts w:ascii="Times New Roman" w:cs="Times New Roman" w:eastAsia="Times New Roman" w:hAnsi="Times New Roman"/>
          <w:sz w:val="17"/>
          <w:szCs w:val="17"/>
          <w:color w:val="auto"/>
        </w:rPr>
        <w:t>Per the terms of the agreement, the Company may become eligible to receive additional milestone payments totaling up to approximately CHF 1.9 billion. In addition to milestones, we will be eligible to receive royalties on sales at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percentage rate ranging from the low double-digits to the mid-teens. The agreement became effective in January 2019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the EU.</w:t>
      </w:r>
    </w:p>
    <w:p>
      <w:pPr>
        <w:spacing w:after="0" w:line="17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 received an initial upfront payment of CHF 80 million in February 2019. We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structure of the collaboration agreement is as follows.</w:t>
      </w:r>
    </w:p>
    <w:p>
      <w:pPr>
        <w:spacing w:after="0" w:line="210" w:lineRule="exact"/>
        <w:rPr>
          <w:sz w:val="20"/>
          <w:szCs w:val="20"/>
          <w:color w:val="auto"/>
        </w:rPr>
      </w:pPr>
    </w:p>
    <w:p>
      <w:pPr>
        <w:ind w:left="720" w:right="139" w:hanging="319"/>
        <w:spacing w:after="0" w:line="267"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i w:val="1"/>
          <w:iCs w:val="1"/>
          <w:color w:val="auto"/>
        </w:rPr>
        <w:t xml:space="preserve"> exclusive license: </w:t>
      </w:r>
      <w:r>
        <w:rPr>
          <w:rFonts w:ascii="Times New Roman" w:cs="Times New Roman" w:eastAsia="Times New Roman" w:hAnsi="Times New Roman"/>
          <w:sz w:val="18"/>
          <w:szCs w:val="18"/>
          <w:color w:val="auto"/>
        </w:rPr>
        <w:t>granted by us to Lilly under certain of our intellectual property to develop,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products containing Morphomer Tau small molecules for the treatment of AD and other neurodegenerative diseases throughout the world in any indication.</w:t>
      </w:r>
    </w:p>
    <w:p>
      <w:pPr>
        <w:spacing w:after="0" w:line="173" w:lineRule="exact"/>
        <w:rPr>
          <w:rFonts w:ascii="Times New Roman" w:cs="Times New Roman" w:eastAsia="Times New Roman" w:hAnsi="Times New Roman"/>
          <w:sz w:val="18"/>
          <w:szCs w:val="18"/>
          <w:color w:val="auto"/>
        </w:rPr>
      </w:pPr>
    </w:p>
    <w:p>
      <w:pPr>
        <w:ind w:left="720" w:right="159" w:hanging="319"/>
        <w:spacing w:after="0" w:line="284"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milestone payment</w:t>
      </w:r>
      <w:r>
        <w:rPr>
          <w:rFonts w:ascii="Times New Roman" w:cs="Times New Roman" w:eastAsia="Times New Roman" w:hAnsi="Times New Roman"/>
          <w:sz w:val="18"/>
          <w:szCs w:val="18"/>
          <w:color w:val="auto"/>
        </w:rPr>
        <w:t>s: payable upon completion of the Lilly preclinical activities period and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patient dosed in a Phase 2 and Phase 3 clinical study of a licensed product in the U.S. or the EU.</w:t>
      </w:r>
    </w:p>
    <w:p>
      <w:pPr>
        <w:spacing w:after="0" w:line="158" w:lineRule="exact"/>
        <w:rPr>
          <w:rFonts w:ascii="Times New Roman" w:cs="Times New Roman" w:eastAsia="Times New Roman" w:hAnsi="Times New Roman"/>
          <w:sz w:val="18"/>
          <w:szCs w:val="18"/>
          <w:color w:val="auto"/>
        </w:rPr>
      </w:pPr>
    </w:p>
    <w:p>
      <w:pPr>
        <w:ind w:left="720" w:right="299" w:hanging="319"/>
        <w:spacing w:after="0" w:line="267"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milestone payments</w:t>
      </w:r>
      <w:r>
        <w:rPr>
          <w:rFonts w:ascii="Times New Roman" w:cs="Times New Roman" w:eastAsia="Times New Roman" w:hAnsi="Times New Roman"/>
          <w:sz w:val="18"/>
          <w:szCs w:val="18"/>
          <w:color w:val="auto"/>
        </w:rPr>
        <w:t>: payable within 60 days after obtaining regulatory approval for any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in the first indication and any licensed product in certain additional indications in the U.S., Europe and Japan, respectively.</w:t>
      </w:r>
    </w:p>
    <w:p>
      <w:pPr>
        <w:spacing w:after="0" w:line="17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Commercialization milestones</w:t>
      </w:r>
      <w:r>
        <w:rPr>
          <w:rFonts w:ascii="Times New Roman" w:cs="Times New Roman" w:eastAsia="Times New Roman" w:hAnsi="Times New Roman"/>
          <w:sz w:val="18"/>
          <w:szCs w:val="18"/>
          <w:color w:val="auto"/>
        </w:rPr>
        <w:t>: payable upon achieving certain commercial sales milestones.</w:t>
      </w:r>
    </w:p>
    <w:p>
      <w:pPr>
        <w:spacing w:after="0" w:line="225" w:lineRule="exact"/>
        <w:rPr>
          <w:rFonts w:ascii="Times New Roman" w:cs="Times New Roman" w:eastAsia="Times New Roman" w:hAnsi="Times New Roman"/>
          <w:sz w:val="18"/>
          <w:szCs w:val="18"/>
          <w:color w:val="auto"/>
        </w:rPr>
      </w:pPr>
    </w:p>
    <w:p>
      <w:pPr>
        <w:ind w:left="720" w:right="99" w:hanging="319"/>
        <w:spacing w:after="0" w:line="284"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payable on sales with royalty rates differing based on the level of annual sales of licensed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receive royalties on sales at a percentage rate ranging from the low double-digits to the mid-teens.</w:t>
      </w:r>
    </w:p>
    <w:p>
      <w:pPr>
        <w:spacing w:after="0" w:line="16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agreement will terminate by the date of expiration of the last royalty term for the last licensed product. However, under the terms of the agreement, Lilly may terminate the agreement at any time after March 31, 2020 by providing 3 months’ notice to us.</w:t>
      </w:r>
    </w:p>
    <w:p>
      <w:pPr>
        <w:spacing w:after="0" w:line="176"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We and Lilly also entered into a convertible note agreement that became effective in January 2019 for USD 50 (CHF 50.3) million from Lilly. In Q2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Grants</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Michael J. Fox Foundation for Parkinson’s Research</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May 2020, the Company, as part of a joint arrangement with Skåne University Hospital (Skåne) in Sweden, was awarded a USD 3.2 (CHF 3.0) million grant from the MJFF’s Ken Griffin Alpha-synuclein Imaging Competition. As part of this grant, AC Immune is eligible to receive USD 2.5 (CHF 2.3) million directly from the MJFF. Skåne will receive USD 0.7 (CHF 0.7) million of the total grant directly from the MJFF over two years to conduct and support the clinical arm of the project. In August 2022, the Company received follow-on grant funding as part of its joint arrangement with Skåne totaling USD 0.5 (CHF 0.5) million for the continued development of its alpha-synuclein PET</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imaging diagnostic agent. As part of this grant, the Company received USD 0.4 (CHF 0.4) million directly from the MJFF. Skåne will receive USD 0.1 (CHF 0.1) million of the total grant directly from the MJFF over the duration of the grant period.</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December 2021, the Company announced that it had been awarded two grants totaling USD 1.5 (CHF 1.4) million to advance small molecule PD programs. One award will support an existing early-stage program to develop small molecules that can prevent intracellular aggregation and spreading of a-syn. The other award will fund research on the therapeutic potential of chemically and mechanistically novel, brain penetrant small molecule inhibitors of NLRP3 inflammasome activation for the treatment of PD.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from the Target ALS Foundation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Q1 2021, AC Immune was awarded a USD 0.3 (CHF 0.2) million grant from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 The Company was awarded an additional one-year grant in December 2022 for USD 0.1 (CHF 0.1) million to continue the project.</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right="9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May 2014, the IASB issued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amends the guidance for accounting for revenues from contracts with customers. This IFRS replaces all current revenue standards in IFRS including IAS 11 </w:t>
      </w:r>
      <w:r>
        <w:rPr>
          <w:rFonts w:ascii="Times New Roman" w:cs="Times New Roman" w:eastAsia="Times New Roman" w:hAnsi="Times New Roman"/>
          <w:sz w:val="18"/>
          <w:szCs w:val="18"/>
          <w:i w:val="1"/>
          <w:iCs w:val="1"/>
          <w:color w:val="auto"/>
        </w:rPr>
        <w:t>Construction Contracts</w:t>
      </w:r>
      <w:r>
        <w:rPr>
          <w:rFonts w:ascii="Times New Roman" w:cs="Times New Roman" w:eastAsia="Times New Roman" w:hAnsi="Times New Roman"/>
          <w:sz w:val="18"/>
          <w:szCs w:val="18"/>
          <w:color w:val="auto"/>
        </w:rPr>
        <w:t xml:space="preserve">, IAS 18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various interpretations.</w:t>
      </w:r>
    </w:p>
    <w:p>
      <w:pPr>
        <w:spacing w:after="0" w:line="17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7"/>
          <w:szCs w:val="17"/>
          <w:color w:val="auto"/>
        </w:rPr>
        <w:t>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left="60" w:right="99" w:hanging="10"/>
        <w:spacing w:after="0" w:line="249" w:lineRule="auto"/>
        <w:tabs>
          <w:tab w:leader="none" w:pos="3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1"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Contract revenue</w:t>
      </w:r>
      <w:r>
        <w:rPr>
          <w:rFonts w:ascii="Times New Roman" w:cs="Times New Roman" w:eastAsia="Times New Roman" w:hAnsi="Times New Roman"/>
          <w:sz w:val="17"/>
          <w:szCs w:val="17"/>
          <w:color w:val="auto"/>
        </w:rPr>
        <w:t>. The Company enters into LCAs, which are within the scope of IFRS 15, under which it licenses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proprietary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commercialized products depending on the Company’s intellectual property. Each of these payments results in license, collaboration and other revenues, which are classified as contract revenue on the consolidated statements of income/(loss).</w:t>
      </w:r>
    </w:p>
    <w:p>
      <w:pPr>
        <w:spacing w:after="0" w:line="17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Licenses of intellectual property</w:t>
      </w:r>
      <w:r>
        <w:rPr>
          <w:rFonts w:ascii="Times New Roman" w:cs="Times New Roman" w:eastAsia="Times New Roman" w:hAnsi="Times New Roman"/>
          <w:sz w:val="18"/>
          <w:szCs w:val="18"/>
          <w:color w:val="auto"/>
        </w:rPr>
        <w:t>. If the license to the Company’s intellectual property is determined to be distinct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1"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development, regulatory and/or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85"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 The Company has certain arrangements with our collaboration partners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83" w:lineRule="exact"/>
        <w:rPr>
          <w:sz w:val="20"/>
          <w:szCs w:val="20"/>
          <w:color w:val="auto"/>
        </w:rPr>
      </w:pPr>
    </w:p>
    <w:p>
      <w:pPr>
        <w:jc w:val="both"/>
        <w:ind w:left="6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Sublicense revenues</w:t>
      </w:r>
      <w:r>
        <w:rPr>
          <w:rFonts w:ascii="Times New Roman" w:cs="Times New Roman" w:eastAsia="Times New Roman" w:hAnsi="Times New Roman"/>
          <w:sz w:val="18"/>
          <w:szCs w:val="18"/>
          <w:color w:val="auto"/>
        </w:rPr>
        <w:t>. The Company has certain arrangements with our collaboration partners that include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sublicensing. The Company recognizes any sublicense revenues at the point in time it is highly probable to obtain and not subject to reversal in the future.</w:t>
      </w:r>
    </w:p>
    <w:p>
      <w:pPr>
        <w:spacing w:after="0" w:line="17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The Company receives payments and determines credit terms from its customers for its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among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expenses on the consolidated balance sheets and within research and development expenses in the consolidated statements of income/(loss). These costs are a significant component of our research and development expenses.</w:t>
      </w:r>
    </w:p>
    <w:p>
      <w:pPr>
        <w:spacing w:after="0" w:line="18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We record accrued expenses for these costs based on the estimated amount of work completed in accordance with agreements established with these third parties, which involves the following process:</w:t>
      </w:r>
    </w:p>
    <w:p>
      <w:pPr>
        <w:spacing w:after="0" w:line="148" w:lineRule="exact"/>
        <w:rPr>
          <w:sz w:val="20"/>
          <w:szCs w:val="20"/>
          <w:color w:val="auto"/>
        </w:rPr>
      </w:pPr>
    </w:p>
    <w:p>
      <w:pPr>
        <w:ind w:left="720" w:right="319" w:hanging="319"/>
        <w:spacing w:after="0" w:line="266" w:lineRule="auto"/>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costs;</w:t>
      </w:r>
    </w:p>
    <w:p>
      <w:pPr>
        <w:spacing w:after="0" w:line="17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and accruing expenses in our consolidated financial statements as of each balance sheet date based on facts and circumstances known to us at the time;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confirming the accuracy of our estimates with selected providers and adjusting, if necessary.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Examples of estimated research and development expenses that we accrue include:</w:t>
      </w:r>
    </w:p>
    <w:p>
      <w:pPr>
        <w:spacing w:after="0" w:line="225" w:lineRule="exact"/>
        <w:rPr>
          <w:sz w:val="20"/>
          <w:szCs w:val="20"/>
          <w:color w:val="auto"/>
        </w:rPr>
      </w:pPr>
    </w:p>
    <w:p>
      <w:pPr>
        <w:ind w:left="720" w:hanging="319"/>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preclinical and toxicology studies and clinical studies;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investigative sites in connection with clinical studies;</w:t>
      </w:r>
    </w:p>
    <w:p>
      <w:pPr>
        <w:spacing w:after="0" w:line="225"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CMOs in connection with the production of our product candidates prior to qualifying for capitalization as inventory;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fees for consulting and related services.</w:t>
      </w:r>
    </w:p>
    <w:p>
      <w:pPr>
        <w:spacing w:after="0" w:line="225"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base our expense accruals related to clinical studies on our estimates of the services received and efforts expended pursuant to contracts with multiple research institutions and clinical CROs that conduct and manage clinical studies on our behalf. The financial terms of these agreements vary from contract to contract and may result in uneven payment flows.</w:t>
      </w:r>
    </w:p>
    <w:p>
      <w:pPr>
        <w:spacing w:after="0" w:line="2"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7"/>
          <w:szCs w:val="17"/>
          <w:color w:val="auto"/>
        </w:rPr>
        <w:t>Payments under some of these contracts depend on factors such as the successful enrollment of patients and the completion of clinical study milestones. Our service providers predominantly invoice us monthly in arrears for services performed. In accruing service fees, we estimate the time period over which the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17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To date, we have not experienced significant changes in our estimates of accrued research and development expenses after a reporting period. However, due to the nature of estimates, we may be required to make changes to our estimates in the future as we become aware of additional information about the status or conduct of our clinical studies and other research activities.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9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We estimate the fair value of all time-vested options as of the date of grant using the Black-Scholes option-pricing model. Key assumptions in determining the fair value of share options granted utilizing the Black-Scholes valuation method include the following:</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9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496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Method of estimation</w:t>
            </w:r>
          </w:p>
        </w:tc>
      </w:tr>
      <w:tr>
        <w:trPr>
          <w:trHeight w:val="230"/>
        </w:trPr>
        <w:tc>
          <w:tcPr>
            <w:tcW w:w="394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Estimated expected term of options</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Simplified method</w:t>
            </w:r>
          </w:p>
        </w:tc>
      </w:tr>
      <w:tr>
        <w:trPr>
          <w:trHeight w:val="198"/>
        </w:trPr>
        <w:tc>
          <w:tcPr>
            <w:tcW w:w="3940" w:type="dxa"/>
            <w:vAlign w:val="bottom"/>
          </w:tcPr>
          <w:p>
            <w:pPr>
              <w:spacing w:after="0"/>
              <w:rPr>
                <w:sz w:val="17"/>
                <w:szCs w:val="17"/>
                <w:color w:val="auto"/>
              </w:rPr>
            </w:pPr>
          </w:p>
        </w:tc>
        <w:tc>
          <w:tcPr>
            <w:tcW w:w="4960" w:type="dxa"/>
            <w:vAlign w:val="bottom"/>
          </w:tcPr>
          <w:p>
            <w:pPr>
              <w:ind w:left="940"/>
              <w:spacing w:after="0" w:line="198" w:lineRule="exact"/>
              <w:rPr>
                <w:sz w:val="20"/>
                <w:szCs w:val="20"/>
                <w:color w:val="auto"/>
              </w:rPr>
            </w:pPr>
            <w:r>
              <w:rPr>
                <w:rFonts w:ascii="Times New Roman" w:cs="Times New Roman" w:eastAsia="Times New Roman" w:hAnsi="Times New Roman"/>
                <w:sz w:val="18"/>
                <w:szCs w:val="18"/>
                <w:color w:val="auto"/>
              </w:rPr>
              <w:t>● The Company’s actual volatility for the period</w:t>
            </w:r>
          </w:p>
        </w:tc>
      </w:tr>
      <w:tr>
        <w:trPr>
          <w:trHeight w:val="216"/>
        </w:trPr>
        <w:tc>
          <w:tcPr>
            <w:tcW w:w="3940" w:type="dxa"/>
            <w:vAlign w:val="bottom"/>
          </w:tcPr>
          <w:p>
            <w:pPr>
              <w:spacing w:after="0"/>
              <w:rPr>
                <w:sz w:val="18"/>
                <w:szCs w:val="18"/>
                <w:color w:val="auto"/>
              </w:rPr>
            </w:pPr>
          </w:p>
        </w:tc>
        <w:tc>
          <w:tcPr>
            <w:tcW w:w="4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congruent with the expected term of the underlying</w:t>
            </w:r>
          </w:p>
        </w:tc>
      </w:tr>
      <w:tr>
        <w:trPr>
          <w:trHeight w:val="234"/>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Expected volatility</w:t>
            </w:r>
          </w:p>
        </w:tc>
        <w:tc>
          <w:tcPr>
            <w:tcW w:w="4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option</w:t>
            </w: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Risk-free interest rate</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Yields of long-dated U.S. Treasury notes</w:t>
            </w: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Expected dividends</w:t>
            </w:r>
          </w:p>
        </w:tc>
        <w:tc>
          <w:tcPr>
            <w:tcW w:w="4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Zero percent as dividends have not been paid</w:t>
            </w: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Forfeiture rates</w:t>
            </w:r>
          </w:p>
        </w:tc>
        <w:tc>
          <w:tcPr>
            <w:tcW w:w="49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Historical and expected forfeiture data</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estimate the fair value of restricted share units using a reasonable estimate of market value of the common shares on the date of the award. We classify our share-based payments as equity-classified awards as they are settled in our common shares.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premium as the awards vested.</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Right-of-use assets and lease liabilities</w:t>
      </w:r>
    </w:p>
    <w:p>
      <w:pPr>
        <w:spacing w:after="0" w:line="227"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In-process research and development (IPR&amp;D) asset</w:t>
      </w:r>
    </w:p>
    <w:p>
      <w:pPr>
        <w:spacing w:after="0" w:line="22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Company’s acquired IPR&amp;D asset is stated at cost less any impairments. Our IPR&amp;D asset is subject to impairment testing at least annually or when there are indications that the carrying value may not be recoverable until the completion of the development process. At that point, the capitalized amounts are amortized over their estimated useful life. The determination of the recoverable amounts include key estimates which are highly sensitive to, and depend upon, key assumptions.</w:t>
      </w:r>
    </w:p>
    <w:p>
      <w:pPr>
        <w:spacing w:after="0" w:line="183"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employee defined benefit liabilities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0"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8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4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89" w:lineRule="auto"/>
        <w:rPr>
          <w:sz w:val="20"/>
          <w:szCs w:val="20"/>
          <w:color w:val="auto"/>
        </w:rPr>
      </w:pPr>
      <w:r>
        <w:rPr>
          <w:rFonts w:ascii="Times New Roman" w:cs="Times New Roman" w:eastAsia="Times New Roman" w:hAnsi="Times New Roman"/>
          <w:sz w:val="17"/>
          <w:szCs w:val="17"/>
          <w:color w:val="auto"/>
        </w:rPr>
        <w:t>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Covid-19 global pandemic has impacted various countries in which AC Immune currently operates clinical trials and business operations. The extent to which Covid-19 may impact us will depend on future developments, which are currently uncertain and cannot be predicted with confidence, such as the duration of the outbreak, the severity of Covid-19, or the effectiveness of actions to contain and treat Covid-19.</w:t>
      </w:r>
    </w:p>
    <w:p>
      <w:pPr>
        <w:spacing w:after="0" w:line="18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continues to effect its business continuity plan and adapt as the situation evolves. Since 2021, we have resumed normal operations at full capacity, with minimal disruption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83"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The Company does not currently have or project material impacts to the ongoing key trials. Additionally, 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Given our stage of development, we have not generated any revenue from product sales. Our contract revenues to date have been derived primarily from separate license and collaboration agreements on some of our product candidates in various stages of preclinical and clinical development.</w:t>
      </w:r>
    </w:p>
    <w:p>
      <w:pPr>
        <w:spacing w:after="0" w:line="183"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contract revenues have experienced fluctuations over the past three years as a result of the timing of milestone achievement and the size of each milestone payment. We expect that any revenue we generate from our collaboration agreements with each of Lilly, Genentech, Janssen and LMI and/or from any other current or future collaboration partners will fluctuate from year to year as a result of the timing and amount of milestones and other 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of salaries and benefits, laboratory supplies, materials, intellectual property, facility and information technology (IT) costs, as well as fees paid to other non-employees and entities that conduct certain research and development activities on our behalf and all other allocated expenses. Amounts incurred in connection with license and collaboration agreements are also included in research and development expense. Payments made prior to the receipt of goods or services to be used in research and development are capitalized until those goods or services are received.</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CROs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the manufacturing activities performed by third parties based upon actual work completed in accordance with agreements established with contract manufacturers.</w:t>
      </w:r>
    </w:p>
    <w:p>
      <w:pPr>
        <w:spacing w:after="0" w:line="18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and the development of product candidates pursuant to our collaboration agreements with Lilly, Genentech, Janssen and LMI. We recognize all research and development costs as they are incurred. Clinical study costs, contract manufacturing and other development costs incurred by third parties are expensed as the contracted work is performed. At present, most of our research activities comprise three major areas:</w:t>
      </w:r>
    </w:p>
    <w:p>
      <w:pPr>
        <w:spacing w:after="0" w:line="192" w:lineRule="exact"/>
        <w:rPr>
          <w:sz w:val="20"/>
          <w:szCs w:val="20"/>
          <w:color w:val="auto"/>
        </w:rPr>
      </w:pPr>
    </w:p>
    <w:p>
      <w:pPr>
        <w:ind w:left="720" w:hanging="319"/>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non-AD NDD including Parkinson’s disease, ALS and NeuroOrphan indications;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diagnostics.</w:t>
      </w:r>
    </w:p>
    <w:p>
      <w:pPr>
        <w:spacing w:after="0" w:line="22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in the future and expect to fund a broader number of projects, which will impact our research strategy in four key ways:</w:t>
      </w:r>
    </w:p>
    <w:p>
      <w:pPr>
        <w:spacing w:after="0" w:line="176" w:lineRule="exact"/>
        <w:rPr>
          <w:sz w:val="20"/>
          <w:szCs w:val="20"/>
          <w:color w:val="auto"/>
        </w:rPr>
      </w:pPr>
    </w:p>
    <w:p>
      <w:pPr>
        <w:ind w:left="720" w:right="739" w:hanging="319"/>
        <w:spacing w:after="0" w:line="282"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undertake later-stage research and development for certain of our product candidates and, if approved, to take some of those product candidates into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allocate more funding to existing programs to advance the development of these programs;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increase our research and development efforts on non-AD indications including NeuroOrphans and diagnostics; and</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initiate a number of new research initiatives that are complementary to our existing and planned research initiatives.</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total future research and development costs will increase over current levels in line with our three-pillar strategy that focuses on (i) AD, (ii) focused non-AD NDD including Parkinson’s disease, ALS and NeuroOrphan indications and (iii) diagnostics.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 net</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consists primarily of income associated with foundation grants such as those from the MJFF or Target ALS.</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Finance result, net</w:t>
      </w:r>
    </w:p>
    <w:p>
      <w:pPr>
        <w:spacing w:after="0" w:line="229"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Financial income and expenses include bank fees associated with charges levied by banks on foreign payments, interest income and expense associated with our cash balances and interest expense associated with lease liabilities. For the year ended December 31, 2021, we recognized a gain on the change in fair value of derivative financial assets associated with two convertible notes sold to certain Affiris affiliated entities that did not occur in the current or comparable prior period.</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Exchange differences consist of foreign exchange transactions and re-measurement gains and losses that arise from our cash being held in currency other than Swiss Francs, certain collaboration agreements such as the collaboration agreements with Genentech and LMI being denominated in currencies other than Swiss Francs, and selected purchases, which we effect in foreign currencies.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 Immune is subject to corporate Swiss federal, cantonal and communal taxation, respectively, in Switzerland, Canton of Vaud, Commune of Ecublens, near Lausanne. We are also subject to taxation in other jurisdictions in which we operate, in particular, the United States where our wholly-owned subsidiary is incorporated.</w:t>
      </w:r>
    </w:p>
    <w:p>
      <w:pPr>
        <w:spacing w:after="0" w:line="16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7 years and can offset our losses carried forward against future taxes. As of December 31, 2022, we had tax loss carry-forwards totaling CHF 264.1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corporate income tax rate (federal, cantonal and communal) where we are domiciled is currently 13.6%.</w:t>
      </w:r>
    </w:p>
    <w:p>
      <w:pPr>
        <w:spacing w:after="0" w:line="225"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As of January 1, 2020, the Company may request for 2020 and future tax years a tax relief of 60%, which would be applied to income from patents and similar rights at the communal and cantonal levels. This relief would first require the reintegration of all expensed and deducted research and development costs related to the concerned patents and similar rights for consideration in our taxable results from the prior ten years. The Company has not currently made any decision to enter this patent box system. Additionally, a “super-deduction” may be granted for payroll and other expenses of research and development of Swiss origins.</w:t>
      </w:r>
    </w:p>
    <w:p>
      <w:pPr>
        <w:spacing w:after="0" w:line="18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corporate income tax, the corporate capital is taxed at a rate of 0.1305% (cantonal and communal tax only, as there is no federal tax on capital).</w:t>
      </w:r>
    </w:p>
    <w:p>
      <w:pPr>
        <w:spacing w:after="0" w:line="14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Value added tax (VAT) is charged on all qualifying goods and services supplied by VAT-registered businesses. Rates vary based on category, but the Company applies a standard rate of 7.7% (the standard rate will increase to 8.1% as of January 1, 2024) on the value of the goods or services to all sales invoices, which is payable to the Swiss tax authorities. Similarly, VAT paid on purchase invoices is reclaimable from the Swiss tax authorities.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numbers below have been derived from our audited consolidated financial statements included elsewhere in this Annual Report. The discussion below should be read along with these consolidated financial statements and it is qualified in its entirety by reference to them.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AC Immune generated CHF 3.9 million in contract revenues compared with nil for the comparable period in 2021. This represents an increase of CHF 3.9 million. The following table summarizes our contract revenues during the years ended December 31, 2022 and 2021:</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2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58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2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r>
    </w:tbl>
    <w:p>
      <w:pPr>
        <w:spacing w:after="0" w:line="211"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Our contract revenues experience fluctuations as a result of securing new collaboration agreements, the timing of milestone achievements and the size of each milestone payment. For the year ended December 31, 2022, our contract revenues were wholly related to the progression of the Tau-PET Tracer PI-2620 into late-stage development in AD per our agreement with LMI.</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16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have completed our R&amp;D spending in both of our Genentech collaborations. Additionally, we have completed our co-development costs with Janssen for the Phase 1b/2a studies for our therapeutic vaccines, ACI-35.030 and JACI-35.054.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second-generation vaccines.</w:t>
      </w:r>
    </w:p>
    <w:p>
      <w:pPr>
        <w:spacing w:after="0" w:line="183" w:lineRule="exact"/>
        <w:rPr>
          <w:sz w:val="20"/>
          <w:szCs w:val="20"/>
          <w:color w:val="auto"/>
        </w:rPr>
      </w:pPr>
    </w:p>
    <w:p>
      <w:pPr>
        <w:ind w:left="60" w:right="339" w:firstLine="324"/>
        <w:spacing w:after="0" w:line="255"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ACI-7104.056 in Parkinson’s disease and our ACI-24.060 vaccine through mid- and late-stage clinical development. Finally, we expect to incur additional R&amp;D expenditures associated with the expansion of our Morphomer Tau program into AD and potentially NeuroOrphan indications, as well as, investments in our diagnostic programs.</w:t>
      </w:r>
    </w:p>
    <w:p>
      <w:pPr>
        <w:spacing w:after="0" w:line="18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Finally, we intend to further characterize our other clinical and preclinical candidates. In addition to these arrangements and proprietarily held assets, we expect that our total future R&amp;D costs will increase over current levels, in line with our three-pillar strategy that focuses on (i) AD, (ii) focused non-AD NDD including Parkinson’s disease, ALS and NeuroOrphan indications and (iii) diagnostics.</w:t>
      </w:r>
    </w:p>
    <w:p>
      <w:pPr>
        <w:spacing w:after="0" w:line="18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research and development costs, including direct research and development costs, manufacturing costs related to research and development and other research and development costs not allocated directly to programs for the periods covered by this Annual Report. The research and development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research and development expenses totaled CHF 60.3 million compared with CHF 62.3 million for the comparable period in 2021. This represents a decrease of CHF 2.0 million. The following table presents the research and development expenses during the years ended December 31, 2022 and 2021: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Detailed research and development expenditures by major development category</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0" w:type="dxa"/>
            <w:vAlign w:val="bottom"/>
          </w:tcPr>
          <w:p>
            <w:pPr>
              <w:spacing w:after="0"/>
              <w:rPr>
                <w:sz w:val="19"/>
                <w:szCs w:val="19"/>
                <w:color w:val="auto"/>
              </w:rPr>
            </w:pPr>
          </w:p>
        </w:tc>
      </w:tr>
      <w:tr>
        <w:trPr>
          <w:trHeight w:val="229"/>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Clinical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0" w:type="dxa"/>
            <w:vAlign w:val="bottom"/>
          </w:tcPr>
          <w:p>
            <w:pPr>
              <w:spacing w:after="0"/>
              <w:rPr>
                <w:sz w:val="19"/>
                <w:szCs w:val="19"/>
                <w:color w:val="auto"/>
              </w:rPr>
            </w:pPr>
          </w:p>
        </w:tc>
      </w:tr>
      <w:tr>
        <w:trPr>
          <w:trHeight w:val="230"/>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function expenses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9"/>
                <w:szCs w:val="19"/>
                <w:color w:val="auto"/>
              </w:rPr>
            </w:pPr>
          </w:p>
        </w:tc>
      </w:tr>
      <w:tr>
        <w:trPr>
          <w:trHeight w:val="263"/>
        </w:trPr>
        <w:tc>
          <w:tcPr>
            <w:tcW w:w="65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31,552</w:t>
            </w:r>
          </w:p>
        </w:tc>
        <w:tc>
          <w:tcPr>
            <w:tcW w:w="1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35,764</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20" w:type="dxa"/>
            <w:vAlign w:val="bottom"/>
          </w:tcPr>
          <w:p>
            <w:pPr>
              <w:spacing w:after="0"/>
              <w:rPr>
                <w:sz w:val="22"/>
                <w:szCs w:val="22"/>
                <w:color w:val="auto"/>
              </w:rPr>
            </w:pPr>
          </w:p>
        </w:tc>
      </w:tr>
      <w:tr>
        <w:trPr>
          <w:trHeight w:val="210"/>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expenses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tcPr>
          <w:p>
            <w:pPr>
              <w:spacing w:after="0"/>
              <w:rPr>
                <w:sz w:val="18"/>
                <w:szCs w:val="18"/>
                <w:color w:val="auto"/>
              </w:rPr>
            </w:pPr>
          </w:p>
        </w:tc>
      </w:tr>
      <w:tr>
        <w:trPr>
          <w:trHeight w:val="230"/>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29"/>
        </w:trPr>
        <w:tc>
          <w:tcPr>
            <w:tcW w:w="65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non-allocated</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19"/>
                <w:szCs w:val="19"/>
                <w:color w:val="auto"/>
              </w:rPr>
            </w:pPr>
          </w:p>
        </w:tc>
      </w:tr>
      <w:tr>
        <w:trPr>
          <w:trHeight w:val="223"/>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66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6340" w:type="dxa"/>
            <w:vAlign w:val="bottom"/>
            <w:tcBorders>
              <w:top w:val="single" w:sz="8" w:color="auto"/>
            </w:tcBorders>
            <w:gridSpan w:val="3"/>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30"/>
        </w:trPr>
        <w:tc>
          <w:tcPr>
            <w:tcW w:w="20" w:type="dxa"/>
            <w:vAlign w:val="bottom"/>
          </w:tcPr>
          <w:p>
            <w:pPr>
              <w:spacing w:after="0"/>
              <w:rPr>
                <w:sz w:val="19"/>
                <w:szCs w:val="19"/>
                <w:color w:val="auto"/>
              </w:rPr>
            </w:pPr>
          </w:p>
        </w:tc>
        <w:tc>
          <w:tcPr>
            <w:tcW w:w="65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6"/>
                <w:szCs w:val="26"/>
                <w:color w:val="auto"/>
                <w:vertAlign w:val="superscript"/>
              </w:rPr>
              <w:t>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Includes depreciation expenses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Includes share-based compensation</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2022:</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Discovery and preclinical expenses decreased CHF 3.1 million, primarily due to:</w:t>
      </w:r>
    </w:p>
    <w:p>
      <w:pPr>
        <w:spacing w:after="0" w:line="239" w:lineRule="exact"/>
        <w:rPr>
          <w:sz w:val="20"/>
          <w:szCs w:val="20"/>
          <w:color w:val="auto"/>
        </w:rPr>
      </w:pPr>
    </w:p>
    <w:p>
      <w:pPr>
        <w:ind w:left="720" w:right="219" w:hanging="319"/>
        <w:spacing w:after="0" w:line="287" w:lineRule="auto"/>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ACI-24.060 for DS of CHF 2.3 million for the development costs due to the completion of the vaccine formulation which has been advanced into clinical studies and CHF 0.6 million for our anti-TDP-43 antibody due to the completion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studies in the prior year and CHF 1.3 million for certain other discovery programs,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20" w:right="339" w:hanging="319"/>
        <w:spacing w:after="0" w:line="282"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1.1 million associated with investments in our ACI-7104.056 vaccine, our alpha-synuclein vaccine for Parkinson’s disease acquired in Q4 2021.</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decreased by CHF 1.8 million, primarily due to:</w:t>
      </w:r>
    </w:p>
    <w:p>
      <w:pPr>
        <w:spacing w:after="0" w:line="225" w:lineRule="exact"/>
        <w:rPr>
          <w:sz w:val="20"/>
          <w:szCs w:val="20"/>
          <w:color w:val="auto"/>
        </w:rPr>
      </w:pPr>
    </w:p>
    <w:p>
      <w:pPr>
        <w:ind w:left="720" w:right="199" w:hanging="319"/>
        <w:spacing w:after="0" w:line="255"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5.9 million for the clinical development of ACI-35.030 driven by timing of activities across various cohorts started in prior years and expenses associated with the R&amp;D cost sharing, CHF 1.1 million for ACI-24.060 for AD as the prior clinical trial completed and CHF 0.6 million for Morphomer Tau program as we expand the development of other preclinical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20" w:right="139" w:hanging="319"/>
        <w:spacing w:after="0" w:line="266"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3.2 million for the clinical development of ACI-7104.056, which were largely not incurred in the prior period as the asset was acquired in H2 2021 and CHF 2.6 million for the initiation of our Phase 1b/2a ABATE study for our ACI-24.060 vaccine.</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intellectual property and other non-allocated costs.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salaries and related costs increased by CHF 1.2 million, primarily due to:</w:t>
      </w:r>
    </w:p>
    <w:p>
      <w:pPr>
        <w:spacing w:after="0" w:line="225" w:lineRule="exact"/>
        <w:rPr>
          <w:sz w:val="20"/>
          <w:szCs w:val="20"/>
          <w:color w:val="auto"/>
        </w:rPr>
      </w:pPr>
    </w:p>
    <w:p>
      <w:pPr>
        <w:ind w:left="700" w:right="579" w:hanging="299"/>
        <w:spacing w:after="0" w:line="282" w:lineRule="auto"/>
        <w:tabs>
          <w:tab w:leader="none" w:pos="72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salary- and benefit-related costs of CHF 1.1 million primarily related to new hires during the year and annualization of 2021 hires.</w:t>
      </w:r>
    </w:p>
    <w:p>
      <w:pPr>
        <w:spacing w:after="0" w:line="162"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CHF 1.1 million increase in other non-allocated expenses relate to certain non-allocated functional expenses, primarily due to:</w:t>
      </w:r>
    </w:p>
    <w:p>
      <w:pPr>
        <w:spacing w:after="0" w:line="148" w:lineRule="exact"/>
        <w:rPr>
          <w:sz w:val="20"/>
          <w:szCs w:val="20"/>
          <w:color w:val="auto"/>
        </w:rPr>
      </w:pPr>
    </w:p>
    <w:p>
      <w:pPr>
        <w:ind w:left="720" w:right="779" w:hanging="319"/>
        <w:spacing w:after="0" w:line="28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0.8 million associated with targeted IT investments such as our electronic laboratory notebook implementation and maintenance as well as R&amp;D consultants; and</w:t>
      </w:r>
    </w:p>
    <w:p>
      <w:pPr>
        <w:spacing w:after="0" w:line="161" w:lineRule="exact"/>
        <w:rPr>
          <w:rFonts w:ascii="Times New Roman" w:cs="Times New Roman" w:eastAsia="Times New Roman" w:hAnsi="Times New Roman"/>
          <w:sz w:val="18"/>
          <w:szCs w:val="18"/>
          <w:color w:val="auto"/>
        </w:rPr>
      </w:pPr>
    </w:p>
    <w:p>
      <w:pPr>
        <w:ind w:left="780" w:hanging="379"/>
        <w:spacing w:after="0"/>
        <w:tabs>
          <w:tab w:leader="none" w:pos="7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0.3 million in other items.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general and administrative expenses totaled CHF 15.8 million compared with CHF 17.9 million for the comparable period in 2021. This represents a decrease of CHF 2.1 million. The following table presents the general and administrative expenses during the years ended December 31, 2022 and 2021:</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r>
      <w:tr>
        <w:trPr>
          <w:trHeight w:val="194"/>
        </w:trPr>
        <w:tc>
          <w:tcPr>
            <w:tcW w:w="22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r>
      <w:tr>
        <w:trPr>
          <w:trHeight w:val="189"/>
        </w:trPr>
        <w:tc>
          <w:tcPr>
            <w:tcW w:w="224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30"/>
        </w:trPr>
        <w:tc>
          <w:tcPr>
            <w:tcW w:w="652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6"/>
                <w:szCs w:val="26"/>
                <w:color w:val="auto"/>
                <w:vertAlign w:val="superscript"/>
              </w:rPr>
              <w:t>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2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r>
      <w:tr>
        <w:trPr>
          <w:trHeight w:val="20"/>
        </w:trPr>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Includes depreciation expenses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Includes share-based compensation</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 ended December 31, 2022, this decrease is primarily due to:</w:t>
      </w:r>
    </w:p>
    <w:p>
      <w:pPr>
        <w:spacing w:after="0" w:line="225" w:lineRule="exact"/>
        <w:rPr>
          <w:sz w:val="20"/>
          <w:szCs w:val="20"/>
          <w:color w:val="auto"/>
        </w:rPr>
      </w:pPr>
    </w:p>
    <w:p>
      <w:pPr>
        <w:ind w:left="700" w:right="539" w:hanging="312"/>
        <w:spacing w:after="0" w:line="253" w:lineRule="auto"/>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1.1 million for transaction costs associated with our asset acquisition in the prior year for a portfolio of therapeutics targeting alpha-synuclein from Affiris which did not repeat in 2022; and</w:t>
      </w:r>
    </w:p>
    <w:p>
      <w:pPr>
        <w:ind w:left="700" w:right="119" w:hanging="312"/>
        <w:spacing w:after="0" w:line="260" w:lineRule="auto"/>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1.3 million in personnel expenses, largely driven by a CHF 0.9 million decrease in share-based compensation expense associated with the forfeiture of awards to a former member of management,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20" w:hanging="319"/>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0.3 million increase driven largely by increased audit and reporting fees as well as professional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 net</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other operating income/(expense) totaled CHF 1.3 million in income compared with CHF 1.2 million in income for the comparable period in 2021. This represents an increase of CHF 0.1 million. The following table presents the other operating income/(expense) during the years ended December 31, 2022 and 2021:</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r>
      <w:tr>
        <w:trPr>
          <w:trHeight w:val="194"/>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r>
      <w:tr>
        <w:trPr>
          <w:trHeight w:val="189"/>
        </w:trPr>
        <w:tc>
          <w:tcPr>
            <w:tcW w:w="6600" w:type="dxa"/>
            <w:vAlign w:val="bottom"/>
            <w:gridSpan w:val="2"/>
          </w:tcPr>
          <w:p>
            <w:pPr>
              <w:ind w:left="26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2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Pr>
          <w:p>
            <w:pPr>
              <w:spacing w:after="0"/>
              <w:rPr>
                <w:sz w:val="19"/>
                <w:szCs w:val="19"/>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2022, this increase is primarily due to:</w:t>
      </w:r>
    </w:p>
    <w:p>
      <w:pPr>
        <w:spacing w:after="0" w:line="225" w:lineRule="exact"/>
        <w:rPr>
          <w:sz w:val="20"/>
          <w:szCs w:val="20"/>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0.1 million associated with ongoing grants from the MJFF.</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result, net</w:t>
      </w:r>
    </w:p>
    <w:p>
      <w:pPr>
        <w:spacing w:after="0" w:line="216"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finance result was a CHF 0.1 million gain compared with a CHF 6.0 million gain for the comparable period in 2021. This represents a decrease of CHF 5.9 million. The following table presents the finance result during the years ended December 31, 2022 and 2021:</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52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0" w:type="dxa"/>
            <w:vAlign w:val="bottom"/>
          </w:tcPr>
          <w:p>
            <w:pPr>
              <w:spacing w:after="0"/>
              <w:rPr>
                <w:sz w:val="19"/>
                <w:szCs w:val="19"/>
                <w:color w:val="auto"/>
              </w:rPr>
            </w:pPr>
          </w:p>
        </w:tc>
      </w:tr>
      <w:tr>
        <w:trPr>
          <w:trHeight w:val="23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r>
      <w:tr>
        <w:trPr>
          <w:trHeight w:val="22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r>
      <w:tr>
        <w:trPr>
          <w:trHeight w:val="22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0" w:type="dxa"/>
            <w:vAlign w:val="bottom"/>
            <w:tcBorders>
              <w:bottom w:val="single" w:sz="8" w:color="auto"/>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finance result was a gain, which primarily decreased related to:</w:t>
      </w:r>
    </w:p>
    <w:p>
      <w:pPr>
        <w:spacing w:after="0" w:line="225" w:lineRule="exact"/>
        <w:rPr>
          <w:sz w:val="20"/>
          <w:szCs w:val="20"/>
          <w:color w:val="auto"/>
        </w:rPr>
      </w:pPr>
    </w:p>
    <w:p>
      <w:pPr>
        <w:jc w:val="both"/>
        <w:ind w:left="720" w:right="159" w:hanging="319"/>
        <w:spacing w:after="0" w:line="258" w:lineRule="auto"/>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6.4 million in financial income, predominantly related to a CHF 6.5 million gain associated in the change of fair value of derivative financial assets associated with two convertible notes sold to certain Affiris affiliated entities in the prior period which did not repeat in the current period,</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700" w:right="579" w:hanging="312"/>
        <w:spacing w:after="0" w:line="253" w:lineRule="auto"/>
        <w:tabs>
          <w:tab w:leader="none" w:pos="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0.2 million decrease in financial expense due to the transition from negative to positive interest rates during the year for our interest-bearing deposit accounts; and</w:t>
      </w:r>
    </w:p>
    <w:p>
      <w:pPr>
        <w:ind w:left="700" w:right="299" w:hanging="312"/>
        <w:spacing w:after="0" w:line="260" w:lineRule="auto"/>
        <w:tabs>
          <w:tab w:leader="none" w:pos="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0.3 million increase in favorable foreign currency exchange differences related to movement in the CHF versus foreign currencies, predominantly the US Dollar and Euro.</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operating results, as calculated in accordance with IFRS, as adopted by the IASB,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these measures assist our shareholders because they enhance the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our consolidated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loss to adjusted loss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loss per share to adjusted loss per share</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(70,753)</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(72,996)</w:t>
            </w: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Non-cash share-based payments</w:t>
            </w:r>
            <w:r>
              <w:rPr>
                <w:rFonts w:ascii="Times New Roman" w:cs="Times New Roman" w:eastAsia="Times New Roman" w:hAnsi="Times New Roman"/>
                <w:sz w:val="26"/>
                <w:szCs w:val="26"/>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tcPr>
          <w:p>
            <w:pPr>
              <w:ind w:left="80"/>
              <w:spacing w:after="0" w:line="230" w:lineRule="exact"/>
              <w:rPr>
                <w:sz w:val="20"/>
                <w:szCs w:val="20"/>
                <w:color w:val="auto"/>
              </w:rPr>
            </w:pPr>
            <w:r>
              <w:rPr>
                <w:rFonts w:ascii="Times New Roman" w:cs="Times New Roman" w:eastAsia="Times New Roman" w:hAnsi="Times New Roman"/>
                <w:sz w:val="18"/>
                <w:szCs w:val="18"/>
                <w:color w:val="auto"/>
              </w:rPr>
              <w:t>Foreign currency (gains)/losses</w:t>
            </w:r>
            <w:r>
              <w:rPr>
                <w:rFonts w:ascii="Times New Roman" w:cs="Times New Roman" w:eastAsia="Times New Roman" w:hAnsi="Times New Roman"/>
                <w:sz w:val="26"/>
                <w:szCs w:val="26"/>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Change in fair value of derivative financial assets</w:t>
            </w:r>
            <w:r>
              <w:rPr>
                <w:rFonts w:ascii="Times New Roman" w:cs="Times New Roman" w:eastAsia="Times New Roman" w:hAnsi="Times New Roman"/>
                <w:sz w:val="26"/>
                <w:szCs w:val="26"/>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ind w:left="8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6"/>
                <w:szCs w:val="26"/>
                <w:color w:val="auto"/>
                <w:vertAlign w:val="superscript"/>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loss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(67,944)</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(74,115)</w:t>
            </w: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loss per share – basic and diluted</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per share – basic and diluted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number of shares outstanding Adjusted loss – basic and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83,554,412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74,951,833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71,900,212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jc w:val="both"/>
        <w:ind w:left="60" w:right="119"/>
        <w:spacing w:after="0" w:line="222"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3" w:lineRule="exact"/>
        <w:rPr>
          <w:sz w:val="20"/>
          <w:szCs w:val="20"/>
          <w:color w:val="auto"/>
        </w:rPr>
      </w:pPr>
    </w:p>
    <w:p>
      <w:pPr>
        <w:ind w:left="60" w:right="299"/>
        <w:spacing w:after="0" w:line="198"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Reflects foreign currency re-measurement gains and losses for the period, predominantly impacted by the change in the exchange rate between the U.S. Dollar and the Swiss Franc.</w:t>
      </w:r>
    </w:p>
    <w:p>
      <w:pPr>
        <w:spacing w:after="0" w:line="1" w:lineRule="exact"/>
        <w:rPr>
          <w:sz w:val="20"/>
          <w:szCs w:val="20"/>
          <w:color w:val="auto"/>
        </w:rPr>
      </w:pPr>
    </w:p>
    <w:p>
      <w:pPr>
        <w:ind w:left="60" w:right="259"/>
        <w:spacing w:after="0" w:line="204"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Reflects the change in the fair value of the derivative financial instruments associated with two convertible notes sold to certain Affiris affiliated entities.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Reflects transaction costs associated with our asset acquisition for a portfolio of therapeutics targeting alpha-synuclein.</w:t>
      </w:r>
    </w:p>
    <w:p>
      <w:pPr>
        <w:spacing w:after="0" w:line="12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Company also discloses liquidity, which is defined as a financial indicator comprised of cash and cash equivalents and short-term financial assets. See “Note 3. Summary of significant accounting policies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our consolidated financial statements for further definition.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6"/>
                <w:szCs w:val="16"/>
                <w:color w:val="auto"/>
              </w:rPr>
            </w:pPr>
          </w:p>
        </w:tc>
      </w:tr>
      <w:tr>
        <w:trPr>
          <w:trHeight w:val="194"/>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6"/>
                <w:szCs w:val="16"/>
                <w:color w:val="auto"/>
              </w:rPr>
            </w:pPr>
          </w:p>
        </w:tc>
      </w:tr>
      <w:tr>
        <w:trPr>
          <w:trHeight w:val="189"/>
        </w:trPr>
        <w:tc>
          <w:tcPr>
            <w:tcW w:w="652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230"/>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(73,568)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r>
      <w:tr>
        <w:trPr>
          <w:trHeight w:val="229"/>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(53,664)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77,427</w:t>
            </w:r>
          </w:p>
        </w:tc>
      </w:tr>
      <w:tr>
        <w:trPr>
          <w:trHeight w:val="230"/>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(42,092)</w:t>
            </w:r>
          </w:p>
        </w:tc>
      </w:tr>
      <w:tr>
        <w:trPr>
          <w:trHeight w:val="22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(51,151)</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(78,607)</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27,456</w:t>
            </w:r>
          </w:p>
        </w:tc>
      </w:tr>
      <w:tr>
        <w:trPr>
          <w:trHeight w:val="20"/>
        </w:trPr>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CHF 73.6 million for the year ended December 31, 2022 compared with net cash used in operating activities of CHF 65.7 million for the year ended December 31, 2021. The change in cash used in operating activities for the year ended December 31, 2022 was due to the Company incurring a net loss of CHF 70.8 million for the year ended December 31, 2022 compared with net loss of CHF 73.0 million for the same period in 2021, which was driven by (i) an increase of CHF 1.7 million in prepaid expenses (ii) a CHF 6.1 million decrease in accrued expenses, offset by (i) a CHF 6.5 million gain on the change in fair value of derivative financial assets associated with two convertible notes sold to certain Affiris affiliated entities in 2021 which did not repeat in the current period.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investing activities was CHF 23.8 million for the year ended December 31, 2022 compared with net cash used in by investing activities of CHF 53.7 million for the year ended December 31, 2021. CHF 25.0 million of short-term financial assets matured for the year ended December 31, 2022, compared to a net investment of CHF 51.0 million of short-term financial assets in the prior period. Additionally, the Company spent CHF 1.2 million on property, plant and equipment, predominantly to enhance its laboratory and facilities.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7"/>
          <w:szCs w:val="17"/>
          <w:color w:val="auto"/>
        </w:rPr>
        <w:t>Net cash used in financing activities was CHF 1.3 million for the year ended December 31, 2022, compared with net cash provided by financing activities of CHF 40.7 million for the year ended December 31, 2021. The decrease of CHF 42.0 million is predominantly related to prior year’s (i) CHF 23.5 million received from two convertible notes sold to certain Affiris affiliated entities, (ii) CHF 4.6 million for the issuance of shares as part of the Company’ acquisition with Affiris for the program portfolio of therapeutics targeting a-syn, notably ACI-7104 (see “Note 6. Asset acquisition.”) and</w:t>
      </w:r>
    </w:p>
    <w:p>
      <w:pPr>
        <w:spacing w:after="0" w:line="2" w:lineRule="exact"/>
        <w:rPr>
          <w:sz w:val="20"/>
          <w:szCs w:val="20"/>
          <w:color w:val="auto"/>
        </w:rPr>
      </w:pPr>
    </w:p>
    <w:p>
      <w:pPr>
        <w:ind w:left="60" w:right="159" w:hanging="10"/>
        <w:spacing w:after="0" w:line="260" w:lineRule="auto"/>
        <w:tabs>
          <w:tab w:leader="none" w:pos="3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12.1 million received from proceeds from the sale of treasury shares in public offerings, net of underwriting fees and transaction costs, which did not repeat in the current period.</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obtain regulatory approval of, and successfully commercialize, our current or any future product candidates. As of December 31, 2022, we had cash and cash equivalents of CHF 31.6 million and short-term financial assets of CHF 91.0 million, resulting in CHF 122.6 million of liquidity. The decrease relative to December 31, 2021 was predominantly related to R&amp;D spending on our major discovery and R&amp;D programs, and the strengthening of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infrastructure, systems and organization. This was offset by the receipt of CHF 3.9 million in contract revenue from LMI linked to the progression of the Tau-PET Tracer PI-2620 into late-stage development in AD.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into Q3 2024.</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700" w:right="599" w:hanging="326"/>
        <w:spacing w:after="0" w:line="282" w:lineRule="auto"/>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protecting, defending and enforcing our portfolio of intellectual property.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has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We have capitalized a portion of our lease liabilities in accordance with IFRS 16. See “Note 5. Right-of-use assets, long-term financial assets and lease liabilities.”</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 currently projects CHF 1.0 million in undiscounted short-term lease obligations and CHF 2.4 million in undiscounted long-term lease obligations. Additionally, the Company projects CHF 23.0 million in short-term purchase commitments and CHF 29.2 million in long-term purchase commitments predominantly driven by R&amp;D activities.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Commencing in September 2020, the Company established an “at the market offering” (ATM) for the sale of up to USD 80.0 (CHF 74.6) million worth of our common shares from time to time by entering into an Open Market Sale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Agreement (Sales Agreement) with Jefferies LLC (Jefferies). In Q2 2021, we filed a new registration statement on Form F-3 and entered into a new Sales Agreement in Q2 2021 to replace and extend the ATM program. To date, the Company has sold 1,179,139 common shares previously held as treasury shares pursuant to the new Sales Agreement, raising USD 13.3 (CHF 12.1) million, net of underwriting fees and transaction costs.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2020</w:t>
      </w:r>
    </w:p>
    <w:p>
      <w:pPr>
        <w:spacing w:after="0" w:line="229" w:lineRule="exact"/>
        <w:rPr>
          <w:sz w:val="20"/>
          <w:szCs w:val="20"/>
          <w:color w:val="auto"/>
        </w:rPr>
      </w:pPr>
    </w:p>
    <w:p>
      <w:pPr>
        <w:ind w:left="60" w:right="439" w:firstLine="324"/>
        <w:spacing w:after="0" w:line="255"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2020, please refer to “Item 5. Operating and financial review and prospects—A. Operating results—Comparison of the years ended December 31, 2021 and 2020” of our Annual Report on Form 20-F for the year ended December 31, 2021 filed on March 22, 2022.</w:t>
      </w:r>
    </w:p>
    <w:p>
      <w:pPr>
        <w:spacing w:after="0" w:line="18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 and “Item 5. Operating and financial review and prospects—A. Operating results—results of operations.”</w:t>
      </w:r>
    </w:p>
    <w:p>
      <w:pPr>
        <w:spacing w:after="0" w:line="158" w:lineRule="exact"/>
        <w:rPr>
          <w:sz w:val="20"/>
          <w:szCs w:val="20"/>
          <w:color w:val="auto"/>
        </w:rPr>
      </w:pPr>
    </w:p>
    <w:p>
      <w:pPr>
        <w:ind w:left="380" w:hanging="330"/>
        <w:spacing w:after="0"/>
        <w:tabs>
          <w:tab w:leader="none" w:pos="3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5. Operating and financial review and prospects.”</w:t>
      </w:r>
    </w:p>
    <w:p>
      <w:pPr>
        <w:spacing w:after="0" w:line="207"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See “Note 3. Summary of significant accounting policies” to our consolidated financial statements for a description of the most significant accounting policies applied in the preparation of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Directors and senior management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 other key employees and board of directors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our executive officers, other key employees, and directors and director nominees, including their ages, as of March 1, 2023. The term of each of our directors is 1 year and, accordingly, will expire at our 2023 annual shareholder meeting to be held in June 2023.</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year of</w:t>
            </w:r>
          </w:p>
        </w:tc>
      </w:tr>
      <w:tr>
        <w:trPr>
          <w:trHeight w:val="23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5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appointment</w:t>
            </w:r>
          </w:p>
        </w:tc>
      </w:tr>
      <w:tr>
        <w:trPr>
          <w:trHeight w:val="223"/>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0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Andrea Pfeifer, Ph.D.</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Marie Kosco-Vilbois, Ph.D.</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Johannes Rolf Streffer, M.D.</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Piergiorgio Donati</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Technical Operations Officer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Roberts</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VP Finance, Interim Chief Financial Officer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Donovan</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Jean-Fabien Monin</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Administrative Officer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r>
        <w:trPr>
          <w:trHeight w:val="23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Key Employees</w:t>
            </w:r>
          </w:p>
        </w:tc>
        <w:tc>
          <w:tcPr>
            <w:tcW w:w="4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Julien Rongère, Ph.D.</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SVP Regulatory Affairs and Quality Assurance</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Sol, M.D.</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VP Head of Clinical Development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Alexandre Caratsch</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year of</w:t>
            </w:r>
          </w:p>
        </w:tc>
      </w:tr>
      <w:tr>
        <w:trPr>
          <w:trHeight w:val="23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5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appointment</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Bojana Portmann, Ph.D.</w:t>
            </w:r>
          </w:p>
        </w:tc>
        <w:tc>
          <w:tcPr>
            <w:tcW w:w="2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VP IP and Business Development</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Julian Gray, M.D., Ph.D.</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Advisor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Danton</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VP Information Systems, Security and Digital Technologies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9"/>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4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Douglas Williams, Ph.D.</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 and Director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Graney</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Werner Lanthaler, Ph.D.</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 Twyman, M.D.</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Carl June, M.D.</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Alan Colowick, M.D.</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Monika Bütler, Ph.D.</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Monica Shaw, M.D.</w:t>
            </w: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22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current business addresses for our executive officers, other key employees, directors and director nominee is AC Immune SA, EPFL Innovation Park, Building B, 1015 Lausanne, Switzerland.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Andrea Pfeifer, Ph.D., Co-Founder, Chief Executive Officer and Director: </w:t>
      </w:r>
      <w:r>
        <w:rPr>
          <w:rFonts w:ascii="Times New Roman" w:cs="Times New Roman" w:eastAsia="Times New Roman" w:hAnsi="Times New Roman"/>
          <w:sz w:val="17"/>
          <w:szCs w:val="17"/>
          <w:color w:val="auto"/>
        </w:rPr>
        <w:t>Andrea Pfeifer co-founded AC Immune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 in 2003, successfully leading it to an IPO in 2016, since when she has served as a Director on the Board. Under her leadership, multiple transformative partnerships have been established with leading pharmaceutical companies, yielding a potential value of up to CHF 3.3 billion plus additional royalties. Before founding the Company, she was the Head of Nestlé Research Centre in Lausanne, Switzerland where she played a major role in connecting science and business. Whilst at Nestlé she led the scientific development of a number of highly innovative, critically acclaimed products from laboratory to market, established the microbiome as a major cross-category product development platform and co-founded the Life Science focused Nestlé Venture Capital Fund. Prior to this she was a Visiting Fellow at the Human Carcinogenesis Branch of The National Institute of Health, Bethesda, USA. She currently serves as the Chair of Investment Fund BioMedInvest, Basel and AB2 Bio SA, Lausanne, and is a member of the Supervisory Board of Symrise AG, Holzminden, Germany. She is also a key member of the CEOi initiative on Alzheimer’s Disease and the Davos Alzheimer’s Collaborative (DAC).</w:t>
      </w:r>
    </w:p>
    <w:p>
      <w:pPr>
        <w:spacing w:after="0" w:line="181"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Prof. Pfeifer holds a Ph.D. in Toxicology (Cancer Research) from the University of Würzburg, Germany and is a registered Toxicologist and Pharmacist. She received her Habilitation from the University of Lausanne, Switzerland and is an Honorary Professor at the Ecole Polytechnique Fédérale de Lausanne (EPFL).</w:t>
      </w:r>
    </w:p>
    <w:p>
      <w:pPr>
        <w:spacing w:after="0" w:line="17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Marie Kosco-Vilbois, Ph.D., Chief Scientific Officer</w:t>
      </w:r>
      <w:r>
        <w:rPr>
          <w:rFonts w:ascii="Times New Roman" w:cs="Times New Roman" w:eastAsia="Times New Roman" w:hAnsi="Times New Roman"/>
          <w:sz w:val="18"/>
          <w:szCs w:val="18"/>
          <w:color w:val="auto"/>
        </w:rPr>
        <w:t>: A U.S. citizen, Marie Kosco-Vilbois has extensive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biopharmaceutical industry and 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 Dr. Kosco-Vilbois gained her Bachelor’s Degree in Biology from Rutgers University, New Jersey, U.S., and a PhD in Anatomy and Immunology from the Medical College of Virginia/Virginia Commonwealth University School of Medicine, U.S..</w:t>
      </w:r>
    </w:p>
    <w:p>
      <w:pPr>
        <w:spacing w:after="0" w:line="183"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Johannes Rolf Streffer, M.D., Chief Medical Officer: </w:t>
      </w:r>
      <w:r>
        <w:rPr>
          <w:rFonts w:ascii="Times New Roman" w:cs="Times New Roman" w:eastAsia="Times New Roman" w:hAnsi="Times New Roman"/>
          <w:sz w:val="18"/>
          <w:szCs w:val="18"/>
          <w:color w:val="auto"/>
        </w:rPr>
        <w:t>Johannes Streffer joined AC Immune in January 2021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Medical Officer from UCB Biopharma SPRL where he was VP, Head of Translational Medicine Neuroscience. Prior to this he was a member of the Alzheimer Disease Area Leadership Team at Janssen R&amp;D and the industrial lead for EMIF-AD, where 14 countries are combined to foster understanding of early biomarkers and change in the predementia AD spectrum. His recognized expertise and standing in the scientific and medical community provide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invaluable asset as we work to develop innovative treatments for neurodegenerative diseases based on our proprietary technology platforms.</w:t>
      </w:r>
    </w:p>
    <w:p>
      <w:pPr>
        <w:spacing w:after="0" w:line="162"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Prof. Streffer graduated from the University of Tübingen, Germany with a medical degree. He completed graduate studies on neuro-oncology and is Board certified in Psychiatry and Neurology. Currently he is a visiting Professor in the Department of Biomedical Sciences, University of Antwerp.</w:t>
      </w:r>
    </w:p>
    <w:p>
      <w:pPr>
        <w:spacing w:after="0" w:line="17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Piergiorgio Donati, Chief Technical Operations Officer: </w:t>
      </w:r>
      <w:r>
        <w:rPr>
          <w:rFonts w:ascii="Times New Roman" w:cs="Times New Roman" w:eastAsia="Times New Roman" w:hAnsi="Times New Roman"/>
          <w:sz w:val="18"/>
          <w:szCs w:val="18"/>
          <w:color w:val="auto"/>
        </w:rPr>
        <w:t>Piergiorgio Donati joined AC Immune in June 2018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Global Program Management, having previously worked for AC Immune from 2011 to 2015 as Head of Manufacturing and Project Management. Between 2015 and 2018, Mr. Donati was Head of CMC program development at Glenmark Pharmaceuticals and Biotech CMC Lead at Merck KGaA. Prior to 2011, he held R&amp;D positions at Abiogen, Merck Group and Serono. Mr. Donati holds a degree in Analytical Chemistry from the Technical Institute G.L. Bernini.</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Christopher Roberts, Vice President Finance, Interim Chief Financial Officer: </w:t>
      </w:r>
      <w:r>
        <w:rPr>
          <w:rFonts w:ascii="Times New Roman" w:cs="Times New Roman" w:eastAsia="Times New Roman" w:hAnsi="Times New Roman"/>
          <w:sz w:val="18"/>
          <w:szCs w:val="18"/>
          <w:color w:val="auto"/>
        </w:rPr>
        <w:t>Christopher Roberts joined 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in 2019 serving in various roles within the Company’s finance leadership team prior to his promotion in 2022. Previously, Mr. Roberts worked as a Senior Manager for Ernst &amp; Young for more than 10 years and supported the AC Immune IPO. During that time, he served high-growth life science companies in Switzerland, the San Francisco Bay Area, and the UK, focusing on initial and follow-on offerings, SEC reporting, and SOX 404 implementation projects. Mr. Roberts is a Trustee and Treasurer of Msizi Africa, a charity dedicated to sustainably improving the lives of children in Lesotho.</w:t>
      </w:r>
    </w:p>
    <w:p>
      <w:pPr>
        <w:spacing w:after="0" w:line="191"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Mr. Roberts is a Chartered Accountant with the Institute of Chartered Accountants in Scotland (ICAS) and holds a Bachelor of Science in Accounting, Auditing and Finance with first class honours from Lancaster University.</w:t>
      </w:r>
    </w:p>
    <w:p>
      <w:pPr>
        <w:spacing w:after="0" w:line="15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Howard Donovan, Chief Human Resources Officer: </w:t>
      </w:r>
      <w:r>
        <w:rPr>
          <w:rFonts w:ascii="Times New Roman" w:cs="Times New Roman" w:eastAsia="Times New Roman" w:hAnsi="Times New Roman"/>
          <w:sz w:val="18"/>
          <w:szCs w:val="18"/>
          <w:color w:val="auto"/>
        </w:rPr>
        <w:t>Howard Donovan joined AC Immune in 2022 and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internationally experienced, commercially focused leader who has competencies in all aspects of employee services, well-being, benefit design, international mobility, talent management, operations and HR business partnering. He has been at the World Economic Forum since 2015, where he led People Services and was responsible for global reward, employee experience, people insights, strategic sourcing, new office launches, and business partnering with the Board of Directors across its locations in Switzerland, United States, China, Japan and India. Howard previously worked as the inhouse Global Head of Reward for Puma Energy and prior to that he held senior HR leadership roles with a strong reward focus with multinational companies, including SGS Group and Xerox Corporation.</w:t>
      </w:r>
    </w:p>
    <w:p>
      <w:pPr>
        <w:spacing w:after="0" w:line="185"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Jean-Fabien Monin, Chief Administrative Officer: </w:t>
      </w:r>
      <w:r>
        <w:rPr>
          <w:rFonts w:ascii="Times New Roman" w:cs="Times New Roman" w:eastAsia="Times New Roman" w:hAnsi="Times New Roman"/>
          <w:sz w:val="18"/>
          <w:szCs w:val="18"/>
          <w:color w:val="auto"/>
        </w:rPr>
        <w:t>Jean-Fabien Monin was nominated Chief Administrative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July 2015 following his role as our Chief Financial Officer from March 2009 to July 2015. Prior to AC Immune, he held several positions during his tenure of 14 years at bioMérieux, a leading international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key employees</w:t>
      </w:r>
    </w:p>
    <w:p>
      <w:pPr>
        <w:spacing w:after="0" w:line="225"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Julien Rongère, Ph.D., SVP Regulatory Affairs and Quality Assurance</w:t>
      </w:r>
      <w:r>
        <w:rPr>
          <w:rFonts w:ascii="Times New Roman" w:cs="Times New Roman" w:eastAsia="Times New Roman" w:hAnsi="Times New Roman"/>
          <w:sz w:val="18"/>
          <w:szCs w:val="18"/>
          <w:color w:val="auto"/>
        </w:rPr>
        <w:t>: Julien Rongère joined AC Immune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2017 as Head of European Regulatory Affairs and Quality Assurance. Prior to joining AC Immune, Dr. Rongère held positions of increasing responsibility at Celgene in Switzerland. Most recently, he served as Director, Regulatory Affairs, leading the development of regulatory strategies for small molecules and CAR-T cell therapies and contributed to the development and approval of Revlimid in multiple myeloma and mantle cell lymphoma. Prior to Celgene, Dr. Rongère served as a Regulatory Expert at Apoxis, SA in Switzerland. During his career, Dr. Rongère gained specific expertise in the development of regulatory strategies for taking products from Phase 1 through to commercialization in the field of hematology/oncology and immunology/inflammation, including fast-to-market approaches, orphan drugs and pediatric development. Dr. Rongère gained his Master’s Degree in Medical Genetics from the University of Aberdeen, UK, and holds a Ph.D. in Molecular Biology from the University of Lausanne, Switzerland.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Oliver Sol, M.D., VP Head of Clinical Development</w:t>
      </w:r>
      <w:r>
        <w:rPr>
          <w:rFonts w:ascii="Times New Roman" w:cs="Times New Roman" w:eastAsia="Times New Roman" w:hAnsi="Times New Roman"/>
          <w:sz w:val="18"/>
          <w:szCs w:val="18"/>
          <w:color w:val="auto"/>
        </w:rPr>
        <w:t>: Prior to joining AC Immune, Olivier Sol was Clinical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Exonhit (Paris) and thereafter Medical &amp; Regulatory Affairs Director for Diaxonhit, where he was responsible for the development and medical validation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products in cancer, infectious diseases and Alzheimer’s disease. Dr. Sol spent his over 20-year career as a Medical Expert in several 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disease. He has also gained significant experience in the field of biological biomarkers. Dr. Sol holds an M.D. from the Paris-Sud University (Paris-Saclay) with a specialization in Medical Biology.</w:t>
      </w:r>
    </w:p>
    <w:p>
      <w:pPr>
        <w:spacing w:after="0" w:line="18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Alexandre Caratsch, General Counsel: </w:t>
      </w:r>
      <w:r>
        <w:rPr>
          <w:rFonts w:ascii="Times New Roman" w:cs="Times New Roman" w:eastAsia="Times New Roman" w:hAnsi="Times New Roman"/>
          <w:sz w:val="18"/>
          <w:szCs w:val="18"/>
          <w:color w:val="auto"/>
        </w:rPr>
        <w:t>Alexandre Caratsch is a Swiss-qualified attorney with 30 years’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private practice, multinational companies and in ventures. He initially worked as an in-house lawyer for E&amp;Y and the SGS Group before specializing in healthcare, holding senior legal positions at Novartis and Medtronic. Before joining AC Immune, he led the Corporate Legal Affairs and Intellectual Property group for Medtronic’s Europe, Middle East and Africa (EMEA) region. Mr. Caratsch has also co-founded two start-up companies in the field of information technology and medical technology, respectively, and has supported other start-up companies with strategic, transactional and general counsel. Mr. Caratsch holds a Master’s degree in Law from the University of Neuchâtel, Switzerland and is admitted to the Bar of Geneva, Switzerland.</w:t>
      </w:r>
    </w:p>
    <w:p>
      <w:pPr>
        <w:spacing w:after="0" w:line="185"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Bojana Portmann, Ph.D., VP IP and Business Development</w:t>
      </w:r>
      <w:r>
        <w:rPr>
          <w:rFonts w:ascii="Times New Roman" w:cs="Times New Roman" w:eastAsia="Times New Roman" w:hAnsi="Times New Roman"/>
          <w:sz w:val="18"/>
          <w:szCs w:val="18"/>
          <w:color w:val="auto"/>
        </w:rPr>
        <w:t>: Bojana Portmann joined AC Immune in 2011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Manager and has held multiple roles within the IP department with increasing responsibility over the past years, during which her work was mainly focused on creating and strengthening patent portfolios for biologicals, small molecules and liposomal technology. Dr. Portmann holds a Ph.D. degree from the EPFL University in Switzerland, and a LL.M. degree, Master of Intellectual Property Law and Management (MIPLM), from the CEIPI in France. She also received a M.Sc. (Dipl. Ing.) degree in Polymer and Chemical Engineering from the University of Belgrade in Serbia.</w:t>
      </w:r>
    </w:p>
    <w:p>
      <w:pPr>
        <w:spacing w:after="0" w:line="16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Julian Gray, M.D., Ph.D., Clinical Advisor</w:t>
      </w:r>
      <w:r>
        <w:rPr>
          <w:rFonts w:ascii="Times New Roman" w:cs="Times New Roman" w:eastAsia="Times New Roman" w:hAnsi="Times New Roman"/>
          <w:sz w:val="18"/>
          <w:szCs w:val="18"/>
          <w:color w:val="auto"/>
        </w:rPr>
        <w:t>: Julian Gray has served as Clinical Advisor to our programs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neurodegenerative diseases since January 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Oxford Brookes University.</w:t>
      </w:r>
    </w:p>
    <w:p>
      <w:pPr>
        <w:spacing w:after="0" w:line="183" w:lineRule="exact"/>
        <w:rPr>
          <w:sz w:val="20"/>
          <w:szCs w:val="20"/>
          <w:color w:val="auto"/>
        </w:rPr>
      </w:pPr>
    </w:p>
    <w:p>
      <w:pPr>
        <w:ind w:left="60" w:right="11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 Danton, VP Information Systems, Security and Digital Technologies: </w:t>
      </w:r>
      <w:r>
        <w:rPr>
          <w:rFonts w:ascii="Times New Roman" w:cs="Times New Roman" w:eastAsia="Times New Roman" w:hAnsi="Times New Roman"/>
          <w:sz w:val="18"/>
          <w:szCs w:val="18"/>
          <w:color w:val="auto"/>
        </w:rPr>
        <w:t>Mark Danton is a globally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experienced executive in Information Systems/Information Technology (IS/IT) with extensive experience in developing, launching and managing business-relevant IS, cybersecurity and digital technology solutions and services.</w:t>
      </w:r>
    </w:p>
    <w:p>
      <w:pPr>
        <w:spacing w:after="0" w:line="17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Prior to joining AC Immune, Mr. Danton served as IS/IT Global Manager at Nestlé and held a number of global roles at BT Global Services and in Dimension Data PLC. Mr. Danton holds an Executive MBA from the Business School Lausanne, graduating cum laude and as the Executive MBA Student of the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Douglas Williams, Ph.D., Chair and Director: </w:t>
      </w:r>
      <w:r>
        <w:rPr>
          <w:rFonts w:ascii="Times New Roman" w:cs="Times New Roman" w:eastAsia="Times New Roman" w:hAnsi="Times New Roman"/>
          <w:sz w:val="18"/>
          <w:szCs w:val="18"/>
          <w:color w:val="auto"/>
        </w:rPr>
        <w:t>Douglas E. Williams is currently the President, CEO and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Codiak BioSciences. He was previously Biogen’s Executive Vice President, Research and Development, serving in this role from January 2011 to July 2015. He joined Biogen from ZymoGenetics, where he was most recently CEO and member of the Board of Directors. ZymoGenetics was purchased for $985 million by Bristol Myers Squibb during Dr. Williams’ tenure. Previously, he held leadership positions within the biotechnology industry, including Chief Scientific Officer and Executive Vice President of Research and Development at Seattle Genetics,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Times New Roman" w:cs="Times New Roman" w:eastAsia="Times New Roman" w:hAnsi="Times New Roman"/>
          <w:sz w:val="17"/>
          <w:szCs w:val="17"/>
          <w:color w:val="auto"/>
        </w:rPr>
        <w:t>Senior Vice President and Washington Site Leader at Amgen. Dr. Williams served in a series of scientific and senior leadership positions over a decade at Immunex, including Executive Vice President and Chief Technology Officer and a member of the Board of Directors. During his 30+ year career in the biotechnology industry he has played a role in the development of several novel drugs including Enbrel, Tecfidera, and Spinraza. He has served on the board of numerous biotechnology companies and is currently Chair of the Board of AC Immune, and is a Director for Panacea II.</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Thomas Graney, Director: </w:t>
      </w:r>
      <w:r>
        <w:rPr>
          <w:rFonts w:ascii="Times New Roman" w:cs="Times New Roman" w:eastAsia="Times New Roman" w:hAnsi="Times New Roman"/>
          <w:sz w:val="18"/>
          <w:szCs w:val="18"/>
          <w:color w:val="auto"/>
        </w:rPr>
        <w:t>Thomas Graney is currently the CEO, CFO, and member of the Board of Directors of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Oxurion NV. Prior to Oxurion, he was CFO of Generation Bio, Senior Vice President and CFO at Vertex</w:t>
      </w:r>
    </w:p>
    <w:p>
      <w:pPr>
        <w:ind w:left="60"/>
        <w:spacing w:after="0"/>
        <w:rPr>
          <w:sz w:val="20"/>
          <w:szCs w:val="20"/>
          <w:color w:val="auto"/>
        </w:rPr>
      </w:pPr>
      <w:r>
        <w:rPr>
          <w:rFonts w:ascii="Times New Roman" w:cs="Times New Roman" w:eastAsia="Times New Roman" w:hAnsi="Times New Roman"/>
          <w:sz w:val="18"/>
          <w:szCs w:val="18"/>
          <w:color w:val="auto"/>
        </w:rPr>
        <w:t>Pharmaceuticals Inc. and CFO and SVP of Finance &amp; Corporate Strategy at Ironwood Pharmaceuticals. Prior to Ironwood</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Pharmaceuticals, Mr. Graney spent 20 years working with J&amp;J and its affiliates, serving for 4 years as worldwide VP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and CFO of Ethicon. Mr. Graney has extensive global experience that spans corporate development, commercial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strategy, portfolio management and supply chain management, communication, and investor relations. Mr. Graney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currently on the Board of Directors of Mogrify LTD and Chair of the Audit Committee. A Chartered Financial Analyst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charterholder, Mr. Graney holds a B.S. in accounting from the University of Delaware and an MBA in Marketing, Finance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International Business from the Leonard N. Stern School of Business at New York University.</w:t>
      </w:r>
    </w:p>
    <w:p>
      <w:pPr>
        <w:spacing w:after="0" w:line="18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Werner Lanthaler, Ph.D., Director: </w:t>
      </w:r>
      <w:r>
        <w:rPr>
          <w:rFonts w:ascii="Times New Roman" w:cs="Times New Roman" w:eastAsia="Times New Roman" w:hAnsi="Times New Roman"/>
          <w:sz w:val="18"/>
          <w:szCs w:val="18"/>
          <w:color w:val="auto"/>
        </w:rPr>
        <w:t>Werner Lanthaler is the CEO of Evotec AG, a drug discovery alliance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partnership company focused on rapidly progressing innovative product approaches with leading pharmaceutical and biotechnology companies, academics, patient advocacy groups and venture capitalists. Since joining Evotec in 2009, Dr. Lanthaler has focused the company on collaborating with biotech and pharma companies and academia, supporting biotech innovation. He previously served as Chief Financial Officer at Intercell AG where he played a key role in many of that company’s major milestones. During his tenure, Intercell undertook an IPO and developed from a venture-backed biotechnology 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88"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b w:val="1"/>
          <w:bCs w:val="1"/>
          <w:color w:val="auto"/>
        </w:rPr>
        <w:t>Roy Twyman, M.D., Director</w:t>
      </w:r>
      <w:r>
        <w:rPr>
          <w:rFonts w:ascii="Times New Roman" w:cs="Times New Roman" w:eastAsia="Times New Roman" w:hAnsi="Times New Roman"/>
          <w:sz w:val="17"/>
          <w:szCs w:val="17"/>
          <w:color w:val="auto"/>
        </w:rPr>
        <w:t>: Roy Twyman is a Neurologist and is founder and current CEO of Amron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Neuroscience, LLC, a private consulting 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From 2012 to March 2018, Dr. Twyman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6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Carl June, M.D., Director: </w:t>
      </w:r>
      <w:r>
        <w:rPr>
          <w:rFonts w:ascii="Times New Roman" w:cs="Times New Roman" w:eastAsia="Times New Roman" w:hAnsi="Times New Roman"/>
          <w:sz w:val="18"/>
          <w:szCs w:val="18"/>
          <w:color w:val="auto"/>
        </w:rPr>
        <w:t>Carl June is Richard W. Vague Professor in Immunotherapy, Director of the Center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Cellular Immunotherapies and Director of the Parker Institute for Cancer Immunotherapy at the Perelman School of Medicine at the University of Pennsylvania. Due to his lifelong work on lymphocyte activation, Prof. June is considered a world authority on mechanisms related to immune tolerance and adoptive immunotherapy in the fields of chronic inflammation and cancer.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opened a new era of innovative treatments and personalized medicine for cancer patients.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Prof. June is a graduate of the Naval Academy in Annapolis, USA, and Baylor College of Medicine in Houston, USA, where he received his medical degree. Prof. June also completed graduate training in immunology and malaria with</w:t>
      </w:r>
    </w:p>
    <w:p>
      <w:pPr>
        <w:ind w:left="60" w:right="559"/>
        <w:spacing w:after="0" w:line="247" w:lineRule="auto"/>
        <w:rPr>
          <w:sz w:val="20"/>
          <w:szCs w:val="20"/>
          <w:color w:val="auto"/>
        </w:rPr>
      </w:pPr>
      <w:r>
        <w:rPr>
          <w:rFonts w:ascii="Times New Roman" w:cs="Times New Roman" w:eastAsia="Times New Roman" w:hAnsi="Times New Roman"/>
          <w:sz w:val="18"/>
          <w:szCs w:val="18"/>
          <w:color w:val="auto"/>
        </w:rPr>
        <w:t>Dr. Paul-Henri Lambert at the World Health Organization, Geneva, Switzerland, and post-doctoral training in transplantation biology with E. Donnell Thomas and John Hansen at the Fred Hutchinson Cancer Research Center in Seattle, USA. He has published more than 500 manuscripts and is the recipient of numerous honors and prizes.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firstLine="324"/>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Alan Colowick, M.D., Director: </w:t>
      </w:r>
      <w:r>
        <w:rPr>
          <w:rFonts w:ascii="Times New Roman" w:cs="Times New Roman" w:eastAsia="Times New Roman" w:hAnsi="Times New Roman"/>
          <w:sz w:val="18"/>
          <w:szCs w:val="18"/>
          <w:color w:val="auto"/>
        </w:rPr>
        <w:t>Alan Colowick is currently a Managing Director at Matrix Capital Management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served in executive and Board roles for numerous large and emerging biotech companies. From 2017 until</w:t>
      </w:r>
    </w:p>
    <w:p>
      <w:pPr>
        <w:spacing w:after="0" w:line="1" w:lineRule="exact"/>
        <w:rPr>
          <w:sz w:val="20"/>
          <w:szCs w:val="20"/>
          <w:color w:val="auto"/>
        </w:rPr>
      </w:pPr>
    </w:p>
    <w:p>
      <w:pPr>
        <w:ind w:left="60" w:right="179"/>
        <w:spacing w:after="0" w:line="249" w:lineRule="auto"/>
        <w:rPr>
          <w:sz w:val="20"/>
          <w:szCs w:val="20"/>
          <w:color w:val="auto"/>
        </w:rPr>
      </w:pPr>
      <w:r>
        <w:rPr>
          <w:rFonts w:ascii="Times New Roman" w:cs="Times New Roman" w:eastAsia="Times New Roman" w:hAnsi="Times New Roman"/>
          <w:sz w:val="18"/>
          <w:szCs w:val="18"/>
          <w:color w:val="auto"/>
        </w:rPr>
        <w:t>January 2021, he was a Partner at Sofinnova, where he led investments for several clinical-stage companies. Previously, Dr. Colowick was Executive Vice President and served in various leadership roles at Celgene Corporation, including President for Celgene’s EMEA regions and Senior Vice President of Global Medical Affairs. Before Celgene, he was the Chief Executive Officer at Gloucester Pharmaceuticals, Inc. which was acquired by Celgene in 2010. Dr. Colowick also served as the President of Oncology at Geron Corporation, as Chief Medical Officer of Threshold Pharmaceuticals, and in numerous positions of increasing responsibility at Amgen culminating with his role as VP, Medical Affairs Europe.</w:t>
      </w:r>
    </w:p>
    <w:p>
      <w:pPr>
        <w:spacing w:after="0" w:line="192" w:lineRule="exact"/>
        <w:rPr>
          <w:sz w:val="20"/>
          <w:szCs w:val="20"/>
          <w:color w:val="auto"/>
        </w:rPr>
      </w:pPr>
    </w:p>
    <w:p>
      <w:pPr>
        <w:jc w:val="both"/>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Dr. Colowick serves on the Board of Directors for several biopharma companies, and his prior roles as Chair include VelosBio (sold to Merck in 2020 for $2.75 billion) and Principia Biopharma (sold to Sanofi in 2020 for $3.7 billion). He received his medical degree from Stanford University, a Master’s in Public Health from Harvard University, and a B.S. in Molecular Biology from the University of Colorado. He completed specialty training in Hematology-Oncology at Harvard Medical School, the Dana Farber Cancer Institute, and Brigham and Women’s Hospital in Boston, USA.</w:t>
      </w:r>
    </w:p>
    <w:p>
      <w:pPr>
        <w:spacing w:after="0" w:line="179" w:lineRule="exact"/>
        <w:rPr>
          <w:sz w:val="20"/>
          <w:szCs w:val="20"/>
          <w:color w:val="auto"/>
        </w:rPr>
      </w:pPr>
    </w:p>
    <w:p>
      <w:pPr>
        <w:ind w:left="60" w:right="59" w:firstLine="324"/>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Monika Bütler, Ph.D., Director: </w:t>
      </w:r>
      <w:r>
        <w:rPr>
          <w:rFonts w:ascii="Times New Roman" w:cs="Times New Roman" w:eastAsia="Times New Roman" w:hAnsi="Times New Roman"/>
          <w:sz w:val="17"/>
          <w:szCs w:val="17"/>
          <w:color w:val="auto"/>
        </w:rPr>
        <w:t>Monika Bütler is a leading Swiss economist and former Vice President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Swiss Covid-19 Science Taskforce. She is a member of the Board of Directors and of the audit committees of both Schindler Holding AG and Swiss Life Holding AG, and a member of the Board of Directors and of the compensation and nomination committee of Huber &amp; Suhner AG. Her international economic expertise is in public policy and managerial economics, including an advisory role to the World Bank and visiting appointments in the U.S., Australia and Europe.</w:t>
      </w:r>
    </w:p>
    <w:p>
      <w:pPr>
        <w:spacing w:after="0" w:line="1"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Dr. Bütler is a Vice President of the Foundation Board of the Gebert Rüf Foundation, a science and innovation foundation that supports entrepreneurial projects which are committed to achieving an impact.</w:t>
      </w:r>
    </w:p>
    <w:p>
      <w:pPr>
        <w:spacing w:after="0" w:line="181"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Prof. Bütler holds a Ph.D. in Economics from the University of St. Gallen, a Doctorate Honoris Causa from the University of Lucerne, and a Diploma in Mathematics/Physics from the University of Zurich.</w:t>
      </w:r>
    </w:p>
    <w:p>
      <w:pPr>
        <w:spacing w:after="0" w:line="144" w:lineRule="exact"/>
        <w:rPr>
          <w:sz w:val="20"/>
          <w:szCs w:val="20"/>
          <w:color w:val="auto"/>
        </w:rPr>
      </w:pPr>
    </w:p>
    <w:p>
      <w:pPr>
        <w:ind w:left="60" w:right="9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Monica Shaw, M.D., Director: </w:t>
      </w:r>
      <w:r>
        <w:rPr>
          <w:rFonts w:ascii="Times New Roman" w:cs="Times New Roman" w:eastAsia="Times New Roman" w:hAnsi="Times New Roman"/>
          <w:sz w:val="18"/>
          <w:szCs w:val="18"/>
          <w:color w:val="auto"/>
        </w:rPr>
        <w:t>Monica Shaw is a pharmaceutical industry expert who has held senior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and was involved in advancing more than 15 therapeutic products from first-in-man studies through regulatory approvals and commercialization across multiple geographies. She also played key business development roles in company acquisition and integration and co-development partnerships. Through her work, Dr. Shaw gained extensive specialty experience in the fields of dermatology, immuno-inflammation, HIV, neurology and oncology.</w:t>
      </w:r>
    </w:p>
    <w:p>
      <w:pPr>
        <w:spacing w:after="0" w:line="183" w:lineRule="exact"/>
        <w:rPr>
          <w:sz w:val="20"/>
          <w:szCs w:val="20"/>
          <w:color w:val="auto"/>
        </w:rPr>
      </w:pPr>
    </w:p>
    <w:p>
      <w:pPr>
        <w:ind w:left="60" w:right="299" w:firstLine="324"/>
        <w:spacing w:after="0" w:line="254" w:lineRule="auto"/>
        <w:rPr>
          <w:sz w:val="20"/>
          <w:szCs w:val="20"/>
          <w:color w:val="auto"/>
        </w:rPr>
      </w:pPr>
      <w:r>
        <w:rPr>
          <w:rFonts w:ascii="Times New Roman" w:cs="Times New Roman" w:eastAsia="Times New Roman" w:hAnsi="Times New Roman"/>
          <w:sz w:val="18"/>
          <w:szCs w:val="18"/>
          <w:color w:val="auto"/>
        </w:rPr>
        <w:t>Currently, Dr. Shaw is the Chief Executive Officer for Oncopeptides AB. Dr. Shaw has previously held other broad leadership roles at other leading pharmaceutical companies, including as Executive Vice President Head Region Europe, Canada, Australia for Leo Pharma, Vice-President Commercial Head Asia Pacific region at GSK/ViiV Healthcare, and Medical Director and Chief Scientific Officer UK for Novartis, in addition to previous leadership positions at Norgine, Shire and Merck KGaA.</w:t>
      </w:r>
    </w:p>
    <w:p>
      <w:pPr>
        <w:spacing w:after="0" w:line="18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Monica Shaw holds an M.D. from the University of Oxford Medical School and is a Member of the Royal College of Physicians.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 of our directors or executive officers has a family relationship as defined in Item 401 of Regulation S-K.</w:t>
      </w:r>
    </w:p>
    <w:p>
      <w:pPr>
        <w:spacing w:after="0" w:line="20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aggregate compensation accrued or paid to the members of our board of directors and our executive officers for services in all capacities was CHF 6.5 million.</w:t>
      </w:r>
    </w:p>
    <w:p>
      <w:pPr>
        <w:spacing w:after="0" w:line="16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total fair value of equity awards granted to directors and executive officers was CHF 2.0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amount set aside or accrued by us to provide pension, retirement or similar benefits to members of our board of directors and executive officers amounted to a total of CHF 0.3 million in the year ended December 31, 2022.</w:t>
      </w:r>
    </w:p>
    <w:p>
      <w:pPr>
        <w:spacing w:after="0" w:line="16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Annual Report the information in “Item 1. C—2021 Board Compensation” and “Item 2. C—2021 Executive Compensation” of Exhibit 99.4 to our report on Form 6-K filed with the SEC on March 22,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In 2016, we ceased issuing new grants under our prior equity incentive plans, which we refer to as the Prior Plans, and adopted a new omnibus equity incentive plan under which we have the discretion to grant a broad range of equity-based awards to eligible participants.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plan: C1</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Since our inception in 2003, we have had four separate Prior Plans under which stock options were granted (Prior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 A, B and C2 have terminated): Options granted under Plan C1 from 2013 through the adoption of the current 2016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 and Incentive Plan (SOIP) were taxed upon exercise instead of at grant due to a change in taxation rules.</w:t>
      </w:r>
    </w:p>
    <w:p>
      <w:pPr>
        <w:spacing w:after="0" w:line="205" w:lineRule="exact"/>
        <w:rPr>
          <w:sz w:val="20"/>
          <w:szCs w:val="20"/>
          <w:color w:val="auto"/>
        </w:rPr>
      </w:pPr>
    </w:p>
    <w:p>
      <w:pPr>
        <w:jc w:val="both"/>
        <w:ind w:left="60" w:right="13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Under Plan C1, an option, which can only be granted with the approval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evidenced by an option agreement signed by the participant to indicate his or her acceptance of the option and is subject to the terms and conditions of the applicable Prior Plan.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Under Plan C1, options were granted to our directors, employees, advisors and agents.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Options exercise price</w:t>
      </w:r>
      <w:r>
        <w:rPr>
          <w:rFonts w:ascii="Times New Roman" w:cs="Times New Roman" w:eastAsia="Times New Roman" w:hAnsi="Times New Roman"/>
          <w:sz w:val="18"/>
          <w:szCs w:val="18"/>
          <w:color w:val="auto"/>
        </w:rPr>
        <w:t>. The exercise price of all options issued under the Prior Plan is CHF 0.15.</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Vesting period</w:t>
      </w:r>
      <w:r>
        <w:rPr>
          <w:rFonts w:ascii="Times New Roman" w:cs="Times New Roman" w:eastAsia="Times New Roman" w:hAnsi="Times New Roman"/>
          <w:sz w:val="18"/>
          <w:szCs w:val="18"/>
          <w:color w:val="auto"/>
        </w:rPr>
        <w:t>. Under Plan C1, the options vesting period was 4 years with 25% of the options vesting each year.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Expiration period. </w:t>
      </w:r>
      <w:r>
        <w:rPr>
          <w:rFonts w:ascii="Times New Roman" w:cs="Times New Roman" w:eastAsia="Times New Roman" w:hAnsi="Times New Roman"/>
          <w:sz w:val="18"/>
          <w:szCs w:val="18"/>
          <w:color w:val="auto"/>
        </w:rPr>
        <w:t>The expiry dates for each plan are as follows: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Plan C1: 10 years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has the authority to amend each of the Prior Plans.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2016 SOIP</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At the November 15, 2016 AGM of the Company, our board of directors approved the 2016 SOIP (as amended and restated the “2016 SOIP”). The maximum number of shares available for issuance under the 2016 SOIP is 4,800,000 common shares. The shares available for issuance under the 2016 SOIP were initially registered with the SEC on a Form S-8 on March 8, 2017, and additional shares were registered on a Form S-8 on August 5, 2019. As of December 31, 2022, there were a total of 2,345,648 shares underlying options that were exercisable and 4,261,017 shares underlying outstanding options and 216,486 shares underlying outstanding restricted share units issued from both our Prior Plans and the 2016 SOIP.</w:t>
      </w:r>
    </w:p>
    <w:p>
      <w:pPr>
        <w:spacing w:after="0" w:line="18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2016 SOIP is administered by either our board of directors or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 similar committee performing the functions of the compensation committee. Approval of the plan administrator is required for all grants of awards under the 2016 SOIP, but the administrator may delegate to our CEO the authority to grant awards, subject to certain limitations set forth on the plan.</w:t>
      </w:r>
    </w:p>
    <w:p>
      <w:pPr>
        <w:spacing w:after="0" w:line="180" w:lineRule="exact"/>
        <w:rPr>
          <w:sz w:val="20"/>
          <w:szCs w:val="20"/>
          <w:color w:val="auto"/>
        </w:rPr>
      </w:pPr>
    </w:p>
    <w:p>
      <w:pPr>
        <w:ind w:left="60" w:right="11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Awards may be granted in the form of incentive stock options, non-qualified stock options,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restricted share units, restricted share awards, unrestricted share awards, performance share awards and dividend equivalent rights.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Under the 2016 SOIP, full or part-time officers and other employees, non-employee directors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consultants of the Company and its subsidiaries who are selected by the administrator are eligible to participate in the plan.</w:t>
      </w:r>
    </w:p>
    <w:p>
      <w:pPr>
        <w:spacing w:after="0" w:line="135"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exercise price. </w:t>
      </w:r>
      <w:r>
        <w:rPr>
          <w:rFonts w:ascii="Times New Roman" w:cs="Times New Roman" w:eastAsia="Times New Roman" w:hAnsi="Times New Roman"/>
          <w:sz w:val="18"/>
          <w:szCs w:val="18"/>
          <w:color w:val="auto"/>
        </w:rPr>
        <w:t>Under the 2016 SOIP, the option exercise price is determined by the plan administrator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but will not be less than fair market value (as defined in the 2016 SOIP) on the grant date, and for incentive stock options granted to any employee who is a 10 percent owner in the Company, will not be less than 110 percent of the fair market value on the grant date.</w:t>
      </w:r>
    </w:p>
    <w:p>
      <w:pPr>
        <w:spacing w:after="0" w:line="180" w:lineRule="exact"/>
        <w:rPr>
          <w:sz w:val="20"/>
          <w:szCs w:val="20"/>
          <w:color w:val="auto"/>
        </w:rPr>
      </w:pPr>
    </w:p>
    <w:p>
      <w:pPr>
        <w:ind w:left="60" w:right="439" w:firstLine="32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Vesting period. </w:t>
      </w:r>
      <w:r>
        <w:rPr>
          <w:rFonts w:ascii="Times New Roman" w:cs="Times New Roman" w:eastAsia="Times New Roman" w:hAnsi="Times New Roman"/>
          <w:sz w:val="18"/>
          <w:szCs w:val="18"/>
          <w:color w:val="auto"/>
        </w:rPr>
        <w:t>Vesting conditions are determined by the administrator at the time of grant and are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w:t>
      </w:r>
    </w:p>
    <w:p>
      <w:pPr>
        <w:spacing w:after="0" w:line="172" w:lineRule="exact"/>
        <w:rPr>
          <w:sz w:val="20"/>
          <w:szCs w:val="20"/>
          <w:color w:val="auto"/>
        </w:rPr>
      </w:pPr>
    </w:p>
    <w:p>
      <w:pPr>
        <w:ind w:left="60" w:right="13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Accelerated vesting. </w:t>
      </w:r>
      <w:r>
        <w:rPr>
          <w:rFonts w:ascii="Times New Roman" w:cs="Times New Roman" w:eastAsia="Times New Roman" w:hAnsi="Times New Roman"/>
          <w:sz w:val="17"/>
          <w:szCs w:val="17"/>
          <w:color w:val="auto"/>
        </w:rPr>
        <w:t>The administrator may accelerate the exercisability or vesting of all or any portion of any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circumstances involving the grantee’s death, disability, retirement or termination of employment, or a change in control.</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has the authority to amend the 2016 SOIP.</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to the 2016 SOIP</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June 2019, the Board authorized, and the shareholders approved, an increase in the maximum number of shares reserved for issuance under the 2016 SOIP. In October 2019, the Board authorized a second amendment and restatement to the 2016 SOIP. These amendments were made to align certain elements with Swiss statutory requirements and had no financial impact for the Company in 2022, 2021 or 2020.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For the fiscal year ended December 31, 2022, the Company has granted our directors and executive officers, in the aggregate, options for the right to acquire 633,060 shares at an exercise price of USD 3.15 per share, which vest either over a 1 year or 3 year period with vesting to occur quarterly or annually depending on the nature of the award. The expiration date for these options granted in 2022 is 2032. The Company also granted to our directors and executive officers a total of 239,194 restricted share units in 2022. Restricted share units granted to directors vest over a 1 year period with vesting to occur annually. Restricted share units granted to executive officers vest over a 3 year period with vesting to occur quarterly or semi-annually. Please see “Note 18. Share-based compensation” for further detail.</w:t>
      </w:r>
    </w:p>
    <w:p>
      <w:pPr>
        <w:spacing w:after="0" w:line="183" w:lineRule="exact"/>
        <w:rPr>
          <w:sz w:val="20"/>
          <w:szCs w:val="20"/>
          <w:color w:val="auto"/>
        </w:rPr>
      </w:pPr>
    </w:p>
    <w:p>
      <w:pPr>
        <w:ind w:left="60" w:right="6359" w:hanging="10"/>
        <w:spacing w:after="0" w:line="503" w:lineRule="auto"/>
        <w:tabs>
          <w:tab w:leader="none" w:pos="38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Composition of board of directors</w:t>
      </w: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is composed of nine directors. Each director is elected for a 1-year term, no later than the next Annual General Meeting (AGM). The current members of our board of directors were appointed at shareholders’ meetings held on June 24, 2022 to serve until the 2023 AGM to be held in June 2023.</w:t>
      </w:r>
    </w:p>
    <w:p>
      <w:pPr>
        <w:spacing w:after="0" w:line="162"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met in accordance with their respective mandate both physically (as was practicable under current pandemic circumstances), by video-conference and telephonically throughout 2022. The Board members analyzed the scientific, business, financial, organizational and legal risks of the Company based on the external factors and internal changes that could potentially impact the risks for the Company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considering any applicable committee independence standards, Douglas Williams, Thomas Graney, Werner Lanthaler, Roy Twyman, Carl June, Alan Colowick, Monika Bütler and Monica Shaw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common shares beneficially owned by the director and his or her affiliated entities, if any.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established two separate permanent committees: an audit and finance committee and a compensation, nomination and corporate governance committee.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and finance committee</w:t>
      </w:r>
    </w:p>
    <w:p>
      <w:pPr>
        <w:spacing w:after="0" w:line="21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audit and finance committee, which consists of Monika Bütler (Chair), Thomas Graney (Member), and Werner Lanthaler (Member), assists our board of directors in overseeing our accounting and financial reporting processes and the audits of our consolidated financial statements. In addition, the audit and finance committee is directly responsible for the appointment, compensation, retention and oversight of the work of our independent registered public accounting firm. The audit and finance committee consists exclusively of members of our board who are financially literate, and Monika Bütler, Thomas Graney and Werner Lanthaler are considered to be “audit committee financial experts” as defined by the SEC. Our board of directors has determined that Monika Bütler, Thomas Graney and Werner Lanthaler satisfy the “independence” requirements set forth in Rule 10A-3 under the Exchange Act.</w:t>
      </w:r>
    </w:p>
    <w:p>
      <w:pPr>
        <w:spacing w:after="0" w:line="17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is governed by a charter that complies with Nasdaq rules. The audit and finance committee has the responsibility to, among other things:</w:t>
      </w:r>
    </w:p>
    <w:p>
      <w:pPr>
        <w:spacing w:after="0" w:line="162" w:lineRule="exact"/>
        <w:rPr>
          <w:sz w:val="20"/>
          <w:szCs w:val="20"/>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qualifications, independence, performance and effectiveness of the independent auditor;</w:t>
      </w:r>
    </w:p>
    <w:p>
      <w:pPr>
        <w:spacing w:after="0" w:line="225"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scope of the prospective audit by the independent auditor, the estimated fees, and any other matters pertaining to the audit;</w:t>
      </w:r>
    </w:p>
    <w:p>
      <w:pPr>
        <w:spacing w:after="0" w:line="161"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audit and non-audit services proposed to be provided by the independent auditor to ensure independent auditor independence;</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independent auditor’s report and management letters and take notice of all comments of the independent auditor on accounting procedures and systems of control, and review the independent auditor’s reports with management;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the resolution of disagreements between the management and the independent auditor;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lead audit partner of the independent audit team and confirm and evaluate their rotation;</w:t>
      </w:r>
    </w:p>
    <w:p>
      <w:pPr>
        <w:spacing w:after="0" w:line="225"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all (i) consolidated financial statements, (ii) reports intended for publication and (iii) any other financial statements intended for publication to consider significant financial reporting issues and judgments made in connection with the preparation of our consolidated financial statements, including any significant changes in our selection or application of accounting principles;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quarterly condensed consolidated financial statements;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56"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consolidated financial statements, including critical accounting policies, the effect of regulatory and accounting initiatives, and off-balance sheet transactions and structures on our consolidated financial statements;</w:t>
      </w:r>
    </w:p>
    <w:p>
      <w:pPr>
        <w:spacing w:after="0" w:line="173"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 cooperation with the independent auditor and the management whether the accounting principles applied are appropriate in view of our size and complexity;</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w:t>
      </w:r>
    </w:p>
    <w:p>
      <w:pPr>
        <w:spacing w:after="0" w:line="17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external advisors any legal matters that may have a material impact on our consolidated financial statements and any material reports or inquiries from regulatory or governmental agencies that could materially impact our contingent liabilities and risks;</w:t>
      </w:r>
    </w:p>
    <w:p>
      <w:pPr>
        <w:spacing w:after="0" w:line="175" w:lineRule="exact"/>
        <w:rPr>
          <w:rFonts w:ascii="Times New Roman" w:cs="Times New Roman" w:eastAsia="Times New Roman" w:hAnsi="Times New Roman"/>
          <w:sz w:val="18"/>
          <w:szCs w:val="18"/>
          <w:color w:val="auto"/>
        </w:rPr>
      </w:pPr>
    </w:p>
    <w:p>
      <w:pPr>
        <w:ind w:left="720" w:right="219" w:hanging="319"/>
        <w:spacing w:after="0" w:line="312" w:lineRule="auto"/>
        <w:tabs>
          <w:tab w:leader="none" w:pos="7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disclosure controls and procedures and internal control over financial reporting, including significant deficiencies and material weaknesses in the design or operation of internal controls over financial reporting;</w:t>
      </w:r>
    </w:p>
    <w:p>
      <w:pPr>
        <w:spacing w:after="0" w:line="139" w:lineRule="exact"/>
        <w:rPr>
          <w:rFonts w:ascii="Times New Roman" w:cs="Times New Roman" w:eastAsia="Times New Roman" w:hAnsi="Times New Roman"/>
          <w:sz w:val="17"/>
          <w:szCs w:val="17"/>
          <w:color w:val="auto"/>
        </w:rPr>
      </w:pPr>
    </w:p>
    <w:p>
      <w:pPr>
        <w:ind w:left="720" w:right="119" w:hanging="319"/>
        <w:spacing w:after="0" w:line="266"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7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ratify any related-person transaction in accordance with our related-person transaction policy.</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will meet as often as it determines is appropriate to carry out its responsibilities, but in any event will meet at least four times per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nomination and corporate governance committee</w:t>
      </w:r>
    </w:p>
    <w:p>
      <w:pPr>
        <w:spacing w:after="0" w:line="229"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compensation, nomination and corporate governance committee, consists of Douglas Williams (Chair), Roy Twyman (Member) and Thomas Graney (Member).</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compensation, nomination and corporate governance committee is governed by a charter that complies with SEC and home country governance rules. The compensation, nomination and corporate governance committee has the responsibility to, among other things:</w:t>
      </w:r>
    </w:p>
    <w:p>
      <w:pPr>
        <w:spacing w:after="0" w:line="183" w:lineRule="exact"/>
        <w:rPr>
          <w:sz w:val="20"/>
          <w:szCs w:val="20"/>
          <w:color w:val="auto"/>
        </w:rPr>
      </w:pPr>
    </w:p>
    <w:p>
      <w:pPr>
        <w:ind w:left="720" w:right="179" w:hanging="319"/>
        <w:spacing w:after="0" w:line="282" w:lineRule="auto"/>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guidelines for the overall compensation and equity awards for the board of directors and executive officers along with the rationale for such recommendations;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compensation of executive officers;</w:t>
      </w:r>
    </w:p>
    <w:p>
      <w:pPr>
        <w:spacing w:after="0" w:line="22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the maximum total compensation of the board of directors and executive officers for approval at the Annual General Meeting;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policies and principles for the Company’s corporate governance;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19"/>
        <w:spacing w:after="0" w:line="282" w:lineRule="auto"/>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process for assessment of the performance of members of the board, its committees and individual members;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reviews the Company’s succession plan for members of the board and the executive committee;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code of conduct and recommends changes as needed;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for presentation to our shareholders the compensation report for shareholder vote; and</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guidelines for the selection of candidates for election or re-election as members of the board and our executive officers.</w:t>
      </w:r>
    </w:p>
    <w:p>
      <w:pPr>
        <w:spacing w:after="0" w:line="162"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Swiss law requires that we adopt a compensation committee, so in accordance with Nasdaq Listing Rule 5615(a)(3), we will follow home country requirements with respect to the compensation, nomination and corporate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 requirements of Nasdaq Listing Rule 5605(e). We will be subject to the Swiss Ordinance Against Executive Compensation (Say on Pay) Rule. In addition, this committee will also be responsible for director and board committee nominations as well as reviewing and amending, if required, our corporate governance framework and guidelines.</w:t>
      </w:r>
    </w:p>
    <w:p>
      <w:pPr>
        <w:spacing w:after="0" w:line="18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employed 156 employees, 30 of whom were part-time employees. 72 of our employees hold Ph.D. degrees and 50 hold M.Sc. degrees. Our 156 employees are from 30 countries. The average number of employees (calculated on full-time equivalents) in 2022 was 149. As of December 31, 2021 and 2020 we had 143 and 149 employees, respectively. We have never had a work stoppage, and none of our employees is represented by a labor organization or under any collective-bargaining arrangements. We consider our employee relations to be good.</w:t>
      </w:r>
    </w:p>
    <w:p>
      <w:pPr>
        <w:spacing w:after="0" w:line="166" w:lineRule="exact"/>
        <w:rPr>
          <w:sz w:val="20"/>
          <w:szCs w:val="20"/>
          <w:color w:val="auto"/>
        </w:rPr>
      </w:pPr>
    </w:p>
    <w:p>
      <w:pPr>
        <w:ind w:left="380" w:hanging="330"/>
        <w:spacing w:after="0"/>
        <w:tabs>
          <w:tab w:leader="none" w:pos="3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7. Major shareholders and related-party transactions—A. Major shareholders.”</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Not applicable.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RELATED-PARTY TRANSACTIONS</w:t>
      </w:r>
    </w:p>
    <w:p>
      <w:pPr>
        <w:spacing w:after="0" w:line="19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Major shareholders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common shares as of the date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Report by:</w:t>
      </w:r>
    </w:p>
    <w:p>
      <w:pPr>
        <w:spacing w:after="0" w:line="166" w:lineRule="exact"/>
        <w:rPr>
          <w:sz w:val="20"/>
          <w:szCs w:val="20"/>
          <w:color w:val="auto"/>
        </w:rPr>
      </w:pPr>
    </w:p>
    <w:p>
      <w:pPr>
        <w:ind w:left="720" w:right="559" w:hanging="319"/>
        <w:spacing w:after="0" w:line="282" w:lineRule="auto"/>
        <w:tabs>
          <w:tab w:leader="none" w:pos="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common shares;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8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shared voting power or investment power as well as any common shares that the individual has the right to acquire within 60 days of March 1, 2023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3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percentage of outstanding common shares is computed on the basis of 83,620,364 common shares outstanding as of March 1, 2023. Common shares that a person has the right to acquire within 60 days of March 1, 2023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1015 Lausanne, Switzerland.</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1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2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6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 Shareholders</w:t>
            </w:r>
          </w:p>
        </w:tc>
        <w:tc>
          <w:tcPr>
            <w:tcW w:w="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dievini Hopp BioTech holding GmbH &amp; Co KG</w:t>
            </w:r>
            <w:r>
              <w:rPr>
                <w:rFonts w:ascii="Times New Roman" w:cs="Times New Roman" w:eastAsia="Times New Roman" w:hAnsi="Times New Roman"/>
                <w:sz w:val="26"/>
                <w:szCs w:val="26"/>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16,316,742</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30"/>
        </w:trPr>
        <w:tc>
          <w:tcPr>
            <w:tcW w:w="20" w:type="dxa"/>
            <w:vAlign w:val="bottom"/>
          </w:tcPr>
          <w:p>
            <w:pPr>
              <w:spacing w:after="0"/>
              <w:rPr>
                <w:sz w:val="19"/>
                <w:szCs w:val="19"/>
                <w:color w:val="auto"/>
              </w:rPr>
            </w:pPr>
          </w:p>
        </w:tc>
        <w:tc>
          <w:tcPr>
            <w:tcW w:w="64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Varuma AG</w:t>
            </w:r>
            <w:r>
              <w:rPr>
                <w:rFonts w:ascii="Times New Roman" w:cs="Times New Roman" w:eastAsia="Times New Roman" w:hAnsi="Times New Roman"/>
                <w:sz w:val="26"/>
                <w:szCs w:val="26"/>
                <w:color w:val="auto"/>
                <w:vertAlign w:val="superscript"/>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11,999,999</w:t>
            </w: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29"/>
        </w:trPr>
        <w:tc>
          <w:tcPr>
            <w:tcW w:w="20" w:type="dxa"/>
            <w:vAlign w:val="bottom"/>
          </w:tcPr>
          <w:p>
            <w:pPr>
              <w:spacing w:after="0"/>
              <w:rPr>
                <w:sz w:val="19"/>
                <w:szCs w:val="19"/>
                <w:color w:val="auto"/>
              </w:rPr>
            </w:pPr>
          </w:p>
        </w:tc>
        <w:tc>
          <w:tcPr>
            <w:tcW w:w="64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Affiris AG</w:t>
            </w:r>
            <w:r>
              <w:rPr>
                <w:rFonts w:ascii="Times New Roman" w:cs="Times New Roman" w:eastAsia="Times New Roman" w:hAnsi="Times New Roman"/>
                <w:sz w:val="26"/>
                <w:szCs w:val="26"/>
                <w:color w:val="auto"/>
                <w:vertAlign w:val="superscript"/>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10,133,474</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29"/>
        </w:trPr>
        <w:tc>
          <w:tcPr>
            <w:tcW w:w="20" w:type="dxa"/>
            <w:vAlign w:val="bottom"/>
          </w:tcPr>
          <w:p>
            <w:pPr>
              <w:spacing w:after="0"/>
              <w:rPr>
                <w:sz w:val="19"/>
                <w:szCs w:val="19"/>
                <w:color w:val="auto"/>
              </w:rPr>
            </w:pPr>
          </w:p>
        </w:tc>
        <w:tc>
          <w:tcPr>
            <w:tcW w:w="64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Biotechnology Value Fund (BVF) Inc.</w:t>
            </w:r>
            <w:r>
              <w:rPr>
                <w:rFonts w:ascii="Times New Roman" w:cs="Times New Roman" w:eastAsia="Times New Roman" w:hAnsi="Times New Roman"/>
                <w:sz w:val="26"/>
                <w:szCs w:val="26"/>
                <w:color w:val="auto"/>
                <w:vertAlign w:val="superscript"/>
              </w:rPr>
              <w:t>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7,428,379</w:t>
            </w: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2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and Directors</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Andrea Pfeifer</w:t>
            </w:r>
            <w:r>
              <w:rPr>
                <w:rFonts w:ascii="Times New Roman" w:cs="Times New Roman" w:eastAsia="Times New Roman" w:hAnsi="Times New Roman"/>
                <w:sz w:val="26"/>
                <w:szCs w:val="26"/>
                <w:color w:val="auto"/>
                <w:vertAlign w:val="superscript"/>
              </w:rPr>
              <w:t>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3,007,933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20" w:type="dxa"/>
            <w:vAlign w:val="bottom"/>
          </w:tcPr>
          <w:p>
            <w:pPr>
              <w:spacing w:after="0"/>
              <w:rPr>
                <w:sz w:val="19"/>
                <w:szCs w:val="19"/>
                <w:color w:val="auto"/>
              </w:rPr>
            </w:pPr>
          </w:p>
        </w:tc>
        <w:tc>
          <w:tcPr>
            <w:tcW w:w="640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Marie Kosco-Vilbois</w:t>
            </w:r>
            <w:r>
              <w:rPr>
                <w:rFonts w:ascii="Times New Roman" w:cs="Times New Roman" w:eastAsia="Times New Roman" w:hAnsi="Times New Roman"/>
                <w:sz w:val="26"/>
                <w:szCs w:val="26"/>
                <w:color w:val="auto"/>
                <w:vertAlign w:val="superscript"/>
              </w:rPr>
              <w:t>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Johannes Rolf Streffer</w:t>
            </w:r>
            <w:r>
              <w:rPr>
                <w:rFonts w:ascii="Times New Roman" w:cs="Times New Roman" w:eastAsia="Times New Roman" w:hAnsi="Times New Roman"/>
                <w:sz w:val="26"/>
                <w:szCs w:val="26"/>
                <w:color w:val="auto"/>
                <w:vertAlign w:val="superscript"/>
              </w:rPr>
              <w:t>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0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Piergiorgio Donati</w:t>
            </w:r>
            <w:r>
              <w:rPr>
                <w:rFonts w:ascii="Times New Roman" w:cs="Times New Roman" w:eastAsia="Times New Roman" w:hAnsi="Times New Roman"/>
                <w:sz w:val="26"/>
                <w:szCs w:val="26"/>
                <w:color w:val="auto"/>
                <w:vertAlign w:val="superscript"/>
              </w:rPr>
              <w:t>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Christopher Roberts</w:t>
            </w:r>
            <w:r>
              <w:rPr>
                <w:rFonts w:ascii="Times New Roman" w:cs="Times New Roman" w:eastAsia="Times New Roman" w:hAnsi="Times New Roman"/>
                <w:sz w:val="26"/>
                <w:szCs w:val="26"/>
                <w:color w:val="auto"/>
                <w:vertAlign w:val="superscript"/>
              </w:rPr>
              <w:t>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Howard Donovan</w:t>
            </w:r>
            <w:r>
              <w:rPr>
                <w:rFonts w:ascii="Times New Roman" w:cs="Times New Roman" w:eastAsia="Times New Roman" w:hAnsi="Times New Roman"/>
                <w:sz w:val="26"/>
                <w:szCs w:val="26"/>
                <w:color w:val="auto"/>
                <w:vertAlign w:val="superscript"/>
              </w:rPr>
              <w:t>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Jean-Fabien Monin</w:t>
            </w:r>
            <w:r>
              <w:rPr>
                <w:rFonts w:ascii="Times New Roman" w:cs="Times New Roman" w:eastAsia="Times New Roman" w:hAnsi="Times New Roman"/>
                <w:sz w:val="26"/>
                <w:szCs w:val="26"/>
                <w:color w:val="auto"/>
                <w:vertAlign w:val="superscript"/>
              </w:rPr>
              <w:t>11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0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Douglas Williams</w:t>
            </w:r>
            <w:r>
              <w:rPr>
                <w:rFonts w:ascii="Times New Roman" w:cs="Times New Roman" w:eastAsia="Times New Roman" w:hAnsi="Times New Roman"/>
                <w:sz w:val="26"/>
                <w:szCs w:val="26"/>
                <w:color w:val="auto"/>
                <w:vertAlign w:val="superscript"/>
              </w:rPr>
              <w:t>12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Thomas Graney</w:t>
            </w:r>
            <w:r>
              <w:rPr>
                <w:rFonts w:ascii="Times New Roman" w:cs="Times New Roman" w:eastAsia="Times New Roman" w:hAnsi="Times New Roman"/>
                <w:sz w:val="26"/>
                <w:szCs w:val="26"/>
                <w:color w:val="auto"/>
                <w:vertAlign w:val="superscript"/>
              </w:rPr>
              <w:t>13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Werner Lanthaler</w:t>
            </w:r>
            <w:r>
              <w:rPr>
                <w:rFonts w:ascii="Times New Roman" w:cs="Times New Roman" w:eastAsia="Times New Roman" w:hAnsi="Times New Roman"/>
                <w:sz w:val="26"/>
                <w:szCs w:val="26"/>
                <w:color w:val="auto"/>
                <w:vertAlign w:val="superscript"/>
              </w:rPr>
              <w:t>14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Roy Twyman</w:t>
            </w:r>
            <w:r>
              <w:rPr>
                <w:rFonts w:ascii="Times New Roman" w:cs="Times New Roman" w:eastAsia="Times New Roman" w:hAnsi="Times New Roman"/>
                <w:sz w:val="26"/>
                <w:szCs w:val="26"/>
                <w:color w:val="auto"/>
                <w:vertAlign w:val="superscript"/>
              </w:rPr>
              <w:t>15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0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Carl June</w:t>
            </w:r>
            <w:r>
              <w:rPr>
                <w:rFonts w:ascii="Times New Roman" w:cs="Times New Roman" w:eastAsia="Times New Roman" w:hAnsi="Times New Roman"/>
                <w:sz w:val="26"/>
                <w:szCs w:val="26"/>
                <w:color w:val="auto"/>
                <w:vertAlign w:val="superscript"/>
              </w:rPr>
              <w:t>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Alan Colowick</w:t>
            </w:r>
            <w:r>
              <w:rPr>
                <w:rFonts w:ascii="Times New Roman" w:cs="Times New Roman" w:eastAsia="Times New Roman" w:hAnsi="Times New Roman"/>
                <w:sz w:val="26"/>
                <w:szCs w:val="26"/>
                <w:color w:val="auto"/>
                <w:vertAlign w:val="superscript"/>
              </w:rPr>
              <w:t>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Monika Bütler</w:t>
            </w:r>
            <w:r>
              <w:rPr>
                <w:rFonts w:ascii="Times New Roman" w:cs="Times New Roman" w:eastAsia="Times New Roman" w:hAnsi="Times New Roman"/>
                <w:sz w:val="26"/>
                <w:szCs w:val="26"/>
                <w:color w:val="auto"/>
                <w:vertAlign w:val="superscript"/>
              </w:rPr>
              <w:t>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0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Monica Shaw</w:t>
            </w:r>
            <w:r>
              <w:rPr>
                <w:rFonts w:ascii="Times New Roman" w:cs="Times New Roman" w:eastAsia="Times New Roman" w:hAnsi="Times New Roman"/>
                <w:sz w:val="26"/>
                <w:szCs w:val="26"/>
                <w:color w:val="auto"/>
                <w:vertAlign w:val="superscript"/>
              </w:rPr>
              <w:t>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(15 persons)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4,379,159</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63" w:lineRule="exact"/>
        <w:rPr>
          <w:sz w:val="20"/>
          <w:szCs w:val="20"/>
          <w:color w:val="auto"/>
        </w:rPr>
      </w:pPr>
    </w:p>
    <w:p>
      <w:pPr>
        <w:ind w:left="380" w:hanging="330"/>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issued and outstanding common shares.</w:t>
      </w:r>
    </w:p>
    <w:p>
      <w:pPr>
        <w:spacing w:after="0" w:line="217" w:lineRule="exact"/>
        <w:rPr>
          <w:sz w:val="20"/>
          <w:szCs w:val="20"/>
          <w:color w:val="auto"/>
        </w:rPr>
      </w:pPr>
    </w:p>
    <w:p>
      <w:pPr>
        <w:ind w:left="60" w:right="219"/>
        <w:spacing w:after="0" w:line="217"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Based on information set form in a Schedule 13G filed with the SEC by dievini Hopp BioTech holding GmbH &amp; Co KG (“dievini”) on February 10, 2023. These shares consist of 16,316,742 shares held by dievini.</w:t>
      </w:r>
    </w:p>
    <w:p>
      <w:pPr>
        <w:spacing w:after="0" w:line="212"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8"/>
          <w:szCs w:val="18"/>
          <w:color w:val="auto"/>
        </w:rPr>
        <w:t>DH-Capital GmbH &amp; Co. KG (“DH-Capital”) and OH Beteiligungen GmbH &amp; Co. KG (“OH Beteiligungen”) are collectively the holders of 100% of the limited partner interest in dievini and therefore, control the voting and dispositive decisions of dievini together and may be deemed to beneficially own the shares held by dievini. Dietmar Hopp, Oliver Hopp and Daniel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18" w:lineRule="exact"/>
        <w:rPr>
          <w:sz w:val="20"/>
          <w:szCs w:val="20"/>
          <w:color w:val="auto"/>
        </w:rPr>
      </w:pPr>
    </w:p>
    <w:p>
      <w:pPr>
        <w:ind w:left="60" w:right="339"/>
        <w:spacing w:after="0" w:line="329" w:lineRule="auto"/>
        <w:rPr>
          <w:sz w:val="20"/>
          <w:szCs w:val="20"/>
          <w:color w:val="auto"/>
        </w:rPr>
      </w:pPr>
      <w:r>
        <w:rPr>
          <w:rFonts w:ascii="Times New Roman" w:cs="Times New Roman" w:eastAsia="Times New Roman" w:hAnsi="Times New Roman"/>
          <w:sz w:val="17"/>
          <w:szCs w:val="17"/>
          <w:color w:val="auto"/>
        </w:rPr>
        <w:t>The address of the principal business office of dievini and Dietmar Hopp is c/o dievini Hopp BioTech holding GmbH &amp; Co. KG, Johann-Jakob-Astor Straße 57, 69190 Walldorf, Germany. The address of the principal business office of DH-</w:t>
      </w:r>
    </w:p>
    <w:p>
      <w:pPr>
        <w:sectPr>
          <w:pgSz w:w="11900" w:h="16838" w:orient="portrait"/>
          <w:cols w:equalWidth="0" w:num="1">
            <w:col w:w="9019"/>
          </w:cols>
          <w:pgMar w:left="1440" w:top="513" w:right="1440"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346" w:lineRule="auto"/>
        <w:rPr>
          <w:sz w:val="20"/>
          <w:szCs w:val="20"/>
          <w:color w:val="auto"/>
        </w:rPr>
      </w:pPr>
      <w:r>
        <w:rPr>
          <w:rFonts w:ascii="Times New Roman" w:cs="Times New Roman" w:eastAsia="Times New Roman" w:hAnsi="Times New Roman"/>
          <w:sz w:val="17"/>
          <w:szCs w:val="17"/>
          <w:color w:val="auto"/>
        </w:rPr>
        <w:t>Capital GmbH &amp; Co. KG and OH Beteiligungen GmbH &amp; Co. KG is Opelstraße 28, 68789 St. Leon-Rot, Germany. The address of the principal business office of Oliver Hopp is Johann-Jakob-Astor-Straße 59, 69190 Walldorf, Germany.</w:t>
      </w:r>
    </w:p>
    <w:p>
      <w:pPr>
        <w:spacing w:after="0" w:line="22" w:lineRule="exact"/>
        <w:rPr>
          <w:sz w:val="20"/>
          <w:szCs w:val="20"/>
          <w:color w:val="auto"/>
        </w:rPr>
      </w:pPr>
    </w:p>
    <w:p>
      <w:pPr>
        <w:ind w:left="60" w:right="79"/>
        <w:spacing w:after="0" w:line="226"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193" w:lineRule="exact"/>
        <w:rPr>
          <w:sz w:val="20"/>
          <w:szCs w:val="20"/>
          <w:color w:val="auto"/>
        </w:rPr>
      </w:pPr>
    </w:p>
    <w:p>
      <w:pPr>
        <w:ind w:left="60" w:right="219"/>
        <w:spacing w:after="0" w:line="237"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Based on information set forth in a Schedule 13G filed with the SEC by Affiris on February 14, 2023, (i) these shares consist of 6,724,840 shares held of record by Affiris AG, as well as 1,513,317 shares that were issuable upon the conversion of notes held by Santo Venture Capital GmbH and 1,895,317 shares that were issuable upon the conversion of notes held by FCPB Affi GmbH; and (iii) the address of Affiris AG is Karl-Farkas-Gasse 22, 1030 Vienna, Austria, the address of by Santo Venture Capital GmbH is Bergfeldstrasse 9, 83607 Holzkirchen, Germany and the address of FCPB Affi GmbH is Freihamer Strasse 2, 82166 Gräfelfing, Germany. The convertible notes held by Santo Venture Capital GmbH and FCPB Affi GmbH were fully settled in Q4 2021.</w:t>
      </w:r>
    </w:p>
    <w:p>
      <w:pPr>
        <w:spacing w:after="0" w:line="193" w:lineRule="exact"/>
        <w:rPr>
          <w:sz w:val="20"/>
          <w:szCs w:val="20"/>
          <w:color w:val="auto"/>
        </w:rPr>
      </w:pPr>
    </w:p>
    <w:p>
      <w:pPr>
        <w:jc w:val="both"/>
        <w:ind w:left="60" w:right="179"/>
        <w:spacing w:after="0" w:line="201"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Based on information set forth in a Schedule 13G filed with the SEC by BVF on February 14, 2023, these shares consist of 7,428,379 shares held of record by BVF Inc. The address of BVF Inc. is 44 Montgomery St.,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San Francisco, California 94104.</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Consists of 2,364,918 of our common shares and options to purchase 643,015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Consists of 68,995 of our common shares and options to purchase 143,438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Consists of 198,200 of our common shares and options to purchase 78,777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97" w:lineRule="exact"/>
        <w:rPr>
          <w:sz w:val="20"/>
          <w:szCs w:val="20"/>
          <w:color w:val="auto"/>
        </w:rPr>
      </w:pPr>
    </w:p>
    <w:p>
      <w:pPr>
        <w:ind w:left="60" w:right="99"/>
        <w:spacing w:after="0" w:line="210" w:lineRule="auto"/>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Consists of 9,547 of our common shares and options to purchase 93,220 of our common shares exercisable within 60 days of March 1, 2023.</w:t>
      </w:r>
    </w:p>
    <w:p>
      <w:pPr>
        <w:spacing w:after="0" w:line="192" w:lineRule="exact"/>
        <w:rPr>
          <w:sz w:val="20"/>
          <w:szCs w:val="20"/>
          <w:color w:val="auto"/>
        </w:rPr>
      </w:pPr>
    </w:p>
    <w:p>
      <w:pPr>
        <w:ind w:left="60" w:right="99"/>
        <w:spacing w:after="0" w:line="217" w:lineRule="auto"/>
        <w:rPr>
          <w:sz w:val="20"/>
          <w:szCs w:val="20"/>
          <w:color w:val="auto"/>
        </w:rPr>
      </w:pP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Consists of 2,500 of our common shares and options to purchase 10,800 of our common shares exercisable within 60 days of March 1, 2023.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Consists of 5,096 of our common shares and options to purchase 11,180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Consists of 298,156 of our common shares and options to purchase 82,813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Consists of 12,818 of our common shares and options to purchase 58,803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Consists of 15,851 of our common shares and options to purchase 47,329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Consists of 11,906 of our common shares and options to purchase 47,329 of our common shares exercisable within</w:t>
      </w:r>
    </w:p>
    <w:p>
      <w:pPr>
        <w:ind w:left="60"/>
        <w:spacing w:after="0"/>
        <w:rPr>
          <w:sz w:val="20"/>
          <w:szCs w:val="20"/>
          <w:color w:val="auto"/>
        </w:rPr>
      </w:pPr>
      <w:r>
        <w:rPr>
          <w:rFonts w:ascii="Times New Roman" w:cs="Times New Roman" w:eastAsia="Times New Roman" w:hAnsi="Times New Roman"/>
          <w:sz w:val="18"/>
          <w:szCs w:val="18"/>
          <w:color w:val="auto"/>
        </w:rPr>
        <w:t>60 days of March 1, 2023.</w:t>
      </w:r>
    </w:p>
    <w:p>
      <w:pPr>
        <w:spacing w:after="0" w:line="197" w:lineRule="exact"/>
        <w:rPr>
          <w:sz w:val="20"/>
          <w:szCs w:val="20"/>
          <w:color w:val="auto"/>
        </w:rPr>
      </w:pPr>
    </w:p>
    <w:p>
      <w:pPr>
        <w:ind w:left="60" w:right="159"/>
        <w:spacing w:after="0" w:line="210" w:lineRule="auto"/>
        <w:rPr>
          <w:sz w:val="20"/>
          <w:szCs w:val="20"/>
          <w:color w:val="auto"/>
        </w:rPr>
      </w:pP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Consists of 0 of our common shares and options to purchase 65,511 of our common shares exercisable within 60 days of March 1, 2023.</w:t>
      </w:r>
    </w:p>
    <w:p>
      <w:pPr>
        <w:spacing w:after="0" w:line="192" w:lineRule="exact"/>
        <w:rPr>
          <w:sz w:val="20"/>
          <w:szCs w:val="20"/>
          <w:color w:val="auto"/>
        </w:rPr>
      </w:pPr>
    </w:p>
    <w:p>
      <w:pPr>
        <w:ind w:left="60" w:right="159"/>
        <w:spacing w:after="0" w:line="217" w:lineRule="auto"/>
        <w:rPr>
          <w:sz w:val="20"/>
          <w:szCs w:val="20"/>
          <w:color w:val="auto"/>
        </w:rPr>
      </w:pP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Consists of 0 of our common shares and options to purchase 37,826 of our common shares exercisable within 60 days of March 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159"/>
        <w:spacing w:after="0" w:line="217" w:lineRule="auto"/>
        <w:rPr>
          <w:sz w:val="20"/>
          <w:szCs w:val="20"/>
          <w:color w:val="auto"/>
        </w:rPr>
      </w:pP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Consists of 0 of our common shares and options to purchase 20,511 of our common shares exercisable within 60 days of March 1, 2023.</w:t>
      </w:r>
    </w:p>
    <w:p>
      <w:pPr>
        <w:spacing w:after="0" w:line="191" w:lineRule="exact"/>
        <w:rPr>
          <w:sz w:val="20"/>
          <w:szCs w:val="20"/>
          <w:color w:val="auto"/>
        </w:rPr>
      </w:pPr>
    </w:p>
    <w:p>
      <w:pPr>
        <w:ind w:left="60" w:right="159"/>
        <w:spacing w:after="0" w:line="217" w:lineRule="auto"/>
        <w:rPr>
          <w:sz w:val="20"/>
          <w:szCs w:val="20"/>
          <w:color w:val="auto"/>
        </w:rPr>
      </w:pP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Consists of 0 of our common shares and options to purchase 25,310 of our common shares exercisable within 60 days of March 1, 2023.</w:t>
      </w:r>
    </w:p>
    <w:p>
      <w:pPr>
        <w:spacing w:after="0" w:line="191" w:lineRule="exact"/>
        <w:rPr>
          <w:sz w:val="20"/>
          <w:szCs w:val="20"/>
          <w:color w:val="auto"/>
        </w:rPr>
      </w:pPr>
    </w:p>
    <w:p>
      <w:pPr>
        <w:ind w:left="60" w:right="159"/>
        <w:spacing w:after="0" w:line="217" w:lineRule="auto"/>
        <w:rPr>
          <w:sz w:val="20"/>
          <w:szCs w:val="20"/>
          <w:color w:val="auto"/>
        </w:rPr>
      </w:pP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Consists of 0 of our common shares and options to purchase 25,310 of our common shares exercisable within 60 days of March 1, 2023.</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1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As of March 1, 2023, we had approximately 250 shareholders of record of our common shares.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changes in ownership by major shareholders</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significant changes in the percentage ownership held by major shareholders as a result of our IPO. Prior to our IPO in September 2016, our principal shareholders were dievini Hopp BioTech holding GmbH &amp; Co KG and Varuma AG, which held shares representing 36.5% and 23.1% prior to our IPO, respectively. As of March 1, 2023, dievini Hopp BioTech holding GmbH &amp; Co KG and Varuma AG held 19.5% and 14.4% of our outstanding common shares, respectively. BVF Inc. increased its holdings from 8.5% to 8.9% of our outstanding common shares. Affiris, Santo Venture Capital GmbH and FCPB GmbH became major shareholders in 2021 and continue to own 12.1% of our outstanding common shares as of December 31, 2022.</w:t>
      </w:r>
    </w:p>
    <w:p>
      <w:pPr>
        <w:spacing w:after="0" w:line="187" w:lineRule="exact"/>
        <w:rPr>
          <w:sz w:val="20"/>
          <w:szCs w:val="20"/>
          <w:color w:val="auto"/>
        </w:rPr>
      </w:pPr>
    </w:p>
    <w:p>
      <w:pPr>
        <w:jc w:val="both"/>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September 2016, we completed our IPO and listed our common shares on the Nasdaq Global Market. In the IPO, we issued and sold 6,900,000 common shares, including 900,000 common shares sold to the underwriters pursuant to the underwriters’ over-allotment option. While none of our existing shareholders sold common shares in the IPO,</w:t>
      </w:r>
    </w:p>
    <w:p>
      <w:pPr>
        <w:spacing w:after="0" w:line="3" w:lineRule="exact"/>
        <w:rPr>
          <w:sz w:val="20"/>
          <w:szCs w:val="20"/>
          <w:color w:val="auto"/>
        </w:rPr>
      </w:pPr>
    </w:p>
    <w:p>
      <w:pPr>
        <w:jc w:val="both"/>
        <w:ind w:left="60" w:right="239"/>
        <w:spacing w:after="0" w:line="258" w:lineRule="auto"/>
        <w:rPr>
          <w:sz w:val="20"/>
          <w:szCs w:val="20"/>
          <w:color w:val="auto"/>
        </w:rPr>
      </w:pPr>
      <w:r>
        <w:rPr>
          <w:rFonts w:ascii="Times New Roman" w:cs="Times New Roman" w:eastAsia="Times New Roman" w:hAnsi="Times New Roman"/>
          <w:sz w:val="18"/>
          <w:szCs w:val="18"/>
          <w:color w:val="auto"/>
        </w:rPr>
        <w:t>the percentage ownership held by certain shareholders decreased as a result of the issuance of the common shares sold by us in the IPO.</w:t>
      </w:r>
    </w:p>
    <w:p>
      <w:pPr>
        <w:spacing w:after="0" w:line="183" w:lineRule="exact"/>
        <w:rPr>
          <w:sz w:val="20"/>
          <w:szCs w:val="20"/>
          <w:color w:val="auto"/>
        </w:rPr>
      </w:pPr>
    </w:p>
    <w:p>
      <w:pPr>
        <w:ind w:left="60" w:right="259" w:firstLine="324"/>
        <w:spacing w:after="0" w:line="276" w:lineRule="auto"/>
        <w:rPr>
          <w:sz w:val="20"/>
          <w:szCs w:val="20"/>
          <w:color w:val="auto"/>
        </w:rPr>
      </w:pPr>
      <w:r>
        <w:rPr>
          <w:rFonts w:ascii="Times New Roman" w:cs="Times New Roman" w:eastAsia="Times New Roman" w:hAnsi="Times New Roman"/>
          <w:sz w:val="17"/>
          <w:szCs w:val="17"/>
          <w:color w:val="auto"/>
        </w:rPr>
        <w:t>In July 2018, we completed three offerings of our common shares. In these offerings, we issued and sold 10,000,000 common shares, including 1,108,695 sold to the underwriters pursuant to the underwriters’ over-allotment option.</w:t>
      </w:r>
    </w:p>
    <w:p>
      <w:pPr>
        <w:spacing w:after="0" w:line="1"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The percentage ownership held by certain shareholders decreased as a result of the issuance of the common shares sold by us in these offerings.</w:t>
      </w:r>
    </w:p>
    <w:p>
      <w:pPr>
        <w:spacing w:after="0" w:line="177" w:lineRule="exact"/>
        <w:rPr>
          <w:sz w:val="20"/>
          <w:szCs w:val="20"/>
          <w:color w:val="auto"/>
        </w:rPr>
      </w:pPr>
    </w:p>
    <w:p>
      <w:pPr>
        <w:ind w:left="380" w:right="6599" w:hanging="330"/>
        <w:spacing w:after="0" w:line="493" w:lineRule="auto"/>
        <w:tabs>
          <w:tab w:leader="none" w:pos="3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Related-party transactions </w:t>
      </w:r>
      <w:r>
        <w:rPr>
          <w:rFonts w:ascii="Times New Roman" w:cs="Times New Roman" w:eastAsia="Times New Roman" w:hAnsi="Times New Roman"/>
          <w:sz w:val="18"/>
          <w:szCs w:val="18"/>
          <w:color w:val="auto"/>
        </w:rPr>
        <w:t>None.</w:t>
      </w: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management</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Our Articles of Association require us to indemnify our executive officers and directors to the fullest extent permitted by law. We entered into indemnification agreements with our executive officers and directors.</w:t>
      </w:r>
    </w:p>
    <w:p>
      <w:pPr>
        <w:spacing w:after="0" w:line="158" w:lineRule="exact"/>
        <w:rPr>
          <w:sz w:val="20"/>
          <w:szCs w:val="20"/>
          <w:color w:val="auto"/>
        </w:rPr>
      </w:pPr>
    </w:p>
    <w:p>
      <w:pPr>
        <w:ind w:left="380" w:right="6219" w:hanging="330"/>
        <w:spacing w:after="0" w:line="537" w:lineRule="auto"/>
        <w:tabs>
          <w:tab w:leader="none" w:pos="3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0" w:right="4299" w:hanging="10"/>
        <w:spacing w:after="0" w:line="503" w:lineRule="auto"/>
        <w:tabs>
          <w:tab w:leader="none" w:pos="38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Financial statements</w:t>
      </w: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See “Item 18. Financial statements,” which contains our consolidated financial statements prepared in accordance with IFRS.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that arise in the ordinary course of business. As of the date of this Annual Report, we have not been a party to or paid any damages in connection with litigation that has had a material adverse effect on our financial position. No assurance can be given that future litigation will not have a material adverse effect on our financial position. When appropriate in the executive management’s estimation, we may record reserves in our consolidated financial statements for pending litigation and other claims.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229" w:lineRule="exact"/>
        <w:rPr>
          <w:sz w:val="20"/>
          <w:szCs w:val="20"/>
          <w:color w:val="auto"/>
        </w:rPr>
      </w:pPr>
    </w:p>
    <w:p>
      <w:pPr>
        <w:jc w:val="both"/>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We have never declared or distributed dividends on our capital stock. We intend to retain all available funds and any future earnings, if any, to fund the development and expansion of our business and we do not anticipate distributing any dividends in the foreseeable future. Any future determination related to dividend policy will be made at the discretion of our board of directors.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Under Swiss law, any dividend must be approved by our shareholders. In addition, our auditors must confirm that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proposal of our board of directors conforms to Swiss statutory law and our articles of incorporation. A Swiss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corporation may pay dividends only if it has sufficient distributable profits brought forward from the previous business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years (</w:t>
      </w:r>
      <w:r>
        <w:rPr>
          <w:rFonts w:ascii="Times New Roman" w:cs="Times New Roman" w:eastAsia="Times New Roman" w:hAnsi="Times New Roman"/>
          <w:sz w:val="17"/>
          <w:szCs w:val="17"/>
          <w:i w:val="1"/>
          <w:iCs w:val="1"/>
          <w:color w:val="auto"/>
        </w:rPr>
        <w:t>report des bénéfices</w:t>
      </w:r>
      <w:r>
        <w:rPr>
          <w:rFonts w:ascii="Times New Roman" w:cs="Times New Roman" w:eastAsia="Times New Roman" w:hAnsi="Times New Roman"/>
          <w:sz w:val="17"/>
          <w:szCs w:val="17"/>
          <w:color w:val="auto"/>
        </w:rPr>
        <w:t>) or if it has distributable reserves (</w:t>
      </w:r>
      <w:r>
        <w:rPr>
          <w:rFonts w:ascii="Times New Roman" w:cs="Times New Roman" w:eastAsia="Times New Roman" w:hAnsi="Times New Roman"/>
          <w:sz w:val="17"/>
          <w:szCs w:val="17"/>
          <w:i w:val="1"/>
          <w:iCs w:val="1"/>
          <w:color w:val="auto"/>
        </w:rPr>
        <w:t>réserves à libre disposition</w:t>
      </w:r>
      <w:r>
        <w:rPr>
          <w:rFonts w:ascii="Times New Roman" w:cs="Times New Roman" w:eastAsia="Times New Roman" w:hAnsi="Times New Roman"/>
          <w:sz w:val="17"/>
          <w:szCs w:val="17"/>
          <w:color w:val="auto"/>
        </w:rPr>
        <w:t>), each as evidenced by its audited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standalone statutory balance sheet prepared pursuant to Swiss law and after allocations to reserves required by Swiss law</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its articles of association have been deducted. Distributable reserves are generally booked either as “free reserves”</w:t>
      </w: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Distributions out of nominal share capital,</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is the aggregate nominal value of a corporation’s issued shares, may be made only by way of a share capital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reduction.</w:t>
      </w:r>
    </w:p>
    <w:p>
      <w:pPr>
        <w:spacing w:after="0" w:line="20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12" w:lineRule="exact"/>
        <w:rPr>
          <w:sz w:val="20"/>
          <w:szCs w:val="20"/>
          <w:color w:val="auto"/>
        </w:rPr>
      </w:pPr>
    </w:p>
    <w:p>
      <w:pPr>
        <w:ind w:left="380" w:right="6299" w:hanging="330"/>
        <w:spacing w:after="0" w:line="530" w:lineRule="auto"/>
        <w:tabs>
          <w:tab w:leader="none" w:pos="38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Offering and listing details </w:t>
      </w:r>
      <w:r>
        <w:rPr>
          <w:rFonts w:ascii="Times New Roman" w:cs="Times New Roman" w:eastAsia="Times New Roman" w:hAnsi="Times New Roman"/>
          <w:sz w:val="17"/>
          <w:szCs w:val="17"/>
          <w:color w:val="auto"/>
        </w:rPr>
        <w:t>See “Item 9–C. Markets” below.</w:t>
      </w:r>
    </w:p>
    <w:p>
      <w:pPr>
        <w:ind w:left="380" w:right="7139" w:hanging="330"/>
        <w:spacing w:after="0" w:line="530" w:lineRule="auto"/>
        <w:tabs>
          <w:tab w:leader="none" w:pos="38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common shares trade on the Nasdaq Global Market under the symbol “ACIU.”</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7099" w:hanging="330"/>
        <w:spacing w:after="0" w:line="530" w:lineRule="auto"/>
        <w:tabs>
          <w:tab w:leader="none" w:pos="38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80" w:right="7039" w:hanging="330"/>
        <w:spacing w:after="0" w:line="500" w:lineRule="auto"/>
        <w:tabs>
          <w:tab w:leader="none" w:pos="3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12" w:lineRule="exact"/>
        <w:rPr>
          <w:sz w:val="20"/>
          <w:szCs w:val="20"/>
          <w:color w:val="auto"/>
        </w:rPr>
      </w:pPr>
    </w:p>
    <w:p>
      <w:pPr>
        <w:ind w:left="380" w:right="7539" w:hanging="330"/>
        <w:spacing w:after="0" w:line="530" w:lineRule="auto"/>
        <w:tabs>
          <w:tab w:leader="none" w:pos="38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annual report on Form 20-F the description of our Articles of Association incorporated herein by reference to Exhibit 99.3 to the Company’s Report on Form 6-K, filed with the SEC on June 24, 2022.</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Material contracts</w:t>
      </w:r>
    </w:p>
    <w:p>
      <w:pPr>
        <w:spacing w:after="0" w:line="216"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we are not currently, and have not been in the past 2 years, party to any material contract, other than contracts entered into in the ordinary course of business.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1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9"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consider the specific circumstances of any particular shareholder or potential investor and does not relate to persons in the business of buying and selling common shares or other securities. The summary is not intended to be, and should not be interpreted as, legal or tax advice to any particular potential shareholder, and no representation with respect to the tax consequences to any particular shareholder is made.</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Current and prospective shareholders are advised to consult their own tax advisors in light of their particular circumstances as to the Swiss tax laws, regulations and regulatory practices that could be relevant to them in connection with the acquiring, owning and selling or otherwise disposing of common shares and receiving dividends and similar cash or in-kind distributions on common shares (including dividends on liquidation proceeds and stock dividends) or distributions on common shares based upon a capital reduction (</w:t>
      </w:r>
      <w:r>
        <w:rPr>
          <w:rFonts w:ascii="Times New Roman" w:cs="Times New Roman" w:eastAsia="Times New Roman" w:hAnsi="Times New Roman"/>
          <w:sz w:val="18"/>
          <w:szCs w:val="18"/>
          <w:i w:val="1"/>
          <w:iCs w:val="1"/>
          <w:color w:val="auto"/>
        </w:rPr>
        <w:t>remboursements de la valeur nominale</w:t>
      </w:r>
      <w:r>
        <w:rPr>
          <w:rFonts w:ascii="Times New Roman" w:cs="Times New Roman" w:eastAsia="Times New Roman" w:hAnsi="Times New Roman"/>
          <w:sz w:val="18"/>
          <w:szCs w:val="18"/>
          <w:color w:val="auto"/>
        </w:rPr>
        <w:t>) or reserves paid out of capital contributions (</w:t>
      </w:r>
      <w:r>
        <w:rPr>
          <w:rFonts w:ascii="Times New Roman" w:cs="Times New Roman" w:eastAsia="Times New Roman" w:hAnsi="Times New Roman"/>
          <w:sz w:val="18"/>
          <w:szCs w:val="18"/>
          <w:i w:val="1"/>
          <w:iCs w:val="1"/>
          <w:color w:val="auto"/>
        </w:rPr>
        <w:t>réserves sur les apports en capital</w:t>
      </w:r>
      <w:r>
        <w:rPr>
          <w:rFonts w:ascii="Times New Roman" w:cs="Times New Roman" w:eastAsia="Times New Roman" w:hAnsi="Times New Roman"/>
          <w:sz w:val="18"/>
          <w:szCs w:val="18"/>
          <w:color w:val="auto"/>
        </w:rPr>
        <w:t>) and the consequences thereof under the tax laws, regulations and regulatory practices of Switzerland.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AC Immune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AC Immune is subject to corporate Swiss federal, cantonal and communal taxation in Switzerland, Canton of Vaud, Commune of Ecublens, near Lausanne, respectively.</w:t>
      </w:r>
    </w:p>
    <w:p>
      <w:pPr>
        <w:spacing w:after="0" w:line="16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7 years and can offset our losses carried forward against future taxes. As of December 31, 2022, we had tax loss carry-forwards totaling CHF 264.1 million (provisional amount; tax loss is definitively recognized by Swiss tax authorities once set-off against taxable income). There is no certainty that we will make sufficient profits to be able to utilize these tax loss carry-forwards in full.</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corporate income tax rate (federal, cantonal and communal) where we are domiciled is currently 13.6%.</w:t>
      </w:r>
    </w:p>
    <w:p>
      <w:pPr>
        <w:spacing w:after="0" w:line="22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January 1, 2020, the Company may request a tax relief of 60%, which would be applied to income from patents and similar rights at communal and cantonal levels. Additionally, a so-called “super-deduction” may be granted for payroll and other expenses of research and development of Swiss origins.</w:t>
      </w:r>
    </w:p>
    <w:p>
      <w:pPr>
        <w:spacing w:after="0" w:line="176"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62"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corporate income tax, the corporate capital is taxed at a rate of 0.1305% (cantonal and communal tax only, as there is no federal tax on capital). As of January 1, 2020 the capital attributable to patents and similar rights is considered with 50% relief in the capital tax calculation.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cantonal and communal individual income tax and corporate income tax</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Except as described in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xml:space="preserve"> below, shareholders who are not resident in Switzerland for</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purposes, and who, during the relevant taxation year, have not engaged in a trade or business carried on through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permanent establishment or fixed place of business situated in Switzerland for tax purposes (all such shareholders for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purposes of this section termed, “Non-resident shareholders”), will not be subject to any Swiss federal, cantonal and</w:t>
      </w:r>
    </w:p>
    <w:p>
      <w:pPr>
        <w:ind w:left="60"/>
        <w:spacing w:after="0"/>
        <w:rPr>
          <w:sz w:val="20"/>
          <w:szCs w:val="20"/>
          <w:color w:val="auto"/>
        </w:rPr>
      </w:pPr>
      <w:r>
        <w:rPr>
          <w:rFonts w:ascii="Times New Roman" w:cs="Times New Roman" w:eastAsia="Times New Roman" w:hAnsi="Times New Roman"/>
          <w:sz w:val="18"/>
          <w:szCs w:val="18"/>
          <w:color w:val="auto"/>
        </w:rPr>
        <w:t>communal income tax on dividends and similar cash or in-kind distributions on Shares (including liquidation proceeds and</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dividends) (for the purposes of this section, “dividends”), distributions based upon a capital reduction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on shares, or capital gains realized on the sale or other disposition of shares.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 private shareholders</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Swiss-resident individuals who hold their shares as private assets are required to include dividends, but not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confirmed by the Swiss Federal Tax Administration (</w:t>
      </w:r>
      <w:r>
        <w:rPr>
          <w:rFonts w:ascii="Times New Roman" w:cs="Times New Roman" w:eastAsia="Times New Roman" w:hAnsi="Times New Roman"/>
          <w:sz w:val="18"/>
          <w:szCs w:val="18"/>
          <w:i w:val="1"/>
          <w:iCs w:val="1"/>
          <w:color w:val="auto"/>
        </w:rPr>
        <w:t>apports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capital</w:t>
      </w:r>
      <w:r>
        <w:rPr>
          <w:rFonts w:ascii="Times New Roman" w:cs="Times New Roman" w:eastAsia="Times New Roman" w:hAnsi="Times New Roman"/>
          <w:sz w:val="18"/>
          <w:szCs w:val="18"/>
          <w:color w:val="auto"/>
        </w:rPr>
        <w:t>), in their personal income tax return and are subject to Swiss federal, cantonal and communal income tax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taxable income for the relevant taxation period, including the dividends, but not the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reserves from capital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Shareholders holding shares representing at least 10% of the nominal share capital of the Company may be able to decrease the taxable dividend basis by 30% (70% taxable) at the federal level and up to 50% at the cantonal level, depending on their respective cantonal rates, as partial relief from economic double taxation. Capital gains resulting from the sale or other disposition of shares are, subject to a few exceptions such as in case of Taxable Repurchases as described in “—</w:t>
      </w:r>
      <w:r>
        <w:rPr>
          <w:rFonts w:ascii="Times New Roman" w:cs="Times New Roman" w:eastAsia="Times New Roman" w:hAnsi="Times New Roman"/>
          <w:sz w:val="18"/>
          <w:szCs w:val="18"/>
          <w:i w:val="1"/>
          <w:iCs w:val="1"/>
          <w:color w:val="auto"/>
        </w:rPr>
        <w:t>Swiss federal withholding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w:t>
      </w:r>
      <w:r>
        <w:rPr>
          <w:rFonts w:ascii="Times New Roman" w:cs="Times New Roman" w:eastAsia="Times New Roman" w:hAnsi="Times New Roman"/>
          <w:sz w:val="18"/>
          <w:szCs w:val="18"/>
          <w:color w:val="auto"/>
        </w:rPr>
        <w:t>below,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Times New Roman" w:cs="Times New Roman" w:eastAsia="Times New Roman" w:hAnsi="Times New Roman"/>
          <w:sz w:val="18"/>
          <w:szCs w:val="18"/>
          <w:i w:val="1"/>
          <w:iCs w:val="1"/>
          <w:color w:val="auto"/>
        </w:rPr>
        <w:t>Domestic commercial shareholders</w:t>
      </w:r>
      <w:r>
        <w:rPr>
          <w:rFonts w:ascii="Times New Roman" w:cs="Times New Roman" w:eastAsia="Times New Roman" w:hAnsi="Times New Roman"/>
          <w:sz w:val="18"/>
          <w:szCs w:val="18"/>
          <w:color w:val="auto"/>
        </w:rPr>
        <w:t>” below for a summary of the taxation treatment applicable to Swiss-resident individuals, who, for income tax purposes, are classified as “professional securities dealers” or are otherwise deemed to hold Company shares in their commercial wealth.</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Domestic commercial shareholders</w:t>
      </w:r>
    </w:p>
    <w:p>
      <w:pPr>
        <w:spacing w:after="0" w:line="227"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Corporate and individual shareholders who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 or leveraged investments, in shares and other securities (the shareholders referred to in this paragraph for purposes of this section, “Domestic commercial shareholders”). Domestic commercial shareholders who are natural persons holding shares representing at least 10% of the nominal share capital of the Company may be able to decrease the taxable basis by 30% (70% taxable) at the federal level and up to 50% at the cantonal level, depending on their respective cantonal rates, as partial relief from economic double taxation (in the case of capital gains provide the shares have been held for at least one year). Domestic commercial shareholders who are corporate taxpayers may be eligible for tax relief (</w:t>
      </w:r>
      <w:r>
        <w:rPr>
          <w:rFonts w:ascii="Times New Roman" w:cs="Times New Roman" w:eastAsia="Times New Roman" w:hAnsi="Times New Roman"/>
          <w:sz w:val="18"/>
          <w:szCs w:val="18"/>
          <w:i w:val="1"/>
          <w:iCs w:val="1"/>
          <w:color w:val="auto"/>
        </w:rPr>
        <w:t>réduction pour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participations</w:t>
      </w:r>
      <w:r>
        <w:rPr>
          <w:rFonts w:ascii="Times New Roman" w:cs="Times New Roman" w:eastAsia="Times New Roman" w:hAnsi="Times New Roman"/>
          <w:sz w:val="18"/>
          <w:szCs w:val="18"/>
          <w:color w:val="auto"/>
        </w:rPr>
        <w:t>) in respect of dividends and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held by them as part of a Swiss business have an aggregate market value of at least CHF 1 million or represent 10% or more of the outstanding share capital or the dividend rights, of the Company. Capital gains relief is generally available only if the sold shares represent 10% or more of the outstanding share capital or the dividend rights, of the Company and provided that the shares have been held for at least one year.</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cantonal and communal private wealth tax and capital tax</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Non-resident shareholders are not subject to Swiss cantonal and communal private wealth tax or capital tax.</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214"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withholding tax</w:t>
      </w:r>
    </w:p>
    <w:p>
      <w:pPr>
        <w:spacing w:after="0" w:line="229"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 xml:space="preserve">Dividends (including scrip or stock dividends) that the Company pays on the shares are subject to Swiss Federal withholding tax </w:t>
      </w:r>
      <w:r>
        <w:rPr>
          <w:rFonts w:ascii="Times New Roman" w:cs="Times New Roman" w:eastAsia="Times New Roman" w:hAnsi="Times New Roman"/>
          <w:sz w:val="18"/>
          <w:szCs w:val="18"/>
          <w:i w:val="1"/>
          <w:iCs w:val="1"/>
          <w:color w:val="auto"/>
        </w:rPr>
        <w:t>(impôt anticipé)</w:t>
      </w:r>
      <w:r>
        <w:rPr>
          <w:rFonts w:ascii="Times New Roman" w:cs="Times New Roman" w:eastAsia="Times New Roman" w:hAnsi="Times New Roman"/>
          <w:sz w:val="18"/>
          <w:szCs w:val="18"/>
          <w:color w:val="auto"/>
        </w:rPr>
        <w:t xml:space="preserve"> imposed on the gross amount of the taxable distribution at the then prevailing rate (currently, at a rate of 35% of the gross amount of the taxable distribution). The Company is required to withhold the Swiss federal withholding tax from the dividend and remit it to the Swiss Federal Tax Administration. Distributions based upon a capital reduction (</w:t>
      </w:r>
      <w:r>
        <w:rPr>
          <w:rFonts w:ascii="Times New Roman" w:cs="Times New Roman" w:eastAsia="Times New Roman" w:hAnsi="Times New Roman"/>
          <w:sz w:val="18"/>
          <w:szCs w:val="18"/>
          <w:i w:val="1"/>
          <w:iCs w:val="1"/>
          <w:color w:val="auto"/>
        </w:rPr>
        <w:t>remboursements liés à la réduction de la valeur nominale des actions</w:t>
      </w:r>
      <w:r>
        <w:rPr>
          <w:rFonts w:ascii="Times New Roman" w:cs="Times New Roman" w:eastAsia="Times New Roman" w:hAnsi="Times New Roman"/>
          <w:sz w:val="18"/>
          <w:szCs w:val="18"/>
          <w:color w:val="auto"/>
        </w:rPr>
        <w:t>) and distributions paid out of reserves from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are not subject to Swiss federal withholding tax. Capital gains realized on the sale of the shares are not subject to the Swiss federal withholding tax (other than in case of a sale to the Company (i) for cancellation, (ii) if the total of repurchased shares exceeds 10% of the Company's share capital or (iii) if the repurchased shares are not resold within the applicable time period after the repurchase, if and to the extent the redemption price less the nominal value of the redeemed shares is not booked against reserves from capital contributions confirmed by the Swiss Federal Tax Administration ("Taxable Repurchases")).</w:t>
      </w:r>
    </w:p>
    <w:p>
      <w:pPr>
        <w:spacing w:after="0" w:line="197"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Swiss federal withholding tax on a dividend will be refundable in full to a resident private shareholder and to a Domestic commercial shareholder, who, in each case,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as a condition to a refund, is the beneficial owner of the shares and the dividends or the distributions made or paid on the share and duly reports the dividend in his individual income tax return as income or recognizes the dividend in his income statement as earnings, as applicable.</w:t>
      </w:r>
    </w:p>
    <w:p>
      <w:pPr>
        <w:spacing w:after="0" w:line="18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A Non-resident shareholder may be entitled to a partial or full refund, as the case may be,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A holder of the shares who is a resident of the U.S. for purposes of the Convention between the United States of America and the Swiss Confederation for the Avoidance of Double Taxation with Respect to Taxes on Income (Treaty), without taxable presence in Switzerland to which the shares are attributable or who is a qualified U.S. pension fund and who, in each case, is the beneficial owner of the shares and the dividend or distribution and who meets the other conditions of the Treaty may (i) in the case of qualified U.S. pension funds, apply for a full refund of the Swiss federal withholding tax, (ii) if the holder is a corporation owning at least 10% of the voting rights of the Company, apply for a refund of the Swiss federal withholding tax withheld in excess of the 5% reduced treaty rate, or (iii) apply for a refund of the Swiss federal withholding tax withheld in excess of the 15% treaty rate in all other cases.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be subject to and pay to the Swiss Federal Tax Administration a 1% Swiss federal issuance stamp duty (droit de timbre </w:t>
      </w:r>
      <w:r>
        <w:rPr>
          <w:rFonts w:ascii="Times New Roman" w:cs="Times New Roman" w:eastAsia="Times New Roman" w:hAnsi="Times New Roman"/>
          <w:sz w:val="18"/>
          <w:szCs w:val="18"/>
          <w:i w:val="1"/>
          <w:iCs w:val="1"/>
          <w:color w:val="auto"/>
        </w:rPr>
        <w:t>d’émissions</w:t>
      </w:r>
      <w:r>
        <w:rPr>
          <w:rFonts w:ascii="Times New Roman" w:cs="Times New Roman" w:eastAsia="Times New Roman" w:hAnsi="Times New Roman"/>
          <w:sz w:val="18"/>
          <w:szCs w:val="18"/>
          <w:color w:val="auto"/>
        </w:rPr>
        <w:t>) on the consideration received for the issuance of the shares less certain costs incurred in connection with the issuance (in case of the implementation of the capital band, the issuance stamp duty is payable based on the net-principle at the end of the period of the validity of the capital band). The issuance and delivery of the shares to the initial shareholders at the settlement date is not subject to Swiss federal securities transfer stamp duty (</w:t>
      </w:r>
      <w:r>
        <w:rPr>
          <w:rFonts w:ascii="Times New Roman" w:cs="Times New Roman" w:eastAsia="Times New Roman" w:hAnsi="Times New Roman"/>
          <w:sz w:val="18"/>
          <w:szCs w:val="18"/>
          <w:i w:val="1"/>
          <w:iCs w:val="1"/>
          <w:color w:val="auto"/>
        </w:rPr>
        <w:t>droit de timbre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négociation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Any subsequent dealings in the shares, for which a bank or another securities dealer in Switzerland or Liechtenstein, as defined in the Swiss Federal Stamp Tax Act, acts as an intermediary, or is a party, to the transaction, are, subject to certain exemptions provided for in the Swiss Federal Stamp Tax Act, subject to Swiss securities transfer stamp duty tax at an aggregate tax rate of up to 0.15% of the consideration paid for such shares.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considerations associated with our ATM program</w:t>
      </w:r>
    </w:p>
    <w:p>
      <w:pPr>
        <w:spacing w:after="0" w:line="229" w:lineRule="exact"/>
        <w:rPr>
          <w:sz w:val="20"/>
          <w:szCs w:val="20"/>
          <w:color w:val="auto"/>
        </w:rPr>
      </w:pPr>
    </w:p>
    <w:p>
      <w:pPr>
        <w:ind w:left="60" w:right="659"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2022, the Company held in total 6,214,021 fully paid-in treasury shares as part of its ATM offerings. These shares were established via two tranches (one in September 2020 and one in September 2021,</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respectively). Under present Swiss tax laws, repurchases of shares for the purposes of cancellation are treated as a partial liquidation and are subject to 35% Swiss withholding tax on the difference between the repurchase price and the nominal value of the shares except, since January 1, 2011, to the extent these are booked against the reserves from capital contributions confirmed by the Swiss Federal Tax Administration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if any. No partial liquidation treatment applies and no withholding tax is triggered if the shares are not repurchased for cancellation but held by the Company as treasury shares, provided the limitations imposed by corporate law are respected (the nominal value of such shares does not exceed 10% of the outstanding share capital and the purchase price is covered by freely disposable equity). However, regarding the above-mentioned 6,214,021 treasury shares and given the specificities of the ATM offering, the Company sought and obtained a tax ruling from the Swiss Federal Tax Administration confirming that their acquisition by the Company did not constitute a direct partial liquidation and therefore does not trigger withholding tax. Further, the Company has obtained a tax ruling from the concerned Cantonal Tax Authority at its place of incorporation, to obtain confirmation that the placement of these treasury shares for a subscription price superior to their nominal value will not trigger any corporate income tax for the Company.</w:t>
      </w:r>
    </w:p>
    <w:p>
      <w:pPr>
        <w:spacing w:after="0" w:line="19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Of the remaining treasury shares, 2,600,000 shares have been reserved by the board of directors for use only under the Company’s current Stock Option and Incentive Plan per a further tax ruling with the concerned Cantonal Tax Authority without corporate income tax consequences for the Company. 1,220,861 shares from the first tranche have not been sold and are still recorded as treasury shares as of December 31, 2022. In addition, 2,393,160 fully paid in treasury shares issued as part of second tranche for the ATM for future subscription (or, possibly, as part of a future share-dividend program, should the Company become profitable and have enough earnings carried forward to cover such distribution) have not been sold and are still recorded as treasury shares as of December 31, 2022. All these shares are covered by the same above-mentioned tax rulings (i.e. their acquisition does not trigger any withholding tax and their placement will not trigger any corporate income tax).</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material U.S. federal income tax consequences to the U.S. Holders described below of owning and disposing of our common shares. It does not describe all tax considerations that may be relevant to a particular person’s decision to own common shares.</w:t>
      </w:r>
    </w:p>
    <w:p>
      <w:pPr>
        <w:spacing w:after="0" w:line="1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U.S. Internal Revenue Code of 1986, as amended (the “Code”) known as the Medicare contribution tax and tax consequences applicable to U.S. Holders subject to special rules, such as:</w:t>
      </w:r>
    </w:p>
    <w:p>
      <w:pPr>
        <w:spacing w:after="0" w:line="187" w:lineRule="exact"/>
        <w:rPr>
          <w:sz w:val="20"/>
          <w:szCs w:val="20"/>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electing traders in securities that use a mark-to-market method of tax accounting;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integrated transaction or similar transaction;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their common shares as compensation;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shares, by vote or value;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79" w:hanging="319"/>
        <w:spacing w:after="0" w:line="282" w:lineRule="auto"/>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in connection with a trade or business conducted outside of the United States.</w:t>
      </w:r>
    </w:p>
    <w:p>
      <w:pPr>
        <w:spacing w:after="0" w:line="162"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and their partners should consult their tax advisers as to the particular U.S. federal income tax consequences of owning and disposing of the common shares.</w:t>
      </w:r>
    </w:p>
    <w:p>
      <w:pPr>
        <w:spacing w:after="0" w:line="180"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Treaty, all as of the date hereof, any of which is subject to change or differing interpretations, possibly with retroactive effect.</w:t>
      </w:r>
    </w:p>
    <w:p>
      <w:pPr>
        <w:spacing w:after="0" w:line="162"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“U.S. Holder” is a person that, for U.S. federal income tax purposes, is a beneficial owner of common shares and is any of the following:</w:t>
      </w:r>
    </w:p>
    <w:p>
      <w:pPr>
        <w:spacing w:after="0" w:line="162" w:lineRule="exact"/>
        <w:rPr>
          <w:sz w:val="20"/>
          <w:szCs w:val="20"/>
          <w:color w:val="auto"/>
        </w:rPr>
      </w:pPr>
    </w:p>
    <w:p>
      <w:pPr>
        <w:ind w:left="720" w:hanging="319"/>
        <w:spacing w:after="0"/>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common shares in their particular circumstances.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20-F for 2019 and 2020, we were likely a PFIC for these years. We were also likely a PFIC for 2022.</w:t>
      </w:r>
    </w:p>
    <w:p>
      <w:pPr>
        <w:spacing w:after="0" w:line="121" w:lineRule="exact"/>
        <w:rPr>
          <w:sz w:val="20"/>
          <w:szCs w:val="20"/>
          <w:color w:val="auto"/>
        </w:rPr>
      </w:pPr>
    </w:p>
    <w:p>
      <w:pPr>
        <w:ind w:left="60" w:right="279" w:firstLine="324"/>
        <w:spacing w:after="0" w:line="276" w:lineRule="auto"/>
        <w:rPr>
          <w:sz w:val="20"/>
          <w:szCs w:val="20"/>
          <w:color w:val="auto"/>
        </w:rPr>
      </w:pPr>
      <w:r>
        <w:rPr>
          <w:rFonts w:ascii="Times New Roman" w:cs="Times New Roman" w:eastAsia="Times New Roman" w:hAnsi="Times New Roman"/>
          <w:sz w:val="17"/>
          <w:szCs w:val="17"/>
          <w:color w:val="auto"/>
        </w:rPr>
        <w:t>We will be a PFIC under the Code for any taxable year in which, after the application of certain look-through rules with respect to subsidiaries, either (i) 75% or more of our gross income consists of passive income (the “income test”) or</w:t>
      </w:r>
    </w:p>
    <w:p>
      <w:pPr>
        <w:spacing w:after="0" w:line="1" w:lineRule="exact"/>
        <w:rPr>
          <w:sz w:val="20"/>
          <w:szCs w:val="20"/>
          <w:color w:val="auto"/>
        </w:rPr>
      </w:pPr>
    </w:p>
    <w:p>
      <w:pPr>
        <w:ind w:left="60" w:right="179" w:hanging="10"/>
        <w:spacing w:after="0" w:line="249" w:lineRule="auto"/>
        <w:tabs>
          <w:tab w:leader="none" w:pos="3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Cash is generally a passive asset. Goodwill (the value of which may be determined by reference to the excess of the sum of a corporation’s market capitalization and liabilities over the value of its assets) is generally an active asset to the extent attributable to business activities that produce active income. For purposes of the above calculations, we will be treated as if we hold our proportionate share of the assets of, and directly receive our proportionate share of the income of, any other corporation in which we directly or indirectly own at least 25% of the shares of such corporation by value.</w:t>
      </w:r>
    </w:p>
    <w:p>
      <w:pPr>
        <w:spacing w:after="0" w:line="181"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have not obtained valuations of our assets (including goodwill or going concern value) for 2022 and thus are not in a position to make a definitive determination regarding whether we were a PFIC for 2022. However, we believe that we were likely a PFIC for 2022 due to the decline and volatility of our market capitalization in 2022. If the value of our goodwill or going concern value is determined by reference to our market capitalization then we were a PFIC for 2022. For the same reason there is a significant risk that we will also be a PFIC for 2023, and possibly other taxable years. Because our PFIC status is a factual annual determination that can be determined only after the end of the relevant taxable year, we cannot express a view regarding our PFIC status for 2023 or any future taxable year.</w:t>
      </w:r>
    </w:p>
    <w:p>
      <w:pPr>
        <w:spacing w:after="0" w:line="175"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and grants (which we believe are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IRS will not challenge the classification of any of our income items for PFIC purposes for any taxable year. Accordingly, there is no assurance that we will not be a PFIC for any taxable year under the income test.</w:t>
      </w:r>
    </w:p>
    <w:p>
      <w:pPr>
        <w:spacing w:after="0" w:line="17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a PFIC for any taxable year and a U.S. Holder owns our common shares during any portion of that year, we will continue to be treated as a PFIC with respect to the U.S. Holder even if we cease to be a PFIC for any subsequent taxable year. If we are a PFIC for any taxable year during which a U.S. Holder owns our common shares but cease to be a PFIC thereafter, a U.S. Holder may make a “deemed sale” election with respect to our common shares, in which case the U.S. Holder may be required to recognize income under the rules described in the subsequent paragraph without receiving any corresponding cash.</w:t>
      </w:r>
    </w:p>
    <w:p>
      <w:pPr>
        <w:spacing w:after="0" w:line="18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If a U.S. Holder owns our common shares in any year in which we are a PFIC, subject to the discussion above regarding the deemed sale election and the discussion below regarding the mark-to-market election, any gain recognized by the U.S. Holder on a sale or other disposition (including certain pledges) of the common shares will be allocated ratably over the U.S. Holder’s holding period for the common shares. The amounts allocated to the taxable year of the sale or other disposition and to any year before we became a PFIC will be taxed as ordinary income. The amount allocated to any other taxable year will be subject to tax at the highest rate in effect for individuals or corporations, as appropriate, for that taxable year, and an interest charge will be imposed on the amount of tax allocated to that taxable year. Further, to the extent that distributions received by a U.S. Holder on its common shares during a taxable year exceed 125% of the average of the annual distributions on the common shares received during the preceding three taxable years or the U.S. Holder’s holding period, whichever is shorter, the excess distribution will be subject to taxation in the same manner.</w:t>
      </w:r>
    </w:p>
    <w:p>
      <w:pPr>
        <w:spacing w:after="0" w:line="19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 U.S. Holder may be able to avoid the rules described above by making a mark-to-market election with respect to the common shares, provided that the common shares are regularly traded on Nasdaq or any other qualified exchange. If a U.S. Holder makes the mark-to-market election, it generally will recognize as ordinary income any excess of the fair market value of the common shares at the end of each taxable year in which we are a PFIC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U.S. Holder’s tax basis in the common shares will be adjusted to reflect the income or loss amounts recognized. Any gain recognized on the sale or other disposition of common shares in a year in which we are a PFIC will be treated as ordinary income and any loss will be treated as an ordinary loss (but only to the extent of the net amount of income previously included as a result of the mark-to-market election, with any excess treated as capital loss).</w:t>
      </w:r>
    </w:p>
    <w:p>
      <w:pPr>
        <w:spacing w:after="0" w:line="188" w:lineRule="exact"/>
        <w:rPr>
          <w:sz w:val="20"/>
          <w:szCs w:val="20"/>
          <w:color w:val="auto"/>
        </w:rPr>
      </w:pPr>
    </w:p>
    <w:p>
      <w:pPr>
        <w:ind w:left="60" w:right="259" w:firstLine="324"/>
        <w:spacing w:after="0" w:line="280" w:lineRule="auto"/>
        <w:rPr>
          <w:sz w:val="20"/>
          <w:szCs w:val="20"/>
          <w:color w:val="auto"/>
        </w:rPr>
      </w:pPr>
      <w:r>
        <w:rPr>
          <w:rFonts w:ascii="Times New Roman" w:cs="Times New Roman" w:eastAsia="Times New Roman" w:hAnsi="Times New Roman"/>
          <w:sz w:val="17"/>
          <w:szCs w:val="17"/>
          <w:color w:val="auto"/>
        </w:rPr>
        <w:t>We do not intend to provide the information necessary for U.S. Holders to make a “qualified electing fund” election, which if available could materially affect the tax consequences to U.S. Holders of the ownership and disposition of our common shares if we are a PFIC for any taxable year. Therefore, U.S. Holders will not be able to make such elections.</w:t>
      </w:r>
    </w:p>
    <w:p>
      <w:pPr>
        <w:spacing w:after="0" w:line="16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addition, if we are a PFIC (or are treated as a PFIC with respect to a particular U.S. Holder under the “once a PFIC always a PFIC” rule) for the taxable year in which we pay a dividend or for the prior taxable year, the preferential tax rate discussed below with respect to “qualified dividend income” received by certain non-corporate U.S. Holders will not be available.</w:t>
      </w:r>
    </w:p>
    <w:p>
      <w:pPr>
        <w:spacing w:after="0" w:line="180"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If a U.S. Holder owns common shares during any taxable year in which we are a PFIC, the U.S. Holder generally must file annual reports on IRS Form 8621 with respect to us with the U.S. Holder’s federal income tax return.</w:t>
      </w:r>
    </w:p>
    <w:p>
      <w:pPr>
        <w:spacing w:after="0" w:line="14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our PFIC status for any taxable year and the consequences thereof.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 xml:space="preserve">As discussed under “Item 8. Financial Information—Section A. Consolidated statements and other financial information—Dividends and dividend policy,” we do not currently expect to make distributions on our common shares. In the event that we do make distributions of cash or other property on our common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our common shares, they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 taxation as “qualified dividend income” and therefore, subject to applicable limitations, may be taxable at rates applicable to long-term capital gains, provided that we are not a PFIC (and are not treated as a PFIC with respect to a particular U.S. Holder under the “once a PFIC always a PFIC” rule) for our taxable year in which the dividend is paid or the preceding taxable year. Non-corporate U.S. Holders should consult their tax advisers regarding the availability of the reduced tax rate on dividends, if any, in their particular circumstances.</w:t>
      </w:r>
    </w:p>
    <w:p>
      <w:pPr>
        <w:spacing w:after="0" w:line="183"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Dividends will not be eligible for the dividends-received deduction generally available to U.S. corporations under the Code. Dividends will be included in a U.S. Holder’s income on the date of receipt.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9" w:lineRule="exact"/>
        <w:rPr>
          <w:sz w:val="20"/>
          <w:szCs w:val="20"/>
          <w:color w:val="auto"/>
        </w:rPr>
      </w:pPr>
    </w:p>
    <w:p>
      <w:pPr>
        <w:ind w:left="60" w:right="119" w:firstLine="324"/>
        <w:spacing w:after="0" w:line="250" w:lineRule="auto"/>
        <w:rPr>
          <w:sz w:val="20"/>
          <w:szCs w:val="20"/>
          <w:color w:val="auto"/>
        </w:rPr>
      </w:pPr>
      <w:r>
        <w:rPr>
          <w:rFonts w:ascii="Times New Roman" w:cs="Times New Roman" w:eastAsia="Times New Roman" w:hAnsi="Times New Roman"/>
          <w:sz w:val="18"/>
          <w:szCs w:val="18"/>
          <w:color w:val="auto"/>
        </w:rPr>
        <w:t>Dividends will be foreign-source income. The amount of dividend income will include any amounts withheld by us in respect of Swiss income taxes. Subject to applicable limitations, some of which vary depending upon the U.S. Holder’s particular circumstances, Swiss income taxes withheld from dividends on our common shares (at a rate not exceeding the applicable Treaty rate in the case of U.S. Holders eligible for Treaty benefits) may be creditable against the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Swiss income tax system meets this requirement. U.S. Holders should consult their tax advisers regarding the creditability of any Swiss taxes in their particular circumstances (including the U.S. Holder’s eligibility for Treaty benefits). In lieu of claiming a credit, U.S. Holders may be able to elect to deduct any Swiss income taxes in computing their taxable income, subject to generally applicable limitations under U.S. law. An election to deduct foreign taxes instead of claiming foreign tax credits applies to all creditable foreign taxes paid or accrued in the taxable year.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14"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Gain or loss realized on the sale or other disposition of common shares will be capital gain or loss, and will be long-term capital gain or loss if the U.S. Holder owned the common shares for more than one year, or short-term capital gain or loss otherwise.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16" w:lineRule="exact"/>
        <w:rPr>
          <w:sz w:val="20"/>
          <w:szCs w:val="20"/>
          <w:color w:val="auto"/>
        </w:rPr>
      </w:pPr>
    </w:p>
    <w:p>
      <w:pPr>
        <w:jc w:val="center"/>
        <w:ind w:left="60" w:right="279"/>
        <w:spacing w:after="0" w:line="312"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generally are subject to information reporting, and may be subject to backup withholding, unless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hanging="10"/>
        <w:spacing w:after="0" w:line="266" w:lineRule="auto"/>
        <w:tabs>
          <w:tab w:leader="none" w:pos="27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(and establishes that fact if required to do so)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 federal income tax liability and may entitle the U.S. Holder to a refund, provided that the required information is furnished in a timely manner to the IRS.</w:t>
      </w:r>
    </w:p>
    <w:p>
      <w:pPr>
        <w:spacing w:after="0" w:line="176"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our common shares or non-U.S. accounts through which they may be held. U.S. Holders should consult their tax advisers regarding their reporting obligations with respect to the ownership and disposition of our common shares.</w:t>
      </w:r>
    </w:p>
    <w:p>
      <w:pPr>
        <w:spacing w:after="0" w:line="179" w:lineRule="exact"/>
        <w:rPr>
          <w:sz w:val="20"/>
          <w:szCs w:val="20"/>
          <w:color w:val="auto"/>
        </w:rPr>
      </w:pPr>
    </w:p>
    <w:p>
      <w:pPr>
        <w:ind w:left="380" w:right="6439" w:hanging="330"/>
        <w:spacing w:after="0" w:line="500" w:lineRule="auto"/>
        <w:tabs>
          <w:tab w:leader="none" w:pos="3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7019" w:hanging="330"/>
        <w:spacing w:after="0" w:line="530" w:lineRule="auto"/>
        <w:tabs>
          <w:tab w:leader="none" w:pos="38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1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reports on Form 6-K. In addition, the SEC maintains an Internet website that contains reports and other information about issuers, such as us, that file electronically with the SEC. The address of that website is www.sec.gov.</w:t>
      </w:r>
    </w:p>
    <w:p>
      <w:pPr>
        <w:spacing w:after="0" w:line="18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Additionally, pursuant to Swiss law, any shareholder of record has the right to receive a free copy of this Annual Report and to inspect this Annual Report at any time at our registered office in Ecublens, near Lausanne, Canton of Vaud, Switzerland.</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left="380" w:right="6859" w:hanging="330"/>
        <w:spacing w:after="0" w:line="530" w:lineRule="auto"/>
        <w:tabs>
          <w:tab w:leader="none" w:pos="38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380" w:right="6079" w:hanging="330"/>
        <w:spacing w:after="0" w:line="493" w:lineRule="auto"/>
        <w:tabs>
          <w:tab w:leader="none" w:pos="3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ind w:left="6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2022, the Company holds approximately 77% of its overall cash and cash equivalents balance in CHF with the remainder predominantly in EUR and USD (see “Note 8. Cash and cash equivalents and short-term financial assets” of the consolidated financial statements). The Company holds almost 94% of its liquidity (cash and cash equivalents plus short-term financial assets) in CHF.</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a number of collaboration agreements for which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44% of our total costs are incurred in currencies other than the Swiss Franc. Due to the size of some of the income received from collaboration agreements and also the high percentage of our costs indirectly being in foreign currencies, a hypothetical 10% change in exchange rates relative to the Swiss Franc could have a material impact on our consolidated financial statements.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the current negative interest rates in Switzerland and our policy to maintain the majority of our cash and cash equivalents in our functional currency.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The Company maintains a formal treasury risk and investment management policy to limit counterparty credit risk. As of December 31, 2022, the Company’s cash and cash equivalents and short-term financial assets are held with four financial institutions, each with a high credit rating assigned by international credit-rating agencies. The maximum amount of credit risk is the carrying amount of the financial assets. Receivables are fully performing, not past due and not impaired (see “Note 8. Cash and cash equivalents and short-term financial assets” and “Note 10. Other current receivables”).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Inherent in the Company’s business are various risks and uncertainties, including the high uncertainty that new therapeutic and diagnostic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70"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w:t>
      </w:r>
    </w:p>
    <w:p>
      <w:pPr>
        <w:spacing w:after="0" w:line="176"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Based on the Company’s current liquidity position, comprised of cash and cash equivalents and short-term financial assets, the Company is financed into Q3 2024, excluding any potential milestones.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“Forward-looking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12. DESCRIPTION OF SECURITIES OTHER THAN EQUITY SECURITIES</w:t>
      </w:r>
    </w:p>
    <w:p>
      <w:pPr>
        <w:spacing w:after="0" w:line="237" w:lineRule="exact"/>
        <w:rPr>
          <w:sz w:val="20"/>
          <w:szCs w:val="20"/>
          <w:color w:val="auto"/>
        </w:rPr>
      </w:pPr>
    </w:p>
    <w:p>
      <w:pPr>
        <w:jc w:val="both"/>
        <w:ind w:left="380" w:right="7519" w:hanging="330"/>
        <w:spacing w:after="0" w:line="530" w:lineRule="auto"/>
        <w:tabs>
          <w:tab w:leader="none" w:pos="38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80" w:right="7079" w:hanging="330"/>
        <w:spacing w:after="0" w:line="522" w:lineRule="auto"/>
        <w:tabs>
          <w:tab w:leader="none" w:pos="38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80" w:right="7419" w:hanging="330"/>
        <w:spacing w:after="0" w:line="530" w:lineRule="auto"/>
        <w:tabs>
          <w:tab w:leader="none" w:pos="38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80" w:right="6499" w:hanging="330"/>
        <w:spacing w:after="0" w:line="537" w:lineRule="auto"/>
        <w:tabs>
          <w:tab w:leader="none" w:pos="3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American depositary shares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5" w:lineRule="exact"/>
        <w:rPr>
          <w:sz w:val="20"/>
          <w:szCs w:val="20"/>
          <w:color w:val="auto"/>
        </w:rPr>
      </w:pPr>
    </w:p>
    <w:p>
      <w:pPr>
        <w:ind w:left="380" w:hanging="330"/>
        <w:spacing w:after="0"/>
        <w:tabs>
          <w:tab w:leader="none" w:pos="3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matters to report.</w:t>
      </w:r>
    </w:p>
    <w:p>
      <w:pPr>
        <w:spacing w:after="0" w:line="221"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Arrears and delinquencies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matters to report.</w:t>
      </w:r>
    </w:p>
    <w:p>
      <w:pPr>
        <w:spacing w:after="0" w:line="221" w:lineRule="exact"/>
        <w:rPr>
          <w:sz w:val="20"/>
          <w:szCs w:val="20"/>
          <w:color w:val="auto"/>
        </w:rPr>
      </w:pPr>
    </w:p>
    <w:p>
      <w:pPr>
        <w:ind w:left="60" w:right="859"/>
        <w:spacing w:after="0" w:line="271"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under the supervision and with the participation of our management, including our Chief Executive Officer and VP Finance and Interim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9"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Chief Executive Officer and VP Finance and Interim Chief Financial Officer concluded that our disclosure controls and procedures were effective in recording, processing, summarizing and reporting on a timely basis the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6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Our internal control over financial reporting is supported by written policies and procedures.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VP Finance and Interim Chief Financial Officer, management conducted an evaluation of the effectiveness of our internal control over financial reporting based upon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by the Committee of Sponsoring Organizations of the Treadway Commission. Based on that evaluation, our management, including our Chief Executive Officer and VP Finance and Interim Chief Financial Officer concluded that our internal control over financial reporting was effective as of December 31, 2022.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the registered public accounting firm</w:t>
      </w:r>
    </w:p>
    <w:p>
      <w:pPr>
        <w:spacing w:after="0" w:line="229"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PricewaterhouseCoopers SA, an independent registered public accounting firm. Their report is included on page F-2. PricewaterhouseCoopers SA is a member of the Chamber of Public Accountants, Lausanne, Switzerland.</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year ended December 31, 2022 that have materially affected, or are reasonably likely to materially affect, our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Monika Bütler, Thomas Graney and Werner Lanthaler are audit committee financial experts, as that term is defined by the SEC, and are independent for the purposes of SEC rules.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and Ethics applies to all of our directors, executive officers and employees. We have published our Code of Business Conduct and Ethics on our website, </w:t>
      </w:r>
      <w:r>
        <w:rPr>
          <w:rFonts w:ascii="Times New Roman" w:cs="Times New Roman" w:eastAsia="Times New Roman" w:hAnsi="Times New Roman"/>
          <w:sz w:val="18"/>
          <w:szCs w:val="18"/>
          <w:i w:val="1"/>
          <w:iCs w:val="1"/>
          <w:color w:val="auto"/>
        </w:rPr>
        <w:t>www.acimmune.com</w:t>
      </w:r>
      <w:r>
        <w:rPr>
          <w:rFonts w:ascii="Times New Roman" w:cs="Times New Roman" w:eastAsia="Times New Roman" w:hAnsi="Times New Roman"/>
          <w:sz w:val="18"/>
          <w:szCs w:val="18"/>
          <w:color w:val="auto"/>
        </w:rPr>
        <w:t>. The information contained on our website is not a part of this Annual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4"/>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8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PwC was the Company’s auditor for the IFRS and statutory accounts. At the ordinary Annual General Meeting on June 24, 2022, the shareholders appointed PwC as the Company’s auditor for a term of office of 1 year.</w:t>
      </w:r>
    </w:p>
    <w:p>
      <w:pPr>
        <w:spacing w:after="0" w:line="17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0D0E00"/>
        </w:rPr>
        <w:t>Audit fees i</w:t>
      </w:r>
      <w:r>
        <w:rPr>
          <w:rFonts w:ascii="Times New Roman" w:cs="Times New Roman" w:eastAsia="Times New Roman" w:hAnsi="Times New Roman"/>
          <w:sz w:val="18"/>
          <w:szCs w:val="18"/>
          <w:color w:val="000000"/>
        </w:rPr>
        <w:t>nclude fees for audit services primarily related to the integrated audit of (i) our annual consolidated</w:t>
      </w:r>
      <w:r>
        <w:rPr>
          <w:rFonts w:ascii="Times New Roman" w:cs="Times New Roman" w:eastAsia="Times New Roman" w:hAnsi="Times New Roman"/>
          <w:sz w:val="18"/>
          <w:szCs w:val="18"/>
          <w:color w:val="0D0E00"/>
        </w:rPr>
        <w:t xml:space="preserve"> </w:t>
      </w:r>
      <w:r>
        <w:rPr>
          <w:rFonts w:ascii="Times New Roman" w:cs="Times New Roman" w:eastAsia="Times New Roman" w:hAnsi="Times New Roman"/>
          <w:sz w:val="18"/>
          <w:szCs w:val="18"/>
          <w:color w:val="000000"/>
        </w:rPr>
        <w:t>financial statements and our internal control over financial reporting as required by Section 404(b) of the Sarbanes-Oxley Act of 2002, (ii) the review of our quarterly condensed consolidated financial statements, (iii) comfort letters, consents and assistance with and review of documents relating to our securities offerings, including our registration statement on Form F-3 related to our follow-on shelf registration in Q2 2021 and (iv) other accounting and financial reporting consultation billed as audit fees or necessary to comply with the standards of the Public Company Accounting Oversight Board (United States).</w:t>
      </w:r>
    </w:p>
    <w:p>
      <w:pPr>
        <w:spacing w:after="0" w:line="187"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the U.S. Sarbanes-Oxley Act of 2002 and rules issued by the SEC, we review and pre-approve any services performed by PwC. The procedure requires that all proposed future engagements of PwC for audit and permitted non-audit services are submitted to the Audit and Finance Committee for approval prior to the beginning of any such services. In accordance with this policy, all services performed by and fees paid to PwC in this Item 16C, were approved by the Audit and Finance Committee.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In 2022, no purchases of our equity securities were made by or on behalf of AC Immune SA or any affiliated purchaser.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Corporate Governance Differences from Nasdaq Listing Standards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common shares are listed on the Nasdaq Global Market. We are therefore required to comply with certain of the Nasdaq’s corporate governance listing standards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Independent directors</w:t>
      </w:r>
    </w:p>
    <w:p>
      <w:pPr>
        <w:spacing w:after="0" w:line="227"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Compensation, nomination and corporate governance committee</w:t>
      </w:r>
    </w:p>
    <w:p>
      <w:pPr>
        <w:spacing w:after="0" w:line="22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Swiss law requires that we have a compensation, nomination and corporate governance committee, we will follow home country requirements with respect to such committee. As a result, our practice will vary from the requirements of Nasdaq Listing Rule 5605(d), which sets forth certain requirements as to the responsibilities, composition and independence of compensation, nomination and corporate governance committees.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Quorum requirements</w:t>
      </w:r>
    </w:p>
    <w:p>
      <w:pPr>
        <w:spacing w:after="0" w:line="227"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Solicitation of proxies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Shareholder approval</w:t>
      </w:r>
    </w:p>
    <w:p>
      <w:pPr>
        <w:spacing w:after="0" w:line="22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responded to Item 18 in lieu of this item.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Financial Statements are filed as part of this Annual Report, see page F-1.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420" w:type="dxa"/>
            <w:vAlign w:val="bottom"/>
            <w:gridSpan w:val="29"/>
          </w:tcPr>
          <w:p>
            <w:pPr>
              <w:ind w:left="160"/>
              <w:spacing w:after="0"/>
              <w:rPr>
                <w:sz w:val="20"/>
                <w:szCs w:val="20"/>
                <w:color w:val="auto"/>
              </w:rPr>
            </w:pPr>
            <w:r>
              <w:rPr>
                <w:rFonts w:ascii="Times New Roman" w:cs="Times New Roman" w:eastAsia="Times New Roman" w:hAnsi="Times New Roman"/>
                <w:sz w:val="18"/>
                <w:szCs w:val="18"/>
                <w:color w:val="auto"/>
              </w:rPr>
              <w:t>(a) The following documents are filed as part of Annual Report on Form 20-F:</w:t>
            </w:r>
          </w:p>
        </w:tc>
      </w:tr>
      <w:tr>
        <w:trPr>
          <w:trHeight w:val="418"/>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7760" w:type="dxa"/>
            <w:vAlign w:val="bottom"/>
            <w:gridSpan w:val="28"/>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Articles of Association of AC Immune SA (incorporated herein by reference to Exhibit 99.3 to the</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Company’s Report on Form 6-K, filed with the SEC on June 24, 2022)</w:t>
              </w:r>
            </w:hyperlink>
          </w:p>
        </w:tc>
        <w:tc>
          <w:tcPr>
            <w:tcW w:w="1980" w:type="dxa"/>
            <w:vAlign w:val="bottom"/>
            <w:tcBorders>
              <w:top w:val="single" w:sz="8" w:color="0000EE"/>
            </w:tcBorders>
            <w:gridSpan w:val="6"/>
          </w:tcPr>
          <w:p>
            <w:pPr>
              <w:spacing w:after="0"/>
              <w:rPr>
                <w:sz w:val="17"/>
                <w:szCs w:val="17"/>
                <w:color w:val="auto"/>
              </w:rPr>
            </w:pPr>
          </w:p>
        </w:tc>
        <w:tc>
          <w:tcPr>
            <w:tcW w:w="700" w:type="dxa"/>
            <w:vAlign w:val="bottom"/>
            <w:gridSpan w:val="16"/>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17"/>
                <w:szCs w:val="17"/>
                <w:color w:val="auto"/>
              </w:rPr>
            </w:pPr>
          </w:p>
        </w:tc>
        <w:tc>
          <w:tcPr>
            <w:tcW w:w="77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Research Collaboration and License Agreement between AC Immune SA Corporation and Genentech, Inc.</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dated November 6, 2006 (incorporated herein by reference to Exhibit 10.1 to the Company’s Registration</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Statement on Form F-1 (File No. 333-211714) filed with the SEC on May 31, 2016)</w:t>
              </w:r>
            </w:hyperlink>
          </w:p>
        </w:tc>
        <w:tc>
          <w:tcPr>
            <w:tcW w:w="1520" w:type="dxa"/>
            <w:vAlign w:val="bottom"/>
            <w:tcBorders>
              <w:top w:val="single" w:sz="8" w:color="0000EE"/>
            </w:tcBorders>
            <w:gridSpan w:val="13"/>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Amendment to the Research Collaboration and License Agreement between AC Immune SA Corporation</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and Genentech, Inc. dated May 7, 2015 (incorporated herein by reference to Exhibit 10.2 to the Company’s</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780" w:type="dxa"/>
            <w:vAlign w:val="bottom"/>
            <w:gridSpan w:val="17"/>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17"/>
                <w:szCs w:val="17"/>
                <w:color w:val="auto"/>
              </w:rPr>
            </w:pPr>
          </w:p>
        </w:tc>
        <w:tc>
          <w:tcPr>
            <w:tcW w:w="77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Research Collaboration and License Agreement between AC Immune SA Corporation and Genentech, Inc.</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dated June 15, 2012 (incorporated herein by reference to Exhibit 10.3 to the Company’s Registration</w:t>
              </w:r>
            </w:hyperlink>
          </w:p>
        </w:tc>
        <w:tc>
          <w:tcPr>
            <w:tcW w:w="520" w:type="dxa"/>
            <w:vAlign w:val="bottom"/>
            <w:gridSpan w:val="10"/>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Statement on Form F-1 (File No. 333-211714) filed with the SEC on May 31, 2016)</w:t>
              </w:r>
            </w:hyperlink>
          </w:p>
        </w:tc>
        <w:tc>
          <w:tcPr>
            <w:tcW w:w="1720" w:type="dxa"/>
            <w:vAlign w:val="bottom"/>
            <w:gridSpan w:val="19"/>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License and Collaboration Agreement between Piramal Imaging Ltd., Piramal Imaging SA and AC</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Immune SA, dated May 9, 2014 (incorporated herein by reference to Exhibit 10.4 to the Company’s</w:t>
              </w:r>
            </w:hyperlink>
          </w:p>
        </w:tc>
        <w:tc>
          <w:tcPr>
            <w:tcW w:w="580" w:type="dxa"/>
            <w:vAlign w:val="bottom"/>
            <w:gridSpan w:val="1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780" w:type="dxa"/>
            <w:vAlign w:val="bottom"/>
            <w:gridSpan w:val="17"/>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60" w:type="dxa"/>
            <w:vAlign w:val="bottom"/>
          </w:tcPr>
          <w:p>
            <w:pPr>
              <w:spacing w:after="0"/>
              <w:rPr>
                <w:sz w:val="17"/>
                <w:szCs w:val="17"/>
                <w:color w:val="auto"/>
              </w:rPr>
            </w:pPr>
          </w:p>
        </w:tc>
        <w:tc>
          <w:tcPr>
            <w:tcW w:w="76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License, Development and Commercialization Agreement between Janssen Pharmaceuticals, Inc. and AC</w:t>
              </w:r>
            </w:hyperlink>
          </w:p>
        </w:tc>
        <w:tc>
          <w:tcPr>
            <w:tcW w:w="14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Immune SA, dated December 24, 2014 (incorporated herein by reference to Exhibit 10.5 to the Company’s</w:t>
              </w:r>
            </w:hyperlink>
          </w:p>
        </w:tc>
        <w:tc>
          <w:tcPr>
            <w:tcW w:w="8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Registration Statement on Form F-1 (File No. 333-211714) filed with the SEC on May 31, 2016)</w:t>
              </w:r>
            </w:hyperlink>
          </w:p>
        </w:tc>
        <w:tc>
          <w:tcPr>
            <w:tcW w:w="800" w:type="dxa"/>
            <w:vAlign w:val="bottom"/>
            <w:gridSpan w:val="18"/>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Indemnity Agreement</w:t>
            </w:r>
          </w:p>
        </w:tc>
        <w:tc>
          <w:tcPr>
            <w:tcW w:w="5560" w:type="dxa"/>
            <w:vAlign w:val="bottom"/>
            <w:gridSpan w:val="26"/>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spacing w:after="0"/>
              <w:rPr>
                <w:sz w:val="17"/>
                <w:szCs w:val="17"/>
                <w:color w:val="auto"/>
              </w:rPr>
            </w:pPr>
          </w:p>
        </w:tc>
        <w:tc>
          <w:tcPr>
            <w:tcW w:w="7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AC Immune SA 2013 Equity Incentive Plan (incorporated herein by reference to Exhibit 10.7 to the</w:t>
              </w:r>
            </w:hyperlink>
          </w:p>
        </w:tc>
        <w:tc>
          <w:tcPr>
            <w:tcW w:w="580" w:type="dxa"/>
            <w:vAlign w:val="bottom"/>
            <w:gridSpan w:val="1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Company’s Registration Statement on Form F-1 (File No. 333-211714) filed with the SEC on May 31,</w:t>
              </w:r>
            </w:hyperlink>
          </w:p>
        </w:tc>
        <w:tc>
          <w:tcPr>
            <w:tcW w:w="400" w:type="dxa"/>
            <w:vAlign w:val="bottom"/>
            <w:gridSpan w:val="9"/>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60" w:type="dxa"/>
            <w:vAlign w:val="bottom"/>
            <w:gridSpan w:val="2"/>
          </w:tcPr>
          <w:p>
            <w:pPr>
              <w:ind w:left="640"/>
              <w:spacing w:after="0" w:line="196" w:lineRule="exact"/>
              <w:rPr>
                <w:rFonts w:ascii="Times New Roman" w:cs="Times New Roman" w:eastAsia="Times New Roman" w:hAnsi="Times New Roman"/>
                <w:sz w:val="18"/>
                <w:szCs w:val="18"/>
                <w:color w:val="0000EE"/>
                <w:w w:val="95"/>
              </w:rPr>
            </w:pPr>
            <w:hyperlink r:id="rId238">
              <w:r>
                <w:rPr>
                  <w:rFonts w:ascii="Times New Roman" w:cs="Times New Roman" w:eastAsia="Times New Roman" w:hAnsi="Times New Roman"/>
                  <w:sz w:val="18"/>
                  <w:szCs w:val="18"/>
                  <w:color w:val="0000EE"/>
                  <w:w w:val="95"/>
                </w:rPr>
                <w:t>2016)</w:t>
              </w:r>
            </w:hyperlink>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spacing w:after="0"/>
              <w:rPr>
                <w:sz w:val="17"/>
                <w:szCs w:val="17"/>
                <w:color w:val="auto"/>
              </w:rPr>
            </w:pPr>
          </w:p>
        </w:tc>
        <w:tc>
          <w:tcPr>
            <w:tcW w:w="7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AC Immune SA 2016 Stock Option and Incentive Plan (incorporated herein by reference to Exhibit 99.08</w:t>
              </w:r>
            </w:hyperlink>
          </w:p>
        </w:tc>
        <w:tc>
          <w:tcPr>
            <w:tcW w:w="16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to the Company’s Report on Form 6-K, filed with the SEC on October 13, 2016)</w:t>
              </w:r>
            </w:hyperlink>
          </w:p>
        </w:tc>
        <w:tc>
          <w:tcPr>
            <w:tcW w:w="1980" w:type="dxa"/>
            <w:vAlign w:val="bottom"/>
            <w:gridSpan w:val="20"/>
          </w:tcPr>
          <w:p>
            <w:pPr>
              <w:spacing w:after="0"/>
              <w:rPr>
                <w:sz w:val="17"/>
                <w:szCs w:val="17"/>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License Agreement between AC Immune SA and Eli Lilly and Company, dated December 11, 2018</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(incorporated herein by reference to Exhibit 4.14 to the Amendment No. 1 to the Company’s Annual</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Report on Form 20-F/A, filed with the SEC on April 19, 2019)</w:t>
              </w:r>
            </w:hyperlink>
          </w:p>
        </w:tc>
        <w:tc>
          <w:tcPr>
            <w:tcW w:w="540" w:type="dxa"/>
            <w:vAlign w:val="bottom"/>
            <w:gridSpan w:val="11"/>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660" w:type="dxa"/>
            <w:vAlign w:val="bottom"/>
          </w:tcPr>
          <w:p>
            <w:pPr>
              <w:spacing w:after="0"/>
              <w:rPr>
                <w:sz w:val="17"/>
                <w:szCs w:val="17"/>
                <w:color w:val="auto"/>
              </w:rPr>
            </w:pPr>
          </w:p>
        </w:tc>
        <w:tc>
          <w:tcPr>
            <w:tcW w:w="74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Convertible Note Agreement between AC Immune SA and Eli Lilly and Company, dated December 11,</w:t>
              </w:r>
            </w:hyperlink>
          </w:p>
        </w:tc>
        <w:tc>
          <w:tcPr>
            <w:tcW w:w="320" w:type="dxa"/>
            <w:vAlign w:val="bottom"/>
            <w:gridSpan w:val="7"/>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2018 (incorporated herein by reference to Exhibit 4.15 to the Company’s Annual Report on Form 20-F,</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filed with the SEC on March 21, 2019)</w:t>
              </w:r>
            </w:hyperlink>
          </w:p>
        </w:tc>
        <w:tc>
          <w:tcPr>
            <w:tcW w:w="360" w:type="dxa"/>
            <w:vAlign w:val="bottom"/>
            <w:gridSpan w:val="8"/>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First Amendment to License Agreement between AC Immune SA and Eli Lilly and Company, dated</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September 19, 2019 (incorporated herein by reference to Exhibit 10.1 to the Company’s Report on Form 6-</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K, filed with the SEC on September 20, 2019)</w:t>
              </w:r>
            </w:hyperlink>
          </w:p>
        </w:tc>
      </w:tr>
      <w:tr>
        <w:trPr>
          <w:trHeight w:val="20"/>
        </w:trPr>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196"/>
        </w:trPr>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Second Amendment to License Agreement between AC Immune SA and Eli Lilly and Company, dated</w:t>
              </w:r>
            </w:hyperlink>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March 20, 2020 (incorporated herein by reference to Exhibit 10.1 to the Company’s Current Report on</w:t>
              </w:r>
            </w:hyperlink>
          </w:p>
        </w:tc>
        <w:tc>
          <w:tcPr>
            <w:tcW w:w="40" w:type="dxa"/>
            <w:vAlign w:val="bottom"/>
            <w:tcBorders>
              <w:top w:val="single" w:sz="8" w:color="0000EE"/>
            </w:tcBorders>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gridSpan w:val="28"/>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Form 6-K (File No. 001-37891) filed with the SEC on March 23, 2020)</w:t>
              </w:r>
            </w:hyperlink>
          </w:p>
        </w:tc>
      </w:tr>
      <w:tr>
        <w:trPr>
          <w:trHeight w:val="669"/>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tcBorders>
              <w:top w:val="single" w:sz="8" w:color="0000EE"/>
            </w:tcBorders>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7600" w:type="dxa"/>
            <w:vAlign w:val="bottom"/>
            <w:gridSpan w:val="19"/>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Open Market Sale Agreement, dated as of May 5, 2021, between AC Immune SA and Jefferies LLC</w:t>
              </w:r>
            </w:hyperlink>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7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(incorporated herein by reference to Exhibit 1.1 to the Company’s Current Report on Form 6-K (File</w:t>
              </w:r>
            </w:hyperlink>
          </w:p>
        </w:tc>
        <w:tc>
          <w:tcPr>
            <w:tcW w:w="34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No. 001-37891) filed with the SEC on May 5, 2021)</w:t>
              </w:r>
            </w:hyperlink>
          </w:p>
        </w:tc>
        <w:tc>
          <w:tcPr>
            <w:tcW w:w="3820" w:type="dxa"/>
            <w:vAlign w:val="bottom"/>
            <w:gridSpan w:val="1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7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Asset Purchase and Contribution in Kind Agreement, dated as of July 26, 2021, between AC Immune SA</w:t>
              </w:r>
            </w:hyperlink>
          </w:p>
        </w:tc>
      </w:tr>
      <w:tr>
        <w:trPr>
          <w:trHeight w:val="196"/>
        </w:trPr>
        <w:tc>
          <w:tcPr>
            <w:tcW w:w="1120" w:type="dxa"/>
            <w:vAlign w:val="bottom"/>
          </w:tcPr>
          <w:p>
            <w:pPr>
              <w:spacing w:after="0"/>
              <w:rPr>
                <w:sz w:val="17"/>
                <w:szCs w:val="17"/>
                <w:color w:val="auto"/>
              </w:rPr>
            </w:pPr>
          </w:p>
        </w:tc>
        <w:tc>
          <w:tcPr>
            <w:tcW w:w="7600" w:type="dxa"/>
            <w:vAlign w:val="bottom"/>
            <w:gridSpan w:val="19"/>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and Affiris AG (incorporated herein by reference to Exhibit 10.1 to the Company’s Current Report on</w:t>
              </w:r>
            </w:hyperlink>
          </w:p>
        </w:tc>
      </w:tr>
      <w:tr>
        <w:trPr>
          <w:trHeight w:val="196"/>
        </w:trPr>
        <w:tc>
          <w:tcPr>
            <w:tcW w:w="1120" w:type="dxa"/>
            <w:vAlign w:val="bottom"/>
          </w:tcPr>
          <w:p>
            <w:pPr>
              <w:spacing w:after="0"/>
              <w:rPr>
                <w:sz w:val="17"/>
                <w:szCs w:val="17"/>
                <w:color w:val="auto"/>
              </w:rPr>
            </w:pPr>
          </w:p>
        </w:tc>
        <w:tc>
          <w:tcPr>
            <w:tcW w:w="73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Form 6-K (File No. 001-37891) filed with the SEC on August 4, 2021)</w:t>
              </w:r>
            </w:hyperlink>
          </w:p>
        </w:tc>
        <w:tc>
          <w:tcPr>
            <w:tcW w:w="28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7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Convertible Note Agreement, dated as of July 26, 2021, between AC Immune SA and Santo Venture</w:t>
              </w:r>
            </w:hyperlink>
          </w:p>
        </w:tc>
        <w:tc>
          <w:tcPr>
            <w:tcW w:w="36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19"/>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GmbH (incorporated herein by reference to Exhibit 10.2 to the Company’s Current Report on Form 6-K</w:t>
              </w:r>
            </w:hyperlink>
          </w:p>
        </w:tc>
      </w:tr>
      <w:tr>
        <w:trPr>
          <w:trHeight w:val="196"/>
        </w:trPr>
        <w:tc>
          <w:tcPr>
            <w:tcW w:w="1120" w:type="dxa"/>
            <w:vAlign w:val="bottom"/>
          </w:tcPr>
          <w:p>
            <w:pPr>
              <w:spacing w:after="0"/>
              <w:rPr>
                <w:sz w:val="17"/>
                <w:szCs w:val="17"/>
                <w:color w:val="auto"/>
              </w:rPr>
            </w:pPr>
          </w:p>
        </w:tc>
        <w:tc>
          <w:tcPr>
            <w:tcW w:w="74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(File No. 001-37891) filed with the SEC on August 4, 2021)</w:t>
              </w:r>
            </w:hyperlink>
          </w:p>
        </w:tc>
        <w:tc>
          <w:tcPr>
            <w:tcW w:w="12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7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Convertible Note Agreement, dated as of July 26, 2021, between AC Immune SA and FCPB Affi GmbH</w:t>
              </w:r>
            </w:hyperlink>
          </w:p>
        </w:tc>
        <w:tc>
          <w:tcPr>
            <w:tcW w:w="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3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(incorporated herein by reference to Exhibit 10.3 to the Company’s Current Report on Form 6-K (File</w:t>
              </w:r>
            </w:hyperlink>
          </w:p>
        </w:tc>
        <w:tc>
          <w:tcPr>
            <w:tcW w:w="2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600" w:type="dxa"/>
            <w:vAlign w:val="bottom"/>
            <w:gridSpan w:val="19"/>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No. 001-37891) filed with the SEC on August 4, 2021)</w:t>
              </w:r>
            </w:hyperlink>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39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640" w:type="dxa"/>
            <w:vAlign w:val="bottom"/>
            <w:gridSpan w:val="1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7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w:t>
            </w:r>
          </w:p>
        </w:tc>
        <w:tc>
          <w:tcPr>
            <w:tcW w:w="5820" w:type="dxa"/>
            <w:vAlign w:val="bottom"/>
            <w:gridSpan w:val="17"/>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4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Andrea Pfeifer pursuant to 17 CFR 240.13a-14(a)</w:t>
            </w:r>
          </w:p>
        </w:tc>
        <w:tc>
          <w:tcPr>
            <w:tcW w:w="2860" w:type="dxa"/>
            <w:vAlign w:val="bottom"/>
            <w:gridSpan w:val="1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7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Christopher Roberts pursuant to 17 CFR 240.13a-14(a)</w:t>
            </w:r>
          </w:p>
        </w:tc>
      </w:tr>
      <w:tr>
        <w:trPr>
          <w:trHeight w:val="20"/>
        </w:trPr>
        <w:tc>
          <w:tcPr>
            <w:tcW w:w="112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7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Andrea Pfeifer pursuant to 17 CFR 240.13a-14(b) and 18 U.S.C.1350</w:t>
            </w:r>
          </w:p>
        </w:tc>
      </w:tr>
      <w:tr>
        <w:trPr>
          <w:trHeight w:val="20"/>
        </w:trPr>
        <w:tc>
          <w:tcPr>
            <w:tcW w:w="112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3260" w:type="dxa"/>
            <w:vAlign w:val="bottom"/>
            <w:gridSpan w:val="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6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Christopher Roberts pursuant to 17 CFR 240.13a-14(b) and 18 U.S.C.1350</w:t>
            </w:r>
          </w:p>
        </w:tc>
        <w:tc>
          <w:tcPr>
            <w:tcW w:w="1040" w:type="dxa"/>
            <w:vAlign w:val="bottom"/>
            <w:gridSpan w:val="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2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PricewaterhouseCoopers SA</w:t>
            </w:r>
          </w:p>
        </w:tc>
        <w:tc>
          <w:tcPr>
            <w:tcW w:w="4700" w:type="dxa"/>
            <w:vAlign w:val="bottom"/>
            <w:gridSpan w:val="16"/>
          </w:tcPr>
          <w:p>
            <w:pPr>
              <w:spacing w:after="0"/>
              <w:rPr>
                <w:sz w:val="17"/>
                <w:szCs w:val="17"/>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960" w:hanging="262"/>
        <w:spacing w:after="0"/>
        <w:tabs>
          <w:tab w:leader="none" w:pos="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AC IMMUNE SA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5715</wp:posOffset>
            </wp:positionV>
            <wp:extent cx="26060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Name:Andrea Pfeifer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6060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Name:Christopher Roberts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 Finance and Interim Chief</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360" w:type="dxa"/>
            <w:vAlign w:val="bottom"/>
            <w:gridSpan w:val="8"/>
          </w:tcPr>
          <w:p>
            <w:pPr>
              <w:ind w:left="2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 AC IMMUNE SA</w:t>
            </w:r>
          </w:p>
        </w:tc>
        <w:tc>
          <w:tcPr>
            <w:tcW w:w="5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8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b w:val="1"/>
                <w:bCs w:val="1"/>
                <w:color w:val="000000"/>
              </w:rPr>
              <w:t>(PCAOB ID 1358)</w:t>
            </w:r>
          </w:p>
        </w:tc>
        <w:tc>
          <w:tcPr>
            <w:tcW w:w="5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Income/(Loss) and Consolidated Statements of Comprehensive Income/(Loss) for the</w:t>
            </w:r>
          </w:p>
        </w:tc>
        <w:tc>
          <w:tcPr>
            <w:tcW w:w="52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0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fiscal years ended December 31, 2022, 2021 and 2020</w:t>
            </w:r>
          </w:p>
        </w:tc>
        <w:tc>
          <w:tcPr>
            <w:tcW w:w="428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fiscal years ended December 31, 2022, 2021 and 2020</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fiscal years ended December 31, 2022, 2021 and 2020</w:t>
            </w:r>
          </w:p>
        </w:tc>
        <w:tc>
          <w:tcPr>
            <w:tcW w:w="1020" w:type="dxa"/>
            <w:vAlign w:val="bottom"/>
            <w:tcBorders>
              <w:bottom w:val="single" w:sz="8" w:color="CCEEFF"/>
            </w:tcBorders>
            <w:gridSpan w:val="3"/>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175"/>
        </w:trPr>
        <w:tc>
          <w:tcPr>
            <w:tcW w:w="20" w:type="dxa"/>
            <w:vAlign w:val="bottom"/>
          </w:tcPr>
          <w:p>
            <w:pPr>
              <w:spacing w:after="0"/>
              <w:rPr>
                <w:sz w:val="15"/>
                <w:szCs w:val="15"/>
                <w:color w:val="auto"/>
              </w:rPr>
            </w:pPr>
          </w:p>
        </w:tc>
        <w:tc>
          <w:tcPr>
            <w:tcW w:w="8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Shareholders of AC Immune SA</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AC Immune SA and its subsidiary (the “Company”) as of December 31, 2022 and December 31, 2021, and the related consolidated statements of income/(loss), comprehensive income/(loss), changes in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Committee of Sponsoring Organizations of the Treadway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(COSO).</w:t>
      </w:r>
    </w:p>
    <w:p>
      <w:pPr>
        <w:spacing w:after="0" w:line="201"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December 31, 2021, and the results of its operations and its cash flows for each of the three years in the period ended December 31, 2022 in conformity with International Financial Reporting Standards as issued by the International Accounting Standards Board.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3" w:lineRule="exact"/>
        <w:rPr>
          <w:sz w:val="20"/>
          <w:szCs w:val="20"/>
          <w:color w:val="auto"/>
        </w:rPr>
      </w:pPr>
    </w:p>
    <w:p>
      <w:pPr>
        <w:ind w:left="60" w:right="119"/>
        <w:spacing w:after="0" w:line="250"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 – valuation</w:t>
      </w:r>
    </w:p>
    <w:p>
      <w:pPr>
        <w:spacing w:after="0" w:line="241"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As described in Notes 6 and 7 to the consolidated financial statements, the Company has CHF 50,416 thousand of an in-process research and development (IPR&amp;D) intangible asset as of December 31, 2022. The asset is defined as an intangible asset not yet ready for use. Therefore, in accordance with IAS 36 ‘Impairment of asset’, the IPR&amp;D asset is reviewed at least annually for impairment by assessing the fair value less costs to sell (recoverable amount) and comparing this to the carrying value of the asset. To determine the recoverable amount, management estimated the fair value less costs to sell of the intangible asset, using the same model used at the acquisition date.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w:t>
      </w:r>
    </w:p>
    <w:p>
      <w:pPr>
        <w:spacing w:after="0" w:line="20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intangible asset – valuation is a critical audit matter are the significant judgment by management when determining the value of the intangible asset. This in turn led to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In addition, the audit effort involved the use of professionals with specialized skill and knowledge.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intangible asset. These procedures also included, among others, (i) testing management’s process for developing the fair value estimate; (ii) evaluating the appropriateness of the discounted cash flow model; (iii) testing the completeness and accuracy of underlying data used in the model; and (iv) evaluating the reasonableness of the significant assumptions used by management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Evaluating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involved evaluating whether the assumptions used by management were reasonable considering (i) the consistency with market and industry data; and (ii) 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16, 2023</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Financial Statements (IFRS)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82,216</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202,634</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vMerge w:val="continue"/>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261,443</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premium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losses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(264,015)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168,991</w:t>
            </w:r>
          </w:p>
        </w:tc>
        <w:tc>
          <w:tcPr>
            <w:tcW w:w="2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231,979</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29,464</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261,443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Income/(Loss)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(60,336)</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(62,282)</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(15,789)</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(17,910)</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13.2</w:t>
            </w: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(79,010)</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(76,691)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(70,740)</w:t>
            </w:r>
          </w:p>
        </w:tc>
        <w:tc>
          <w:tcPr>
            <w:tcW w:w="1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(72,993)</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(72,996)</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(70,753)</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(72,996)</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reclassified to income or loss in subsequent periods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periods (net of tax):</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30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Currency</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680" w:type="dxa"/>
            <w:vAlign w:val="bottom"/>
          </w:tcPr>
          <w:p>
            <w:pPr>
              <w:spacing w:after="0"/>
              <w:rPr>
                <w:sz w:val="13"/>
                <w:szCs w:val="13"/>
                <w:color w:val="auto"/>
              </w:rPr>
            </w:pPr>
          </w:p>
        </w:tc>
      </w:tr>
      <w:tr>
        <w:trPr>
          <w:trHeight w:val="176"/>
        </w:trPr>
        <w:tc>
          <w:tcPr>
            <w:tcW w:w="33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differences</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2020</w:t>
            </w: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346,526</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(75,521)</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272,442</w:t>
            </w: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period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(61,921)</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(61,921)</w:t>
            </w:r>
          </w:p>
        </w:tc>
      </w:tr>
      <w:tr>
        <w:trPr>
          <w:trHeight w:val="16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r>
      <w:tr>
        <w:trPr>
          <w:trHeight w:val="195"/>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(61,195)</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(61,195)</w:t>
            </w:r>
          </w:p>
        </w:tc>
      </w:tr>
      <w:tr>
        <w:trPr>
          <w:trHeight w:val="143"/>
        </w:trPr>
        <w:tc>
          <w:tcPr>
            <w:tcW w:w="3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4,088</w:t>
            </w: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4,088</w:t>
            </w:r>
          </w:p>
        </w:tc>
      </w:tr>
      <w:tr>
        <w:trPr>
          <w:trHeight w:val="16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2"/>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Held as treasury shares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56"/>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346,890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(132,850)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215,478</w:t>
            </w:r>
          </w:p>
        </w:tc>
      </w:tr>
      <w:tr>
        <w:trPr>
          <w:trHeight w:val="20"/>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Currency</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3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660" w:type="dxa"/>
            <w:vAlign w:val="bottom"/>
          </w:tcPr>
          <w:p>
            <w:pPr>
              <w:spacing w:after="0"/>
              <w:rPr>
                <w:sz w:val="13"/>
                <w:szCs w:val="13"/>
                <w:color w:val="auto"/>
              </w:rPr>
            </w:pPr>
          </w:p>
        </w:tc>
      </w:tr>
      <w:tr>
        <w:trPr>
          <w:trHeight w:val="176"/>
        </w:trPr>
        <w:tc>
          <w:tcPr>
            <w:tcW w:w="3380" w:type="dxa"/>
            <w:vAlign w:val="bottom"/>
          </w:tcPr>
          <w:p>
            <w:pPr>
              <w:spacing w:after="0"/>
              <w:rPr>
                <w:sz w:val="15"/>
                <w:szCs w:val="15"/>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differences</w:t>
            </w: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2021</w:t>
            </w: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346,890</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(132,850)</w:t>
            </w: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215,478</w:t>
            </w:r>
          </w:p>
        </w:tc>
      </w:tr>
      <w:tr>
        <w:trPr>
          <w:trHeight w:val="162"/>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period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(72,996)</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(72,996)</w:t>
            </w:r>
          </w:p>
        </w:tc>
      </w:tr>
      <w:tr>
        <w:trPr>
          <w:trHeight w:val="16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r>
      <w:tr>
        <w:trPr>
          <w:trHeight w:val="155"/>
        </w:trPr>
        <w:tc>
          <w:tcPr>
            <w:tcW w:w="338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(72,040)</w:t>
            </w: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(72,040)</w:t>
            </w:r>
          </w:p>
        </w:tc>
      </w:tr>
      <w:tr>
        <w:trPr>
          <w:trHeight w:val="155"/>
        </w:trPr>
        <w:tc>
          <w:tcPr>
            <w:tcW w:w="3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2"/>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r>
      <w:tr>
        <w:trPr>
          <w:trHeight w:val="144"/>
        </w:trPr>
        <w:tc>
          <w:tcPr>
            <w:tcW w:w="33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 of</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underwriting fees and transaction costs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12,097</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12,121</w:t>
            </w:r>
          </w:p>
        </w:tc>
      </w:tr>
      <w:tr>
        <w:trPr>
          <w:trHeight w:val="162"/>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IPR&amp;D asset purchase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49,741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49,871</w:t>
            </w:r>
          </w:p>
        </w:tc>
      </w:tr>
      <w:tr>
        <w:trPr>
          <w:trHeight w:val="162"/>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Asset acquisition - common shares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6/11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w:t>
            </w:r>
          </w:p>
        </w:tc>
      </w:tr>
      <w:tr>
        <w:trPr>
          <w:trHeight w:val="16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Conversion note agreements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16,683</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16,744</w:t>
            </w:r>
          </w:p>
        </w:tc>
      </w:tr>
      <w:tr>
        <w:trPr>
          <w:trHeight w:val="162"/>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Held as treasury shares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(178)</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2"/>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155"/>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431,251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(200,942)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231,979</w:t>
            </w:r>
          </w:p>
        </w:tc>
      </w:tr>
      <w:tr>
        <w:trPr>
          <w:trHeight w:val="20"/>
        </w:trPr>
        <w:tc>
          <w:tcPr>
            <w:tcW w:w="3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Currency</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3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660" w:type="dxa"/>
            <w:vAlign w:val="bottom"/>
          </w:tcPr>
          <w:p>
            <w:pPr>
              <w:spacing w:after="0"/>
              <w:rPr>
                <w:sz w:val="13"/>
                <w:szCs w:val="13"/>
                <w:color w:val="auto"/>
              </w:rPr>
            </w:pPr>
          </w:p>
        </w:tc>
      </w:tr>
      <w:tr>
        <w:trPr>
          <w:trHeight w:val="176"/>
        </w:trPr>
        <w:tc>
          <w:tcPr>
            <w:tcW w:w="336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Note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premium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differences</w:t>
            </w: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2022</w:t>
            </w: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431,251</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(200,942)</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231,979</w:t>
            </w: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period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(70,753)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(70,753)</w:t>
            </w:r>
          </w:p>
        </w:tc>
      </w:tr>
      <w:tr>
        <w:trPr>
          <w:trHeight w:val="16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w:t>
            </w:r>
          </w:p>
        </w:tc>
      </w:tr>
      <w:tr>
        <w:trPr>
          <w:trHeight w:val="155"/>
        </w:trPr>
        <w:tc>
          <w:tcPr>
            <w:tcW w:w="336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(66,327)</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(66,317)</w:t>
            </w:r>
          </w:p>
        </w:tc>
      </w:tr>
      <w:tr>
        <w:trPr>
          <w:trHeight w:val="156"/>
        </w:trPr>
        <w:tc>
          <w:tcPr>
            <w:tcW w:w="3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r>
      <w:tr>
        <w:trPr>
          <w:trHeight w:val="144"/>
        </w:trPr>
        <w:tc>
          <w:tcPr>
            <w:tcW w:w="33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(76)</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62"/>
        </w:trPr>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5"/>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431,323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(264,015)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168,991</w:t>
            </w:r>
          </w:p>
        </w:tc>
      </w:tr>
      <w:tr>
        <w:trPr>
          <w:trHeight w:val="20"/>
        </w:trPr>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51"/>
        </w:trPr>
        <w:tc>
          <w:tcPr>
            <w:tcW w:w="650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for the period</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(70,753)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(72,996)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loss for the period to net cash flows: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(income)/expense, net</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net employee defined benefit liability</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5/14</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(Gain)/loss on sale of fixed assets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in working capital:</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(Increase)/decrease in prepaid expenses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9</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accrued income</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9</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other current receivables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accrued expenses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5,214</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income</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(Decrease)/increase in trade and other payables</w:t>
            </w:r>
          </w:p>
        </w:tc>
        <w:tc>
          <w:tcPr>
            <w:tcW w:w="380" w:type="dxa"/>
            <w:vAlign w:val="bottom"/>
            <w:tcBorders>
              <w:bottom w:val="single" w:sz="8" w:color="CCEEFF"/>
            </w:tcBorders>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Cash used in operating activities</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(73,159)</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(65,216)</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received</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paid</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4"/>
              </w:rPr>
              <w:t>5/14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Finance expenses paid</w:t>
            </w:r>
          </w:p>
        </w:tc>
        <w:tc>
          <w:tcPr>
            <w:tcW w:w="380" w:type="dxa"/>
            <w:vAlign w:val="bottom"/>
            <w:tcBorders>
              <w:bottom w:val="single" w:sz="8" w:color="CCEEFF"/>
            </w:tcBorders>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used in operating activities</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(73,568)</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(65,689)</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Short-term financial assets, net</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8</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Rental deposits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95"/>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flows provided by/(used in) investing activities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23,763</w:t>
            </w:r>
          </w:p>
        </w:tc>
        <w:tc>
          <w:tcPr>
            <w:tcW w:w="1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(53,664)</w:t>
            </w:r>
          </w:p>
        </w:tc>
        <w:tc>
          <w:tcPr>
            <w:tcW w:w="1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28,329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issuance of convertible loan</w:t>
            </w:r>
          </w:p>
        </w:tc>
        <w:tc>
          <w:tcPr>
            <w:tcW w:w="38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costs on issuance of shares</w:t>
            </w:r>
          </w:p>
        </w:tc>
        <w:tc>
          <w:tcPr>
            <w:tcW w:w="3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sale of treasury shares in public offerings, net of underwriting fees and transaction costs</w:t>
            </w:r>
          </w:p>
        </w:tc>
        <w:tc>
          <w:tcPr>
            <w:tcW w:w="38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issuance of treasury shares, net of underwriting fees and transaction costs</w:t>
            </w:r>
          </w:p>
        </w:tc>
        <w:tc>
          <w:tcPr>
            <w:tcW w:w="3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issuance of common shares – asset acquisition, net of transaction costs</w:t>
            </w:r>
          </w:p>
        </w:tc>
        <w:tc>
          <w:tcPr>
            <w:tcW w:w="38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issuance of common shares – option plan, net of transaction costs</w:t>
            </w:r>
          </w:p>
        </w:tc>
        <w:tc>
          <w:tcPr>
            <w:tcW w:w="3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Principal payments of lease obligations</w:t>
            </w:r>
          </w:p>
        </w:tc>
        <w:tc>
          <w:tcPr>
            <w:tcW w:w="3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Transaction costs associated with issuance of shares in relation to asset acquisition previously recorded in Accrued expenses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Repayment of short-term financing obligation</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Payment for the issuance of treasury shares</w:t>
            </w:r>
          </w:p>
        </w:tc>
        <w:tc>
          <w:tcPr>
            <w:tcW w:w="3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(used in)/provided by financing activities</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40,746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(51,151)</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(78,607)</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January 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82,216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160,893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Exchange gain/(loss) on cash and cash equivalents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December 31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31,586</w:t>
            </w:r>
          </w:p>
        </w:tc>
        <w:tc>
          <w:tcPr>
            <w:tcW w:w="1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82,216</w:t>
            </w:r>
          </w:p>
        </w:tc>
        <w:tc>
          <w:tcPr>
            <w:tcW w:w="1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160,893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(51,151)</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(78,607)</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non-cash activity</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Capital expenditures in Trade and other payables or Accrued expenses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4</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Issuance of shares for purchase of IPR&amp;D asset in asset acquisition</w:t>
            </w:r>
          </w:p>
        </w:tc>
        <w:tc>
          <w:tcPr>
            <w:tcW w:w="38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6"/>
              </w:rPr>
              <w:t>6/7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50,416</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costs associated with issuance of shares in relation to the asset acquisition recorded in Accrued expenses</w:t>
            </w:r>
          </w:p>
        </w:tc>
        <w:tc>
          <w:tcPr>
            <w:tcW w:w="3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6</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Settlement of convertible notes recorded within Shareholders’ equity</w:t>
            </w:r>
          </w:p>
        </w:tc>
        <w:tc>
          <w:tcPr>
            <w:tcW w:w="38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1"/>
              </w:rPr>
              <w:t>11</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share and per share data)</w:t>
      </w:r>
    </w:p>
    <w:p>
      <w:pPr>
        <w:spacing w:after="0" w:line="216" w:lineRule="exact"/>
        <w:rPr>
          <w:sz w:val="20"/>
          <w:szCs w:val="20"/>
          <w:color w:val="auto"/>
        </w:rPr>
      </w:pPr>
    </w:p>
    <w:p>
      <w:pPr>
        <w:ind w:left="380" w:hanging="330"/>
        <w:spacing w:after="0"/>
        <w:tabs>
          <w:tab w:leader="none" w:pos="3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w:t>
      </w:r>
    </w:p>
    <w:p>
      <w:pPr>
        <w:spacing w:after="0" w:line="16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0"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was initially incorporated as a limited liability company on February 13, 2003 in Basel, and effective August 25, 2003 was transformed into a stock company. The Company’s corporate headquarters are located at EPFL Innovation Park Building B, 1015 Lausanne, Switzerland.</w:t>
      </w:r>
    </w:p>
    <w:p>
      <w:pPr>
        <w:spacing w:after="0" w:line="172" w:lineRule="exact"/>
        <w:rPr>
          <w:sz w:val="20"/>
          <w:szCs w:val="20"/>
          <w:color w:val="auto"/>
        </w:rPr>
      </w:pPr>
    </w:p>
    <w:p>
      <w:pPr>
        <w:ind w:left="380" w:hanging="330"/>
        <w:spacing w:after="0"/>
        <w:tabs>
          <w:tab w:leader="none" w:pos="3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1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20-F, after considering the Company’s cash position of CHF 31.6 million and short-term financial assets of CHF 91.0 million as of December 31, 2022. Hence, these consolidated financial statements have been prepared on a going-concern basis.</w:t>
      </w:r>
    </w:p>
    <w:p>
      <w:pPr>
        <w:spacing w:after="0" w:line="18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360" w:hanging="310"/>
        <w:spacing w:after="0"/>
        <w:tabs>
          <w:tab w:leader="none" w:pos="3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w:t>
      </w:r>
    </w:p>
    <w:p>
      <w:pPr>
        <w:spacing w:after="0" w:line="9"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capital to support its operations.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16"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International Financial Reporting Standards (IFRS) as issued by the International Accounting Standards Board (IASB). These consolidated financial statements were approved for issue by the Board of Directors on March 15,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under the historical cost convention except for items that are required to be accounted for at fair value.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consolidated financial statements are set out below. These policies have been consistently applied to all the years presented, unless otherwise stated.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and accompanying notes are presented in Swiss Francs (CHF), which is AC Immune SA’s functional currency and the Group’s reporting currency. The Company’s subsidiary has a functional currency of the U.S. Dollar (USD). The respective functional currency represents the primary economic environment in which the entities operate.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exchange rates have been used for the translation of the financial statements of AC Immune USA:</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20" w:type="dxa"/>
            <w:vAlign w:val="bottom"/>
          </w:tcPr>
          <w:p>
            <w:pPr>
              <w:spacing w:after="0"/>
              <w:rPr>
                <w:sz w:val="16"/>
                <w:szCs w:val="16"/>
                <w:color w:val="auto"/>
              </w:rPr>
            </w:pPr>
          </w:p>
        </w:tc>
      </w:tr>
      <w:tr>
        <w:trPr>
          <w:trHeight w:val="195"/>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6"/>
                <w:szCs w:val="16"/>
                <w:color w:val="auto"/>
              </w:rPr>
            </w:pPr>
          </w:p>
        </w:tc>
      </w:tr>
      <w:tr>
        <w:trPr>
          <w:trHeight w:val="188"/>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3"/>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CHF/USD</w:t>
            </w: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rate, USD 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0.923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exchange rate, USD 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0.965</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results and financial position of AC Immune USA are translated into the presentation currency as follows:</w:t>
      </w:r>
    </w:p>
    <w:p>
      <w:pPr>
        <w:spacing w:after="0" w:line="225" w:lineRule="exact"/>
        <w:rPr>
          <w:sz w:val="20"/>
          <w:szCs w:val="20"/>
          <w:color w:val="auto"/>
        </w:rPr>
      </w:pPr>
    </w:p>
    <w:p>
      <w:pPr>
        <w:ind w:left="720" w:right="259" w:hanging="319"/>
        <w:spacing w:after="0" w:line="282" w:lineRule="auto"/>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balance sheet presented are translated at the closing rate at the date of that balance sheet;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statement of income/(loss) are translated at average exchange rates; and</w:t>
      </w:r>
    </w:p>
    <w:p>
      <w:pPr>
        <w:spacing w:after="0" w:line="225"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other comprehensive income/(loss), within cumulative translation differences.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annual closing date of the individual financial statements is December 31. The Company fully-owns its Subsidiary and fully consolidates its financial statements into these consolidated financial statements. All intercompany transactions have been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Foreign currency transactions are translated into the respective functional currency using prevailing exchange rates at the dates of the transactions. Foreign exchange gains and losses resulting from the settlement of such transactions and from the translation at year-end exchange rates of monetary assets and liabilities denominated in foreign currencies are recognized in the consolidated statements of income/(loss). Any gains or losses from these translations are included in the consolidated statements of income/(loss) in the period in which they arise.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vs. non-current classification</w:t>
      </w:r>
    </w:p>
    <w:p>
      <w:pPr>
        <w:spacing w:after="0" w:line="21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assets and liabilities in the consolidated balance sheets based on current/non-current classification. The Company classifies all amounts to be realized or settled within 12 months after the reporting period to be current and all other amounts to be non-current.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 xml:space="preserve">The Company applies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LCAs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consolidated statements of income/(loss).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Licenses of intellectual property</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Sublicense revenues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complete discussion of accounting for contract revenue, see “Note 13. Contract revenues.”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1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Given the stage of development of the Company’s products, all research and development expenditure is expensed as incurred as it does not meet the capitalization criteria outlined in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Company has not capitalized any R&amp;D expenses to date. Research and development expenditures include:</w:t>
      </w:r>
    </w:p>
    <w:p>
      <w:pPr>
        <w:spacing w:after="0" w:line="176" w:lineRule="exact"/>
        <w:rPr>
          <w:sz w:val="20"/>
          <w:szCs w:val="20"/>
          <w:color w:val="auto"/>
        </w:rPr>
      </w:pPr>
    </w:p>
    <w:p>
      <w:pPr>
        <w:ind w:left="720" w:right="99" w:hanging="319"/>
        <w:spacing w:after="0" w:line="282"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costs related to regulatory filings and activities;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w:t>
      </w:r>
    </w:p>
    <w:p>
      <w:pPr>
        <w:spacing w:after="0" w:line="225"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benefits, travel and share-based compensation expenses;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allocated expenses such as facilities and information technology (IT) costs.</w:t>
      </w:r>
    </w:p>
    <w:p>
      <w:pPr>
        <w:spacing w:after="0" w:line="22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 expenses as of the balance sheet date in the consolidated financial statements based on facts and circumstances known at the time.</w:t>
      </w:r>
    </w:p>
    <w:p>
      <w:pPr>
        <w:spacing w:after="0" w:line="18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expensed as incurred and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Company has received grants, from time to time, from the Michael J. Fox Foundation (MJFF), the Target ALS Foundation (Target ALS) and other institutions to support certain research projects. Grants are recorded at their fair value in the consolidated statements of income/(loss) within other operating income/(expenses), net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14"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and lease liabilities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87"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performed on as certain potential triggering events may arise (e.g. lease modifications). When the lease liability is re-measured, a corresponding adjustment is made to the carrying amount of the right-of-use asset or is recorded in profit or loss if the carrying amount of the right-of-use asset has been reduced to zero.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lease term by right-of-use asset categories are as follows:</w:t>
            </w: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3"/>
        </w:trPr>
        <w:tc>
          <w:tcPr>
            <w:tcW w:w="6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Both the right-of-use-assets and lease liabilities are recognized in the consolidated balance sheets.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improvements/furniture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211"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83"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Gains and losses on disposals are determined by comparing the disposal proceeds with the carrying amount and are included in the consolidated statements of income/(loss).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AC Immune’s acquired in process research and development (IPR&amp;D) asset is stated at cost less any impairments. The Company does not deem this asset ready for use until the asset obtains market approval. Therefore, during the development period after the date of acquisition until market approval, the IPR&amp;D asset is not amortized. Upon market approval, the Company will determine the useful life of the asset, reclassify it from IPR&amp;D and commence amortization. If the associated R&amp;D effort is abandoned, the related IPR&amp;D will likely be written off and we will record the relevant impairment charge. Finally, 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IPR&amp;D asset is subject to impairment testing at least annually or when there are indications that the carrying value may not be recoverable until the completion of the development process. The determination of the recoverable amounts include key estimates which are highly sensitive to, and dependent upon, key assumptions.</w:t>
      </w:r>
    </w:p>
    <w:p>
      <w:pPr>
        <w:spacing w:after="0" w:line="162"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uses a discounted cash flow method to determine the fair value less costs to sell (recoverable amount) of our IPR&amp;D intangible asset. The Company starts with a forecast of all the expected net cash flows, which incorporates the consideration of a terminal value and then the Company applies a discount rate to arrive at a risk-adjusted net present value amount.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impairment losses are recognized immediately in the consolidated statements of income/(loss).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respective carrying values due to the short-term maturity of these instruments, and are held at their amortized cost in accordance with IFRS 9, unless otherwise explicitly noted.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financial assets</w:t>
      </w:r>
    </w:p>
    <w:p>
      <w:pPr>
        <w:spacing w:after="0" w:line="216"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Short-term financial assets are held with external financial institutions and comprise fixed-term deposits with maturities ranging from more than 3 through 12 months in duration.</w:t>
      </w:r>
    </w:p>
    <w:p>
      <w:pPr>
        <w:spacing w:after="0" w:line="162"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Company assesses whether there is objective evidence that financial assets are impaired annually or whenever potential impairment triggers may occur.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payables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Trade payables are amounts due to third parties in the ordinary course of business.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 capital and public offerings</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in the consolidated statements of income/(loss). See “Note 11. Share capital.”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1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Treasury shares are recognized at acquisition cost and deducted from shareholders’ equity at the time of acquisition, until they are subsequently resold, distributed or cancelled. Where such shares are subsequently sold, any consideration received is included in shareholders’ equity. See “Note 11. Share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Post-employment benefits</w:t>
      </w:r>
    </w:p>
    <w:p>
      <w:pPr>
        <w:spacing w:after="0" w:line="22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75"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9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Stock options granted under the Company’s stock option plans C1 and the 2016 Stock Option and Incentive Plan are valued using the Black-Scholes option-pricing model (see “Note 18. Share-based compensation”). This valuation model as well as parameters used such as expected volatility and expected term of the stock options are partially based on management’s estimates.</w:t>
      </w:r>
    </w:p>
    <w:p>
      <w:pPr>
        <w:spacing w:after="0" w:line="18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proceeds received net of any directly attributable transaction costs are credited to share capital (nominal value) and share premium when the options are exercised.</w:t>
      </w:r>
    </w:p>
    <w:p>
      <w:pPr>
        <w:spacing w:after="0" w:line="162" w:lineRule="exact"/>
        <w:rPr>
          <w:sz w:val="20"/>
          <w:szCs w:val="20"/>
          <w:color w:val="auto"/>
        </w:rPr>
      </w:pPr>
    </w:p>
    <w:p>
      <w:pPr>
        <w:jc w:val="both"/>
        <w:ind w:left="60" w:right="219" w:firstLine="324"/>
        <w:spacing w:after="0" w:line="267" w:lineRule="auto"/>
        <w:rPr>
          <w:sz w:val="20"/>
          <w:szCs w:val="20"/>
          <w:color w:val="auto"/>
        </w:rPr>
      </w:pPr>
      <w:r>
        <w:rPr>
          <w:rFonts w:ascii="Times New Roman" w:cs="Times New Roman" w:eastAsia="Times New Roman" w:hAnsi="Times New Roman"/>
          <w:sz w:val="17"/>
          <w:szCs w:val="17"/>
          <w:color w:val="auto"/>
        </w:rPr>
        <w:t>We estimate the fair value of restricted share units using a reasonable estimate of market value of the common shares on the date of the award. We classify our share-based payments as equity-classified awards as they are settled in common shares. We measure equity-classified awards at their grant date fair value and do not subsequently re-measure them.</w:t>
      </w: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Compensation 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74"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as the probability for use is low.</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As disclosed in “Note 16.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 presents basic earnings per share for each period in the consolidated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the dilutive earnings per share calculation.</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6" w:lineRule="exact"/>
        <w:rPr>
          <w:sz w:val="20"/>
          <w:szCs w:val="20"/>
          <w:color w:val="auto"/>
        </w:rPr>
      </w:pPr>
    </w:p>
    <w:p>
      <w:pPr>
        <w:jc w:val="both"/>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LCAs, (ii) clinical development accruals, (iii) net employee defined benefit liability, (iv) income taxes, (v) share-based compensation, (vi) right-of-use assets and lease liabilities and (vii)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Company has one segment. The Company currently focuses most of its resources on discovering and developing therapeutic and diagnostic products targeting misfolded proteins.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operating segment. Non-current assets are located in, and revenue is allocated and recorded within, the Company’s country of domicile, Switzerland.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2022 that are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property, plant and equipment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and 2021, respectively:</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76"/>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20" w:type="dxa"/>
            <w:vAlign w:val="bottom"/>
          </w:tcPr>
          <w:p>
            <w:pPr>
              <w:spacing w:after="0"/>
              <w:rPr>
                <w:sz w:val="15"/>
                <w:szCs w:val="15"/>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2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Assets under</w:t>
            </w:r>
          </w:p>
        </w:tc>
        <w:tc>
          <w:tcPr>
            <w:tcW w:w="620" w:type="dxa"/>
            <w:vAlign w:val="bottom"/>
          </w:tcPr>
          <w:p>
            <w:pPr>
              <w:spacing w:after="0"/>
              <w:rPr>
                <w:sz w:val="15"/>
                <w:szCs w:val="15"/>
                <w:color w:val="auto"/>
              </w:rPr>
            </w:pPr>
          </w:p>
        </w:tc>
      </w:tr>
      <w:tr>
        <w:trPr>
          <w:trHeight w:val="195"/>
        </w:trPr>
        <w:tc>
          <w:tcPr>
            <w:tcW w:w="38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8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20" w:type="dxa"/>
            <w:vAlign w:val="bottom"/>
          </w:tcPr>
          <w:p>
            <w:pPr>
              <w:spacing w:after="0"/>
              <w:rPr>
                <w:sz w:val="16"/>
                <w:szCs w:val="16"/>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2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r>
      <w:tr>
        <w:trPr>
          <w:trHeight w:val="229"/>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13,602</w:t>
            </w:r>
          </w:p>
        </w:tc>
      </w:tr>
      <w:tr>
        <w:trPr>
          <w:trHeight w:val="230"/>
        </w:trPr>
        <w:tc>
          <w:tcPr>
            <w:tcW w:w="3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r>
      <w:tr>
        <w:trPr>
          <w:trHeight w:val="230"/>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23"/>
        </w:trPr>
        <w:tc>
          <w:tcPr>
            <w:tcW w:w="3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r>
      <w:tr>
        <w:trPr>
          <w:trHeight w:val="230"/>
        </w:trPr>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2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427"/>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76"/>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IT</w:t>
            </w:r>
          </w:p>
        </w:tc>
        <w:tc>
          <w:tcPr>
            <w:tcW w:w="2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2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Assets under</w:t>
            </w:r>
          </w:p>
        </w:tc>
        <w:tc>
          <w:tcPr>
            <w:tcW w:w="620" w:type="dxa"/>
            <w:vAlign w:val="bottom"/>
          </w:tcPr>
          <w:p>
            <w:pPr>
              <w:spacing w:after="0"/>
              <w:rPr>
                <w:sz w:val="15"/>
                <w:szCs w:val="15"/>
                <w:color w:val="auto"/>
              </w:rPr>
            </w:pPr>
          </w:p>
        </w:tc>
      </w:tr>
      <w:tr>
        <w:trPr>
          <w:trHeight w:val="195"/>
        </w:trPr>
        <w:tc>
          <w:tcPr>
            <w:tcW w:w="38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20" w:type="dxa"/>
            <w:vAlign w:val="bottom"/>
          </w:tcPr>
          <w:p>
            <w:pPr>
              <w:spacing w:after="0"/>
              <w:rPr>
                <w:sz w:val="16"/>
                <w:szCs w:val="16"/>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30"/>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30"/>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30"/>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3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r>
      <w:tr>
        <w:trPr>
          <w:trHeight w:val="229"/>
        </w:trPr>
        <w:tc>
          <w:tcPr>
            <w:tcW w:w="37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(970)</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(4,405)</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9"/>
                <w:szCs w:val="19"/>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r>
      <w:tr>
        <w:trPr>
          <w:trHeight w:val="230"/>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w:t>
            </w: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3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r>
      <w:tr>
        <w:trPr>
          <w:trHeight w:val="230"/>
        </w:trPr>
        <w:tc>
          <w:tcPr>
            <w:tcW w:w="37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r>
      <w:tr>
        <w:trPr>
          <w:trHeight w:val="22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r>
    </w:tbl>
    <w:p>
      <w:pPr>
        <w:spacing w:after="0" w:line="211"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 continues to enhance its laboratory equipment to support its R&amp;D functions. This effort has continued for the year ended December 31, 2022, with CHF 0.8 million invested in lab equipment, including the expansion of our leased lab space, and IT equipment, representing an increase of 7%.</w:t>
      </w:r>
    </w:p>
    <w:p>
      <w:pPr>
        <w:spacing w:after="0" w:line="176" w:lineRule="exact"/>
        <w:rPr>
          <w:sz w:val="20"/>
          <w:szCs w:val="20"/>
          <w:color w:val="auto"/>
        </w:rPr>
      </w:pPr>
    </w:p>
    <w:p>
      <w:pPr>
        <w:jc w:val="both"/>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incurred CHF 1.8 million, CHF 1.9 million and CHF 1.5 million in depreciation expenses, respectively.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additions and remeasurements of right-of-use of leased assets for buildings or for office equipment totaling CHF 0.5 million and CHF 1.2 million for the years ended December 31, 2022 and 2021, respectively. In 2022, these increases are predominantly associated with the remeasurement of our leased office space.</w:t>
      </w:r>
    </w:p>
    <w:p>
      <w:pPr>
        <w:spacing w:after="0" w:line="17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as of December 31, 2022 are 3.5% (2.5% for 2021) for buildings, 5.3% (5.3% for 2021) for office equipment and 2.6% (2.6% for 2021) for IT equipment.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right-of-use of leased assets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and 2021, respectively:</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568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and remeasurements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416"/>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 w:type="dxa"/>
            <w:vAlign w:val="bottom"/>
          </w:tcPr>
          <w:p>
            <w:pPr>
              <w:spacing w:after="0"/>
              <w:rPr>
                <w:sz w:val="24"/>
                <w:szCs w:val="2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5"/>
        </w:trPr>
        <w:tc>
          <w:tcPr>
            <w:tcW w:w="568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and remeasurements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5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r>
    </w:tbl>
    <w:p>
      <w:pPr>
        <w:spacing w:after="0" w:line="211"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impact on the Company’s consolidated statements of income/(loss) and consolidated statements of cash flows is detailed in the table below.</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4"/>
        </w:trPr>
        <w:tc>
          <w:tcPr>
            <w:tcW w:w="4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414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880" w:type="dxa"/>
            <w:vAlign w:val="bottom"/>
            <w:gridSpan w:val="2"/>
          </w:tcPr>
          <w:p>
            <w:pPr>
              <w:spacing w:after="0"/>
              <w:rPr>
                <w:sz w:val="16"/>
                <w:szCs w:val="16"/>
                <w:color w:val="auto"/>
              </w:rPr>
            </w:pPr>
          </w:p>
        </w:tc>
        <w:tc>
          <w:tcPr>
            <w:tcW w:w="84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23"/>
        </w:trPr>
        <w:tc>
          <w:tcPr>
            <w:tcW w:w="4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9"/>
                <w:szCs w:val="19"/>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3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9"/>
                <w:szCs w:val="19"/>
                <w:color w:val="auto"/>
              </w:rPr>
            </w:pPr>
          </w:p>
        </w:tc>
      </w:tr>
      <w:tr>
        <w:trPr>
          <w:trHeight w:val="26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 w:type="dxa"/>
            <w:vAlign w:val="bottom"/>
          </w:tcPr>
          <w:p>
            <w:pPr>
              <w:spacing w:after="0"/>
              <w:rPr>
                <w:sz w:val="22"/>
                <w:szCs w:val="22"/>
                <w:color w:val="auto"/>
              </w:rPr>
            </w:pPr>
          </w:p>
        </w:tc>
      </w:tr>
      <w:tr>
        <w:trPr>
          <w:trHeight w:val="210"/>
        </w:trPr>
        <w:tc>
          <w:tcPr>
            <w:tcW w:w="41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2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2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140" w:type="dxa"/>
            <w:vAlign w:val="bottom"/>
          </w:tcPr>
          <w:p>
            <w:pPr>
              <w:spacing w:after="0"/>
              <w:rPr>
                <w:sz w:val="24"/>
                <w:szCs w:val="24"/>
                <w:color w:val="auto"/>
              </w:rPr>
            </w:pPr>
          </w:p>
        </w:tc>
        <w:tc>
          <w:tcPr>
            <w:tcW w:w="39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F-20</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liabilities as of December 31, 2022 and 2021:</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two deposits in escrow accounts totaling CHF 0.4 million for the lease of the Company’s premises as of December 31, 2022 and 2021, respectively.</w:t>
      </w:r>
    </w:p>
    <w:p>
      <w:pPr>
        <w:spacing w:after="0" w:line="158" w:lineRule="exact"/>
        <w:rPr>
          <w:sz w:val="20"/>
          <w:szCs w:val="20"/>
          <w:color w:val="auto"/>
        </w:rPr>
      </w:pPr>
    </w:p>
    <w:p>
      <w:pPr>
        <w:ind w:left="380" w:hanging="330"/>
        <w:spacing w:after="0"/>
        <w:tabs>
          <w:tab w:leader="none" w:pos="38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2021, the Company closed its acquisition with Affiris AG (Affiris) for the program portfolio of therapeutics targeting a-syn, notably ACI-7104.056 (previously PD01), a clinically-validated active vaccine candidate for the treatment of Parkinson’s disease (the Transferred Assets). The Company acquired the Transferred Assets and USD 5.0 (CHF 4.6) million in cash in exchange for 7,106,840 shares of the Company at closing, for a total value of USD 58.7 (CHF 55.1) million.</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With the closing of this transaction, the Company recorded an IPR&amp;D intangible asset associated with ACI-7104.056 for USD 53.7 (CHF 50.4) million. The Company used a risk-adjusted discounted cash flow method to determine the fair value of the intangible asset using a discount rate of 15%. See “Note 7. Intangible assets” for further details on assumptions used.</w:t>
      </w:r>
    </w:p>
    <w:p>
      <w:pPr>
        <w:spacing w:after="0" w:line="187"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the Company transferred its own equity instruments in consideration for the asset transferred, the acquisition was assessed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Company determined that the acquisition of the Transferred Assets did not qualify as a business combination in accordance with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and therefore was accounted for as an asset acquisition. Most of the fair value of the Transferred Assets is attributable to a single identifiable asset which is the in-process research and development asset. The purchase consideration for the Transferred Assets was allocated based on their relative fair values.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amounts of the Transferred Assets acquired:</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20" w:type="dxa"/>
            <w:vAlign w:val="bottom"/>
          </w:tcPr>
          <w:p>
            <w:pPr>
              <w:spacing w:after="0"/>
              <w:rPr>
                <w:sz w:val="16"/>
                <w:szCs w:val="16"/>
                <w:color w:val="auto"/>
              </w:rPr>
            </w:pPr>
          </w:p>
        </w:tc>
        <w:tc>
          <w:tcPr>
            <w:tcW w:w="680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In CHF thousands</w:t>
            </w:r>
          </w:p>
        </w:tc>
      </w:tr>
      <w:tr>
        <w:trPr>
          <w:trHeight w:val="228"/>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0" w:type="dxa"/>
            <w:vAlign w:val="bottom"/>
          </w:tcPr>
          <w:p>
            <w:pPr>
              <w:spacing w:after="0"/>
              <w:rPr>
                <w:sz w:val="19"/>
                <w:szCs w:val="19"/>
                <w:color w:val="auto"/>
              </w:rPr>
            </w:pP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 asset</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r>
      <w:tr>
        <w:trPr>
          <w:trHeight w:val="223"/>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2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2120" w:type="dxa"/>
            <w:vAlign w:val="bottom"/>
          </w:tcPr>
          <w:p>
            <w:pPr>
              <w:spacing w:after="0"/>
              <w:rPr>
                <w:sz w:val="24"/>
                <w:szCs w:val="24"/>
                <w:color w:val="auto"/>
              </w:rPr>
            </w:pPr>
          </w:p>
        </w:tc>
        <w:tc>
          <w:tcPr>
            <w:tcW w:w="6800" w:type="dxa"/>
            <w:vAlign w:val="bottom"/>
            <w:gridSpan w:val="4"/>
          </w:tcPr>
          <w:p>
            <w:pPr>
              <w:ind w:left="2180"/>
              <w:spacing w:after="0"/>
              <w:rPr>
                <w:sz w:val="20"/>
                <w:szCs w:val="20"/>
                <w:color w:val="auto"/>
              </w:rPr>
            </w:pPr>
            <w:r>
              <w:rPr>
                <w:rFonts w:ascii="Times New Roman" w:cs="Times New Roman" w:eastAsia="Times New Roman" w:hAnsi="Times New Roman"/>
                <w:sz w:val="18"/>
                <w:szCs w:val="18"/>
                <w:color w:val="auto"/>
              </w:rPr>
              <w:t>F-21</w:t>
            </w:r>
          </w:p>
        </w:tc>
      </w:tr>
      <w:tr>
        <w:trPr>
          <w:trHeight w:val="547"/>
        </w:trPr>
        <w:tc>
          <w:tcPr>
            <w:tcW w:w="21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vaccine candidate for the treatment of Parkinson’s disease. The asset is not yet ready for use until the asset obtains market approval. The carrying amount and net book value are detailed below:</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176"/>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89"/>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r>
      <w:tr>
        <w:trPr>
          <w:trHeight w:val="195"/>
        </w:trPr>
        <w:tc>
          <w:tcPr>
            <w:tcW w:w="41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60" w:type="dxa"/>
            <w:vAlign w:val="bottom"/>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was not impaired as of December 31, 2022 and 2021, respectively.</w:t>
      </w:r>
    </w:p>
    <w:p>
      <w:pPr>
        <w:spacing w:after="0" w:line="185"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key assumptions used in the valuation model in accordance with an income approach to determine the recoverable amount include observable and unobservable key inputs as follows:</w:t>
      </w:r>
    </w:p>
    <w:p>
      <w:pPr>
        <w:spacing w:after="0" w:line="162" w:lineRule="exact"/>
        <w:rPr>
          <w:sz w:val="20"/>
          <w:szCs w:val="20"/>
          <w:color w:val="auto"/>
        </w:rPr>
      </w:pPr>
    </w:p>
    <w:p>
      <w:pPr>
        <w:ind w:left="720" w:hanging="319"/>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research and development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goods and sales and marketing expenditures;</w:t>
      </w:r>
    </w:p>
    <w:p>
      <w:pPr>
        <w:spacing w:after="0" w:line="22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achieving clinical and regulatory development milestones in accordance with certain industry benchmarks;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indication prevalence and incidence rates;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market share;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commercialization expectations such as anticipated pricing and uptake;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patent life and market exclusivity periods;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metrics such as the tax rate.</w:t>
      </w:r>
    </w:p>
    <w:p>
      <w:pPr>
        <w:spacing w:after="0" w:line="225"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valuation model calculates the risk-adjusted, net cash flows through the projected period of market exclusivity across target sales regions. The Company uses a discount rate of 17% (15% for 2021), based on the assumed cost of capital for the Company over the forecast period.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6. Asset acquisition” for further details.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hanging="330"/>
        <w:spacing w:after="0"/>
        <w:tabs>
          <w:tab w:leader="none" w:pos="38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short-term financial assets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maintained in the following respective currencies as of December 31, 2022 and 2021:</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82,216</w:t>
            </w:r>
          </w:p>
        </w:tc>
      </w:tr>
      <w:tr>
        <w:trPr>
          <w:trHeight w:val="263"/>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82,216</w:t>
            </w:r>
          </w:p>
        </w:tc>
      </w:tr>
      <w:tr>
        <w:trPr>
          <w:trHeight w:val="210"/>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CHF</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64,941</w:t>
            </w:r>
          </w:p>
        </w:tc>
      </w:tr>
      <w:tr>
        <w:trPr>
          <w:trHeight w:val="229"/>
        </w:trPr>
        <w:tc>
          <w:tcPr>
            <w:tcW w:w="7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29"/>
        </w:trPr>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15,022</w:t>
            </w:r>
          </w:p>
        </w:tc>
      </w:tr>
      <w:tr>
        <w:trPr>
          <w:trHeight w:val="223"/>
        </w:trPr>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82,216</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Company’s funds were held in CHF, EUR and USD currencies. Funds held in EUR and USD were translated into CHF at a rate of 0.994 and 0.933 and 1.045 and 0.923, respectively, for each currency and year.</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short-term financial assets as of December 31, 2022 and 2021:</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3"/>
          </w:tcPr>
          <w:p>
            <w:pPr>
              <w:ind w:left="28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9.  Prepaid expenses and accrued income</w:t>
            </w: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3"/>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80" w:type="dxa"/>
            <w:vAlign w:val="bottom"/>
            <w:tcBorders>
              <w:top w:val="single" w:sz="8" w:color="auto"/>
            </w:tcBorders>
            <w:gridSpan w:val="2"/>
            <w:shd w:val="clear" w:color="auto" w:fill="CCEEFF"/>
          </w:tcPr>
          <w:p>
            <w:pPr>
              <w:spacing w:after="0"/>
              <w:rPr>
                <w:sz w:val="19"/>
                <w:szCs w:val="19"/>
                <w:color w:val="auto"/>
              </w:rPr>
            </w:pPr>
          </w:p>
        </w:tc>
        <w:tc>
          <w:tcPr>
            <w:tcW w:w="200" w:type="dxa"/>
            <w:vAlign w:val="bottom"/>
            <w:tcBorders>
              <w:top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accrued income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8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Company’s prepaid expenses relate mainly to research contracts with down-payments at contract signature with the related activities to start or continue into 2023 as well as prepaid payroll-related expenses.</w:t>
      </w:r>
    </w:p>
    <w:p>
      <w:pPr>
        <w:spacing w:after="0" w:line="16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Accrued income consists of CHF 0.4 million as of December 31, 2022 associated with our MJFF grants and Target ALS (see “Note 13.2. Grant income”). This amount represents 100% of our total accrued income as of December 31, 2022. As of December 31, 2021, the Company recorded CHF 0.9 million of accrued income associated with our MJJF grants. This amount represented 87% of our total accrued income as of December 31, 2021.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Other current receivables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Swiss VAT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current receivables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maturity of these assets is less than 3 months. The Company considers the counterparty risk as low and the carrying amount of these receivables is considered to approximate their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Share capital</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issued share capital amounted to CHF 1,796,675 and CHF 1,794,013, respectively, and is composed of outstanding common shares of 83,620,364 and 83,479,013, respectively, and treasury shares of 6,214,021 and 6,221,617,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Company’s capital structure:</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76,936,738</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346,890</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treasury shares in public offerings, net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1,171,543</w:t>
            </w:r>
          </w:p>
        </w:tc>
        <w:tc>
          <w:tcPr>
            <w:tcW w:w="14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6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of underwriting fees and transaction costs</w:t>
            </w:r>
          </w:p>
        </w:tc>
        <w:tc>
          <w:tcPr>
            <w:tcW w:w="10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purchase agreement, net of transaction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7,106,840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note agreements, net of transaction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3,026,634</w:t>
            </w: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237,258</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to be held as treasury shares, net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2,393,160</w:t>
            </w:r>
          </w:p>
        </w:tc>
        <w:tc>
          <w:tcPr>
            <w:tcW w:w="1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(2,393,160)</w:t>
            </w:r>
          </w:p>
        </w:tc>
        <w:tc>
          <w:tcPr>
            <w:tcW w:w="14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89,700,630</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(6,221,617)</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431,251</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treasury shares in public offerings, net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4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of underwriting fees and transaction costs</w:t>
            </w:r>
          </w:p>
        </w:tc>
        <w:tc>
          <w:tcPr>
            <w:tcW w:w="10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133,755</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89,834,385</w:t>
            </w: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(6,214,021)</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431,323</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common shares and treasury shares have nominal values of CHF 0.02 per share. All shares have been fully paid.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treasury shares held by the Company are not considered outstanding shares as of December 31, 2022 or 2021.</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is authorized to increase the share capital, in one or several steps, until June 24, 2024, by a maximum amount of CHF 400,000 by issuing a maximum of 20,000,000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bonds and similar debt instruments</w:t>
      </w:r>
    </w:p>
    <w:p>
      <w:pPr>
        <w:spacing w:after="0" w:line="229"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7"/>
          <w:szCs w:val="17"/>
          <w:color w:val="auto"/>
        </w:rPr>
        <w:t>The Company’s share capital may be increased by a maximum aggregate amount of CHF 100,000 through the issuance of a maximum of 5,000,000 registered shares, payable in full, each with a nominal value of CHF 0.02 per share, through the exercise of conversion and/or option or warrant rights granted in connection with bonds or similar instruments, issued or to be issued by the Company or by subsidiaries of the Company, including convertible debt instruments.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employee benefit plans</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share capital may be increased by a maximum aggregate amount of CHF 96,000 through the issuance of not more than 4,800,000 common shares, payable in full, each with a nominal value of CHF 0.02 per share, by the exercise of options rights that have been granted to employees, consultants, members of the board of directors, or other person providing services to the Company or a subsidiary.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On April 28, 2021, the Company filed a Shelf Registration Statement on Form F-3 (Reg. No. 333-255576) (the “Shelf Registration Statement”) with the SEC. The Shelf Registration Statement was declared effective by the SEC on May 5, 2021.</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Shelf Registration Statement allows the Company to offer and sell, from time to time, up to USD 350,000,000 of common shares,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 the market equity offering</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Q3 2020, AC Immune issued 5,000,000 common shares with a nominal value of CHF 0.02, which became treasury shares. The Company also established an “at the market offering program” (“ATM”) for the sale of up to USD 80.0 (CHF 74.6) million worth of our common shares issued from time to time by entering into an Open Market Sale Agreement (“Sales Agreement”) with Jefferies LLC (“Jefferies”) as the sales agent under a prior registration statement on Form F-3 which expired in Q2 2021.</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Q2 2021, the Company filed a new registration statement on Form F-3 and an accompanying prospectus supplement in order to renew its ATM program. The Company also entered into a second Open Market Sale Agreement (the “new Sales Agreement”) with Jefferies to continue the ATM program.</w:t>
      </w:r>
    </w:p>
    <w:p>
      <w:pPr>
        <w:spacing w:after="0" w:line="16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Q3, 2021, the Company issued 2,393,160 common shares with a nominal value of CHF 0.02 to be held as treasury shares.</w:t>
      </w:r>
    </w:p>
    <w:p>
      <w:pPr>
        <w:spacing w:after="0" w:line="16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2022, the Company has sold 1,179,139 common shares previously held as treasury shares pursuant to the new Sales Agreement, raising USD 13.3 (CHF 12.1) million, net of underwriting fees and transaction costs. We have paid commissions to Jefferies totaling USD 0.4 (CHF 0.4) million through December 31, 2022, for share issuances in accordance with our ATM programs.</w:t>
      </w:r>
    </w:p>
    <w:p>
      <w:pPr>
        <w:spacing w:after="0" w:line="180"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has expensed issuance costs of nil, nil and CHF 0.5 million, respectively, in the consolidated statements of income/(loss).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agreement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Concurrently with the Asset Purchase Agreement, the Company entered into two separate Convertible</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Note Agreements with entities affiliated with each of Athos Service GmbH and First Capital Partner GmbH, both of which entities are shareholders of Affiris. Each Convertible Note Agreement provided for the sale of an unsecured subordinated Convertible Note of the Company with an aggregate principal amount of USD 12.5 (CHF 11.7) million for total net proceeds of USD 25 (CHF 23.5) million.</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2021, the affiliated entities exercised their options to convert their respective USD 12.5 (CHF 11.7) million notes. As a result of these conversions, 1,513,317 common shares were issued to each Investor, totaling 3,026,634 common shares. The Company recorded an increase to its share capital for the nominal value of its shares and share premium for the difference associated with settlement of this liability. The Company also settled its derivative financial assets, which were embedded conversion features associated with the convertible debt, via an offset to its share premium. These convertible notes and derivative financial assets were fully settled in 2021 and there is no further equity or cash consideration due to the affiliated entities thereunder.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Trade and other payables and accrued expenses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6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An accrual of CHF 2.1 million and CHF 2.3 million was recognized for performance-related remuneration within accrued payroll expenses for 2022 and 2021, respectively. In 2021, an accrual of CHF 3.7 million was recorded as part of our cost sharing arrangement with Janssen within accrued research and development costs and CHF 0.8 million was recorded as accrued stamp duty for the issuance of shares as part of the Company’s asset acquisition within other accrued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Contract revenues</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AC Immune generated contract revenues of CHF 3.9 million, nil and CHF 15.4 million, respectively.</w:t>
      </w:r>
    </w:p>
    <w:p>
      <w:pPr>
        <w:spacing w:after="0" w:line="14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contract revenue amounts from its LCAs for the years ended December 31, 2022, 2021 and 2020, respectively.</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Lilly</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Molecular Imaging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15,431</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LMI accounted for 100% of our contract revenues in 2022 and Lilly accounted for 93% of our contract revenues in 2020.</w:t>
      </w:r>
    </w:p>
    <w:p>
      <w:pPr>
        <w:sectPr>
          <w:pgSz w:w="11900" w:h="16838" w:orient="portrait"/>
          <w:cols w:equalWidth="0" w:num="1">
            <w:col w:w="9019"/>
          </w:cols>
          <w:pgMar w:left="1440" w:top="513"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recognized the following contract revenues as a result of changes in the contract asset and the contract liability balances in the respective periods: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recognized in the period from:</w:t>
            </w: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3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0" w:type="dxa"/>
            <w:vAlign w:val="bottom"/>
          </w:tcPr>
          <w:p>
            <w:pPr>
              <w:spacing w:after="0"/>
              <w:rPr>
                <w:sz w:val="20"/>
                <w:szCs w:val="20"/>
                <w:color w:val="auto"/>
              </w:rPr>
            </w:pP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13.1 Licensing and collaboration agreements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Morphomer Tau small molecule – 2018 license agreement with Eli Lilly and Company</w:t>
      </w:r>
    </w:p>
    <w:p>
      <w:pPr>
        <w:spacing w:after="0" w:line="22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194"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Per the terms of the agreement, the Company received an initial upfront payment of CHF 80 million in Q1 2019 for the rights granted by the Company to Lilly. To date, the Company has completed a Phase 1 clinical study with ACI-3024.</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189" w:lineRule="exact"/>
        <w:rPr>
          <w:sz w:val="20"/>
          <w:szCs w:val="20"/>
          <w:color w:val="auto"/>
        </w:rPr>
      </w:pPr>
    </w:p>
    <w:p>
      <w:pPr>
        <w:ind w:left="60" w:right="439" w:firstLine="324"/>
        <w:spacing w:after="0" w:line="276" w:lineRule="auto"/>
        <w:rPr>
          <w:sz w:val="20"/>
          <w:szCs w:val="20"/>
          <w:color w:val="auto"/>
        </w:rPr>
      </w:pPr>
      <w:r>
        <w:rPr>
          <w:rFonts w:ascii="Times New Roman" w:cs="Times New Roman" w:eastAsia="Times New Roman" w:hAnsi="Times New Roman"/>
          <w:sz w:val="17"/>
          <w:szCs w:val="17"/>
          <w:color w:val="auto"/>
        </w:rPr>
        <w:t>AC Immune assessed this arrangement in accordance with IFRS 15 and concluded that Lilly is a customer. The Company identified the following significant performance obligations under the contract: (i) a right-of-use license and</w:t>
      </w:r>
    </w:p>
    <w:p>
      <w:pPr>
        <w:spacing w:after="0" w:line="1" w:lineRule="exact"/>
        <w:rPr>
          <w:sz w:val="20"/>
          <w:szCs w:val="20"/>
          <w:color w:val="auto"/>
        </w:rPr>
      </w:pPr>
    </w:p>
    <w:p>
      <w:pPr>
        <w:ind w:left="60" w:right="79" w:hanging="10"/>
        <w:spacing w:after="0" w:line="249" w:lineRule="auto"/>
        <w:tabs>
          <w:tab w:leader="none" w:pos="3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7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preclinical and Phase 1 activities did not represent integrated services with the licensed intellectual property for which Lilly contracted. Lilly purchased a license to the Company’s Tau therapeutic small-molecule program, which was delivered at commencement of the agreement, and AC Immune’s preclinical and Phase 1 activities did not affect the form or functionality of this license. The Company’s objective for the Phase 1 activity was to assess safety and tolerability and did not modify or customize ACI-3024. The completion of these preclinical and Phase 1 activities does not affect the licensed intellectual property.</w:t>
      </w:r>
    </w:p>
    <w:p>
      <w:pPr>
        <w:spacing w:after="0" w:line="18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7"/>
          <w:szCs w:val="17"/>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w:t>
      </w:r>
    </w:p>
    <w:p>
      <w:pPr>
        <w:spacing w:after="0" w:line="3" w:lineRule="exact"/>
        <w:rPr>
          <w:sz w:val="20"/>
          <w:szCs w:val="20"/>
          <w:color w:val="auto"/>
        </w:rPr>
      </w:pPr>
    </w:p>
    <w:p>
      <w:pPr>
        <w:jc w:val="both"/>
        <w:ind w:left="60" w:right="179" w:hanging="10"/>
        <w:spacing w:after="0" w:line="254" w:lineRule="auto"/>
        <w:tabs>
          <w:tab w:leader="none" w:pos="3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8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revenue recognition timing to be determined by either delivery or the provision of services.</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consolidated balance sheets. The remaining CHF 73.1 million from the upfront payment was allocated to the right-of-use license and recognized on the effective date.</w:t>
      </w:r>
    </w:p>
    <w:p>
      <w:pPr>
        <w:spacing w:after="0" w:line="191"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intellectual property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2"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we have recognized nil, nil and CHF 14.3 million, respectively, from this arrangement.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antibody in AD – 2006 agreement with Genentech, a member of the Roche Group</w:t>
      </w:r>
    </w:p>
    <w:p>
      <w:pPr>
        <w:spacing w:after="0" w:line="227" w:lineRule="exact"/>
        <w:rPr>
          <w:sz w:val="20"/>
          <w:szCs w:val="20"/>
          <w:color w:val="auto"/>
        </w:rPr>
      </w:pPr>
    </w:p>
    <w:p>
      <w:pPr>
        <w:ind w:left="60" w:right="439" w:firstLine="324"/>
        <w:spacing w:after="0" w:line="280" w:lineRule="auto"/>
        <w:rPr>
          <w:sz w:val="20"/>
          <w:szCs w:val="20"/>
          <w:color w:val="auto"/>
        </w:rPr>
      </w:pPr>
      <w:r>
        <w:rPr>
          <w:rFonts w:ascii="Times New Roman" w:cs="Times New Roman" w:eastAsia="Times New Roman" w:hAnsi="Times New Roman"/>
          <w:sz w:val="17"/>
          <w:szCs w:val="17"/>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0" w:name="page211"/>
    <w:bookmarkEnd w:id="2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AD indication based on the same intellectual property and anti-Abeta antibody compound. The value of this partnership is potentially greater than USD 340 (CHF 317) million.</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7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Genentech commenced a first Phase 3 clinical study in March 2016 for crenezumab (CREAD). In March 2017, Genentech started a second Phase 3 clinical trial (CREAD 2). Since 2013, crenezumab has also been studied in a Phase 2 preventive trial in individuals who carry the PSEN1 E280A autosomal-dominant mutation and do not meet the criteria for mild cognitive impairment due to AD or dementia due to AD and are, thus, in a preclinical phase of AD (autosomal dominant AD (ADAD)). In 2019, Genentech initiated a Tau Positron Emission Tomography (PET) substudy to the ongoing Phase 2 trial in ADAD to evaluate the effect of crenezumab on Tau burden, which may also increase the understanding of disease progression in the preclinical stage of ADAD.</w:t>
      </w:r>
    </w:p>
    <w:p>
      <w:pPr>
        <w:spacing w:after="0" w:line="17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If crenezumab receives regulatory approval, we will be entitled to receive royalties that are tied to annual sales volumes with different royalty rates applicable in the U.S. and Europe ranging from the mid-single digits to mid-teens. To date, we have received total milestone payments of USD 65 (CHF 70.1) million comprised of an upfront payment of USD 25 (CHF 31.6) million and of USD 40 (CHF 38.2) million for clinical development milestones achieved all-in prior to January 1, 2017. Genentech may terminate the agreement at any time by providing 3 months’ notice to us. In such event all costs incurred are still refundable.</w:t>
      </w:r>
    </w:p>
    <w:p>
      <w:pPr>
        <w:spacing w:after="0" w:line="18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Genentech is a customer. The Company identified the following performance obligations under the contract: (i) a right-of-use license and (ii) conducting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the upfront consideration received of USD 25 (CHF 31.6) million.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256.4)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January 2019, we announced that Roche, the parent of Genentech, is discontinuing the CREAD and CREAD 2 (BN29552 and BN29553) Phase 3 studies of crenezumab in people with prodromal-to-mild sporadic AD. The decision came after an interim analysis conducted by the Independent Data Monitoring Center (IDMC) indicated that crenezumab was unlikely to meet its primary endpoint of change from baseline in CDR-SB Score. This decision was not related to the safety of the investigational product. No safety signals for crenezumab were observed in this analysis and the overall safety profile was similar to that seen in previous trials.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2022, 2021 and 2020, we have recognized no revenues from this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1" w:name="page212"/>
    <w:bookmarkEnd w:id="2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Anti-Tau antibody in AD – 2012 agreement with Genentech, a member of the Roche Group</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 As we met all performance obligations on reaching these milestones, we have recognized revenue in the respective periods. Genentech may terminate the agreement at any time by providing 3 months’ notice to us.</w:t>
      </w:r>
    </w:p>
    <w:p>
      <w:pPr>
        <w:spacing w:after="0" w:line="18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an upfront consideration received of CHF 17 million.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September 2020, the Company reported that Genentech informed us of top line results from a Phase 2 trial of the anti-Tau antibody, semorinemab, in early (prodromal to mild) Alzheimer’s disease (AD) which show that semorinemab did not meet its primary efficacy endpoint of reducing decline on CDR-SB compared to placebo. The primary safety endpoint was however met. Two secondary endpoints, Alzheimer’s Disease Assessment Scale-Cognitive Subscale 13 (ADAS-Cog13) and Alzheimer’s Disease Cooperative Study Group – Activities of Daily Living Inventory (ADCS-ADL), were not met.</w:t>
      </w:r>
    </w:p>
    <w:p>
      <w:pPr>
        <w:spacing w:after="0" w:line="18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August 2021, the Company reported that Genentech had informed the Company that the Lauriet study had met one of its co-primary endpoints, ADAS-Cog 11. The second co-primary endpoint, ADCS-ADL, was not met. Safety data showed that semorinemab was well tolerated with an acceptable safety profile and no unanticipated safety signals. In November 2021, the Company reported that Genentech had presented the full top-line data from the Lauriet study during a late-breaking session at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Clinical Trials on Alzheimer’s Disease conference.</w:t>
      </w:r>
    </w:p>
    <w:p>
      <w:pPr>
        <w:sectPr>
          <w:pgSz w:w="11900" w:h="16838" w:orient="portrait"/>
          <w:cols w:equalWidth="0" w:num="1">
            <w:col w:w="9019"/>
          </w:cols>
          <w:pgMar w:left="1440" w:top="513" w:right="1440"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2" w:name="page213"/>
    <w:bookmarkEnd w:id="2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2022, 2021 and 2020, we have recognized no revenues from this arrangement.</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 vaccine in AD – 2014 agreement with Janssen Pharmaceuticals, Inc.</w:t>
      </w:r>
    </w:p>
    <w:p>
      <w:pPr>
        <w:spacing w:after="0" w:line="227" w:lineRule="exact"/>
        <w:rPr>
          <w:sz w:val="20"/>
          <w:szCs w:val="20"/>
          <w:color w:val="auto"/>
        </w:rPr>
      </w:pPr>
    </w:p>
    <w:p>
      <w:pPr>
        <w:ind w:left="60" w:right="79" w:firstLine="324"/>
        <w:spacing w:after="0" w:line="250"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(Janssen), part of the Janssen Pharmaceutical Companies of Johnson &amp; Johnson, to develop and commercialize therapeutic anti-Tau vaccines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high-single digits to the mid-teens for the phospho-Tau vaccine program. In April 2016, July 2017, January 2019, November 2019 and December 2022, the companies entered into the first, second, third, fourth and fifth amendments, respectively. These amendments allow for the alignment of certain payment and activity provisions with the Development Plan and Research Plan activities. We and Janssen have completed the co-development of the second-generation lead therapeutic vaccines, ACI-35.030 and JACI-35.054, through Phase 1b/2a. In November 2022, it was announced that ACI-35.030 was selected to advance into further development based on interim data from the ongoing Phase 1b/2a trial.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w:t>
      </w:r>
    </w:p>
    <w:p>
      <w:pPr>
        <w:spacing w:after="0" w:line="194"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agreement also allows for the expansion to a second indication based on the same anti-Tau vaccine program and based on intellectual property related to this program.</w:t>
      </w:r>
    </w:p>
    <w:p>
      <w:pPr>
        <w:spacing w:after="0" w:line="162" w:lineRule="exact"/>
        <w:rPr>
          <w:sz w:val="20"/>
          <w:szCs w:val="20"/>
          <w:color w:val="auto"/>
        </w:rPr>
      </w:pPr>
    </w:p>
    <w:p>
      <w:pPr>
        <w:ind w:left="60" w:right="239" w:firstLine="324"/>
        <w:spacing w:after="0" w:line="280" w:lineRule="auto"/>
        <w:rPr>
          <w:sz w:val="20"/>
          <w:szCs w:val="20"/>
          <w:color w:val="auto"/>
        </w:rPr>
      </w:pPr>
      <w:r>
        <w:rPr>
          <w:rFonts w:ascii="Times New Roman" w:cs="Times New Roman" w:eastAsia="Times New Roman" w:hAnsi="Times New Roman"/>
          <w:sz w:val="17"/>
          <w:szCs w:val="17"/>
          <w:color w:val="auto"/>
        </w:rPr>
        <w:t>The Company received an upfront, non-refundable license fee of CHF 25.9 million, which we recognized as revenue in 2014. In May 2016, we received a payment of CHF 4.9 million for reaching a clinical milestone in the first Phase 1b study. As we met all performance obligations on reaching the milestone, we have recognized this income as revenue.</w:t>
      </w:r>
    </w:p>
    <w:p>
      <w:pPr>
        <w:spacing w:after="0" w:line="16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9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The Company did receive a payment of CHF 4.9 million for reaching a clinical milestone in the first Phase 1b study in May 2016. The Company could also receive up to more than CHF 458 million in clinical, regulatory and commercial milestones as well as tiered, high-single digits to mid-teen royalties on aggregate net sales for the phospho-Tau vaccine program.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3" w:name="page214"/>
    <w:bookmarkEnd w:id="2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we have recognized nil, nil and CHF 1.1 million, respectively, from this arrangement.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Tau-PET imaging agent –2014 agreement with Life Molecular Imaging (LMI) (formerly Piramal Imaging SA)</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159) million, plus royalties on sales at a percentage rate ranging from mid-single digits to low-teens. LMI may terminate the LCA at any time by providing 3 months’ notice to us.</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In Q3 2022, the Company recognized EUR 4 (CHF 3.9) million linked to the progression of the Tau-PET tracer into late-stage development in AD. The Company is eligible to receive additional variable consideration related to the achievement of certain clinical milestones totaling EUR 4 (CHF 4) million should the compound make it through Phase 3 clinical studies. We are also eligible to receive potential regulatory and sales-based milestones totaling EUR 148 (CHF 138) million. Finally, the Company is eligible for royalties from the mid-single digits to low-teens.</w:t>
      </w:r>
    </w:p>
    <w:p>
      <w:pPr>
        <w:spacing w:after="0" w:line="18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6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8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92"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has recognized CHF 3.9 million, nil and nil, respectively, from this arrangement.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13.2 Grant income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May 2020, the Company, as part of a joint arrangement with Skåne University Hospital (Skåne) in Sweden, was awarded a USD 3.2 (CHF 3.0) million grant from the MJFF’s Ken Griffin Alpha-synuclein Imaging Competition. As part of this grant, AC Immune is eligible to receive USD 2.5 (CHF 2.3) million directly from the MJFF. Skåne will receive USD 0.7 (CHF 0.7) million of the total grant directly from the MJFF over two years to conduct and support the clinical arm of the project. In August 2022, the Company received follow-on grant funding as part of its joint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4" w:name="page215"/>
    <w:bookmarkEnd w:id="2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arrangement with Skåne in Sweden totaling USD 0.5 (CHF 0.5) million for the continued development of its alpha-synuclein PET imaging diagnostic agent. As part of this grant, AC Immune received USD 0.4 (CHF 0.4) million directly from the MJFF. Skåne will receive USD 0.1 (CHF 0.1) million of the total grant directly from the MJFF over the duration of the grant period.</w:t>
      </w:r>
    </w:p>
    <w:p>
      <w:pPr>
        <w:spacing w:after="0" w:line="180"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The MJFF expects that AC Immune and Skåne will complete tasks according to the agreed timelines. AC Immune’s funding is variable depending on the satisfactory achievement of these specific tasks within a specific period of time.</w:t>
      </w:r>
    </w:p>
    <w:p>
      <w:pPr>
        <w:spacing w:after="0" w:line="140"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December 2021, the Company announced that it had been awarded two grants totaling USD 1.5 (CHF 1.4) million to advance small molecule PD programs. One award will support an existing early-stage program to develop small molecules that can prevent intracellular aggregation and spreading of a-syn. The other award will fund research on the therapeutic potential of chemically and mechanistically novel, brain penetrant small molecule inhibitors of NLRP3 inflammasome activation for the treatment of PD.</w:t>
      </w:r>
    </w:p>
    <w:p>
      <w:pPr>
        <w:spacing w:after="0" w:line="187"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has recognized CHF 1.2 million, CHF 1.1 million and CHF 1.3 million, respectively, from its MJFF grants. As of December 31, 2022, the Company recorded CHF 0.3 million in accrued income and CHF 0.5 million in deferred income,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Expenses by category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4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43,787</w:t>
            </w:r>
          </w:p>
        </w:tc>
      </w:tr>
      <w:tr>
        <w:trPr>
          <w:trHeight w:val="22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w:t>
            </w:r>
          </w:p>
        </w:tc>
      </w:tr>
      <w:tr>
        <w:trPr>
          <w:trHeight w:val="23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3"/>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59,487</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incurred CHF 60.3 million, CHF 62.3 million and CHF 59.5 million in research and development expenses, respectively. The decrease in 2022 is mainly driven by decreases in direct R&amp;D expenditures across various programs.</w:t>
      </w:r>
    </w:p>
    <w:p>
      <w:pPr>
        <w:spacing w:after="0" w:line="176"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had 122.4, 108.6 and 115.3 FTEs in our research and development functions.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4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3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23"/>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18,557</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incurred CHF 15.8 million, CHF 17.9 million and CHF 18.6 million in general and administrative expenses, respectively. The decrease in 2022 compared with the prior year predominantly relates to certain transaction costs associated with our prior year asset acquisition which did not repeat in 2022 as well as a reduction in headcount.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5" w:name="page216"/>
    <w:bookmarkEnd w:id="2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had 22.5, 27.3 and 26.7 FTEs in our general and administrative functions.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 net</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0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9"/>
                <w:szCs w:val="19"/>
                <w:color w:val="auto"/>
              </w:rPr>
            </w:pP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Borders>
              <w:bottom w:val="single" w:sz="8" w:color="auto"/>
            </w:tcBorders>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Our finance result primarily consists of interest expense associated with our short-term financial assets and lease liabilities as well as foreign currency exchange differences.</w:t>
      </w:r>
    </w:p>
    <w:p>
      <w:pPr>
        <w:spacing w:after="0" w:line="162"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decrease in financial result, net related primarily to the prior year CHF 6.5 million gain on the conversion features related to the Company’s convertible notes due to certain Affiris affiliated entities that did not recur.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executive management compensation</w:t>
      </w:r>
    </w:p>
    <w:p>
      <w:pPr>
        <w:spacing w:after="0" w:line="229"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Key management includes the board of directors and executive management. For 2022, there were eight members (2021: eight and 2020: seven) of the Board (excluding the CEO) and seven members (2021: six and 2020: five) of executive management (including the CEO). Compensation was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Group recognized less than CHF 0.1 million, less than CHF 0.1 million and nil in income taxes and no deferred tax asset or liability positions for the years ended December 31, 2022, 2021 and 2020, respectively. The Group’s expected tax expense for each year is based on the applicable tax rates in each jurisdiction. In 2022, these rates ranged from 13.6% to 33.8% (13.6% - 32.9% for 2021 and 13.6% for 2020) in the Group’s respective tax jurisdictions. The weighted average tax rate applicable to the Group was 13.6% (13.6% for 2021 and 2020,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6" w:name="page217"/>
    <w:bookmarkEnd w:id="2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income tax expense for each year can be reconciled to loss before tax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4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(72,993)</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(61,921)</w:t>
            </w:r>
          </w:p>
        </w:tc>
      </w:tr>
      <w:tr>
        <w:trPr>
          <w:trHeight w:val="22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calculated at the domestic rates applicable in the respective countries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29"/>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tax)/expenses not deductible for tax purposes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unused tax losses and tax offsets not recognized as deferred tax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r>
      <w:tr>
        <w:trPr>
          <w:trHeight w:val="223"/>
        </w:trPr>
        <w:tc>
          <w:tcPr>
            <w:tcW w:w="6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 (benefit)/expense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The Swiss tax rate used for the 2022 reconciliations is the corporate tax rate of 13.6% (13.6% in 2021 and 2020, respectively) payable by corporate entities in the Canton of Vaud, Switzerland on taxable profits under tax law in that jurisdiction.</w:t>
      </w:r>
    </w:p>
    <w:p>
      <w:pPr>
        <w:spacing w:after="0" w:line="1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below table details the total unrecognized deductible temporary differences, unused tax losses and unused tax credits: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02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4"/>
        </w:trPr>
        <w:tc>
          <w:tcPr>
            <w:tcW w:w="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Unrecognized deductible temporary differences, unused tax losses and</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3"/>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unused tax credits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for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no deferred tax assets have been recognized are attributable to the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losses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121,948</w:t>
            </w:r>
          </w:p>
        </w:tc>
      </w:tr>
      <w:tr>
        <w:trPr>
          <w:trHeight w:val="230"/>
        </w:trPr>
        <w:tc>
          <w:tcPr>
            <w:tcW w:w="20" w:type="dxa"/>
            <w:vAlign w:val="bottom"/>
          </w:tcPr>
          <w:p>
            <w:pPr>
              <w:spacing w:after="0"/>
              <w:rPr>
                <w:sz w:val="19"/>
                <w:szCs w:val="19"/>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Deductible temporary differences related to:</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0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Retirement benefit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129,412</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tax losses carry forwards of the Company and their respective expiry dates: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Tax losses split by expiry date:</w:t>
            </w: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30"/>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r>
      <w:tr>
        <w:trPr>
          <w:trHeight w:val="230"/>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48,894</w:t>
            </w:r>
          </w:p>
        </w:tc>
      </w:tr>
      <w:tr>
        <w:trPr>
          <w:trHeight w:val="229"/>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57,824</w:t>
            </w:r>
          </w:p>
        </w:tc>
      </w:tr>
      <w:tr>
        <w:trPr>
          <w:trHeight w:val="230"/>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unrecorded tax loss carryforwards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121,949</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The tax losses available for future offset against taxable profits have increased by CHF 66.9 million from 2021, representing the amount of tax losses that are additionally available as an offset, subject to expiration as disclosed in the table above, against future taxable income.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7" w:name="page218"/>
    <w:bookmarkEnd w:id="2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Retirement benefit plan</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Contributions paid to the plan are computed as a percentage of salary, adjusted for the age of the employee and shared approximately 47% and 53% by employee and employer, respectively.</w:t>
      </w:r>
    </w:p>
    <w:p>
      <w:pPr>
        <w:spacing w:after="0" w:line="14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a board of trustees, which consists of an equal number of employer and employee representatives of its members. The board of trustees is responsible for the administration of the plan assets and for the definition of the investment strategy. The Company has no direct influence on the investment strategy of the foundation board.</w:t>
      </w:r>
    </w:p>
    <w:p>
      <w:pPr>
        <w:spacing w:after="0" w:line="18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pension plan is exposed to Swiss inflation, interest rate risks and changes in the life expectancy for pensioners.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accounting purposes under IFRS, the plan is treated as a defined benefit plan in accordance with IAS 19.</w:t>
      </w:r>
    </w:p>
    <w:p>
      <w:pPr>
        <w:spacing w:after="0" w:line="205"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status of the defined benefit pension plan and the amount that is recognized in the consolidated balance sheets: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22,749</w:t>
            </w:r>
          </w:p>
        </w:tc>
      </w:tr>
      <w:tr>
        <w:trPr>
          <w:trHeight w:val="223"/>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amounts have been recorded as net pension cost in the consolidated statements of income/(loss):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pension cost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8" w:name="page219"/>
    <w:bookmarkEnd w:id="2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defined benefit obligation, fair value of plan assets and unrecognized gains/(losses) are as follows.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Change in defined benefit obligation</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40" w:type="dxa"/>
            <w:vAlign w:val="bottom"/>
            <w:gridSpan w:val="4"/>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January 1</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demographic assumptions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financial assumptions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experience assumptions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deposited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Employees’ contributions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0" w:type="dxa"/>
            <w:vAlign w:val="bottom"/>
          </w:tcPr>
          <w:p>
            <w:pPr>
              <w:spacing w:after="0"/>
              <w:rPr>
                <w:sz w:val="1"/>
                <w:szCs w:val="1"/>
                <w:color w:val="auto"/>
              </w:rPr>
            </w:pPr>
          </w:p>
        </w:tc>
      </w:tr>
      <w:tr>
        <w:trPr>
          <w:trHeight w:val="20"/>
        </w:trPr>
        <w:tc>
          <w:tcPr>
            <w:tcW w:w="6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  Change in fair value of plan assets</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5"/>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20" w:type="dxa"/>
            <w:vAlign w:val="bottom"/>
            <w:gridSpan w:val="3"/>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January 1</w:t>
            </w:r>
          </w:p>
        </w:tc>
        <w:tc>
          <w:tcPr>
            <w:tcW w:w="2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22,749</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contributions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Employer’s contributions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deposited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Expected contributions by the employer to be paid to the post-employment benefit plans during the annual period beginning after the end of the reporting period amount to approximately CHF 1.2 million.</w:t>
      </w:r>
    </w:p>
    <w:p>
      <w:pPr>
        <w:spacing w:after="0" w:line="15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Change in net defined benefit liability</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January 1</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pension cost through statement of income/(loss)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through other comprehensive income/(loss)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Employer’s contribution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December 31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4300"/>
              <w:spacing w:after="0"/>
              <w:rPr>
                <w:sz w:val="20"/>
                <w:szCs w:val="20"/>
                <w:color w:val="auto"/>
              </w:rPr>
            </w:pPr>
            <w:r>
              <w:rPr>
                <w:rFonts w:ascii="Times New Roman" w:cs="Times New Roman" w:eastAsia="Times New Roman" w:hAnsi="Times New Roman"/>
                <w:sz w:val="18"/>
                <w:szCs w:val="18"/>
                <w:color w:val="auto"/>
              </w:rPr>
              <w:t>F-37</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9" w:name="page220"/>
    <w:bookmarkEnd w:id="2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Other comprehensive gains/(losses)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9"/>
        </w:trPr>
        <w:tc>
          <w:tcPr>
            <w:tcW w:w="604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demographic assumptions</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changes in financial assumptions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experience assumptions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gain</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 in experience assumptions results from an increased sum of insured salaries.</w:t>
      </w:r>
    </w:p>
    <w:p>
      <w:pPr>
        <w:spacing w:after="0" w:line="22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plan assets is the cash surrender value of the insurance with the insurance company (AXA). The investment strategy defined by the board of trustees follows a conservative profile.</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plan assets are primarily held within instruments with quoted market prices in an active market, with the exception of real estate and mortgages.</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duration of the defined benefit obligation is 14.9 years and 17.1 years as of December 31, 2022 and 2021, respectively.</w:t>
      </w:r>
    </w:p>
    <w:p>
      <w:pPr>
        <w:spacing w:after="0" w:line="148"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actuarial assumptions used for the calculation of the pension cost and the defined benefit obligation of the defined benefit pension plan for the years ended December 31, 2022, 2021 and 2020, respectively, are as follows: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5"/>
        </w:trPr>
        <w:tc>
          <w:tcPr>
            <w:tcW w:w="44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44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r>
      <w:tr>
        <w:trPr>
          <w:trHeight w:val="22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Rate of future increase in compensations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future increase in current pensions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on retirement savings capital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 and disability rates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BVG 2020-CMI</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BVG 2020-CMI</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BVG 2020-CMI</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bl>
    <w:p>
      <w:pPr>
        <w:spacing w:after="0" w:line="211"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In defining the benefits, the minimum requirements of the Swiss BVG and its implementing provisions must be observed. The BVG defines the minimum pensionable salary and the minimum retirement credits.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2022 is shown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Interest rate 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6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savings capital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60" w:type="dxa"/>
            <w:vAlign w:val="bottom"/>
          </w:tcPr>
          <w:p>
            <w:pPr>
              <w:spacing w:after="0"/>
              <w:rPr>
                <w:sz w:val="16"/>
                <w:szCs w:val="16"/>
                <w:color w:val="auto"/>
              </w:rPr>
            </w:pPr>
          </w:p>
        </w:tc>
        <w:tc>
          <w:tcPr>
            <w:tcW w:w="6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30,201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32,940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33,601</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33,322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8"/>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F-38</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0" w:name="page221"/>
    <w:bookmarkEnd w:id="2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2021 is shown below:</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195"/>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76"/>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95"/>
        </w:trPr>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88"/>
        </w:trPr>
        <w:tc>
          <w:tcPr>
            <w:tcW w:w="2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CHF</w:t>
            </w:r>
          </w:p>
        </w:tc>
        <w:tc>
          <w:tcPr>
            <w:tcW w:w="160" w:type="dxa"/>
            <w:vAlign w:val="bottom"/>
          </w:tcPr>
          <w:p>
            <w:pPr>
              <w:spacing w:after="0"/>
              <w:rPr>
                <w:sz w:val="16"/>
                <w:szCs w:val="16"/>
                <w:color w:val="auto"/>
              </w:rPr>
            </w:pPr>
          </w:p>
        </w:tc>
        <w:tc>
          <w:tcPr>
            <w:tcW w:w="6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r>
      <w:tr>
        <w:trPr>
          <w:trHeight w:val="22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31,190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37,006</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34,578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34,822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33,007</w:t>
            </w:r>
          </w:p>
        </w:tc>
      </w:tr>
      <w:tr>
        <w:trPr>
          <w:trHeight w:val="225"/>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2,699</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172" w:lineRule="exact"/>
        <w:rPr>
          <w:sz w:val="20"/>
          <w:szCs w:val="20"/>
          <w:color w:val="auto"/>
        </w:rPr>
      </w:pPr>
    </w:p>
    <w:p>
      <w:pPr>
        <w:ind w:left="380" w:right="6599" w:hanging="330"/>
        <w:spacing w:after="0" w:line="524" w:lineRule="auto"/>
        <w:tabs>
          <w:tab w:leader="none" w:pos="380"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i w:val="1"/>
          <w:iCs w:val="1"/>
          <w:color w:val="auto"/>
        </w:rPr>
        <w:t>Share-based option awards</w:t>
      </w:r>
    </w:p>
    <w:p>
      <w:pPr>
        <w:spacing w:after="0" w:line="1"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there are equity-based instruments outstanding that the Company has granted under two different plans.</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2022.</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equity-settled share option grants for plans that existed during the period: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880" w:type="dxa"/>
            <w:vAlign w:val="bottom"/>
            <w:gridSpan w:val="5"/>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options awarded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5"/>
        </w:trPr>
        <w:tc>
          <w:tcPr>
            <w:tcW w:w="20" w:type="dxa"/>
            <w:vAlign w:val="bottom"/>
          </w:tcPr>
          <w:p>
            <w:pPr>
              <w:spacing w:after="0"/>
              <w:rPr>
                <w:sz w:val="16"/>
                <w:szCs w:val="16"/>
                <w:color w:val="auto"/>
              </w:rPr>
            </w:pPr>
          </w:p>
        </w:tc>
        <w:tc>
          <w:tcPr>
            <w:tcW w:w="356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 inception)</w:t>
            </w:r>
          </w:p>
        </w:tc>
        <w:tc>
          <w:tcPr>
            <w:tcW w:w="180" w:type="dxa"/>
            <w:vAlign w:val="bottom"/>
          </w:tcPr>
          <w:p>
            <w:pPr>
              <w:spacing w:after="0"/>
              <w:rPr>
                <w:sz w:val="16"/>
                <w:szCs w:val="16"/>
                <w:color w:val="auto"/>
              </w:rPr>
            </w:pPr>
          </w:p>
        </w:tc>
        <w:tc>
          <w:tcPr>
            <w:tcW w:w="25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of options</w:t>
            </w:r>
          </w:p>
        </w:tc>
      </w:tr>
      <w:tr>
        <w:trPr>
          <w:trHeight w:val="228"/>
        </w:trPr>
        <w:tc>
          <w:tcPr>
            <w:tcW w:w="20" w:type="dxa"/>
            <w:vAlign w:val="bottom"/>
          </w:tcPr>
          <w:p>
            <w:pPr>
              <w:spacing w:after="0"/>
              <w:rPr>
                <w:sz w:val="19"/>
                <w:szCs w:val="19"/>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plan C1</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6,775,250</w:t>
            </w:r>
          </w:p>
        </w:tc>
        <w:tc>
          <w:tcPr>
            <w:tcW w:w="18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 service from grant date</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29"/>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2016 SOIP:</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Executives and directors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3,277,044</w:t>
            </w:r>
          </w:p>
        </w:tc>
        <w:tc>
          <w:tcPr>
            <w:tcW w:w="2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 year, 3 year and 4 years’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from the date of grant,</w:t>
            </w:r>
          </w:p>
        </w:tc>
        <w:tc>
          <w:tcPr>
            <w:tcW w:w="146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quarterly and annually</w:t>
            </w:r>
          </w:p>
        </w:tc>
        <w:tc>
          <w:tcPr>
            <w:tcW w:w="146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1,811,687</w:t>
            </w:r>
          </w:p>
        </w:tc>
        <w:tc>
          <w:tcPr>
            <w:tcW w:w="2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 years’ service from the date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grant, annually</w:t>
            </w:r>
          </w:p>
        </w:tc>
        <w:tc>
          <w:tcPr>
            <w:tcW w:w="146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F-39</w:t>
            </w: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1" w:name="page222"/>
    <w:bookmarkEnd w:id="2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number and weighted-average exercise prices (in CHF) of options under the share option programs for Plans C1 and the 2016 SOIP are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5"/>
        </w:trPr>
        <w:tc>
          <w:tcPr>
            <w:tcW w:w="60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28"/>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1,981,629</w:t>
            </w:r>
          </w:p>
        </w:tc>
        <w:tc>
          <w:tcPr>
            <w:tcW w:w="2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(53,591)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(73,669)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1,073,027</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2,900,667</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1,099,015</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2,900,667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(207,331)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(218,561)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1,110,914</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3,585,689</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1,613,242</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3,585,689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(304,738)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(110,250)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1,090,316</w:t>
            </w: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4,261,017</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2,345,648</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outstanding stock options as of December 31, 2022 have the following range of exercise prices: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w:t>
            </w:r>
          </w:p>
        </w:tc>
      </w:tr>
      <w:tr>
        <w:trPr>
          <w:trHeight w:val="189"/>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94"/>
        </w:trPr>
        <w:tc>
          <w:tcPr>
            <w:tcW w:w="70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dates</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30"/>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CHF 0.15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2022–2026</w:t>
            </w:r>
          </w:p>
        </w:tc>
      </w:tr>
      <w:tr>
        <w:trPr>
          <w:trHeight w:val="23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CHF 9.53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223,646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0"/>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 5.04 to USD 12.30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2,864,408</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2028–2031</w:t>
            </w:r>
          </w:p>
        </w:tc>
      </w:tr>
      <w:tr>
        <w:trPr>
          <w:trHeight w:val="229"/>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USD 2.76 to USD 4.57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1,075,088</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2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outstanding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4,261,017</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weighted-average exercise price for options granted in 2022, 2021 and 2020 is USD 3.44 (CHF 3.18), USD 6.95 (CHF 6.34) and USD 7.11 (CHF 6.29), respectively. The range of exercise prices for outstanding options was CHF 0.15 to CHF 9.53 for awards previously granted in CHF (prior to 2018) and USD 2.76 to USD 12.30 for awards granted in USD as of December 31, 2022.</w:t>
      </w:r>
    </w:p>
    <w:p>
      <w:pPr>
        <w:spacing w:after="0" w:line="187"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For awards issued in 2022, the volatility is based on the Company’s actual volatility for the period congruent with the expected term of the underlying option. The risk-free interest rate is based on yields of long-dated U.S. Treasury notes that align with the expected term of the award. The weighted-average share price of common share options exercised in 2022 is USD 3.55 (CHF 3.28).</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2" w:name="page223"/>
    <w:bookmarkEnd w:id="2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values of the options granted in 2022, 2021 and 2020 are USD 2.38 (CHF 2.20), USD 5.23 (CHF 4.78) and USD 5.25 (CHF 4.65), respectively. The following table illustrates the weighted-average assumptions for the Black-Scholes option-pricing model used in determining the fair value of these awards: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5"/>
        </w:trPr>
        <w:tc>
          <w:tcPr>
            <w:tcW w:w="5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5980" w:type="dxa"/>
            <w:vAlign w:val="bottom"/>
          </w:tcPr>
          <w:p>
            <w:pPr>
              <w:spacing w:after="0"/>
              <w:rPr>
                <w:sz w:val="16"/>
                <w:szCs w:val="16"/>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(USD)</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2.76-4.57</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5.31-7.72</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5.04-9.16</w:t>
            </w:r>
          </w:p>
        </w:tc>
        <w:tc>
          <w:tcPr>
            <w:tcW w:w="160" w:type="dxa"/>
            <w:vAlign w:val="bottom"/>
            <w:tcBorders>
              <w:top w:val="single" w:sz="8" w:color="CCEEFF"/>
            </w:tcBorders>
            <w:shd w:val="clear" w:color="auto" w:fill="CCEEFF"/>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(weighted average)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67-80 %</w:t>
            </w: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5.5 - 6.25</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5.1 - 6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5.5 - 6</w:t>
            </w:r>
          </w:p>
        </w:tc>
        <w:tc>
          <w:tcPr>
            <w:tcW w:w="160" w:type="dxa"/>
            <w:vAlign w:val="bottom"/>
            <w:shd w:val="clear" w:color="auto" w:fill="CCEEFF"/>
          </w:tcPr>
          <w:p>
            <w:pPr>
              <w:spacing w:after="0"/>
              <w:rPr>
                <w:sz w:val="19"/>
                <w:szCs w:val="19"/>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bl>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A summary of non-vested share awards (restricted share and restricted share units) activity as of December 31, 2022 and changes during the year then ended is presented below:</w:t>
      </w:r>
    </w:p>
    <w:p>
      <w:pPr>
        <w:spacing w:after="0" w:line="19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Contractual</w:t>
      </w:r>
    </w:p>
    <w:p>
      <w:pPr>
        <w:spacing w:after="0" w:line="29" w:lineRule="exact"/>
        <w:rPr>
          <w:sz w:val="20"/>
          <w:szCs w:val="20"/>
          <w:color w:val="auto"/>
        </w:rPr>
      </w:pPr>
    </w:p>
    <w:p>
      <w:pPr>
        <w:ind w:left="3720"/>
        <w:spacing w:after="0"/>
        <w:tabs>
          <w:tab w:leader="none" w:pos="8060" w:val="left"/>
        </w:tabs>
        <w:rPr>
          <w:sz w:val="20"/>
          <w:szCs w:val="20"/>
          <w:color w:val="auto"/>
        </w:rPr>
      </w:pPr>
      <w:r>
        <w:rPr>
          <w:rFonts w:ascii="Times New Roman" w:cs="Times New Roman" w:eastAsia="Times New Roman" w:hAnsi="Times New Roman"/>
          <w:sz w:val="14"/>
          <w:szCs w:val="14"/>
          <w:b w:val="1"/>
          <w:bCs w:val="1"/>
          <w:color w:val="auto"/>
        </w:rPr>
        <w:t>Number of</w:t>
      </w:r>
      <w:r>
        <w:rPr>
          <w:sz w:val="20"/>
          <w:szCs w:val="20"/>
          <w:color w:val="auto"/>
        </w:rPr>
        <w:tab/>
      </w:r>
      <w:r>
        <w:rPr>
          <w:rFonts w:ascii="Times New Roman" w:cs="Times New Roman" w:eastAsia="Times New Roman" w:hAnsi="Times New Roman"/>
          <w:sz w:val="14"/>
          <w:szCs w:val="14"/>
          <w:b w:val="1"/>
          <w:bCs w:val="1"/>
          <w:color w:val="auto"/>
        </w:rPr>
        <w:t>life of non-</w:t>
      </w:r>
    </w:p>
    <w:p>
      <w:pPr>
        <w:spacing w:after="0" w:line="28" w:lineRule="exact"/>
        <w:rPr>
          <w:sz w:val="20"/>
          <w:szCs w:val="20"/>
          <w:color w:val="auto"/>
        </w:rPr>
      </w:pPr>
    </w:p>
    <w:p>
      <w:pPr>
        <w:ind w:left="3660"/>
        <w:spacing w:after="0"/>
        <w:tabs>
          <w:tab w:leader="none" w:pos="8020" w:val="left"/>
        </w:tabs>
        <w:rPr>
          <w:sz w:val="20"/>
          <w:szCs w:val="20"/>
          <w:color w:val="auto"/>
        </w:rPr>
      </w:pPr>
      <w:r>
        <w:rPr>
          <w:rFonts w:ascii="Times New Roman" w:cs="Times New Roman" w:eastAsia="Times New Roman" w:hAnsi="Times New Roman"/>
          <w:sz w:val="14"/>
          <w:szCs w:val="14"/>
          <w:b w:val="1"/>
          <w:bCs w:val="1"/>
          <w:color w:val="auto"/>
        </w:rPr>
        <w:t>share awards</w:t>
      </w:r>
      <w:r>
        <w:rPr>
          <w:sz w:val="20"/>
          <w:szCs w:val="20"/>
          <w:color w:val="auto"/>
        </w:rPr>
        <w:tab/>
      </w:r>
      <w:r>
        <w:rPr>
          <w:rFonts w:ascii="Times New Roman" w:cs="Times New Roman" w:eastAsia="Times New Roman" w:hAnsi="Times New Roman"/>
          <w:sz w:val="14"/>
          <w:szCs w:val="14"/>
          <w:b w:val="1"/>
          <w:bCs w:val="1"/>
          <w:color w:val="auto"/>
        </w:rPr>
        <w:t>vested share</w:t>
      </w:r>
    </w:p>
    <w:p>
      <w:pPr>
        <w:spacing w:after="0" w:line="28" w:lineRule="exact"/>
        <w:rPr>
          <w:sz w:val="20"/>
          <w:szCs w:val="20"/>
          <w:color w:val="auto"/>
        </w:rPr>
      </w:pPr>
    </w:p>
    <w:p>
      <w:pPr>
        <w:ind w:left="1380"/>
        <w:spacing w:after="0"/>
        <w:tabs>
          <w:tab w:leader="none" w:pos="3800" w:val="left"/>
          <w:tab w:leader="none" w:pos="5600" w:val="left"/>
          <w:tab w:leader="none" w:pos="8180" w:val="left"/>
        </w:tabs>
        <w:rPr>
          <w:sz w:val="20"/>
          <w:szCs w:val="20"/>
          <w:color w:val="auto"/>
        </w:rPr>
      </w:pPr>
      <w:r>
        <w:rPr>
          <w:rFonts w:ascii="Times New Roman" w:cs="Times New Roman" w:eastAsia="Times New Roman" w:hAnsi="Times New Roman"/>
          <w:sz w:val="14"/>
          <w:szCs w:val="14"/>
          <w:b w:val="1"/>
          <w:bCs w:val="1"/>
          <w:color w:val="auto"/>
        </w:rPr>
        <w:t>Grantee type</w:t>
      </w:r>
      <w:r>
        <w:rPr>
          <w:sz w:val="20"/>
          <w:szCs w:val="20"/>
          <w:color w:val="auto"/>
        </w:rPr>
        <w:tab/>
      </w:r>
      <w:r>
        <w:rPr>
          <w:rFonts w:ascii="Times New Roman" w:cs="Times New Roman" w:eastAsia="Times New Roman" w:hAnsi="Times New Roman"/>
          <w:sz w:val="14"/>
          <w:szCs w:val="14"/>
          <w:b w:val="1"/>
          <w:bCs w:val="1"/>
          <w:color w:val="auto"/>
        </w:rPr>
        <w:t>granted</w:t>
      </w:r>
      <w:r>
        <w:rPr>
          <w:sz w:val="20"/>
          <w:szCs w:val="20"/>
          <w:color w:val="auto"/>
        </w:rPr>
        <w:tab/>
      </w:r>
      <w:r>
        <w:rPr>
          <w:rFonts w:ascii="Times New Roman" w:cs="Times New Roman" w:eastAsia="Times New Roman" w:hAnsi="Times New Roman"/>
          <w:sz w:val="14"/>
          <w:szCs w:val="14"/>
          <w:b w:val="1"/>
          <w:bCs w:val="1"/>
          <w:color w:val="auto"/>
        </w:rPr>
        <w:t>Vesting conditions</w:t>
      </w:r>
      <w:r>
        <w:rPr>
          <w:sz w:val="20"/>
          <w:szCs w:val="20"/>
          <w:color w:val="auto"/>
        </w:rPr>
        <w:tab/>
      </w:r>
      <w:r>
        <w:rPr>
          <w:rFonts w:ascii="Times New Roman" w:cs="Times New Roman" w:eastAsia="Times New Roman" w:hAnsi="Times New Roman"/>
          <w:sz w:val="14"/>
          <w:szCs w:val="14"/>
          <w:b w:val="1"/>
          <w:bCs w:val="1"/>
          <w:color w:val="auto"/>
        </w:rPr>
        <w:t>awards</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3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1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42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159,025  1 year service from date of grant, annually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25"/>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Executives</w:t>
            </w:r>
          </w:p>
        </w:tc>
        <w:tc>
          <w:tcPr>
            <w:tcW w:w="42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274,872  3 year and 4 years’ service from the date</w:t>
            </w:r>
          </w:p>
        </w:tc>
        <w:tc>
          <w:tcPr>
            <w:tcW w:w="140" w:type="dxa"/>
            <w:vAlign w:val="bottom"/>
          </w:tcPr>
          <w:p>
            <w:pPr>
              <w:spacing w:after="0"/>
              <w:rPr>
                <w:sz w:val="19"/>
                <w:szCs w:val="19"/>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of grant, quarterly and semi-annually</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(CHF)</w:t>
            </w:r>
          </w:p>
        </w:tc>
        <w:tc>
          <w:tcPr>
            <w:tcW w:w="0" w:type="dxa"/>
            <w:vAlign w:val="bottom"/>
          </w:tcPr>
          <w:p>
            <w:pPr>
              <w:spacing w:after="0"/>
              <w:rPr>
                <w:sz w:val="1"/>
                <w:szCs w:val="1"/>
                <w:color w:val="auto"/>
              </w:rPr>
            </w:pPr>
          </w:p>
        </w:tc>
      </w:tr>
      <w:tr>
        <w:trPr>
          <w:trHeight w:val="228"/>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2020</w:t>
            </w:r>
          </w:p>
        </w:tc>
        <w:tc>
          <w:tcPr>
            <w:tcW w:w="3380" w:type="dxa"/>
            <w:vAlign w:val="bottom"/>
            <w:tcBorders>
              <w:top w:val="single" w:sz="8" w:color="CCEEFF"/>
            </w:tcBorders>
            <w:gridSpan w:val="3"/>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42,763</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4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(11,828)</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year</w:t>
            </w:r>
          </w:p>
        </w:tc>
        <w:tc>
          <w:tcPr>
            <w:tcW w:w="42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(7,804)</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4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(84,638)</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4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(23,269)</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4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19,494</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63"/>
        </w:trPr>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2020</w:t>
            </w:r>
          </w:p>
        </w:tc>
        <w:tc>
          <w:tcPr>
            <w:tcW w:w="3380" w:type="dxa"/>
            <w:vAlign w:val="bottom"/>
            <w:tcBorders>
              <w:bottom w:val="single" w:sz="8" w:color="CCEEFF"/>
            </w:tcBorders>
            <w:gridSpan w:val="3"/>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49,289</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3380" w:type="dxa"/>
            <w:vAlign w:val="bottom"/>
            <w:gridSpan w:val="3"/>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4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(2,471)</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42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(18,697)</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9"/>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42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797</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2021</w:t>
            </w:r>
          </w:p>
        </w:tc>
        <w:tc>
          <w:tcPr>
            <w:tcW w:w="338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4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gridSpan w:val="2"/>
            <w:vMerge w:val="continue"/>
          </w:tcPr>
          <w:p>
            <w:pPr>
              <w:spacing w:after="0"/>
              <w:rPr>
                <w:sz w:val="18"/>
                <w:szCs w:val="18"/>
                <w:color w:val="auto"/>
              </w:rPr>
            </w:pPr>
          </w:p>
        </w:tc>
        <w:tc>
          <w:tcPr>
            <w:tcW w:w="3380" w:type="dxa"/>
            <w:vAlign w:val="bottom"/>
            <w:gridSpan w:val="3"/>
          </w:tcPr>
          <w:p>
            <w:pPr>
              <w:spacing w:after="0"/>
              <w:rPr>
                <w:sz w:val="18"/>
                <w:szCs w:val="18"/>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4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239,194</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4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(23,505)</w:t>
            </w:r>
          </w:p>
        </w:tc>
        <w:tc>
          <w:tcPr>
            <w:tcW w:w="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4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216,486</w:t>
            </w: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2022</w:t>
            </w:r>
          </w:p>
        </w:tc>
        <w:tc>
          <w:tcPr>
            <w:tcW w:w="3380" w:type="dxa"/>
            <w:vAlign w:val="bottom"/>
            <w:gridSpan w:val="3"/>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89,020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3" w:name="page224"/>
    <w:bookmarkEnd w:id="2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values of the remaining non-vested share awards as of the respective year end for the restricted share units were CHF 3.06, CHF 9.41 and CHF 9.51 for the years ended December 31, 2022, 2021 and 2020, respectively. The fair values of these non-vested share awards granted were determined using a reasonable estimate of market value of the common shares on the date of the award.</w:t>
      </w:r>
    </w:p>
    <w:p>
      <w:pPr>
        <w:spacing w:after="0" w:line="180"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expense charged against the income statement was CHF 3.3 million, CHF 4.1 million and CHF 4.1 million for the years ended December 31, 2022, 2021 and 2020, respectively. The expense is revised by the Company based on the number of instruments that are expected to become exercisable.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229"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commitments and contingencies relate to its ongoing operating activities, mainly research and development programs, as well as its leased corporate space.</w:t>
      </w:r>
    </w:p>
    <w:p>
      <w:pPr>
        <w:spacing w:after="0" w:line="14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 As of December 31, 2022, we have contractual obligations, other than for leases (see below), totaling CHF 23.0 million for 2023.</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lease our corporate, laboratory and other facilities under multiple leases at the EPFL Innovation Park in Ecublens, near Lausanne, Canton of Vaud, Switzerland. Our lease agreements have no termination clauses longer than a 12-month contractual notice period. The Company recognizes a right-of-use asset for its leases, except for short-term and low-value leases as indicated in Note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5. Right-of-use assets, long-term financial assets and lease liabilities” for the contractual undiscounted cash flows for lease obligations.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9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3 years</w:t>
            </w:r>
          </w:p>
        </w:tc>
        <w:tc>
          <w:tcPr>
            <w:tcW w:w="94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 and 5 years</w:t>
            </w:r>
          </w:p>
        </w:tc>
        <w:tc>
          <w:tcPr>
            <w:tcW w:w="94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94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 Earnings per share</w:t>
            </w: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4"/>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6"/>
                <w:szCs w:val="16"/>
                <w:color w:val="auto"/>
              </w:rPr>
            </w:pPr>
          </w:p>
        </w:tc>
        <w:tc>
          <w:tcPr>
            <w:tcW w:w="98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(72,996)</w:t>
            </w: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EPS basic</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 attributable to equity holders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83,554,412</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74,951,833</w:t>
            </w:r>
          </w:p>
        </w:tc>
        <w:tc>
          <w:tcPr>
            <w:tcW w:w="1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71,900,212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F-42</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4" w:name="page225"/>
    <w:bookmarkEnd w:id="2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have excluded from our calculation of diluted loss per share all potentially dilutive in-the-money (i) share options, (ii) non-vested restricted share awards and (iii) shares that were issued upon conversion of two different convertible notes as their inclusion would have been anti-dilutive. The weighted-average number of potentially dilutive securities that were not included in the diluted per share calculations because they would be anti-dilutive were as follows: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16"/>
                <w:szCs w:val="16"/>
                <w:color w:val="auto"/>
              </w:rPr>
            </w:pPr>
          </w:p>
        </w:tc>
      </w:tr>
      <w:tr>
        <w:trPr>
          <w:trHeight w:val="195"/>
        </w:trPr>
        <w:tc>
          <w:tcPr>
            <w:tcW w:w="63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r>
      <w:tr>
        <w:trPr>
          <w:trHeight w:val="188"/>
        </w:trPr>
        <w:tc>
          <w:tcPr>
            <w:tcW w:w="630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 (in-the-money)</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135,827</w:t>
            </w:r>
          </w:p>
        </w:tc>
        <w:tc>
          <w:tcPr>
            <w:tcW w:w="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1,140,388</w:t>
            </w:r>
          </w:p>
        </w:tc>
        <w:tc>
          <w:tcPr>
            <w:tcW w:w="2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412,191</w:t>
            </w: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28,418</w:t>
            </w: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shares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253,119</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1,188,113</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440,609</w:t>
            </w:r>
          </w:p>
        </w:tc>
      </w:tr>
      <w:tr>
        <w:trPr>
          <w:trHeight w:val="20"/>
        </w:trPr>
        <w:tc>
          <w:tcPr>
            <w:tcW w:w="6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21. Financial instruments and risk management</w:t>
      </w:r>
    </w:p>
    <w:p>
      <w:pPr>
        <w:spacing w:after="0" w:line="229"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financial liabilities: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3"/>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8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116,000</w:t>
            </w: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82,216</w:t>
            </w: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126,147</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201,921</w:t>
            </w: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88"/>
        </w:trPr>
        <w:tc>
          <w:tcPr>
            <w:tcW w:w="7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3"/>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4"/>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28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7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21,649</w:t>
            </w: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8. Cash and cash equivalents and short-term financial assets”). The Company recognized a gain of CHF 0.5 million and losses of CHF 0.1 million and CHF 0.7 million for the years ended December 31, 2022, 2021 and 2020, respectively, within “Finance result, net.”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5" w:name="page226"/>
    <w:bookmarkEnd w:id="2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if the CHF had strengthened/weakened by 10% against the EUR and the USD with all other variables held constant, the net loss for the period would have been lower/higher by CHF 0.7 million (2021: CHF 1.7 million), mainly as a result of foreign exchange gains/losses on predominantly EUR/USD denominated cash and cash equivalents and short-term financial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Company’s CHF cash holdings (inclusive of those held in short-term financial assets) were subject to negative interest rates at certain counterparty thresholds through the first three quarters of 2022. However, with the increase in interest rates, no current CHF cash holdings (inclusive of those held in short-term financial assets) are subject to negative interest rates with our counterparties. As of December 31, 2022 if the interest rates charged by the counterparties had increased/decreased by 10%, the net income for the period would have been higher/lower by less than CHF 0.2 million. Interest income and interest expense are recorded within finance results, net in our consolidated statements of income/(loss).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maintains a formal treasury risk and investment management policy to limit counterparty credit risk. As of December 31, 2022, the Company’s cash and cash equivalents and short-term financial assets are held with five financial institutions, each with a high credit rating ranging from A+ to BBB assigned by international credit-rating agencies. The maximum amount of credit risk is the carrying amount of the financial assets. Other receivables are fully performing, not past due and not impaired (see “Note 8. Cash and cash equivalents and short-term financial assets” and “Note 10. Other current receivables”).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Inherent in the Company’s business are various risks and uncertainties, including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 The Company has CHF 0.9 million in trade and other payables, and CHF 9.4 million in accrued expenses which are due within 12 months from the reporting date. Finally, as it relates to the Company’s lease liabilities please see “Note 5. Right-of-use assets, long-term financial assets and lease liabilities” for detail of when corresponding lease liabilities are due.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22. Capital risk management</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 concern and to preserve the capital on the required statutory level in order to succeed in developing a cure against (i) AD, (ii) focused non-Alzheimer’s neurodegenerative diseases including NeuroOrphan indications and (iii) diagnostics.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1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consolidated financial statements, for appropriate accounting and disclosures. The Company has determined that there were no other such events that warrant disclosure or recognition in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6" w:name="page227"/>
    <w:bookmarkEnd w:id="226"/>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INDEMNITY AGREEMENT </w:t>
      </w:r>
      <w:r>
        <w:rPr>
          <w:rFonts w:ascii="Times New Roman" w:cs="Times New Roman" w:eastAsia="Times New Roman" w:hAnsi="Times New Roman"/>
          <w:sz w:val="18"/>
          <w:szCs w:val="18"/>
          <w:color w:val="auto"/>
        </w:rPr>
        <w:t>(“the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 Immune SA, EPFL Innovation Park, bâtiment B, 1015 Lausanne, Switzerland (the </w:t>
      </w:r>
      <w:r>
        <w:rPr>
          <w:rFonts w:ascii="Times New Roman" w:cs="Times New Roman" w:eastAsia="Times New Roman" w:hAnsi="Times New Roman"/>
          <w:sz w:val="18"/>
          <w:szCs w:val="18"/>
          <w:b w:val="1"/>
          <w:bCs w:val="1"/>
          <w:color w:val="auto"/>
        </w:rPr>
        <w:t>‘‘Company“)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Indemnitee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Indemnitee each a Party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200" w:lineRule="exact"/>
        <w:rPr>
          <w:sz w:val="20"/>
          <w:szCs w:val="20"/>
          <w:color w:val="auto"/>
        </w:rPr>
      </w:pPr>
    </w:p>
    <w:p>
      <w:pPr>
        <w:spacing w:after="0" w:line="228" w:lineRule="exact"/>
        <w:rPr>
          <w:sz w:val="20"/>
          <w:szCs w:val="20"/>
          <w:color w:val="auto"/>
        </w:rPr>
      </w:pPr>
    </w:p>
    <w:p>
      <w:pPr>
        <w:ind w:left="500" w:right="20" w:hanging="493"/>
        <w:spacing w:after="0" w:line="329" w:lineRule="auto"/>
        <w:tabs>
          <w:tab w:leader="none" w:pos="5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Indemnitee and the Company recognize the increased risk of litigation and other claims being asserted against members of the board of directors and officers of public companies;</w:t>
      </w:r>
    </w:p>
    <w:p>
      <w:pPr>
        <w:spacing w:after="0" w:line="202" w:lineRule="exact"/>
        <w:rPr>
          <w:rFonts w:ascii="Times New Roman" w:cs="Times New Roman" w:eastAsia="Times New Roman" w:hAnsi="Times New Roman"/>
          <w:sz w:val="18"/>
          <w:szCs w:val="18"/>
          <w:color w:val="auto"/>
        </w:rPr>
      </w:pPr>
    </w:p>
    <w:p>
      <w:pPr>
        <w:jc w:val="both"/>
        <w:ind w:left="520" w:hanging="2"/>
        <w:spacing w:after="0" w:line="307" w:lineRule="auto"/>
        <w:tabs>
          <w:tab w:leader="none" w:pos="103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have approved article 29 of the articles of association of the Company pursuant to which the Company may, to the extent permitted by law, indemnify members of board of directors and of the executive management for any disadvantages suffered in connection with proceedings, suits or settlements relating to their activity for the Company, advance the respective amounts and enter into respective D&amp;O insurances;</w:t>
      </w:r>
    </w:p>
    <w:p>
      <w:pPr>
        <w:spacing w:after="0" w:line="205" w:lineRule="exact"/>
        <w:rPr>
          <w:rFonts w:ascii="Times New Roman" w:cs="Times New Roman" w:eastAsia="Times New Roman" w:hAnsi="Times New Roman"/>
          <w:sz w:val="18"/>
          <w:szCs w:val="18"/>
          <w:color w:val="auto"/>
        </w:rPr>
      </w:pPr>
    </w:p>
    <w:p>
      <w:pPr>
        <w:ind w:left="1020" w:hanging="502"/>
        <w:spacing w:after="0"/>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enhancing the ability of the Company to retain</w:t>
      </w:r>
    </w:p>
    <w:p>
      <w:pPr>
        <w:spacing w:after="0" w:line="67" w:lineRule="exact"/>
        <w:rPr>
          <w:rFonts w:ascii="Times New Roman" w:cs="Times New Roman" w:eastAsia="Times New Roman" w:hAnsi="Times New Roman"/>
          <w:sz w:val="18"/>
          <w:szCs w:val="18"/>
          <w:color w:val="auto"/>
        </w:rPr>
      </w:pPr>
    </w:p>
    <w:p>
      <w:pPr>
        <w:ind w:left="52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attract as directors and officers the most capable persons is in the best interests of the Company and that the Company therefore should seek to assure such persons that full indemnification and D&amp;O insurance coverage is available;</w:t>
      </w:r>
    </w:p>
    <w:p>
      <w:pPr>
        <w:spacing w:after="0" w:line="188" w:lineRule="exact"/>
        <w:rPr>
          <w:rFonts w:ascii="Times New Roman" w:cs="Times New Roman" w:eastAsia="Times New Roman" w:hAnsi="Times New Roman"/>
          <w:sz w:val="18"/>
          <w:szCs w:val="18"/>
          <w:color w:val="auto"/>
        </w:rPr>
      </w:pPr>
    </w:p>
    <w:p>
      <w:pPr>
        <w:jc w:val="both"/>
        <w:ind w:left="520" w:hanging="2"/>
        <w:spacing w:after="0" w:line="313" w:lineRule="auto"/>
        <w:tabs>
          <w:tab w:leader="none" w:pos="103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of these considerations and in order to provide such protection, the Company wishes to provide in this Agreement for the indemnification of, and the advancement of legal fees to, Indemnitee as set forth in this Agreement and to the extent insurance is maintained for the coverage of Indemnitee under the Company's D&amp;O insurance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w:t>
      </w:r>
    </w:p>
    <w:p>
      <w:pPr>
        <w:sectPr>
          <w:pgSz w:w="11900" w:h="16838" w:orient="portrait"/>
          <w:cols w:equalWidth="0" w:num="1">
            <w:col w:w="9880"/>
          </w:cols>
          <w:pgMar w:left="1000" w:top="1440" w:right="101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this Indemnity Agreement.</w:t>
      </w:r>
    </w:p>
    <w:p>
      <w:pPr>
        <w:spacing w:after="0" w:line="207" w:lineRule="exact"/>
        <w:rPr>
          <w:sz w:val="20"/>
          <w:szCs w:val="20"/>
          <w:color w:val="auto"/>
        </w:rPr>
      </w:pPr>
    </w:p>
    <w:p>
      <w:pPr>
        <w:sectPr>
          <w:pgSz w:w="11900" w:h="16838" w:orient="portrait"/>
          <w:cols w:equalWidth="0" w:num="2">
            <w:col w:w="2600" w:space="720"/>
            <w:col w:w="6560"/>
          </w:cols>
          <w:pgMar w:left="1000" w:top="1440" w:right="101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 defined in Recital C.</w:t>
      </w:r>
    </w:p>
    <w:p>
      <w:pPr>
        <w:spacing w:after="0" w:line="200" w:lineRule="exact"/>
        <w:rPr>
          <w:sz w:val="20"/>
          <w:szCs w:val="20"/>
          <w:color w:val="auto"/>
        </w:rPr>
      </w:pPr>
    </w:p>
    <w:p>
      <w:pPr>
        <w:sectPr>
          <w:pgSz w:w="11900" w:h="16838" w:orient="portrait"/>
          <w:cols w:equalWidth="0" w:num="2">
            <w:col w:w="2600" w:space="720"/>
            <w:col w:w="6560"/>
          </w:cols>
          <w:pgMar w:left="1000" w:top="1440" w:right="101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means any threatened, pending or completed action, claim, suit or proceeding, whether civil, criminal or administrative or governmental or regulatory investigation.</w:t>
      </w:r>
    </w:p>
    <w:p>
      <w:pPr>
        <w:spacing w:after="0" w:line="198" w:lineRule="exact"/>
        <w:rPr>
          <w:sz w:val="20"/>
          <w:szCs w:val="20"/>
          <w:color w:val="auto"/>
        </w:rPr>
      </w:pPr>
    </w:p>
    <w:p>
      <w:pPr>
        <w:sectPr>
          <w:pgSz w:w="11900" w:h="16838" w:orient="portrait"/>
          <w:cols w:equalWidth="0" w:num="2">
            <w:col w:w="2600" w:space="720"/>
            <w:col w:w="6560"/>
          </w:cols>
          <w:pgMar w:left="1000" w:top="1440" w:right="10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as defined on page one.</w:t>
      </w:r>
    </w:p>
    <w:p>
      <w:pPr>
        <w:spacing w:after="0" w:line="200" w:lineRule="exact"/>
        <w:rPr>
          <w:sz w:val="20"/>
          <w:szCs w:val="20"/>
          <w:color w:val="auto"/>
        </w:rPr>
      </w:pPr>
    </w:p>
    <w:p>
      <w:pPr>
        <w:sectPr>
          <w:pgSz w:w="11900" w:h="16838" w:orient="portrait"/>
          <w:cols w:equalWidth="0" w:num="2">
            <w:col w:w="2600" w:space="720"/>
            <w:col w:w="6560"/>
          </w:cols>
          <w:pgMar w:left="1000" w:top="1440" w:right="101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means all reasonable costs, charges, fees (including court fees, retainers, attorneys' fees and experts' fees) and expenses (other than regular or overtime wages, salaries, lost revenues or fees of a member of the Board) incurred in defending or investigating any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641985</wp:posOffset>
            </wp:positionV>
            <wp:extent cx="627507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6275070" cy="25400"/>
                    </a:xfrm>
                    <a:prstGeom prst="rect">
                      <a:avLst/>
                    </a:prstGeom>
                    <a:noFill/>
                  </pic:spPr>
                </pic:pic>
              </a:graphicData>
            </a:graphic>
          </wp:anchor>
        </w:drawing>
      </w:r>
    </w:p>
    <w:p>
      <w:pPr>
        <w:sectPr>
          <w:pgSz w:w="11900" w:h="16838" w:orient="portrait"/>
          <w:cols w:equalWidth="0" w:num="2">
            <w:col w:w="2600" w:space="720"/>
            <w:col w:w="6560"/>
          </w:cols>
          <w:pgMar w:left="1000" w:top="1440" w:right="1019" w:bottom="1440" w:gutter="0" w:footer="0" w:header="0"/>
          <w:type w:val="continuous"/>
        </w:sectPr>
      </w:pPr>
    </w:p>
    <w:bookmarkStart w:id="227" w:name="page228"/>
    <w:bookmarkEnd w:id="227"/>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are all costs, charges, losses, damages (including monetary judgments, fines, penalties, amounts paid in settlement) arising out of or relating to a Claim, including all Expenses.</w:t>
      </w:r>
    </w:p>
    <w:p>
      <w:pPr>
        <w:spacing w:after="0" w:line="198" w:lineRule="exact"/>
        <w:rPr>
          <w:sz w:val="20"/>
          <w:szCs w:val="20"/>
          <w:color w:val="auto"/>
        </w:rPr>
      </w:pPr>
    </w:p>
    <w:p>
      <w:pPr>
        <w:sectPr>
          <w:pgSz w:w="11900" w:h="16838" w:orient="portrait"/>
          <w:cols w:equalWidth="0" w:num="2">
            <w:col w:w="2600" w:space="720"/>
            <w:col w:w="6560"/>
          </w:cols>
          <w:pgMar w:left="1000" w:top="1440" w:right="101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as defined on page one.</w:t>
      </w:r>
    </w:p>
    <w:p>
      <w:pPr>
        <w:spacing w:after="0" w:line="207" w:lineRule="exact"/>
        <w:rPr>
          <w:sz w:val="20"/>
          <w:szCs w:val="20"/>
          <w:color w:val="auto"/>
        </w:rPr>
      </w:pPr>
    </w:p>
    <w:p>
      <w:pPr>
        <w:sectPr>
          <w:pgSz w:w="11900" w:h="16838" w:orient="portrait"/>
          <w:cols w:equalWidth="0" w:num="2">
            <w:col w:w="2600" w:space="720"/>
            <w:col w:w="6560"/>
          </w:cols>
          <w:pgMar w:left="1000" w:top="1440" w:right="101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recital of this Agreement.</w:t>
      </w:r>
    </w:p>
    <w:p>
      <w:pPr>
        <w:spacing w:after="0" w:line="207" w:lineRule="exact"/>
        <w:rPr>
          <w:sz w:val="20"/>
          <w:szCs w:val="20"/>
          <w:color w:val="auto"/>
        </w:rPr>
      </w:pPr>
    </w:p>
    <w:p>
      <w:pPr>
        <w:sectPr>
          <w:pgSz w:w="11900" w:h="16838" w:orient="portrait"/>
          <w:cols w:equalWidth="0" w:num="2">
            <w:col w:w="2600" w:space="720"/>
            <w:col w:w="6560"/>
          </w:cols>
          <w:pgMar w:left="1000" w:top="1440" w:right="101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section of this Agreement.</w:t>
      </w:r>
    </w:p>
    <w:p>
      <w:pPr>
        <w:spacing w:after="0" w:line="207" w:lineRule="exact"/>
        <w:rPr>
          <w:sz w:val="20"/>
          <w:szCs w:val="20"/>
          <w:color w:val="auto"/>
        </w:rPr>
      </w:pPr>
    </w:p>
    <w:p>
      <w:pPr>
        <w:sectPr>
          <w:pgSz w:w="11900" w:h="16838" w:orient="portrait"/>
          <w:cols w:equalWidth="0" w:num="2">
            <w:col w:w="2600" w:space="720"/>
            <w:col w:w="6560"/>
          </w:cols>
          <w:pgMar w:left="1000" w:top="1440" w:right="101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Construction</w:t>
      </w:r>
    </w:p>
    <w:p>
      <w:pPr>
        <w:sectPr>
          <w:pgSz w:w="11900" w:h="16838" w:orient="portrait"/>
          <w:cols w:equalWidth="0" w:num="1">
            <w:col w:w="9880"/>
          </w:cols>
          <w:pgMar w:left="1000" w:top="1440" w:right="101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306" w:lineRule="exact"/>
        <w:rPr>
          <w:sz w:val="20"/>
          <w:szCs w:val="20"/>
          <w:color w:val="auto"/>
        </w:rPr>
      </w:pPr>
    </w:p>
    <w:p>
      <w:pPr>
        <w:ind w:left="540" w:right="20" w:hanging="533"/>
        <w:spacing w:after="0" w:line="329"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any individual, company, corporation, firm, partnership, joint venture, association, organization, trust or agency (in each case, whether or not having separate legal personality);</w:t>
      </w:r>
    </w:p>
    <w:p>
      <w:pPr>
        <w:spacing w:after="0" w:line="202" w:lineRule="exact"/>
        <w:rPr>
          <w:rFonts w:ascii="Times New Roman" w:cs="Times New Roman" w:eastAsia="Times New Roman" w:hAnsi="Times New Roman"/>
          <w:sz w:val="18"/>
          <w:szCs w:val="18"/>
          <w:color w:val="auto"/>
        </w:rPr>
      </w:pPr>
    </w:p>
    <w:p>
      <w:pPr>
        <w:ind w:left="540" w:hanging="533"/>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Indemnification</w:t>
      </w:r>
    </w:p>
    <w:p>
      <w:pPr>
        <w:spacing w:after="0" w:line="297"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Company shall indemnify and hold harmless the Indemnitee, to the fullest extent permitted by applicable law, out of the assets of the Company from and against all Losses, provided that:</w:t>
      </w:r>
    </w:p>
    <w:p>
      <w:pPr>
        <w:spacing w:after="0" w:line="202" w:lineRule="exact"/>
        <w:rPr>
          <w:sz w:val="20"/>
          <w:szCs w:val="20"/>
          <w:color w:val="auto"/>
        </w:rPr>
      </w:pPr>
    </w:p>
    <w:p>
      <w:pPr>
        <w:jc w:val="both"/>
        <w:ind w:left="540" w:hanging="533"/>
        <w:spacing w:after="0" w:line="313"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Losses which the Indemnitee has incurred or sustained resulted from any act done or omitted in or about the execution of the Indemnitee's duty, or supposed duty as a member of the Board or as a member of the executive committee of the Company (or is serving at the request of the Company for any affiliates of the Company); and</w:t>
      </w:r>
    </w:p>
    <w:p>
      <w:pPr>
        <w:spacing w:after="0" w:line="216" w:lineRule="exact"/>
        <w:rPr>
          <w:rFonts w:ascii="Times New Roman" w:cs="Times New Roman" w:eastAsia="Times New Roman" w:hAnsi="Times New Roman"/>
          <w:sz w:val="18"/>
          <w:szCs w:val="18"/>
          <w:color w:val="auto"/>
        </w:rPr>
      </w:pPr>
    </w:p>
    <w:p>
      <w:pPr>
        <w:ind w:left="540" w:right="20" w:hanging="533"/>
        <w:spacing w:after="0" w:line="329"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act or omission giving rise to such Losses, the Indemnitee had a reasonable belief that [he/she] was at all relevant times acting in good faith and in the best interests of the Company; and</w:t>
      </w:r>
    </w:p>
    <w:p>
      <w:pPr>
        <w:spacing w:after="0" w:line="202" w:lineRule="exact"/>
        <w:rPr>
          <w:rFonts w:ascii="Times New Roman" w:cs="Times New Roman" w:eastAsia="Times New Roman" w:hAnsi="Times New Roman"/>
          <w:sz w:val="18"/>
          <w:szCs w:val="18"/>
          <w:color w:val="auto"/>
        </w:rPr>
      </w:pPr>
    </w:p>
    <w:p>
      <w:pPr>
        <w:ind w:left="540" w:right="20" w:hanging="533"/>
        <w:spacing w:after="0" w:line="329"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regulatory action, investigation or proceeding, the Indemnitee had no reasonable cause to believe that his conduct giving rise to such Losses was unlawful; and</w:t>
      </w:r>
    </w:p>
    <w:p>
      <w:pPr>
        <w:spacing w:after="0" w:line="202" w:lineRule="exact"/>
        <w:rPr>
          <w:rFonts w:ascii="Times New Roman" w:cs="Times New Roman" w:eastAsia="Times New Roman" w:hAnsi="Times New Roman"/>
          <w:sz w:val="18"/>
          <w:szCs w:val="18"/>
          <w:color w:val="auto"/>
        </w:rPr>
      </w:pPr>
    </w:p>
    <w:p>
      <w:pPr>
        <w:ind w:left="540" w:hanging="533"/>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cooperates with the Company in relation to the Claim in respect of which indemnification is sought hereunder.</w:t>
      </w:r>
    </w:p>
    <w:p>
      <w:pPr>
        <w:spacing w:after="0" w:line="30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 xml:space="preserve">The conclusion of any Claim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against an indemnified person shall not in itself create a presumption that the Indemnitee did not meet the criteria set forth in clauses (ii) and (iii) above. Without limitation, in determining whether an indemnified person meets the criteria set forth in clauses (ii) and (iii) above, it is relevant whether the Indemnitee's acts or omissions giving rise to such Losses were the result of knowingly fraudulent or deliberate dishonest behavior, willful or grossly negligent misconduct, or resulted in the Indemnitee's personal gain or a financial profit or other advantage to which the Indemnitee was not legally entitled.</w:t>
      </w:r>
    </w:p>
    <w:p>
      <w:pPr>
        <w:spacing w:after="0" w:line="22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Notwithstanding the foregoing, the Company will not indemnify the Indemnitee where to do so would or might, in the reasonable judgment of the Company, be contrary to applicable mandatory law. With respect to claims for breach of the fiduciary duty of care under Swiss law, this means inter alia that no indemnification will be made if the Indemnitee acted with willful intent or with gross negligence.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963295</wp:posOffset>
            </wp:positionV>
            <wp:extent cx="627507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28" w:name="page229"/>
    <w:bookmarkEnd w:id="228"/>
    <w:p>
      <w:pPr>
        <w:spacing w:after="0" w:line="41" w:lineRule="exact"/>
        <w:rPr>
          <w:sz w:val="20"/>
          <w:szCs w:val="20"/>
          <w:color w:val="auto"/>
        </w:rPr>
      </w:pPr>
    </w:p>
    <w:p>
      <w:pPr>
        <w:ind w:left="180" w:hanging="173"/>
        <w:spacing w:after="0"/>
        <w:tabs>
          <w:tab w:leader="none" w:pos="18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Process</w:t>
      </w:r>
    </w:p>
    <w:p>
      <w:pPr>
        <w:spacing w:after="0" w:line="30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 Notification</w:t>
      </w:r>
    </w:p>
    <w:p>
      <w:pPr>
        <w:spacing w:after="0" w:line="29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Upon becoming aware of any Claim, the Indemnitee must promptly notify the chair of the Board (or, if the Indemnitee is the chair of the Board, the vice-chair of the Board) in writing that [he/she] is seeking indemnification under this Agreement.</w:t>
      </w:r>
    </w:p>
    <w:p>
      <w:pPr>
        <w:spacing w:after="0" w:line="20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Any failure or delay to notify will not relieve the Company of the obligation to indemnify the Indemnitee under this Agreement provided however that the Company shall not be held liable for any damages, losses, damages or costs to the extent caused by the Indemnitee’s failure to give due and timely notice.</w:t>
      </w:r>
    </w:p>
    <w:p>
      <w:pPr>
        <w:spacing w:after="0" w:line="21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The Company shall give prompt written notice to the applicable insurers in accordance with the procedures set forth in the applicable D&amp;O policies. The Company shall provide to Indemnitee a copy of such notice delivered to the applicable insurers, and copies of all subsequent correspondence between the Company and such insurers regarding the Claim, in each case substantially concurrently with the delivery or receipt thereof by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Determination of Entitlement to Indemnification</w:t>
      </w: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accordance with article 29 of the articles of association and article 9 of the Organizational Rules of the Company, indemnification under this Agreement (unless ordered differently by a court) is made by the Company as per this Agreement. Where the Company has to make assessments, decisions or a judgment on the behavior of the Indemnitee hereunder, the respective decisions are made as follows:</w:t>
      </w:r>
    </w:p>
    <w:p>
      <w:pPr>
        <w:spacing w:after="0" w:line="216" w:lineRule="exact"/>
        <w:rPr>
          <w:sz w:val="20"/>
          <w:szCs w:val="20"/>
          <w:color w:val="auto"/>
        </w:rPr>
      </w:pPr>
    </w:p>
    <w:p>
      <w:pPr>
        <w:ind w:left="540" w:hanging="533"/>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members of the Board who are not parties to such Claim, even though less than a quorum;</w:t>
      </w:r>
    </w:p>
    <w:p>
      <w:pPr>
        <w:spacing w:after="0" w:line="306" w:lineRule="exact"/>
        <w:rPr>
          <w:rFonts w:ascii="Times New Roman" w:cs="Times New Roman" w:eastAsia="Times New Roman" w:hAnsi="Times New Roman"/>
          <w:sz w:val="18"/>
          <w:szCs w:val="18"/>
          <w:color w:val="auto"/>
        </w:rPr>
      </w:pPr>
    </w:p>
    <w:p>
      <w:pPr>
        <w:ind w:left="540" w:hanging="533"/>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such members of the Board designated by a majority vote of the Board, even though less than a quorum; or</w:t>
      </w:r>
    </w:p>
    <w:p>
      <w:pPr>
        <w:spacing w:after="0" w:line="306" w:lineRule="exact"/>
        <w:rPr>
          <w:rFonts w:ascii="Times New Roman" w:cs="Times New Roman" w:eastAsia="Times New Roman" w:hAnsi="Times New Roman"/>
          <w:sz w:val="18"/>
          <w:szCs w:val="18"/>
          <w:color w:val="auto"/>
        </w:rPr>
      </w:pPr>
    </w:p>
    <w:p>
      <w:pPr>
        <w:ind w:left="540" w:right="20" w:hanging="533"/>
        <w:spacing w:after="0" w:line="329"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such members of the Board, or if such members of the Board so direct, by independent legal counsel in a written opinion.</w:t>
      </w:r>
    </w:p>
    <w:p>
      <w:pPr>
        <w:spacing w:after="0" w:line="20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Subject to the other provisions of this Agreement, where an Indemnitee is entitled to indemnification, the Company will pay any Expenses incurred by the Indemnitee in defending any Claim, and to the extent such Expenses are not directly paid by the Company, advance to the Indemnitee such Expenses within five (5) business days of a notification to the Company by the Indemnitee that such Expenses are payable, provided that such advances may not exceed the limit provided in article 39 of the articles of association.</w:t>
      </w:r>
    </w:p>
    <w:p>
      <w:pPr>
        <w:spacing w:after="0" w:line="22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The Company's obligation to pay or advance such Expenses is subject to receipt of an undertaking from the Indemnitee to repay any Expenses that the Company paid in accordance with Section 8 if it is subsequently determined that the Indemnitee is not or was not entitled to be indemnified by the Company. In addition, the Indemnitee is obliged to repay any Expenses paid or advanced by the Company if they are subsequently reimbursed to the Indemnitee by any other person or if advances are not used.</w:t>
      </w:r>
    </w:p>
    <w:p>
      <w:pPr>
        <w:spacing w:after="0" w:line="22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Company will not indemnify the Indemnitee in respect of the Expenses of enforcing any indemnification right under this Agreement, unless the Indemnitee is successful in enforcing a right to indemnification.</w:t>
      </w:r>
    </w:p>
    <w:p>
      <w:pPr>
        <w:ind w:left="180" w:hanging="173"/>
        <w:spacing w:after="0"/>
        <w:tabs>
          <w:tab w:leader="none" w:pos="18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Claims</w:t>
      </w:r>
    </w:p>
    <w:p>
      <w:pPr>
        <w:spacing w:after="0" w:line="30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 General</w:t>
      </w: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After notification of a Claim in accordance with Section 4.1, the Company may elect in writing to assume the defense of the Claim at its own expense and to engage legal counsel. Upon such election, the Company shall not be liable for any other attorney's fees subsequently incurred by the Indemnitee in connection with the Claim unless:</w:t>
      </w:r>
    </w:p>
    <w:p>
      <w:pPr>
        <w:spacing w:after="0" w:line="216" w:lineRule="exact"/>
        <w:rPr>
          <w:sz w:val="20"/>
          <w:szCs w:val="20"/>
          <w:color w:val="auto"/>
        </w:rPr>
      </w:pPr>
    </w:p>
    <w:p>
      <w:pPr>
        <w:ind w:left="540" w:hanging="533"/>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Indemnitee's engagement of its own legal counsel has been authorized by the Company;</w:t>
      </w:r>
    </w:p>
    <w:p>
      <w:pPr>
        <w:spacing w:after="0" w:line="306" w:lineRule="exact"/>
        <w:rPr>
          <w:rFonts w:ascii="Times New Roman" w:cs="Times New Roman" w:eastAsia="Times New Roman" w:hAnsi="Times New Roman"/>
          <w:sz w:val="18"/>
          <w:szCs w:val="18"/>
          <w:color w:val="auto"/>
        </w:rPr>
      </w:pPr>
    </w:p>
    <w:p>
      <w:pPr>
        <w:ind w:left="540" w:hanging="533"/>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to timely engage reputable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694690</wp:posOffset>
            </wp:positionV>
            <wp:extent cx="627507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6275070" cy="25400"/>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29" w:name="page230"/>
    <w:bookmarkEnd w:id="229"/>
    <w:p>
      <w:pPr>
        <w:spacing w:after="0" w:line="45" w:lineRule="exact"/>
        <w:rPr>
          <w:sz w:val="20"/>
          <w:szCs w:val="20"/>
          <w:color w:val="auto"/>
        </w:rPr>
      </w:pPr>
    </w:p>
    <w:p>
      <w:pPr>
        <w:ind w:left="540" w:hanging="533"/>
        <w:spacing w:after="0" w:line="329"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the Company has assumed the defense of the Claim, the nature of such defense risks damaging the good name or reputation of the Indemnitee; or</w:t>
      </w:r>
    </w:p>
    <w:p>
      <w:pPr>
        <w:spacing w:after="0" w:line="202" w:lineRule="exact"/>
        <w:rPr>
          <w:rFonts w:ascii="Times New Roman" w:cs="Times New Roman" w:eastAsia="Times New Roman" w:hAnsi="Times New Roman"/>
          <w:sz w:val="18"/>
          <w:szCs w:val="18"/>
          <w:color w:val="auto"/>
        </w:rPr>
      </w:pPr>
    </w:p>
    <w:p>
      <w:pPr>
        <w:ind w:left="540" w:hanging="533"/>
        <w:spacing w:after="0" w:line="329"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counsel whom the Company has engaged reasonably determined that his/her representation of the Indemnitee would present him/her with a conflict of interest and the Company has not provided an alternative.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Retention of Outside Counsel</w:t>
      </w:r>
    </w:p>
    <w:p>
      <w:pPr>
        <w:spacing w:after="0" w:line="297"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If the Company does not elect to defend the Claim on behalf of the Indemnitee or in case of any circumstances of Section 5.1.a) to d) above, the Indemnitee may retain outside counsel.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Settlement of Claims without Consent</w:t>
      </w:r>
    </w:p>
    <w:p>
      <w:pPr>
        <w:spacing w:after="0" w:line="310"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Indemnitee must not settle the Claim without the prior written consent of the Company, such consent not to be unreasonably withheld. The Company shall not be liable to indemnify the Indemnitee under this Agreement for any amounts paid in settlement of any Claim without its written consent.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D&amp;O Insurance</w:t>
      </w:r>
    </w:p>
    <w:p>
      <w:pPr>
        <w:spacing w:after="0" w:line="31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For the duration of Indemnitee's service as a member of the Board or of the executive committee of the Company, and for at least a period of six years thereafter (or for a longer period to the extent that such D&amp;O insurance can be obtained thereafter for so long as Indemnitee shall be subject to any pending Claim) the Company will purchase D&amp;O insurance against any liability asserted against Indemnitee in [his/her] capacity as such and continue to maintain in effect policy of Indemnitee's D&amp;O insurance providing coverage that is at least substantially comparable in scope and amount to that provided by the Company's current policies of D&amp;O insurance.</w:t>
      </w:r>
    </w:p>
    <w:p>
      <w:pPr>
        <w:spacing w:after="0" w:line="22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In all policies of D&amp;O insurance maintained by the Company, the Indemnitee shall be considered as an insured in such a manner as to provide the Indemnitee the same rights and benefits as are provided to the most favorably insured of the Company's directors, if the Indemnitee is a director, or of the Company's member of the executive committee, if the Indemnitee is a member of the executive committee (and not a director) by such policy.</w:t>
      </w:r>
    </w:p>
    <w:p>
      <w:pPr>
        <w:spacing w:after="0" w:line="22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Upon request, the Company will provide to the Indemnitee copies of all D&amp;O insurance applications, binders, policies, declarations, endorsements and other related materials.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Indemnitee acknowledges that:</w:t>
      </w:r>
    </w:p>
    <w:p>
      <w:pPr>
        <w:spacing w:after="0" w:line="239" w:lineRule="exact"/>
        <w:rPr>
          <w:sz w:val="20"/>
          <w:szCs w:val="20"/>
          <w:color w:val="auto"/>
        </w:rPr>
      </w:pPr>
    </w:p>
    <w:p>
      <w:pPr>
        <w:jc w:val="both"/>
        <w:ind w:left="660" w:hanging="329"/>
        <w:spacing w:after="0" w:line="254"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change of control of the Company as a result of a merger or acquisition by a third party, the D&amp;O Insurance may expire for Losses arising from causes occurring after such change of control event, and the Company will use commercially reasonable efforts to buy D&amp;O insurance to cover events occurring after such change in control and, should the Company fail in its efforts, the Company will in any case use best efforts to purchase “Run-off Coverage” insurance for a period up to six years from the end of the D&amp;O insurance; and</w:t>
      </w:r>
    </w:p>
    <w:p>
      <w:pPr>
        <w:spacing w:after="0" w:line="187" w:lineRule="exact"/>
        <w:rPr>
          <w:rFonts w:ascii="Times New Roman" w:cs="Times New Roman" w:eastAsia="Times New Roman" w:hAnsi="Times New Roman"/>
          <w:sz w:val="18"/>
          <w:szCs w:val="18"/>
          <w:color w:val="auto"/>
        </w:rPr>
      </w:pPr>
    </w:p>
    <w:p>
      <w:pPr>
        <w:jc w:val="both"/>
        <w:ind w:left="660" w:hanging="329"/>
        <w:spacing w:after="0" w:line="253"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renewal of a D&amp;O insurance, the Company’s Audit &amp; Finance Committee will make a determination on the economic reasonableness of the premium for a D&amp;O insurance extension considering the overall coverage (including limits and deductible). Where the Audit &amp; Finance Committee considers the extension of the coverage to be excessively onerous relative to the coverage, the Company shall have no obligation to extend any D&amp;O insurance, provided that in such event, the Company will immediately inform the Indemnitee thereof, and provided further that the Company shall then be compelled to purchase “Extended Reporting Coverage” insurance for a period of three years from the end of the then current D&amp;O insurance period as provided in the existing D&amp;O insurance policy.</w:t>
      </w:r>
    </w:p>
    <w:p>
      <w:pPr>
        <w:spacing w:after="0" w:line="24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For the avoidance of doubt, the maintenance of a D&amp;O insurance by the Company does not limit the Indemnitee's right to be fully indemnified and held harmless as set forth under Section 3 or as set forth in article 29 of the articles of association of the Company. Any Loss not covered by D&amp;O insurance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637540</wp:posOffset>
            </wp:positionV>
            <wp:extent cx="627507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6275070" cy="2603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30" w:name="page231"/>
    <w:bookmarkEnd w:id="230"/>
    <w:p>
      <w:pPr>
        <w:spacing w:after="0" w:line="41" w:lineRule="exact"/>
        <w:rPr>
          <w:sz w:val="20"/>
          <w:szCs w:val="20"/>
          <w:color w:val="auto"/>
        </w:rPr>
      </w:pPr>
    </w:p>
    <w:p>
      <w:pPr>
        <w:ind w:left="180" w:hanging="173"/>
        <w:spacing w:after="0"/>
        <w:tabs>
          <w:tab w:leader="none" w:pos="18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Term and Termination</w:t>
      </w:r>
    </w:p>
    <w:p>
      <w:pPr>
        <w:spacing w:after="0" w:line="30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 Scope and Term of Agreement</w:t>
      </w:r>
    </w:p>
    <w:p>
      <w:pPr>
        <w:spacing w:after="0" w:line="29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This Agreement (and in particular the rights of the Indemnitee under Section 3) is applicable to all Claims against the Indemnitee or Losses incurred by the Indemnitee resulting from acts done or omitted in or about the execution of the Indemnitee's duty or supposed duty as a member of the Board or of the executive committee of the Company during the entire period the Indemnitee is a member of the Board or of the executive committee of the Company (or is serving at the request of the Company for any affiliates of the Company), beginning with date of election as a member of the Board or of the executive committee and not with the date of this agreement and shall continue thereafter (i) for so long as the Indemnitee may be subject to any possible Claim (including any rights of appeal thereto) and (ii) throughout the pendency of any proceedings (including any rights of appeal thereto) commenced by the Indemnitee to enforce or interpret his or her rights under this Agreement, even if, in either case, the Indemnitee may have ceased to serve in such capacity at the time of any Claim. This Agreement shall be binding upon the Company and its successors and assigns and shall inure to the benefit of the Indemnitee. The Company shall require any successor (whether direct or indirect, by purchase, merger, consolidation or otherwise) to all or substantially all the business or assets of the Company, to assume and agree to perform this Agreement in the same manner and to the same extent that the Company would be required to perform if no such succession had taken place.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Termination of Indemnification</w:t>
      </w:r>
    </w:p>
    <w:p>
      <w:pPr>
        <w:spacing w:after="0" w:line="31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Notwithstanding the forgoing, an Indemnitee is no longer entitled to indemnification in case the Indemnitee ceases to comply with the requirements set out in Section 3 (i) to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Repayment of Expenses</w:t>
      </w:r>
    </w:p>
    <w:p>
      <w:pPr>
        <w:spacing w:after="0" w:line="31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If the Company determines, applying the criteria in Section 3(i) –(iv), that the Indemnitee is no longer entitled to indemnification, the Company will immediately cease to pay the Expenses and the Company may require the Indemnitee to reimburse all advancements.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the Indemnitee's obligation to reimburse the Company is unsecured and free of interest.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General Provisions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Duplication of Payments</w:t>
      </w:r>
    </w:p>
    <w:p>
      <w:pPr>
        <w:spacing w:after="0" w:line="297"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Without limiting the rights of the Indemnitee to be indemnified under this Agreement at any time, this Agreement constitutes secondary coverage if the Indemnitee is entitled to recover under any other indemnification arrangement provided by a third party or under any D&amp;O insurance policy purchased for the benefit of the Indemnitee. The Indemnitee is not entitled to multiple indemnifications.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Successors</w:t>
      </w:r>
    </w:p>
    <w:p>
      <w:pPr>
        <w:spacing w:after="0" w:line="3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This Agreement is binding upon the Company and its successors. References to the Company include all constituent corporations in a consolidation or merger in which the Company or a predecessor to the Company by consolidation or merger was involved. Any rights of indemnification passes to the benefit of the heirs, executors and administrators of the Indemnitee.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 Subrogation</w:t>
      </w:r>
    </w:p>
    <w:p>
      <w:pPr>
        <w:spacing w:after="0" w:line="297"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In the event of any indemnification under this Agreement, the Company shall be subrogated to the extent of such payment to all of the rights of recovery of Indemnitee, and Indemnitee shall execute all documents reasonably required and shall take such action that may be reasonably necessary to secure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949960</wp:posOffset>
            </wp:positionV>
            <wp:extent cx="627507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6275070" cy="2603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31" w:name="page232"/>
    <w:bookmarkEnd w:id="231"/>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 Confidentiality</w:t>
      </w:r>
    </w:p>
    <w:p>
      <w:pPr>
        <w:spacing w:after="0" w:line="31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Parties shall keep confidential all matters relating to indemnification. This includes, but is not limited to, the Indemnitee's intention to apply for indemnification pursuant to this Agreement, any communications with the chair of the Board or other representatives of the Company regarding indemnification. The Indemnitee shall not discuss such information with or disclose documents relating to it to anyone apart from the relevant legal advisers of the Company, [his/her] legal counsel, financial advisers and accounting (if any), and [his/her] spouse/partner, if applicable, provided that such persons shall have agreed to maintain the confidential nature of all matters relating to the indemnification. Notwithstanding the foregoing, nothing will prevent the Indemnitee from disclosing such information:</w:t>
      </w:r>
    </w:p>
    <w:p>
      <w:pPr>
        <w:spacing w:after="0" w:line="214" w:lineRule="exact"/>
        <w:rPr>
          <w:sz w:val="20"/>
          <w:szCs w:val="20"/>
          <w:color w:val="auto"/>
        </w:rPr>
      </w:pPr>
    </w:p>
    <w:p>
      <w:pPr>
        <w:ind w:left="540" w:right="20" w:hanging="533"/>
        <w:spacing w:after="0" w:line="344"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Indemnitee is under a legal or regulatory obligation to disclosure such information (but only to the extent of such obligation); or</w:t>
      </w:r>
    </w:p>
    <w:p>
      <w:pPr>
        <w:spacing w:after="0" w:line="176" w:lineRule="exact"/>
        <w:rPr>
          <w:rFonts w:ascii="Times New Roman" w:cs="Times New Roman" w:eastAsia="Times New Roman" w:hAnsi="Times New Roman"/>
          <w:sz w:val="18"/>
          <w:szCs w:val="18"/>
          <w:color w:val="auto"/>
        </w:rPr>
      </w:pPr>
    </w:p>
    <w:p>
      <w:pPr>
        <w:ind w:left="540" w:hanging="533"/>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it is already in the public domain (other than as a result of disclosure by the Indemnitee); or</w:t>
      </w:r>
    </w:p>
    <w:p>
      <w:pPr>
        <w:spacing w:after="0" w:line="306" w:lineRule="exact"/>
        <w:rPr>
          <w:rFonts w:ascii="Times New Roman" w:cs="Times New Roman" w:eastAsia="Times New Roman" w:hAnsi="Times New Roman"/>
          <w:sz w:val="18"/>
          <w:szCs w:val="18"/>
          <w:color w:val="auto"/>
        </w:rPr>
      </w:pPr>
    </w:p>
    <w:p>
      <w:pPr>
        <w:ind w:left="540" w:hanging="533"/>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prior written consent of the Company (who shall not unreasonably withhold its consent).</w:t>
      </w:r>
    </w:p>
    <w:p>
      <w:pPr>
        <w:spacing w:after="0" w:line="30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Where the Indemnitee believes that a) or b) applies, the Indemnitee shall notify the Company in advance of any disclosures unless Indemnitee is legally prohibited from such notification.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 Entire Agreement</w:t>
      </w:r>
    </w:p>
    <w:p>
      <w:pPr>
        <w:spacing w:after="0" w:line="310"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with respect to the subject matter of this Agreement and supersedes all other prior agreements or understandings of the Parties relating 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9.6 Severability</w:t>
      </w: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provisions of this Agreement shall be severable in the event that any of the provisions (including any provision within a particular paragraph or sentence) are held by a court of competent jurisdiction to be invalid, illegal, void or otherwise unenforceable, and the remaining provisions shall remain legally valid and enforceable to the fullest extent permitted by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9.7 Amendment</w:t>
      </w:r>
    </w:p>
    <w:p>
      <w:pPr>
        <w:spacing w:after="0" w:line="31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No amendment or termination of this Agreement shall impair the rights of the Indemnitee under this Agreement in respect of any Losses incurred after such amendment or termination to the extent that such Losses arise from events occurring:</w:t>
      </w:r>
    </w:p>
    <w:p>
      <w:pPr>
        <w:spacing w:after="0" w:line="202" w:lineRule="exact"/>
        <w:rPr>
          <w:sz w:val="20"/>
          <w:szCs w:val="20"/>
          <w:color w:val="auto"/>
        </w:rPr>
      </w:pPr>
    </w:p>
    <w:p>
      <w:pPr>
        <w:ind w:left="540" w:hanging="533"/>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amendment or termination; or</w:t>
      </w:r>
    </w:p>
    <w:p>
      <w:pPr>
        <w:spacing w:after="0" w:line="292" w:lineRule="exact"/>
        <w:rPr>
          <w:rFonts w:ascii="Times New Roman" w:cs="Times New Roman" w:eastAsia="Times New Roman" w:hAnsi="Times New Roman"/>
          <w:sz w:val="18"/>
          <w:szCs w:val="18"/>
          <w:color w:val="auto"/>
        </w:rPr>
      </w:pPr>
    </w:p>
    <w:p>
      <w:pPr>
        <w:ind w:left="540" w:right="20" w:hanging="533"/>
        <w:spacing w:after="0" w:line="329"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Indemnitee holding an external function for the Company, after such amendment or termination but before the earliest time at which the Indemnitee could reasonably have resigned from that external function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2574290</wp:posOffset>
            </wp:positionV>
            <wp:extent cx="627507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232" w:name="page233"/>
    <w:bookmarkEnd w:id="232"/>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 Notices</w:t>
      </w:r>
    </w:p>
    <w:p>
      <w:pPr>
        <w:spacing w:after="0" w:line="3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All notices, requests or other communications to be given to any Party under or in connection with this Agreement shall be made in English and in writing and shall be delivered by (i) registered mail (return receipt requested), (ii) an internationally recognized courier, such as Federal Express, DHL or UPS, or (iii) e-mail to the following addresses:</w:t>
      </w:r>
    </w:p>
    <w:p>
      <w:pPr>
        <w:sectPr>
          <w:pgSz w:w="11900" w:h="16838" w:orient="portrait"/>
          <w:cols w:equalWidth="0" w:num="1">
            <w:col w:w="9880"/>
          </w:cols>
          <w:pgMar w:left="1000" w:top="1440" w:right="101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Indemnitee: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Name of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and e-mail]</w:t>
      </w:r>
    </w:p>
    <w:p>
      <w:pPr>
        <w:spacing w:after="0" w:line="204" w:lineRule="exact"/>
        <w:rPr>
          <w:sz w:val="20"/>
          <w:szCs w:val="20"/>
          <w:color w:val="auto"/>
        </w:rPr>
      </w:pPr>
    </w:p>
    <w:p>
      <w:pPr>
        <w:sectPr>
          <w:pgSz w:w="11900" w:h="16838" w:orient="portrait"/>
          <w:cols w:equalWidth="0" w:num="2">
            <w:col w:w="2140" w:space="720"/>
            <w:col w:w="7020"/>
          </w:cols>
          <w:pgMar w:left="1000" w:top="1440" w:right="101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 of AC Immune SA,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EPFL Innovation Park, Building 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1215 Lausanne, Switzerland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140" w:space="720"/>
            <w:col w:w="7020"/>
          </w:cols>
          <w:pgMar w:left="1000" w:top="1440" w:right="101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Administrative Officer at AC Immune SA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EPFL Innovation Park, Building 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1215 Lausanne, Switzerland</w:t>
      </w:r>
    </w:p>
    <w:p>
      <w:pPr>
        <w:spacing w:after="0" w:line="200" w:lineRule="exact"/>
        <w:rPr>
          <w:sz w:val="20"/>
          <w:szCs w:val="20"/>
          <w:color w:val="auto"/>
        </w:rPr>
      </w:pPr>
    </w:p>
    <w:p>
      <w:pPr>
        <w:sectPr>
          <w:pgSz w:w="11900" w:h="16838" w:orient="portrait"/>
          <w:cols w:equalWidth="0" w:num="2">
            <w:col w:w="2140" w:space="720"/>
            <w:col w:w="7020"/>
          </w:cols>
          <w:pgMar w:left="1000" w:top="1440" w:right="1019" w:bottom="1440" w:gutter="0" w:footer="0" w:header="0"/>
          <w:type w:val="continuous"/>
        </w:sectPr>
      </w:pPr>
    </w:p>
    <w:p>
      <w:pPr>
        <w:spacing w:after="0" w:line="10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Jean-fabien.monin@acimmune.com</w:t>
      </w:r>
    </w:p>
    <w:p>
      <w:pPr>
        <w:sectPr>
          <w:pgSz w:w="11900" w:h="16838" w:orient="portrait"/>
          <w:cols w:equalWidth="0" w:num="1">
            <w:col w:w="988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Notices delivered by hand shall be deemed delivered when actually delivered. Notices given by courier shall be deemed delivered on the date delivery is promised by the courier. Notices given by facsimile or by electronic transmission shall be deemed given on the date of receipt (if a business day), otherwise the first business day following receipt; provided that a notice delivered by facsimile or electronic transmission shall only be effective if such notice is also delivered by hand, registered mail, or given by courier on or before 2 business days after its delivery by facsimile or electronic transmission.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9.9 Governing Law and Jurisdiction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governed by and construed in accordance with the laws of Switzerland.</w:t>
      </w:r>
    </w:p>
    <w:p>
      <w:pPr>
        <w:spacing w:after="0" w:line="29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Parties hereto submit to the exclusive jurisdiction of the competent courts at the registered seat of the Company (currently Lausanne, Switzerland).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858520</wp:posOffset>
            </wp:positionV>
            <wp:extent cx="627507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233" w:name="page234"/>
    <w:bookmarkEnd w:id="233"/>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Immune SA</w:t>
      </w:r>
    </w:p>
    <w:p>
      <w:pPr>
        <w:sectPr>
          <w:pgSz w:w="11900" w:h="16838" w:orient="portrait"/>
          <w:cols w:equalWidth="0" w:num="1">
            <w:col w:w="9459"/>
          </w:cols>
          <w:pgMar w:left="10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58" w:lineRule="exact"/>
        <w:rPr>
          <w:sz w:val="20"/>
          <w:szCs w:val="20"/>
          <w:color w:val="auto"/>
        </w:rPr>
      </w:pPr>
    </w:p>
    <w:p>
      <w:pPr>
        <w:sectPr>
          <w:pgSz w:w="11900" w:h="16838" w:orient="portrait"/>
          <w:cols w:equalWidth="0" w:num="2">
            <w:col w:w="2080" w:space="600"/>
            <w:col w:w="6779"/>
          </w:cols>
          <w:pgMar w:left="100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sectPr>
          <w:pgSz w:w="11900" w:h="16838" w:orient="portrait"/>
          <w:cols w:equalWidth="0" w:num="2">
            <w:col w:w="2480" w:space="720"/>
            <w:col w:w="6259"/>
          </w:cols>
          <w:pgMar w:left="100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11" w:lineRule="exact"/>
        <w:rPr>
          <w:sz w:val="20"/>
          <w:szCs w:val="20"/>
          <w:color w:val="auto"/>
        </w:rPr>
      </w:pPr>
    </w:p>
    <w:p>
      <w:pPr>
        <w:sectPr>
          <w:pgSz w:w="11900" w:h="16838" w:orient="portrait"/>
          <w:cols w:equalWidth="0" w:num="2">
            <w:col w:w="2480" w:space="720"/>
            <w:col w:w="6259"/>
          </w:cols>
          <w:pgMar w:left="10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Name of Indemnitee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685800</wp:posOffset>
            </wp:positionV>
            <wp:extent cx="627507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6275070" cy="25400"/>
                    </a:xfrm>
                    <a:prstGeom prst="rect">
                      <a:avLst/>
                    </a:prstGeom>
                    <a:noFill/>
                  </pic:spPr>
                </pic:pic>
              </a:graphicData>
            </a:graphic>
          </wp:anchor>
        </w:drawing>
      </w:r>
    </w:p>
    <w:p>
      <w:pPr>
        <w:sectPr>
          <w:pgSz w:w="11900" w:h="16838" w:orient="portrait"/>
          <w:cols w:equalWidth="0" w:num="1">
            <w:col w:w="9459"/>
          </w:cols>
          <w:pgMar w:left="1000" w:top="1440" w:right="1440" w:bottom="1440" w:gutter="0" w:footer="0" w:header="0"/>
          <w:type w:val="continuous"/>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4.17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87"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our securities registered under Section 12 of the Securities Exchange Act of 1934, as amended (the “Exchange Act”), as of March 16, 2023. The following description of the terms of our common shares is not meant to be complete and is qualified by reference to our articles of association (“articles of association”), which is incorporated by reference as an exhibit to our Annual Report on Form 20-F, of which this exhibit is a part. We encourage you to read our articles of association and the applicable provisions of Swiss law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4, 2003. Our domicile and registered office is in Ecublens, near Lausanne, Canton of Vaud, Switzerland. Our head office is currently located at EPFL Innovation Park, Building B, 1015 Lausanne, Switzerland.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0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March 16, 2023, our issued share capital is CHF 1,794,907.30, consisting of 89,745,365 common shares with a nominal value of CHF 0.02 each.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June 24, 2022, we adopted the articles of association and when we refer to our articles of association, we refer to the articles of association as filed as Exhibit 99.3 to our report on Form 6-K filed with the SEC on June 24, 2022.</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and Conditional Share Capital</w:t>
      </w:r>
    </w:p>
    <w:p>
      <w:pPr>
        <w:spacing w:after="0" w:line="20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4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Furthermore, under the Swiss Code of Obligations, or the CO, effective at the time when our current Articles were adopted,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37" w:lineRule="exact"/>
        <w:rPr>
          <w:sz w:val="20"/>
          <w:szCs w:val="20"/>
          <w:color w:val="auto"/>
        </w:rPr>
      </w:pPr>
    </w:p>
    <w:p>
      <w:pPr>
        <w:ind w:left="980" w:right="80" w:hanging="324"/>
        <w:spacing w:after="0" w:line="258" w:lineRule="auto"/>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the exercise of conversion and/or option or warrant rights granted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156" w:lineRule="exact"/>
        <w:rPr>
          <w:rFonts w:ascii="Times New Roman" w:cs="Times New Roman" w:eastAsia="Times New Roman" w:hAnsi="Times New Roman"/>
          <w:sz w:val="18"/>
          <w:szCs w:val="18"/>
          <w:color w:val="auto"/>
        </w:rPr>
      </w:pPr>
    </w:p>
    <w:p>
      <w:pPr>
        <w:ind w:left="980" w:right="500" w:hanging="324"/>
        <w:spacing w:after="0" w:line="284" w:lineRule="auto"/>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capital (</w:t>
      </w:r>
      <w:r>
        <w:rPr>
          <w:rFonts w:ascii="Times New Roman" w:cs="Times New Roman" w:eastAsia="Times New Roman" w:hAnsi="Times New Roman"/>
          <w:sz w:val="18"/>
          <w:szCs w:val="18"/>
          <w:i w:val="1"/>
          <w:iCs w:val="1"/>
          <w:color w:val="auto"/>
        </w:rPr>
        <w:t>capital-actions autorisé</w:t>
      </w:r>
      <w:r>
        <w:rPr>
          <w:rFonts w:ascii="Times New Roman" w:cs="Times New Roman" w:eastAsia="Times New Roman" w:hAnsi="Times New Roman"/>
          <w:sz w:val="18"/>
          <w:szCs w:val="18"/>
          <w:color w:val="auto"/>
        </w:rPr>
        <w:t>) to be utilized by the board of directors within a period determined by the shareholders but not exceeding two years from the date of the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318770</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5" w:name="page236"/>
    <w:bookmarkEnd w:id="23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87"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in principle pre-emptive subscription rights (</w:t>
      </w:r>
      <w:r>
        <w:rPr>
          <w:rFonts w:ascii="Times New Roman" w:cs="Times New Roman" w:eastAsia="Times New Roman" w:hAnsi="Times New Roman"/>
          <w:sz w:val="18"/>
          <w:szCs w:val="18"/>
          <w:i w:val="1"/>
          <w:iCs w:val="1"/>
          <w:color w:val="auto"/>
        </w:rPr>
        <w:t>droit préférentiel de souscription</w:t>
      </w:r>
      <w:r>
        <w:rPr>
          <w:rFonts w:ascii="Times New Roman" w:cs="Times New Roman" w:eastAsia="Times New Roman" w:hAnsi="Times New Roman"/>
          <w:sz w:val="18"/>
          <w:szCs w:val="18"/>
          <w:color w:val="auto"/>
        </w:rPr>
        <w:t>). With respect to conditional capital in connection with the issuance of conversion rights, convertible bonds or similar debt instruments, shareholders have in principle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3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Authorized Share Capital</w:t>
      </w:r>
    </w:p>
    <w:p>
      <w:pPr>
        <w:spacing w:after="0" w:line="202"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Under Article 3a of our articles of association, board of directors is authorized to increase the share capital, in one or several steps until June 24, 2024, by a maximum amount of CHF 400,000 by issuing a maximum of 20,000,000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4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the currently effective Authorized Share Capital, the board of directors will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is authorized to withdraw or limit the pre-emptive rights of the shareholders and to allot them to third parties:</w:t>
      </w:r>
    </w:p>
    <w:p>
      <w:pPr>
        <w:spacing w:after="0" w:line="198" w:lineRule="exact"/>
        <w:rPr>
          <w:sz w:val="20"/>
          <w:szCs w:val="20"/>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 (with a customary discount);</w:t>
      </w:r>
    </w:p>
    <w:p>
      <w:pPr>
        <w:spacing w:after="0" w:line="27"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ind w:left="980" w:right="160" w:hanging="324"/>
        <w:spacing w:after="0" w:line="260"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which probably could not be reached without the exclusion of the statutory pre-emptive right of the existing shareholders.</w:t>
      </w:r>
    </w:p>
    <w:p>
      <w:pPr>
        <w:spacing w:after="0" w:line="14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by way of a resolution of a duly convened general meeting of shareholders of the Company. Under the capital band mechanism, the general meeting of shareholders can authorize the board of directors at any time within a maximum of five years to increase or decrease the share capital by a maximum amount of 50% of the current share capital.</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Bonds and Similar Debt Instruments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Article 3b of our articles of association, our share capital may be increased by a maximum aggregate amount of CHF 100,000 through the issue of a maximum of 5,000,000 common shares, payable in full, each with a nominal value of CHF 0.02, through the exercise of conversion and/or option or warrant rights granted in connection with bonds or similar instruments, issued or to be issued by the Company or by one of our subsidiaries, including convertible debt instruments. Shareholders do not have pre-emptive subscription rights in such circumstances.</w:t>
      </w:r>
    </w:p>
    <w:p>
      <w:pPr>
        <w:spacing w:after="0" w:line="14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Shareholders’ subscription rights are excluded. Shareholders’ advance subscription rights with regards to new bonds or similar instruments may be restricted or excluded by decision of the board of directors in order to finance or re-finance the acquisition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6" w:name="page237"/>
    <w:bookmarkEnd w:id="236"/>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Employee Benefit Plans</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share capital may, to the exclusion of the pre-emptive subscription rights of shareholders, be increased by a maximum aggregate amount of CHF 96,000 through the issue of a maximum of 4,800,000 common shares, payable in full, each with a nominal value of CHF 0.02, in connection with the exercise of option rights granted to employees of the Company or one of our subsidiaries, members of the board of directors or any consultant, or other persons providing services to the Company or one of our subsidiaries.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Shareholders’ subscription rights are excluded. These new registered shares may be issued at a price below the current market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specifies the precise conditions of issue including the issue price of the shares.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 within the meaning of the FISA). In accordance with Article 973c of the CO, we maintain a non-public register of uncertificated securities (</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185" w:lineRule="exact"/>
        <w:rPr>
          <w:sz w:val="20"/>
          <w:szCs w:val="20"/>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184"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and removal of the members of the board of directors, the chairman of the board of directors, the members of the compensation committee, the auditors and the independent proxy;</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management report and the consolidated accounts;</w:t>
      </w:r>
    </w:p>
    <w:p>
      <w:pPr>
        <w:spacing w:after="0" w:line="18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accounts and resolutions on the allocation of the disposable profits, and in particular setting the dividend and the shares of profit to board members;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paid to members of the board of directors and executive management;</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interim dividend and approve the interim account required therefor;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repaying the statutory capital reserve;</w:t>
      </w:r>
    </w:p>
    <w:p>
      <w:pPr>
        <w:spacing w:after="0" w:line="184"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to delist the equity securities of the company;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passing resolutions concerning all matters which are reserved to the authority of the general meeting of shareholders by law or by the articles of association.</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according to our current Articles,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9" w:right="1039" w:bottom="1440" w:gutter="0" w:footer="0" w:header="0"/>
        </w:sectPr>
      </w:pPr>
    </w:p>
    <w:bookmarkStart w:id="237" w:name="page238"/>
    <w:bookmarkEnd w:id="23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81" w:lineRule="exact"/>
        <w:rPr>
          <w:sz w:val="20"/>
          <w:szCs w:val="20"/>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unless the consent of all the shareholders concerned is required;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shares with privileged voting rights;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common shares;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conditional share capital or a capital band;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assets and granting of special benefits;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withdrawing shareholder’s pre-emptive subscription rights;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 the currency of the share capital;</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casting vote for the person chairing the general meeting;</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 provision on holding the general meeting abroad;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the delisting of the equity securities of the company;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an arbitration clause in the articles of association;</w:t>
      </w:r>
    </w:p>
    <w:p>
      <w:pPr>
        <w:spacing w:after="0" w:line="198"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common shares and the removal of the voting cap of 33 1/3% as contained in article 4 of the articles of association;</w:t>
      </w:r>
    </w:p>
    <w:p>
      <w:pPr>
        <w:spacing w:after="0" w:line="12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 as contained in article 29 of the articles of association;</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participation certificates into shares;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 and</w:t>
      </w:r>
    </w:p>
    <w:p>
      <w:pPr>
        <w:spacing w:after="0" w:line="18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or eliminating article 17 (</w:t>
      </w:r>
      <w:r>
        <w:rPr>
          <w:rFonts w:ascii="Times New Roman" w:cs="Times New Roman" w:eastAsia="Times New Roman" w:hAnsi="Times New Roman"/>
          <w:sz w:val="18"/>
          <w:szCs w:val="18"/>
          <w:i w:val="1"/>
          <w:iCs w:val="1"/>
          <w:color w:val="auto"/>
        </w:rPr>
        <w:t>resolutions and elections</w:t>
      </w:r>
      <w:r>
        <w:rPr>
          <w:rFonts w:ascii="Times New Roman" w:cs="Times New Roman" w:eastAsia="Times New Roman" w:hAnsi="Times New Roman"/>
          <w:sz w:val="18"/>
          <w:szCs w:val="18"/>
          <w:color w:val="auto"/>
        </w:rPr>
        <w:t>) of the articles of association.</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49"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38" w:name="page239"/>
    <w:bookmarkEnd w:id="238"/>
    <w:p>
      <w:pPr>
        <w:ind w:right="20"/>
        <w:spacing w:after="0" w:line="266" w:lineRule="auto"/>
        <w:rPr>
          <w:sz w:val="20"/>
          <w:szCs w:val="20"/>
          <w:color w:val="auto"/>
        </w:rPr>
      </w:pPr>
      <w:r>
        <w:rPr>
          <w:rFonts w:ascii="Times New Roman" w:cs="Times New Roman" w:eastAsia="Times New Roman" w:hAnsi="Times New Roman"/>
          <w:sz w:val="18"/>
          <w:szCs w:val="18"/>
          <w:color w:val="auto"/>
        </w:rPr>
        <w:t>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our current Articles,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147" w:lineRule="exact"/>
        <w:rPr>
          <w:sz w:val="20"/>
          <w:szCs w:val="20"/>
          <w:color w:val="auto"/>
        </w:rPr>
      </w:pPr>
    </w:p>
    <w:p>
      <w:pPr>
        <w:ind w:left="980" w:right="20" w:hanging="324"/>
        <w:spacing w:after="0" w:line="282" w:lineRule="auto"/>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our share register, of the shareholder proposing such business;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Company which are beneficially owned by such shareholder;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upon which the shareholder acquired such shares;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support for any claim of beneficial ownership;</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shareholder in such business; and</w:t>
      </w:r>
    </w:p>
    <w:p>
      <w:pPr>
        <w:spacing w:after="0" w:line="184"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support of the matter and, for proposals sought to be included in the Company's proxy statement, any other information required by Securities and Exchange Commission Rule 14a-8.</w:t>
      </w:r>
    </w:p>
    <w:p>
      <w:pPr>
        <w:spacing w:after="0" w:line="13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21"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4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846455</wp:posOffset>
            </wp:positionV>
            <wp:extent cx="629221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9" w:name="page240"/>
    <w:bookmarkEnd w:id="23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8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5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Commercial Register (i.e., 20% of the aggregate nominal value of our issued capital), then at least 5% of our annual profit must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retained as general reserves. The CO permits us to accrue additional general reserves. Further, a purchase of our own shares (whether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or a subsidiary) reduces the distributable reserves in an amount corresponding to the purchase price of such own shares. Finally,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under certain circumstances requires the creation of revaluation reserves which are not distributable.</w:t>
      </w:r>
    </w:p>
    <w:p>
      <w:pPr>
        <w:spacing w:after="0" w:line="16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6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 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 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Voting rights may be exercised only after a shareholder (or usufructuaries) has been entered in our share register (</w:t>
      </w:r>
      <w:r>
        <w:rPr>
          <w:rFonts w:ascii="Times New Roman" w:cs="Times New Roman" w:eastAsia="Times New Roman" w:hAnsi="Times New Roman"/>
          <w:sz w:val="18"/>
          <w:szCs w:val="18"/>
          <w:i w:val="1"/>
          <w:iCs w:val="1"/>
          <w:color w:val="auto"/>
        </w:rPr>
        <w:t>registre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with his or her name, first name and address (in the case of legal entities, the registered office) as a shareholder with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voting caps apply to shareholders acquiring shares for other persons (nominees).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828675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0" w:name="page241"/>
    <w:bookmarkEnd w:id="240"/>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5 percent of the share capital may request that the court appoint a special commissioner. The court will issue such an order if the petitioners can make a </w:t>
      </w:r>
      <w:r>
        <w:rPr>
          <w:rFonts w:ascii="Times New Roman" w:cs="Times New Roman" w:eastAsia="Times New Roman" w:hAnsi="Times New Roman"/>
          <w:sz w:val="18"/>
          <w:szCs w:val="18"/>
          <w:i w:val="1"/>
          <w:iCs w:val="1"/>
          <w:color w:val="auto"/>
        </w:rPr>
        <w:t xml:space="preserve">prima facie case </w:t>
      </w:r>
      <w:r>
        <w:rPr>
          <w:rFonts w:ascii="Times New Roman" w:cs="Times New Roman" w:eastAsia="Times New Roman" w:hAnsi="Times New Roman"/>
          <w:sz w:val="18"/>
          <w:szCs w:val="18"/>
          <w:color w:val="auto"/>
        </w:rPr>
        <w:t>that the board of directors, any member of the board of directors or our executive management infringed the law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and such infringement is likely to harm the Company or the shareholders. The costs of the investigation would generally be allocated to us and only in exceptional cases to the petitioners.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4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39" w:lineRule="exact"/>
        <w:rPr>
          <w:sz w:val="20"/>
          <w:szCs w:val="20"/>
          <w:color w:val="auto"/>
        </w:rPr>
      </w:pPr>
    </w:p>
    <w:p>
      <w:pPr>
        <w:ind w:left="980" w:right="40" w:hanging="324"/>
        <w:spacing w:after="0" w:line="282"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19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18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185" w:lineRule="exact"/>
        <w:rPr>
          <w:sz w:val="20"/>
          <w:szCs w:val="20"/>
          <w:color w:val="auto"/>
        </w:rPr>
      </w:pPr>
    </w:p>
    <w:p>
      <w:pPr>
        <w:ind w:left="980" w:hanging="324"/>
        <w:spacing w:after="0"/>
        <w:tabs>
          <w:tab w:leader="none" w:pos="9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Company's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1" w:name="page242"/>
    <w:bookmarkEnd w:id="241"/>
    <w:p>
      <w:pPr>
        <w:ind w:left="980" w:right="320" w:hanging="324"/>
        <w:spacing w:after="0" w:line="282" w:lineRule="auto"/>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are required for management of the Company;</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198"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supervision of the persons entrusted with managing the Company, in particular with regard to compliance with the law, articles of association, operational regulations and directives;</w:t>
      </w:r>
    </w:p>
    <w:p>
      <w:pPr>
        <w:spacing w:after="0" w:line="12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compilation of the annual report, and the preparation for the general meeting of shareholders and implementing its resolutions;</w:t>
      </w:r>
    </w:p>
    <w:p>
      <w:pPr>
        <w:spacing w:after="0" w:line="12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compensation report and to request approval by the general meeting of shareholders regarding the compensation of the board of directors and the executive committee; and</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court in the event that the Company is over-indebted.</w:t>
      </w:r>
    </w:p>
    <w:p>
      <w:pPr>
        <w:spacing w:after="0" w:line="18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43"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35" w:lineRule="exact"/>
        <w:rPr>
          <w:sz w:val="20"/>
          <w:szCs w:val="20"/>
          <w:color w:val="auto"/>
        </w:rPr>
      </w:pPr>
    </w:p>
    <w:p>
      <w:pPr>
        <w:ind w:left="340" w:right="1300"/>
        <w:spacing w:after="0" w:line="453" w:lineRule="auto"/>
        <w:rPr>
          <w:sz w:val="20"/>
          <w:szCs w:val="20"/>
          <w:color w:val="auto"/>
        </w:rPr>
      </w:pPr>
      <w:r>
        <w:rPr>
          <w:rFonts w:ascii="Times New Roman" w:cs="Times New Roman" w:eastAsia="Times New Roman" w:hAnsi="Times New Roman"/>
          <w:sz w:val="18"/>
          <w:szCs w:val="18"/>
          <w:color w:val="auto"/>
        </w:rPr>
        <w:t xml:space="preserve">The board of directors assigns the persons with signatory power for the Company and the kind of signatory power. </w:t>
      </w:r>
      <w:r>
        <w:rPr>
          <w:rFonts w:ascii="Times New Roman" w:cs="Times New Roman" w:eastAsia="Times New Roman" w:hAnsi="Times New Roman"/>
          <w:sz w:val="18"/>
          <w:szCs w:val="18"/>
          <w:i w:val="1"/>
          <w:iCs w:val="1"/>
          <w:color w:val="auto"/>
        </w:rPr>
        <w:t>Indemnification of Executive Management and Directors</w:t>
      </w:r>
    </w:p>
    <w:p>
      <w:pPr>
        <w:spacing w:after="0" w:line="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53"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61"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42" w:name="page243"/>
    <w:bookmarkEnd w:id="242"/>
    <w:p>
      <w:pPr>
        <w:ind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198" w:lineRule="exact"/>
        <w:rPr>
          <w:sz w:val="20"/>
          <w:szCs w:val="20"/>
          <w:color w:val="auto"/>
        </w:rPr>
      </w:pPr>
    </w:p>
    <w:p>
      <w:pPr>
        <w:ind w:left="980" w:right="820" w:hanging="324"/>
        <w:spacing w:after="0" w:line="282"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18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34"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185" w:lineRule="exact"/>
        <w:rPr>
          <w:sz w:val="20"/>
          <w:szCs w:val="20"/>
          <w:color w:val="auto"/>
        </w:rPr>
      </w:pPr>
    </w:p>
    <w:p>
      <w:pPr>
        <w:jc w:val="center"/>
        <w:ind w:right="420"/>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meeting of shareholders annually votes on the proposals of the board of directors with respect to:</w:t>
      </w:r>
    </w:p>
    <w:p>
      <w:pPr>
        <w:spacing w:after="0" w:line="185" w:lineRule="exact"/>
        <w:rPr>
          <w:sz w:val="20"/>
          <w:szCs w:val="20"/>
          <w:color w:val="auto"/>
        </w:rPr>
      </w:pPr>
    </w:p>
    <w:p>
      <w:pPr>
        <w:ind w:left="980" w:right="320" w:hanging="324"/>
        <w:spacing w:after="0" w:line="282"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non-performance-related compensation of the board of directors for the next term of office;</w:t>
      </w:r>
    </w:p>
    <w:p>
      <w:pPr>
        <w:spacing w:after="0" w:line="12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a possible additional compensation of the board of directors for the preceding business year;</w:t>
      </w:r>
    </w:p>
    <w:p>
      <w:pPr>
        <w:spacing w:after="0" w:line="134"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non-performance-related compensation of the executive management for the 12-month period starting on 1 July following the ordinary general meeting of shareholders;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variable compensation for the executive management for the current year; and</w:t>
      </w:r>
    </w:p>
    <w:p>
      <w:pPr>
        <w:spacing w:after="0" w:line="184"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options or shares in the Company granted to the board of directors and the executive management.</w:t>
      </w:r>
    </w:p>
    <w:p>
      <w:pPr>
        <w:spacing w:after="0" w:line="13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5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586105</wp:posOffset>
            </wp:positionV>
            <wp:extent cx="629221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3" w:name="page244"/>
    <w:bookmarkEnd w:id="24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hold 6,214,021 fully paid up common shares of par value CHF 0.02 each, as treasury shares.</w:t>
      </w:r>
    </w:p>
    <w:p>
      <w:pPr>
        <w:spacing w:after="0" w:line="18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189"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02" w:lineRule="exact"/>
        <w:rPr>
          <w:sz w:val="20"/>
          <w:szCs w:val="20"/>
          <w:color w:val="auto"/>
        </w:rPr>
      </w:pPr>
    </w:p>
    <w:p>
      <w:pPr>
        <w:ind w:right="3000" w:firstLine="324"/>
        <w:spacing w:after="0" w:line="453" w:lineRule="auto"/>
        <w:rPr>
          <w:sz w:val="20"/>
          <w:szCs w:val="20"/>
          <w:color w:val="auto"/>
        </w:rPr>
      </w:pPr>
      <w:r>
        <w:rPr>
          <w:rFonts w:ascii="Times New Roman" w:cs="Times New Roman" w:eastAsia="Times New Roman" w:hAnsi="Times New Roman"/>
          <w:sz w:val="18"/>
          <w:szCs w:val="18"/>
          <w:color w:val="auto"/>
        </w:rPr>
        <w:t xml:space="preserve">Our common shares are listed on the NASDAQ Global Market under the symbol “ACIU.” </w:t>
      </w:r>
      <w:r>
        <w:rPr>
          <w:rFonts w:ascii="Times New Roman" w:cs="Times New Roman" w:eastAsia="Times New Roman" w:hAnsi="Times New Roman"/>
          <w:sz w:val="18"/>
          <w:szCs w:val="18"/>
          <w:b w:val="1"/>
          <w:bCs w:val="1"/>
          <w:color w:val="auto"/>
        </w:rPr>
        <w:t>Transfer Agent and Registrar of Shares</w:t>
      </w:r>
    </w:p>
    <w:p>
      <w:pPr>
        <w:spacing w:after="0" w:line="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17" w:right="107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 of AC Immune SA</w:t>
            </w:r>
          </w:p>
        </w:tc>
      </w:tr>
      <w:tr>
        <w:trPr>
          <w:trHeight w:val="392"/>
        </w:trPr>
        <w:tc>
          <w:tcPr>
            <w:tcW w:w="172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2820" w:type="dxa"/>
            <w:vAlign w:val="bottom"/>
          </w:tcPr>
          <w:p>
            <w:pPr>
              <w:spacing w:after="0"/>
              <w:rPr>
                <w:sz w:val="24"/>
                <w:szCs w:val="24"/>
                <w:color w:val="auto"/>
              </w:rPr>
            </w:pPr>
          </w:p>
        </w:tc>
        <w:tc>
          <w:tcPr>
            <w:tcW w:w="356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0"/>
        </w:trPr>
        <w:tc>
          <w:tcPr>
            <w:tcW w:w="17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3"/>
        </w:trPr>
        <w:tc>
          <w:tcPr>
            <w:tcW w:w="354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color w:val="auto"/>
                <w:w w:val="99"/>
              </w:rPr>
              <w:t>AC Immune USA, Inc.</w:t>
            </w:r>
          </w:p>
        </w:tc>
        <w:tc>
          <w:tcPr>
            <w:tcW w:w="2820" w:type="dxa"/>
            <w:vAlign w:val="bottom"/>
          </w:tcPr>
          <w:p>
            <w:pPr>
              <w:spacing w:after="0"/>
              <w:rPr>
                <w:sz w:val="24"/>
                <w:szCs w:val="24"/>
                <w:color w:val="auto"/>
              </w:rPr>
            </w:pPr>
          </w:p>
        </w:tc>
        <w:tc>
          <w:tcPr>
            <w:tcW w:w="356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776"/>
        </w:trPr>
        <w:tc>
          <w:tcPr>
            <w:tcW w:w="1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AC Immune SA;</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8"/>
        <w:spacing w:after="0" w:line="276" w:lineRule="auto"/>
        <w:tabs>
          <w:tab w:leader="none" w:pos="1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firstLine="8"/>
        <w:spacing w:after="0" w:line="266" w:lineRule="auto"/>
        <w:tabs>
          <w:tab w:leader="none" w:pos="2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160" w:firstLine="8"/>
        <w:spacing w:after="0" w:line="266" w:lineRule="auto"/>
        <w:tabs>
          <w:tab w:leader="none" w:pos="1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180" w:firstLine="8"/>
        <w:spacing w:after="0" w:line="282" w:lineRule="auto"/>
        <w:tabs>
          <w:tab w:leader="none" w:pos="2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Andrea Pfeifer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Andrea Pfeifer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Roberts, certify that:</w:t>
      </w:r>
    </w:p>
    <w:p>
      <w:pPr>
        <w:spacing w:after="0" w:line="225" w:lineRule="exact"/>
        <w:rPr>
          <w:sz w:val="20"/>
          <w:szCs w:val="20"/>
          <w:color w:val="auto"/>
        </w:rPr>
      </w:pPr>
    </w:p>
    <w:p>
      <w:pPr>
        <w:ind w:left="180" w:hanging="172"/>
        <w:spacing w:after="0"/>
        <w:tabs>
          <w:tab w:leader="none" w:pos="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AC Immune SA;</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8"/>
        <w:spacing w:after="0" w:line="276" w:lineRule="auto"/>
        <w:tabs>
          <w:tab w:leader="none" w:pos="18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company and have:</w:t>
      </w:r>
    </w:p>
    <w:p>
      <w:pPr>
        <w:spacing w:after="0" w:line="207" w:lineRule="exact"/>
        <w:rPr>
          <w:sz w:val="20"/>
          <w:szCs w:val="20"/>
          <w:color w:val="auto"/>
        </w:rPr>
      </w:pPr>
    </w:p>
    <w:p>
      <w:pPr>
        <w:ind w:right="120" w:firstLine="8"/>
        <w:spacing w:after="0" w:line="266" w:lineRule="auto"/>
        <w:tabs>
          <w:tab w:leader="none" w:pos="2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right="160" w:firstLine="8"/>
        <w:spacing w:after="0" w:line="266" w:lineRule="auto"/>
        <w:tabs>
          <w:tab w:leader="none" w:pos="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ind w:right="180" w:firstLine="8"/>
        <w:spacing w:after="0" w:line="282" w:lineRule="auto"/>
        <w:tabs>
          <w:tab w:leader="none" w:pos="24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Roberts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Roberts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Vice President, Finance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AC Immune SA’s annual report on Form 20-F for the year ended December 31, 2022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Pfeifer, the Chief Executive Officer of AC Immune SA, certifies that, to the best of her knowledge:</w:t>
      </w:r>
    </w:p>
    <w:p>
      <w:pPr>
        <w:spacing w:after="0" w:line="225" w:lineRule="exact"/>
        <w:rPr>
          <w:sz w:val="20"/>
          <w:szCs w:val="20"/>
          <w:color w:val="auto"/>
        </w:rPr>
      </w:pPr>
    </w:p>
    <w:p>
      <w:pPr>
        <w:ind w:left="180" w:hanging="172"/>
        <w:spacing w:after="0"/>
        <w:tabs>
          <w:tab w:leader="none" w:pos="1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 Immune 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Andrea Pfeifer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AC Immune SA’s annual report on Form 20-F for the year ended December 31, 2022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Christopher Roberts, the Vice President, Finance and Interim Chief Financial Officer of AC Immune SA, certifies that, to the best of his knowledge:</w:t>
      </w:r>
    </w:p>
    <w:p>
      <w:pPr>
        <w:spacing w:after="0" w:line="162" w:lineRule="exact"/>
        <w:rPr>
          <w:sz w:val="20"/>
          <w:szCs w:val="20"/>
          <w:color w:val="auto"/>
        </w:rPr>
      </w:pPr>
    </w:p>
    <w:p>
      <w:pPr>
        <w:ind w:left="180" w:hanging="172"/>
        <w:spacing w:after="0"/>
        <w:tabs>
          <w:tab w:leader="none" w:pos="1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AC Immune 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Roberts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Vice President, Finance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F-3 (No. 333-249655 and No. 333-255576) and on Form S-8 (No. 333-233019) of AC Immune SA of our report dated March 16, 2023 relating to the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691515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lvl w:ilvl="1">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1."/>
      <w:numFmt w:val="upperLetter"/>
      <w:start w:val="1"/>
    </w:lvl>
  </w:abstractNum>
  <w:abstractNum w:abstractNumId="13">
    <w:nsid w:val="6A5F7029"/>
    <w:multiLevelType w:val="hybridMultilevel"/>
    <w:lvl w:ilvl="0">
      <w:lvlJc w:val="left"/>
      <w:lvlText w:val="%1."/>
      <w:numFmt w:val="upperLetter"/>
      <w:start w:val="1"/>
    </w:lvl>
  </w:abstractNum>
  <w:abstractNum w:abstractNumId="14">
    <w:nsid w:val="7D5E18F8"/>
    <w:multiLevelType w:val="hybridMultilevel"/>
    <w:lvl w:ilvl="0">
      <w:lvlJc w:val="left"/>
      <w:lvlText w:val="%1."/>
      <w:numFmt w:val="upperLetter"/>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lvl w:ilvl="1">
      <w:lvlJc w:val="left"/>
      <w:lvlText w:val="%2."/>
      <w:numFmt w:val="lowerLetter"/>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1)"/>
      <w:numFmt w:val="lowerRoman"/>
      <w:start w:val="2"/>
    </w:lvl>
  </w:abstractNum>
  <w:abstractNum w:abstractNumId="28">
    <w:nsid w:val="59ADEA3D"/>
    <w:multiLevelType w:val="hybridMultilevel"/>
    <w:lvl w:ilvl="0">
      <w:lvlJc w:val="left"/>
      <w:lvlText w:val="(%1)"/>
      <w:numFmt w:val="lowerRoman"/>
      <w:start w:val="4"/>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1)"/>
      <w:numFmt w:val="decimal"/>
      <w:start w:val="1"/>
    </w:lvl>
  </w:abstractNum>
  <w:abstractNum w:abstractNumId="45">
    <w:nsid w:val="39B7AAA2"/>
    <w:multiLevelType w:val="hybridMultilevel"/>
    <w:lvl w:ilvl="0">
      <w:lvlJc w:val="left"/>
      <w:lvlText w:val="(%1)"/>
      <w:numFmt w:val="lowerRoman"/>
      <w:start w:val="2"/>
    </w:lvl>
  </w:abstractNum>
  <w:abstractNum w:abstractNumId="46">
    <w:nsid w:val="2B0D8DBE"/>
    <w:multiLevelType w:val="hybridMultilevel"/>
    <w:lvl w:ilvl="0">
      <w:lvlJc w:val="left"/>
      <w:lvlText w:val="%1."/>
      <w:numFmt w:val="decimal"/>
      <w:start w:val="1"/>
    </w:lvl>
  </w:abstractNum>
  <w:abstractNum w:abstractNumId="47">
    <w:nsid w:val="6C80EC70"/>
    <w:multiLevelType w:val="hybridMultilevel"/>
    <w:lvl w:ilvl="0">
      <w:lvlJc w:val="left"/>
      <w:lvlText w:val="(%1)"/>
      <w:numFmt w:val="decimal"/>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1."/>
      <w:numFmt w:val="decimal"/>
      <w:start w:val="2"/>
    </w:lvl>
  </w:abstractNum>
  <w:abstractNum w:abstractNumId="53">
    <w:nsid w:val="1DF029D3"/>
    <w:multiLevelType w:val="hybridMultilevel"/>
    <w:lvl w:ilvl="0">
      <w:lvlJc w:val="left"/>
      <w:lvlText w:val="(%1)"/>
      <w:numFmt w:val="decimal"/>
      <w:start w:val="1"/>
    </w:lvl>
  </w:abstractNum>
  <w:abstractNum w:abstractNumId="54">
    <w:nsid w:val="5675FF36"/>
    <w:multiLevelType w:val="hybridMultilevel"/>
    <w:lvl w:ilvl="0">
      <w:lvlJc w:val="left"/>
      <w:lvlText w:val="(%1)"/>
      <w:numFmt w:val="decimal"/>
      <w:start w:val="6"/>
    </w:lvl>
  </w:abstractNum>
  <w:abstractNum w:abstractNumId="55">
    <w:nsid w:val="3DD15094"/>
    <w:multiLevelType w:val="hybridMultilevel"/>
    <w:lvl w:ilvl="0">
      <w:lvlJc w:val="left"/>
      <w:lvlText w:val="%1."/>
      <w:numFmt w:val="decimal"/>
      <w:start w:val="3"/>
    </w:lvl>
  </w:abstractNum>
  <w:abstractNum w:abstractNumId="56">
    <w:nsid w:val="3DB012B3"/>
    <w:multiLevelType w:val="hybridMultilevel"/>
    <w:lvl w:ilvl="0">
      <w:lvlJc w:val="left"/>
      <w:lvlText w:val="%1."/>
      <w:numFmt w:val="decimal"/>
      <w:start w:val="4"/>
    </w:lvl>
  </w:abstractNum>
  <w:abstractNum w:abstractNumId="57">
    <w:nsid w:val="2708C9AF"/>
    <w:multiLevelType w:val="hybridMultilevel"/>
    <w:lvl w:ilvl="0">
      <w:lvlJc w:val="left"/>
      <w:lvlText w:val="(%1)"/>
      <w:numFmt w:val="decimal"/>
      <w:start w:val="1"/>
    </w:lvl>
  </w:abstractNum>
  <w:abstractNum w:abstractNumId="58">
    <w:nsid w:val="5B25ACE2"/>
    <w:multiLevelType w:val="hybridMultilevel"/>
    <w:lvl w:ilvl="0">
      <w:lvlJc w:val="left"/>
      <w:lvlText w:val="(%1)"/>
      <w:numFmt w:val="decimal"/>
      <w:start w:val="1"/>
    </w:lvl>
  </w:abstractNum>
  <w:abstractNum w:abstractNumId="59">
    <w:nsid w:val="175DFCF0"/>
    <w:multiLevelType w:val="hybridMultilevel"/>
    <w:lvl w:ilvl="0">
      <w:lvlJc w:val="left"/>
      <w:lvlText w:val="(%1)"/>
      <w:numFmt w:val="decimal"/>
      <w:start w:val="8"/>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1)"/>
      <w:numFmt w:val="decimal"/>
      <w:start w:val="3"/>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1)"/>
      <w:numFmt w:val="decimal"/>
      <w:start w:val="26"/>
    </w:lvl>
  </w:abstractNum>
  <w:abstractNum w:abstractNumId="73">
    <w:nsid w:val="19E21BB2"/>
    <w:multiLevelType w:val="hybridMultilevel"/>
    <w:lvl w:ilvl="0">
      <w:lvlJc w:val="left"/>
      <w:lvlText w:val="(%1)"/>
      <w:numFmt w:val="decimal"/>
      <w:start w:val="1"/>
    </w:lvl>
  </w:abstractNum>
  <w:abstractNum w:abstractNumId="74">
    <w:nsid w:val="75E0858A"/>
    <w:multiLevelType w:val="hybridMultilevel"/>
    <w:lvl w:ilvl="0">
      <w:lvlJc w:val="left"/>
      <w:lvlText w:val="(%1)"/>
      <w:numFmt w:val="decimal"/>
      <w:start w:val="5"/>
    </w:lvl>
  </w:abstractNum>
  <w:abstractNum w:abstractNumId="75">
    <w:nsid w:val="57A61A29"/>
    <w:multiLevelType w:val="hybridMultilevel"/>
    <w:lvl w:ilvl="0">
      <w:lvlJc w:val="left"/>
      <w:lvlText w:val="(%1)"/>
      <w:numFmt w:val="decimal"/>
      <w:start w:val="1"/>
    </w:lvl>
  </w:abstractNum>
  <w:abstractNum w:abstractNumId="76">
    <w:nsid w:val="5399C654"/>
    <w:multiLevelType w:val="hybridMultilevel"/>
    <w:lvl w:ilvl="0">
      <w:lvlJc w:val="left"/>
      <w:lvlText w:val="(%1)"/>
      <w:numFmt w:val="decimal"/>
      <w:start w:val="1"/>
    </w:lvl>
  </w:abstractNum>
  <w:abstractNum w:abstractNumId="77">
    <w:nsid w:val="20EE1348"/>
    <w:multiLevelType w:val="hybridMultilevel"/>
    <w:lvl w:ilvl="0">
      <w:lvlJc w:val="left"/>
      <w:lvlText w:val="(%1)"/>
      <w:numFmt w:val="decimal"/>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
      <w:numFmt w:val="bullet"/>
      <w:start w:val="1"/>
    </w:lvl>
  </w:abstractNum>
  <w:abstractNum w:abstractNumId="84">
    <w:nsid w:val="E3E47A8"/>
    <w:multiLevelType w:val="hybridMultilevel"/>
    <w:lvl w:ilvl="0">
      <w:lvlJc w:val="left"/>
      <w:lvlText w:val="(%1)"/>
      <w:numFmt w:val="decimal"/>
      <w:start w:val="2"/>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
      <w:numFmt w:val="bullet"/>
      <w:start w:val="1"/>
    </w:lvl>
  </w:abstractNum>
  <w:abstractNum w:abstractNumId="88">
    <w:nsid w:val="5551B9F3"/>
    <w:multiLevelType w:val="hybridMultilevel"/>
    <w:lvl w:ilvl="0">
      <w:lvlJc w:val="left"/>
      <w:lvlText w:val="%1."/>
      <w:numFmt w:val="upperLetter"/>
      <w:start w:val="1"/>
    </w:lvl>
  </w:abstractNum>
  <w:abstractNum w:abstractNumId="89">
    <w:nsid w:val="24F6AB8E"/>
    <w:multiLevelType w:val="hybridMultilevel"/>
    <w:lvl w:ilvl="0">
      <w:lvlJc w:val="left"/>
      <w:lvlText w:val="●"/>
      <w:numFmt w:val="bullet"/>
      <w:start w:val="1"/>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
      <w:numFmt w:val="bullet"/>
      <w:start w:val="1"/>
    </w:lvl>
  </w:abstractNum>
  <w:abstractNum w:abstractNumId="94">
    <w:nsid w:val="7DFF9D09"/>
    <w:multiLevelType w:val="hybridMultilevel"/>
    <w:lvl w:ilvl="0">
      <w:lvlJc w:val="left"/>
      <w:lvlText w:val="●"/>
      <w:numFmt w:val="bullet"/>
      <w:start w:val="1"/>
    </w:lvl>
  </w:abstractNum>
  <w:abstractNum w:abstractNumId="95">
    <w:nsid w:val="754342"/>
    <w:multiLevelType w:val="hybridMultilevel"/>
    <w:lvl w:ilvl="0">
      <w:lvlJc w:val="left"/>
      <w:lvlText w:val="(%1)"/>
      <w:numFmt w:val="lowerRoman"/>
      <w:start w:val="4"/>
    </w:lvl>
  </w:abstractNum>
  <w:abstractNum w:abstractNumId="96">
    <w:nsid w:val="69E7F3E5"/>
    <w:multiLevelType w:val="hybridMultilevel"/>
    <w:lvl w:ilvl="0">
      <w:lvlJc w:val="left"/>
      <w:lvlText w:val="●"/>
      <w:numFmt w:val="bullet"/>
      <w:start w:val="1"/>
    </w:lvl>
  </w:abstractNum>
  <w:abstractNum w:abstractNumId="97">
    <w:nsid w:val="2A6DE806"/>
    <w:multiLevelType w:val="hybridMultilevel"/>
    <w:lvl w:ilvl="0">
      <w:lvlJc w:val="left"/>
      <w:lvlText w:val="●"/>
      <w:numFmt w:val="bullet"/>
      <w:start w:val="1"/>
    </w:lvl>
  </w:abstractNum>
  <w:abstractNum w:abstractNumId="98">
    <w:nsid w:val="1816F8C4"/>
    <w:multiLevelType w:val="hybridMultilevel"/>
    <w:lvl w:ilvl="0">
      <w:lvlJc w:val="left"/>
      <w:lvlText w:val="●"/>
      <w:numFmt w:val="bullet"/>
      <w:start w:val="1"/>
    </w:lvl>
  </w:abstractNum>
  <w:abstractNum w:abstractNumId="99">
    <w:nsid w:val="37DF2233"/>
    <w:multiLevelType w:val="hybridMultilevel"/>
    <w:lvl w:ilvl="0">
      <w:lvlJc w:val="left"/>
      <w:lvlText w:val="(%1)"/>
      <w:numFmt w:val="lowerRoman"/>
      <w:start w:val="1"/>
    </w:lvl>
  </w:abstractNum>
  <w:abstractNum w:abstractNumId="100">
    <w:nsid w:val="7AB49DAF"/>
    <w:multiLevelType w:val="hybridMultilevel"/>
    <w:lvl w:ilvl="0">
      <w:lvlJc w:val="left"/>
      <w:lvlText w:val="●"/>
      <w:numFmt w:val="bullet"/>
      <w:start w:val="1"/>
    </w:lvl>
  </w:abstractNum>
  <w:abstractNum w:abstractNumId="101">
    <w:nsid w:val="759F82CD"/>
    <w:multiLevelType w:val="hybridMultilevel"/>
    <w:lvl w:ilvl="0">
      <w:lvlJc w:val="left"/>
      <w:lvlText w:val="●"/>
      <w:numFmt w:val="bullet"/>
      <w:start w:val="1"/>
    </w:lvl>
  </w:abstractNum>
  <w:abstractNum w:abstractNumId="102">
    <w:nsid w:val="61E74EA3"/>
    <w:multiLevelType w:val="hybridMultilevel"/>
    <w:lvl w:ilvl="0">
      <w:lvlJc w:val="left"/>
      <w:lvlText w:val="●"/>
      <w:numFmt w:val="bullet"/>
      <w:start w:val="1"/>
    </w:lvl>
  </w:abstractNum>
  <w:abstractNum w:abstractNumId="103">
    <w:nsid w:val="597B4D84"/>
    <w:multiLevelType w:val="hybridMultilevel"/>
    <w:lvl w:ilvl="0">
      <w:lvlJc w:val="left"/>
      <w:lvlText w:val="●"/>
      <w:numFmt w:val="bullet"/>
      <w:start w:val="1"/>
    </w:lvl>
  </w:abstractNum>
  <w:abstractNum w:abstractNumId="104">
    <w:nsid w:val="F819E7F"/>
    <w:multiLevelType w:val="hybridMultilevel"/>
    <w:lvl w:ilvl="0">
      <w:lvlJc w:val="left"/>
      <w:lvlText w:val="●"/>
      <w:numFmt w:val="bullet"/>
      <w:start w:val="1"/>
    </w:lvl>
  </w:abstractNum>
  <w:abstractNum w:abstractNumId="105">
    <w:nsid w:val="57C7D42D"/>
    <w:multiLevelType w:val="hybridMultilevel"/>
    <w:lvl w:ilvl="0">
      <w:lvlJc w:val="left"/>
      <w:lvlText w:val="●"/>
      <w:numFmt w:val="bullet"/>
      <w:start w:val="1"/>
    </w:lvl>
  </w:abstractNum>
  <w:abstractNum w:abstractNumId="106">
    <w:nsid w:val="312167AD"/>
    <w:multiLevelType w:val="hybridMultilevel"/>
    <w:lvl w:ilvl="0">
      <w:lvlJc w:val="left"/>
      <w:lvlText w:val="●"/>
      <w:numFmt w:val="bullet"/>
      <w:start w:val="1"/>
    </w:lvl>
  </w:abstractNum>
  <w:abstractNum w:abstractNumId="107">
    <w:nsid w:val="631B64D4"/>
    <w:multiLevelType w:val="hybridMultilevel"/>
    <w:lvl w:ilvl="0">
      <w:lvlJc w:val="left"/>
      <w:lvlText w:val="●"/>
      <w:numFmt w:val="bullet"/>
      <w:start w:val="1"/>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
      <w:numFmt w:val="bullet"/>
      <w:start w:val="1"/>
    </w:lvl>
  </w:abstractNum>
  <w:abstractNum w:abstractNumId="110">
    <w:nsid w:val="6E534CDE"/>
    <w:multiLevelType w:val="hybridMultilevel"/>
    <w:lvl w:ilvl="0">
      <w:lvlJc w:val="left"/>
      <w:lvlText w:val="●"/>
      <w:numFmt w:val="bullet"/>
      <w:start w:val="1"/>
    </w:lvl>
  </w:abstractNum>
  <w:abstractNum w:abstractNumId="111">
    <w:nsid w:val="1A0DDE32"/>
    <w:multiLevelType w:val="hybridMultilevel"/>
    <w:lvl w:ilvl="0">
      <w:lvlJc w:val="left"/>
      <w:lvlText w:val="(%1)"/>
      <w:numFmt w:val="lowerRoman"/>
      <w:start w:val="3"/>
    </w:lvl>
  </w:abstractNum>
  <w:abstractNum w:abstractNumId="112">
    <w:nsid w:val="65968C1C"/>
    <w:multiLevelType w:val="hybridMultilevel"/>
    <w:lvl w:ilvl="0">
      <w:lvlJc w:val="left"/>
      <w:lvlText w:val="·"/>
      <w:numFmt w:val="bullet"/>
      <w:start w:val="1"/>
    </w:lvl>
  </w:abstractNum>
  <w:abstractNum w:abstractNumId="113">
    <w:nsid w:val="46263DEC"/>
    <w:multiLevelType w:val="hybridMultilevel"/>
    <w:lvl w:ilvl="0">
      <w:lvlJc w:val="left"/>
      <w:lvlText w:val="%1."/>
      <w:numFmt w:val="upperLetter"/>
      <w:start w:val="4"/>
    </w:lvl>
  </w:abstractNum>
  <w:abstractNum w:abstractNumId="114">
    <w:nsid w:val="260D8C4A"/>
    <w:multiLevelType w:val="hybridMultilevel"/>
    <w:lvl w:ilvl="0">
      <w:lvlJc w:val="left"/>
      <w:lvlText w:val="%1."/>
      <w:numFmt w:val="upperLetter"/>
      <w:start w:val="3"/>
    </w:lvl>
  </w:abstractNum>
  <w:abstractNum w:abstractNumId="115">
    <w:nsid w:val="73D4D3C4"/>
    <w:multiLevelType w:val="hybridMultilevel"/>
    <w:lvl w:ilvl="0">
      <w:lvlJc w:val="left"/>
      <w:lvlText w:val="●"/>
      <w:numFmt w:val="bullet"/>
      <w:start w:val="1"/>
    </w:lvl>
  </w:abstractNum>
  <w:abstractNum w:abstractNumId="116">
    <w:nsid w:val="746F2E30"/>
    <w:multiLevelType w:val="hybridMultilevel"/>
    <w:lvl w:ilvl="0">
      <w:lvlJc w:val="left"/>
      <w:lvlText w:val="●"/>
      <w:numFmt w:val="bullet"/>
      <w:start w:val="1"/>
    </w:lvl>
  </w:abstractNum>
  <w:abstractNum w:abstractNumId="117">
    <w:nsid w:val="6FDE8AF6"/>
    <w:multiLevelType w:val="hybridMultilevel"/>
    <w:lvl w:ilvl="0">
      <w:lvlJc w:val="left"/>
      <w:lvlText w:val="●"/>
      <w:numFmt w:val="bullet"/>
      <w:start w:val="1"/>
    </w:lvl>
  </w:abstractNum>
  <w:abstractNum w:abstractNumId="118">
    <w:nsid w:val="3FC32E20"/>
    <w:multiLevelType w:val="hybridMultilevel"/>
    <w:lvl w:ilvl="0">
      <w:lvlJc w:val="left"/>
      <w:lvlText w:val="●"/>
      <w:numFmt w:val="bullet"/>
      <w:start w:val="1"/>
    </w:lvl>
  </w:abstractNum>
  <w:abstractNum w:abstractNumId="119">
    <w:nsid w:val="49C0E823"/>
    <w:multiLevelType w:val="hybridMultilevel"/>
    <w:lvl w:ilvl="0">
      <w:lvlJc w:val="left"/>
      <w:lvlText w:val="%1."/>
      <w:numFmt w:val="upperLetter"/>
      <w:start w:val="5"/>
    </w:lvl>
  </w:abstractNum>
  <w:abstractNum w:abstractNumId="120">
    <w:nsid w:val="14D53685"/>
    <w:multiLevelType w:val="hybridMultilevel"/>
    <w:lvl w:ilvl="0">
      <w:lvlJc w:val="left"/>
      <w:lvlText w:val="●"/>
      <w:numFmt w:val="bullet"/>
      <w:start w:val="1"/>
    </w:lvl>
  </w:abstractNum>
  <w:abstractNum w:abstractNumId="121">
    <w:nsid w:val="230F856C"/>
    <w:multiLevelType w:val="hybridMultilevel"/>
    <w:lvl w:ilvl="0">
      <w:lvlJc w:val="left"/>
      <w:lvlText w:val="*"/>
      <w:numFmt w:val="bullet"/>
      <w:start w:val="1"/>
    </w:lvl>
  </w:abstractNum>
  <w:abstractNum w:abstractNumId="122">
    <w:nsid w:val="6EAA85FB"/>
    <w:multiLevelType w:val="hybridMultilevel"/>
    <w:lvl w:ilvl="0">
      <w:lvlJc w:val="left"/>
      <w:lvlText w:val="%1."/>
      <w:numFmt w:val="upperLetter"/>
      <w:start w:val="2"/>
    </w:lvl>
  </w:abstractNum>
  <w:abstractNum w:abstractNumId="123">
    <w:nsid w:val="3F06ECB2"/>
    <w:multiLevelType w:val="hybridMultilevel"/>
    <w:lvl w:ilvl="0">
      <w:lvlJc w:val="left"/>
      <w:lvlText w:val="%1."/>
      <w:numFmt w:val="upperLetter"/>
      <w:start w:val="3"/>
    </w:lvl>
  </w:abstractNum>
  <w:abstractNum w:abstractNumId="124">
    <w:nsid w:val="3B594807"/>
    <w:multiLevelType w:val="hybridMultilevel"/>
    <w:lvl w:ilvl="0">
      <w:lvlJc w:val="left"/>
      <w:lvlText w:val="%1."/>
      <w:numFmt w:val="upperLetter"/>
      <w:start w:val="1"/>
    </w:lvl>
  </w:abstractNum>
  <w:abstractNum w:abstractNumId="125">
    <w:nsid w:val="6CAA2304"/>
    <w:multiLevelType w:val="hybridMultilevel"/>
    <w:lvl w:ilvl="0">
      <w:lvlJc w:val="left"/>
      <w:lvlText w:val="%1."/>
      <w:numFmt w:val="upperLetter"/>
      <w:start w:val="1"/>
    </w:lvl>
  </w:abstractNum>
  <w:abstractNum w:abstractNumId="126">
    <w:nsid w:val="3F7C2FF4"/>
    <w:multiLevelType w:val="hybridMultilevel"/>
    <w:lvl w:ilvl="0">
      <w:lvlJc w:val="left"/>
      <w:lvlText w:val="%1."/>
      <w:numFmt w:val="upperLetter"/>
      <w:start w:val="4"/>
    </w:lvl>
  </w:abstractNum>
  <w:abstractNum w:abstractNumId="127">
    <w:nsid w:val="25413BEC"/>
    <w:multiLevelType w:val="hybridMultilevel"/>
    <w:lvl w:ilvl="0">
      <w:lvlJc w:val="left"/>
      <w:lvlText w:val="%1."/>
      <w:numFmt w:val="upperLetter"/>
      <w:start w:val="1"/>
    </w:lvl>
  </w:abstractNum>
  <w:abstractNum w:abstractNumId="128">
    <w:nsid w:val="17180B0B"/>
    <w:multiLevelType w:val="hybridMultilevel"/>
    <w:lvl w:ilvl="0">
      <w:lvlJc w:val="left"/>
      <w:lvlText w:val="●"/>
      <w:numFmt w:val="bullet"/>
      <w:start w:val="1"/>
    </w:lvl>
  </w:abstractNum>
  <w:abstractNum w:abstractNumId="129">
    <w:nsid w:val="579328B9"/>
    <w:multiLevelType w:val="hybridMultilevel"/>
    <w:lvl w:ilvl="0">
      <w:lvlJc w:val="left"/>
      <w:lvlText w:val="●"/>
      <w:numFmt w:val="bullet"/>
      <w:start w:val="1"/>
    </w:lvl>
  </w:abstractNum>
  <w:abstractNum w:abstractNumId="130">
    <w:nsid w:val="5D205E20"/>
    <w:multiLevelType w:val="hybridMultilevel"/>
    <w:lvl w:ilvl="0">
      <w:lvlJc w:val="left"/>
      <w:lvlText w:val="●"/>
      <w:numFmt w:val="bullet"/>
      <w:start w:val="1"/>
    </w:lvl>
  </w:abstractNum>
  <w:abstractNum w:abstractNumId="131">
    <w:nsid w:val="11CCA8BA"/>
    <w:multiLevelType w:val="hybridMultilevel"/>
    <w:lvl w:ilvl="0">
      <w:lvlJc w:val="left"/>
      <w:lvlText w:val="(%1)"/>
      <w:numFmt w:val="lowerRoman"/>
      <w:start w:val="2"/>
    </w:lvl>
  </w:abstractNum>
  <w:abstractNum w:abstractNumId="132">
    <w:nsid w:val="4D32AB86"/>
    <w:multiLevelType w:val="hybridMultilevel"/>
    <w:lvl w:ilvl="0">
      <w:lvlJc w:val="left"/>
      <w:lvlText w:val="(%1)"/>
      <w:numFmt w:val="lowerRoman"/>
      <w:start w:val="1"/>
    </w:lvl>
  </w:abstractNum>
  <w:abstractNum w:abstractNumId="133">
    <w:nsid w:val="3F07ACC3"/>
    <w:multiLevelType w:val="hybridMultilevel"/>
    <w:lvl w:ilvl="0">
      <w:lvlJc w:val="left"/>
      <w:lvlText w:val="%1."/>
      <w:numFmt w:val="upperLetter"/>
      <w:start w:val="6"/>
    </w:lvl>
  </w:abstractNum>
  <w:abstractNum w:abstractNumId="134">
    <w:nsid w:val="6B47F63E"/>
    <w:multiLevelType w:val="hybridMultilevel"/>
    <w:lvl w:ilvl="0">
      <w:lvlJc w:val="left"/>
      <w:lvlText w:val="%1."/>
      <w:numFmt w:val="upperLetter"/>
      <w:start w:val="9"/>
    </w:lvl>
  </w:abstractNum>
  <w:abstractNum w:abstractNumId="135">
    <w:nsid w:val="5CB44A05"/>
    <w:multiLevelType w:val="hybridMultilevel"/>
    <w:lvl w:ilvl="0">
      <w:lvlJc w:val="left"/>
      <w:lvlText w:val="%1."/>
      <w:numFmt w:val="upperLetter"/>
      <w:start w:val="1"/>
    </w:lvl>
  </w:abstractNum>
  <w:abstractNum w:abstractNumId="136">
    <w:nsid w:val="16CF80F1"/>
    <w:multiLevelType w:val="hybridMultilevel"/>
    <w:lvl w:ilvl="0">
      <w:lvlJc w:val="left"/>
      <w:lvlText w:val="%1."/>
      <w:numFmt w:val="upperLetter"/>
      <w:start w:val="1"/>
    </w:lvl>
  </w:abstractNum>
  <w:abstractNum w:abstractNumId="137">
    <w:nsid w:val="1C695DEC"/>
    <w:multiLevelType w:val="hybridMultilevel"/>
    <w:lvl w:ilvl="0">
      <w:lvlJc w:val="left"/>
      <w:lvlText w:val="*"/>
      <w:numFmt w:val="bullet"/>
      <w:start w:val="1"/>
    </w:lvl>
    <w:lvl w:ilvl="1">
      <w:lvlJc w:val="left"/>
      <w:lvlText w:val="(%2)"/>
      <w:numFmt w:val="lowerLetter"/>
      <w:start w:val="2"/>
    </w:lvl>
  </w:abstractNum>
  <w:abstractNum w:abstractNumId="138">
    <w:nsid w:val="3FCFAED9"/>
    <w:multiLevelType w:val="hybridMultilevel"/>
    <w:lvl w:ilvl="0">
      <w:lvlJc w:val="left"/>
      <w:lvlText w:val="%1."/>
      <w:numFmt w:val="decimal"/>
      <w:start w:val="1"/>
    </w:lvl>
  </w:abstractNum>
  <w:abstractNum w:abstractNumId="139">
    <w:nsid w:val="F856867"/>
    <w:multiLevelType w:val="hybridMultilevel"/>
    <w:lvl w:ilvl="0">
      <w:lvlJc w:val="left"/>
      <w:lvlText w:val="%1."/>
      <w:numFmt w:val="decimal"/>
      <w:start w:val="2"/>
    </w:lvl>
  </w:abstractNum>
  <w:abstractNum w:abstractNumId="140">
    <w:nsid w:val="11B1CC33"/>
    <w:multiLevelType w:val="hybridMultilevel"/>
    <w:lvl w:ilvl="0">
      <w:lvlJc w:val="left"/>
      <w:lvlText w:val="(%1)"/>
      <w:numFmt w:val="lowerRoman"/>
      <w:start w:val="3"/>
    </w:lvl>
  </w:abstractNum>
  <w:abstractNum w:abstractNumId="141">
    <w:nsid w:val="2E22FBB7"/>
    <w:multiLevelType w:val="hybridMultilevel"/>
    <w:lvl w:ilvl="0">
      <w:lvlJc w:val="left"/>
      <w:lvlText w:val="(%1)"/>
      <w:numFmt w:val="lowerRoman"/>
      <w:start w:val="5"/>
    </w:lvl>
  </w:abstractNum>
  <w:abstractNum w:abstractNumId="142">
    <w:nsid w:val="29934699"/>
    <w:multiLevelType w:val="hybridMultilevel"/>
    <w:lvl w:ilvl="0">
      <w:lvlJc w:val="left"/>
      <w:lvlText w:val="%1."/>
      <w:numFmt w:val="decimal"/>
      <w:start w:val="3"/>
    </w:lvl>
  </w:abstractNum>
  <w:abstractNum w:abstractNumId="143">
    <w:nsid w:val="77485850"/>
    <w:multiLevelType w:val="hybridMultilevel"/>
    <w:lvl w:ilvl="0">
      <w:lvlJc w:val="left"/>
      <w:lvlText w:val="%1."/>
      <w:numFmt w:val="lowerRoman"/>
      <w:start w:val="1"/>
    </w:lvl>
  </w:abstractNum>
  <w:abstractNum w:abstractNumId="144">
    <w:nsid w:val="744939A3"/>
    <w:multiLevelType w:val="hybridMultilevel"/>
    <w:lvl w:ilvl="0">
      <w:lvlJc w:val="left"/>
      <w:lvlText w:val="●"/>
      <w:numFmt w:val="bullet"/>
      <w:start w:val="1"/>
    </w:lvl>
  </w:abstractNum>
  <w:abstractNum w:abstractNumId="145">
    <w:nsid w:val="4FA0D2E3"/>
    <w:multiLevelType w:val="hybridMultilevel"/>
    <w:lvl w:ilvl="0">
      <w:lvlJc w:val="left"/>
      <w:lvlText w:val="%1."/>
      <w:numFmt w:val="decimal"/>
      <w:start w:val="4"/>
    </w:lvl>
  </w:abstractNum>
  <w:abstractNum w:abstractNumId="146">
    <w:nsid w:val="6B1D2C14"/>
    <w:multiLevelType w:val="hybridMultilevel"/>
    <w:lvl w:ilvl="0">
      <w:lvlJc w:val="left"/>
      <w:lvlText w:val="%1."/>
      <w:numFmt w:val="decimal"/>
      <w:start w:val="5"/>
    </w:lvl>
  </w:abstractNum>
  <w:abstractNum w:abstractNumId="147">
    <w:nsid w:val="68B867D3"/>
    <w:multiLevelType w:val="hybridMultilevel"/>
    <w:lvl w:ilvl="0">
      <w:lvlJc w:val="left"/>
      <w:lvlText w:val="%1."/>
      <w:numFmt w:val="decimal"/>
      <w:start w:val="6"/>
    </w:lvl>
  </w:abstractNum>
  <w:abstractNum w:abstractNumId="148">
    <w:nsid w:val="3F7F5DD9"/>
    <w:multiLevelType w:val="hybridMultilevel"/>
    <w:lvl w:ilvl="0">
      <w:lvlJc w:val="left"/>
      <w:lvlText w:val="%1."/>
      <w:numFmt w:val="decimal"/>
      <w:start w:val="7"/>
    </w:lvl>
  </w:abstractNum>
  <w:abstractNum w:abstractNumId="149">
    <w:nsid w:val="2AE05A34"/>
    <w:multiLevelType w:val="hybridMultilevel"/>
    <w:lvl w:ilvl="0">
      <w:lvlJc w:val="left"/>
      <w:lvlText w:val="●"/>
      <w:numFmt w:val="bullet"/>
      <w:start w:val="1"/>
    </w:lvl>
  </w:abstractNum>
  <w:abstractNum w:abstractNumId="150">
    <w:nsid w:val="32794FF7"/>
    <w:multiLevelType w:val="hybridMultilevel"/>
    <w:lvl w:ilvl="0">
      <w:lvlJc w:val="left"/>
      <w:lvlText w:val="%1."/>
      <w:numFmt w:val="decimal"/>
      <w:start w:val="8"/>
    </w:lvl>
  </w:abstractNum>
  <w:abstractNum w:abstractNumId="151">
    <w:nsid w:val="5454945E"/>
    <w:multiLevelType w:val="hybridMultilevel"/>
    <w:lvl w:ilvl="0">
      <w:lvlJc w:val="left"/>
      <w:lvlText w:val="(%1)"/>
      <w:numFmt w:val="lowerRoman"/>
      <w:start w:val="2"/>
    </w:lvl>
  </w:abstractNum>
  <w:abstractNum w:abstractNumId="152">
    <w:nsid w:val="4DEFDFA0"/>
    <w:multiLevelType w:val="hybridMultilevel"/>
    <w:lvl w:ilvl="0">
      <w:lvlJc w:val="left"/>
      <w:lvlText w:val="(%1)"/>
      <w:numFmt w:val="lowerRoman"/>
      <w:start w:val="3"/>
    </w:lvl>
  </w:abstractNum>
  <w:abstractNum w:abstractNumId="153">
    <w:nsid w:val="2123D5F2"/>
    <w:multiLevelType w:val="hybridMultilevel"/>
    <w:lvl w:ilvl="0">
      <w:lvlJc w:val="left"/>
      <w:lvlText w:val="%1."/>
      <w:numFmt w:val="decimal"/>
      <w:start w:val="18"/>
    </w:lvl>
  </w:abstractNum>
  <w:abstractNum w:abstractNumId="154">
    <w:nsid w:val="135B8110"/>
    <w:multiLevelType w:val="hybridMultilevel"/>
    <w:lvl w:ilvl="0">
      <w:lvlJc w:val="left"/>
      <w:lvlText w:val="%1)"/>
      <w:numFmt w:val="upperLetter"/>
      <w:start w:val="1"/>
    </w:lvl>
    <w:lvl w:ilvl="1">
      <w:lvlJc w:val="left"/>
      <w:lvlText w:val="%2)"/>
      <w:numFmt w:val="upperLetter"/>
      <w:start w:val="2"/>
    </w:lvl>
  </w:abstractNum>
  <w:abstractNum w:abstractNumId="155">
    <w:nsid w:val="94927A8"/>
    <w:multiLevelType w:val="hybridMultilevel"/>
    <w:lvl w:ilvl="0">
      <w:lvlJc w:val="left"/>
      <w:lvlText w:val="(%1)"/>
      <w:numFmt w:val="lowerRoman"/>
      <w:start w:val="1"/>
    </w:lvl>
  </w:abstractNum>
  <w:abstractNum w:abstractNumId="156">
    <w:nsid w:val="DCDF8F6"/>
    <w:multiLevelType w:val="hybridMultilevel"/>
    <w:lvl w:ilvl="0">
      <w:lvlJc w:val="left"/>
      <w:lvlText w:val="(%1)"/>
      <w:numFmt w:val="lowerRoman"/>
      <w:start w:val="1"/>
    </w:lvl>
  </w:abstractNum>
  <w:abstractNum w:abstractNumId="157">
    <w:nsid w:val="52D7B105"/>
    <w:multiLevelType w:val="hybridMultilevel"/>
    <w:lvl w:ilvl="0">
      <w:lvlJc w:val="left"/>
      <w:lvlText w:val="%1."/>
      <w:numFmt w:val="decimal"/>
      <w:start w:val="4"/>
    </w:lvl>
  </w:abstractNum>
  <w:abstractNum w:abstractNumId="158">
    <w:nsid w:val="2E8A6394"/>
    <w:multiLevelType w:val="hybridMultilevel"/>
    <w:lvl w:ilvl="0">
      <w:lvlJc w:val="left"/>
      <w:lvlText w:val="(%1)"/>
      <w:numFmt w:val="lowerRoman"/>
      <w:start w:val="1"/>
    </w:lvl>
  </w:abstractNum>
  <w:abstractNum w:abstractNumId="159">
    <w:nsid w:val="24E60401"/>
    <w:multiLevelType w:val="hybridMultilevel"/>
    <w:lvl w:ilvl="0">
      <w:lvlJc w:val="left"/>
      <w:lvlText w:val="%1."/>
      <w:numFmt w:val="decimal"/>
      <w:start w:val="5"/>
    </w:lvl>
  </w:abstractNum>
  <w:abstractNum w:abstractNumId="160">
    <w:nsid w:val="2A6AD9BE"/>
    <w:multiLevelType w:val="hybridMultilevel"/>
    <w:lvl w:ilvl="0">
      <w:lvlJc w:val="left"/>
      <w:lvlText w:val="%1)"/>
      <w:numFmt w:val="lowerLetter"/>
      <w:start w:val="1"/>
    </w:lvl>
  </w:abstractNum>
  <w:abstractNum w:abstractNumId="161">
    <w:nsid w:val="BAAC1B4"/>
    <w:multiLevelType w:val="hybridMultilevel"/>
    <w:lvl w:ilvl="0">
      <w:lvlJc w:val="left"/>
      <w:lvlText w:val="%1)"/>
      <w:numFmt w:val="lowerLetter"/>
      <w:start w:val="3"/>
    </w:lvl>
  </w:abstractNum>
  <w:abstractNum w:abstractNumId="162">
    <w:nsid w:val="36B2ACBC"/>
    <w:multiLevelType w:val="hybridMultilevel"/>
    <w:lvl w:ilvl="0">
      <w:lvlJc w:val="left"/>
      <w:lvlText w:val="●"/>
      <w:numFmt w:val="bullet"/>
      <w:start w:val="1"/>
    </w:lvl>
  </w:abstractNum>
  <w:abstractNum w:abstractNumId="163">
    <w:nsid w:val="779D8544"/>
    <w:multiLevelType w:val="hybridMultilevel"/>
    <w:lvl w:ilvl="0">
      <w:lvlJc w:val="left"/>
      <w:lvlText w:val="%1."/>
      <w:numFmt w:val="decimal"/>
      <w:start w:val="7"/>
    </w:lvl>
  </w:abstractNum>
  <w:abstractNum w:abstractNumId="164">
    <w:nsid w:val="4AB26E78"/>
    <w:multiLevelType w:val="hybridMultilevel"/>
    <w:lvl w:ilvl="0">
      <w:lvlJc w:val="left"/>
      <w:lvlText w:val="%1)"/>
      <w:numFmt w:val="lowerLetter"/>
      <w:start w:val="1"/>
    </w:lvl>
  </w:abstractNum>
  <w:abstractNum w:abstractNumId="165">
    <w:nsid w:val="21FAA2FA"/>
    <w:multiLevelType w:val="hybridMultilevel"/>
    <w:lvl w:ilvl="0">
      <w:lvlJc w:val="left"/>
      <w:lvlText w:val="%1)"/>
      <w:numFmt w:val="lowerLetter"/>
      <w:start w:val="1"/>
    </w:lvl>
  </w:abstractNum>
  <w:abstractNum w:abstractNumId="166">
    <w:nsid w:val="5451CF49"/>
    <w:multiLevelType w:val="hybridMultilevel"/>
    <w:lvl w:ilvl="0">
      <w:lvlJc w:val="left"/>
      <w:lvlText w:val="●"/>
      <w:numFmt w:val="bullet"/>
      <w:start w:val="1"/>
    </w:lvl>
  </w:abstractNum>
  <w:abstractNum w:abstractNumId="167">
    <w:nsid w:val="6181EF69"/>
    <w:multiLevelType w:val="hybridMultilevel"/>
    <w:lvl w:ilvl="0">
      <w:lvlJc w:val="left"/>
      <w:lvlText w:val="●"/>
      <w:numFmt w:val="bullet"/>
      <w:start w:val="1"/>
    </w:lvl>
  </w:abstractNum>
  <w:abstractNum w:abstractNumId="168">
    <w:nsid w:val="3E6400E6"/>
    <w:multiLevelType w:val="hybridMultilevel"/>
    <w:lvl w:ilvl="0">
      <w:lvlJc w:val="left"/>
      <w:lvlText w:val="●"/>
      <w:numFmt w:val="bullet"/>
      <w:start w:val="1"/>
    </w:lvl>
  </w:abstractNum>
  <w:abstractNum w:abstractNumId="169">
    <w:nsid w:val="14217E23"/>
    <w:multiLevelType w:val="hybridMultilevel"/>
    <w:lvl w:ilvl="0">
      <w:lvlJc w:val="left"/>
      <w:lvlText w:val="●"/>
      <w:numFmt w:val="bullet"/>
      <w:start w:val="1"/>
    </w:lvl>
  </w:abstractNum>
  <w:abstractNum w:abstractNumId="170">
    <w:nsid w:val="710757D0"/>
    <w:multiLevelType w:val="hybridMultilevel"/>
    <w:lvl w:ilvl="0">
      <w:lvlJc w:val="left"/>
      <w:lvlText w:val="●"/>
      <w:numFmt w:val="bullet"/>
      <w:start w:val="1"/>
    </w:lvl>
  </w:abstractNum>
  <w:abstractNum w:abstractNumId="171">
    <w:nsid w:val="5015CD1A"/>
    <w:multiLevelType w:val="hybridMultilevel"/>
    <w:lvl w:ilvl="0">
      <w:lvlJc w:val="left"/>
      <w:lvlText w:val="●"/>
      <w:numFmt w:val="bullet"/>
      <w:start w:val="1"/>
    </w:lvl>
  </w:abstractNum>
  <w:abstractNum w:abstractNumId="172">
    <w:nsid w:val="424479DA"/>
    <w:multiLevelType w:val="hybridMultilevel"/>
    <w:lvl w:ilvl="0">
      <w:lvlJc w:val="left"/>
      <w:lvlText w:val="●"/>
      <w:numFmt w:val="bullet"/>
      <w:start w:val="1"/>
    </w:lvl>
  </w:abstractNum>
  <w:abstractNum w:abstractNumId="173">
    <w:nsid w:val="1A9A9E69"/>
    <w:multiLevelType w:val="hybridMultilevel"/>
    <w:lvl w:ilvl="0">
      <w:lvlJc w:val="left"/>
      <w:lvlText w:val="●"/>
      <w:numFmt w:val="bullet"/>
      <w:start w:val="1"/>
    </w:lvl>
  </w:abstractNum>
  <w:abstractNum w:abstractNumId="174">
    <w:nsid w:val="475E256A"/>
    <w:multiLevelType w:val="hybridMultilevel"/>
    <w:lvl w:ilvl="0">
      <w:lvlJc w:val="left"/>
      <w:lvlText w:val="●"/>
      <w:numFmt w:val="bullet"/>
      <w:start w:val="1"/>
    </w:lvl>
  </w:abstractNum>
  <w:abstractNum w:abstractNumId="175">
    <w:nsid w:val="368DB37E"/>
    <w:multiLevelType w:val="hybridMultilevel"/>
    <w:lvl w:ilvl="0">
      <w:lvlJc w:val="left"/>
      <w:lvlText w:val="●"/>
      <w:numFmt w:val="bullet"/>
      <w:start w:val="1"/>
    </w:lvl>
  </w:abstractNum>
  <w:abstractNum w:abstractNumId="176">
    <w:nsid w:val="6A3B714C"/>
    <w:multiLevelType w:val="hybridMultilevel"/>
    <w:lvl w:ilvl="0">
      <w:lvlJc w:val="left"/>
      <w:lvlText w:val="%1."/>
      <w:numFmt w:val="decimal"/>
      <w:start w:val="1"/>
    </w:lvl>
  </w:abstractNum>
  <w:abstractNum w:abstractNumId="177">
    <w:nsid w:val="327B517E"/>
    <w:multiLevelType w:val="hybridMultilevel"/>
    <w:lvl w:ilvl="0">
      <w:lvlJc w:val="left"/>
      <w:lvlText w:val="(%1)"/>
      <w:numFmt w:val="lowerLetter"/>
      <w:start w:val="1"/>
    </w:lvl>
  </w:abstractNum>
  <w:abstractNum w:abstractNumId="178">
    <w:nsid w:val="1F461B51"/>
    <w:multiLevelType w:val="hybridMultilevel"/>
    <w:lvl w:ilvl="0">
      <w:lvlJc w:val="left"/>
      <w:lvlText w:val="%1."/>
      <w:numFmt w:val="decimal"/>
      <w:start w:val="5"/>
    </w:lvl>
  </w:abstractNum>
  <w:abstractNum w:abstractNumId="179">
    <w:nsid w:val="29BACF25"/>
    <w:multiLevelType w:val="hybridMultilevel"/>
    <w:lvl w:ilvl="0">
      <w:lvlJc w:val="left"/>
      <w:lvlText w:val="(%1)"/>
      <w:numFmt w:val="lowerLetter"/>
      <w:start w:val="1"/>
    </w:lvl>
  </w:abstractNum>
  <w:abstractNum w:abstractNumId="180">
    <w:nsid w:val="5D5BABB3"/>
    <w:multiLevelType w:val="hybridMultilevel"/>
    <w:lvl w:ilvl="0">
      <w:lvlJc w:val="left"/>
      <w:lvlText w:val="%1."/>
      <w:numFmt w:val="decimal"/>
      <w:start w:val="1"/>
    </w:lvl>
  </w:abstractNum>
  <w:abstractNum w:abstractNumId="181">
    <w:nsid w:val="51BF6B48"/>
    <w:multiLevelType w:val="hybridMultilevel"/>
    <w:lvl w:ilvl="0">
      <w:lvlJc w:val="left"/>
      <w:lvlText w:val="(%1)"/>
      <w:numFmt w:val="lowerLetter"/>
      <w:start w:val="1"/>
    </w:lvl>
  </w:abstractNum>
  <w:abstractNum w:abstractNumId="182">
    <w:nsid w:val="7E0F6384"/>
    <w:multiLevelType w:val="hybridMultilevel"/>
    <w:lvl w:ilvl="0">
      <w:lvlJc w:val="left"/>
      <w:lvlText w:val="%1."/>
      <w:numFmt w:val="decimal"/>
      <w:start w:val="5"/>
    </w:lvl>
  </w:abstractNum>
  <w:abstractNum w:abstractNumId="183">
    <w:nsid w:val="2B4B8B53"/>
    <w:multiLevelType w:val="hybridMultilevel"/>
    <w:lvl w:ilvl="0">
      <w:lvlJc w:val="left"/>
      <w:lvlText w:val="(%1)"/>
      <w:numFmt w:val="lowerLetter"/>
      <w:start w:val="1"/>
    </w:lvl>
  </w:abstractNum>
  <w:abstractNum w:abstractNumId="184">
    <w:nsid w:val="72E3413A"/>
    <w:multiLevelType w:val="hybridMultilevel"/>
    <w:lvl w:ilvl="0">
      <w:lvlJc w:val="left"/>
      <w:lvlText w:val="%1."/>
      <w:numFmt w:val="decimal"/>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232" Type="http://schemas.openxmlformats.org/officeDocument/2006/relationships/hyperlink" Target="https://www.sec.gov/Archives/edgar/data/1651625/000095010322011230/dp175826_ex9903.htm" TargetMode="External"/><Relationship Id="rId233" Type="http://schemas.openxmlformats.org/officeDocument/2006/relationships/hyperlink" Target="https://www.sec.gov/Archives/edgar/data/1651625/000119312516607922/d16439dex101.htm" TargetMode="External"/><Relationship Id="rId234" Type="http://schemas.openxmlformats.org/officeDocument/2006/relationships/hyperlink" Target="https://www.sec.gov/Archives/edgar/data/1651625/000119312516607922/d16439dex102.htm" TargetMode="External"/><Relationship Id="rId235" Type="http://schemas.openxmlformats.org/officeDocument/2006/relationships/hyperlink" Target="https://www.sec.gov/Archives/edgar/data/1651625/000119312516607922/d16439dex103.htm" TargetMode="External"/><Relationship Id="rId236" Type="http://schemas.openxmlformats.org/officeDocument/2006/relationships/hyperlink" Target="https://www.sec.gov/Archives/edgar/data/1651625/000119312516607922/d16439dex104.htm" TargetMode="External"/><Relationship Id="rId237" Type="http://schemas.openxmlformats.org/officeDocument/2006/relationships/hyperlink" Target="https://www.sec.gov/Archives/edgar/data/1651625/000119312516607922/d16439dex105.htm" TargetMode="External"/><Relationship Id="rId238" Type="http://schemas.openxmlformats.org/officeDocument/2006/relationships/hyperlink" Target="https://www.sec.gov/Archives/edgar/data/1651625/000119312516607922/d16439dex107.htm" TargetMode="External"/><Relationship Id="rId239" Type="http://schemas.openxmlformats.org/officeDocument/2006/relationships/hyperlink" Target="https://www.sec.gov/Archives/edgar/data/1651625/000095010316017052/dp69421_ex9908.htm" TargetMode="External"/><Relationship Id="rId240" Type="http://schemas.openxmlformats.org/officeDocument/2006/relationships/hyperlink" Target="https://www.sec.gov/Archives/edgar/data/1651625/000095010319004949/dp105140_ex0414.htm" TargetMode="External"/><Relationship Id="rId241" Type="http://schemas.openxmlformats.org/officeDocument/2006/relationships/hyperlink" Target="https://www.sec.gov/Archives/edgar/data/1651625/000095010319003578/dp103711_ex0415.htm" TargetMode="External"/><Relationship Id="rId242" Type="http://schemas.openxmlformats.org/officeDocument/2006/relationships/hyperlink" Target="https://www.sec.gov/Archives/edgar/data/1651625/000095010319012523/dp112992_ex1001.htm" TargetMode="External"/><Relationship Id="rId243" Type="http://schemas.openxmlformats.org/officeDocument/2006/relationships/hyperlink" Target="https://www.sec.gov/Archives/edgar/data/1651625/000095010320005734/dp124366_ex1001.htm" TargetMode="External"/><Relationship Id="rId244" Type="http://schemas.openxmlformats.org/officeDocument/2006/relationships/hyperlink" Target="https://www.sec.gov/Archives/edgar/data/1651625/000095010321006778/dp1150581_ex0101.htm" TargetMode="External"/><Relationship Id="rId245" Type="http://schemas.openxmlformats.org/officeDocument/2006/relationships/hyperlink" Target="https://www.sec.gov/Archives/edgar/data/1651625/000095010321011884/dp155670_ex1001.htm" TargetMode="External"/><Relationship Id="rId246" Type="http://schemas.openxmlformats.org/officeDocument/2006/relationships/hyperlink" Target="https://www.sec.gov/Archives/edgar/data/1651625/000095010321011884/dp155670_ex1002.htm" TargetMode="External"/><Relationship Id="rId247" Type="http://schemas.openxmlformats.org/officeDocument/2006/relationships/hyperlink" Target="https://www.sec.gov/Archives/edgar/data/1651625/000095010321011884/dp155670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2023-03-17T11:52:42Z</dcterms:created>
  <dcterms:modified xsi:type="dcterms:W3CDTF">2023-03-17T11:52:42Z</dcterms:modified>
</cp:coreProperties>
</file>