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21, 2016</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Amendment No. 6</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t>
      </w:r>
    </w:p>
    <w:p>
      <w:pPr>
        <w:jc w:val="center"/>
        <w:spacing w:after="0"/>
        <w:rPr>
          <w:sz w:val="20"/>
          <w:szCs w:val="20"/>
          <w:color w:val="auto"/>
        </w:rPr>
      </w:pPr>
      <w:r>
        <w:rPr>
          <w:rFonts w:ascii="Arial" w:cs="Arial" w:eastAsia="Arial" w:hAnsi="Arial"/>
          <w:sz w:val="27"/>
          <w:szCs w:val="27"/>
          <w:b w:val="1"/>
          <w:bCs w:val="1"/>
          <w:color w:val="auto"/>
        </w:rPr>
        <w:t>FORM F-1</w:t>
      </w: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2"/>
              </w:rPr>
              <w:t>Switzerland</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+41 21 345 91 21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4"/>
          <w:szCs w:val="24"/>
          <w:color w:val="auto"/>
        </w:rPr>
      </w:pPr>
    </w:p>
    <w:tbl>
      <w:tblPr>
        <w:tblLayout w:type="fixed"/>
        <w:tblInd w:w="190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National Corporate Research, Ltd.</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1"/>
              </w:rPr>
              <w:t>10 East 40th Street, 10th Floor</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New York, New York 10016</w:t>
            </w:r>
          </w:p>
        </w:tc>
      </w:tr>
      <w:tr>
        <w:trPr>
          <w:trHeight w:val="194"/>
        </w:trPr>
        <w:tc>
          <w:tcPr>
            <w:tcW w:w="2620" w:type="dxa"/>
            <w:vAlign w:val="bottom"/>
          </w:tcPr>
          <w:p>
            <w:pPr>
              <w:spacing w:after="0"/>
              <w:rPr>
                <w:sz w:val="16"/>
                <w:szCs w:val="16"/>
                <w:color w:val="auto"/>
              </w:rPr>
            </w:pPr>
          </w:p>
        </w:tc>
        <w:tc>
          <w:tcPr>
            <w:tcW w:w="2380" w:type="dxa"/>
            <w:vAlign w:val="bottom"/>
          </w:tcPr>
          <w:p>
            <w:pPr>
              <w:jc w:val="center"/>
              <w:ind w:left="160"/>
              <w:spacing w:after="0"/>
              <w:rPr>
                <w:sz w:val="20"/>
                <w:szCs w:val="20"/>
                <w:color w:val="auto"/>
              </w:rPr>
            </w:pPr>
            <w:r>
              <w:rPr>
                <w:rFonts w:ascii="Arial" w:cs="Arial" w:eastAsia="Arial" w:hAnsi="Arial"/>
                <w:sz w:val="16"/>
                <w:szCs w:val="16"/>
                <w:b w:val="1"/>
                <w:bCs w:val="1"/>
                <w:color w:val="auto"/>
                <w:w w:val="93"/>
              </w:rPr>
              <w:t>(800) 221-0102</w:t>
            </w:r>
          </w:p>
        </w:tc>
        <w:tc>
          <w:tcPr>
            <w:tcW w:w="2520" w:type="dxa"/>
            <w:vAlign w:val="bottom"/>
          </w:tcPr>
          <w:p>
            <w:pPr>
              <w:spacing w:after="0"/>
              <w:rPr>
                <w:sz w:val="16"/>
                <w:szCs w:val="16"/>
                <w:color w:val="auto"/>
              </w:rPr>
            </w:pPr>
          </w:p>
        </w:tc>
      </w:tr>
      <w:tr>
        <w:trPr>
          <w:trHeight w:val="186"/>
        </w:trPr>
        <w:tc>
          <w:tcPr>
            <w:tcW w:w="752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1"/>
              </w:rPr>
              <w:t>(Name, address, including zip code, and telephone number, including area code, of agent for service)</w:t>
            </w:r>
          </w:p>
        </w:tc>
      </w:tr>
      <w:tr>
        <w:trPr>
          <w:trHeight w:val="120"/>
        </w:trPr>
        <w:tc>
          <w:tcPr>
            <w:tcW w:w="262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r>
      <w:tr>
        <w:trPr>
          <w:trHeight w:val="211"/>
        </w:trPr>
        <w:tc>
          <w:tcPr>
            <w:tcW w:w="2620" w:type="dxa"/>
            <w:vAlign w:val="bottom"/>
          </w:tcPr>
          <w:p>
            <w:pPr>
              <w:spacing w:after="0"/>
              <w:rPr>
                <w:sz w:val="18"/>
                <w:szCs w:val="18"/>
                <w:color w:val="auto"/>
              </w:rPr>
            </w:pPr>
          </w:p>
        </w:tc>
        <w:tc>
          <w:tcPr>
            <w:tcW w:w="4900" w:type="dxa"/>
            <w:vAlign w:val="bottom"/>
            <w:gridSpan w:val="2"/>
          </w:tcPr>
          <w:p>
            <w:pPr>
              <w:jc w:val="center"/>
              <w:ind w:right="2419"/>
              <w:spacing w:after="0"/>
              <w:rPr>
                <w:sz w:val="20"/>
                <w:szCs w:val="20"/>
                <w:color w:val="auto"/>
              </w:rPr>
            </w:pPr>
            <w:r>
              <w:rPr>
                <w:rFonts w:ascii="Arial" w:cs="Arial" w:eastAsia="Arial" w:hAnsi="Arial"/>
                <w:sz w:val="14"/>
                <w:szCs w:val="14"/>
                <w:b w:val="1"/>
                <w:bCs w:val="1"/>
                <w:i w:val="1"/>
                <w:iCs w:val="1"/>
                <w:color w:val="auto"/>
                <w:w w:val="87"/>
              </w:rPr>
              <w:t>Copies to:</w:t>
            </w:r>
          </w:p>
        </w:tc>
      </w:tr>
      <w:tr>
        <w:trPr>
          <w:trHeight w:val="241"/>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2"/>
              </w:rPr>
              <w:t>Richard D. Truesdell, Jr.</w:t>
            </w:r>
          </w:p>
        </w:tc>
        <w:tc>
          <w:tcPr>
            <w:tcW w:w="2380" w:type="dxa"/>
            <w:vAlign w:val="bottom"/>
          </w:tcPr>
          <w:p>
            <w:pPr>
              <w:spacing w:after="0"/>
              <w:rPr>
                <w:sz w:val="20"/>
                <w:szCs w:val="20"/>
                <w:color w:val="auto"/>
              </w:rPr>
            </w:pPr>
          </w:p>
        </w:tc>
        <w:tc>
          <w:tcPr>
            <w:tcW w:w="25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1"/>
              </w:rPr>
              <w:t>Derek J. Dostal</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Davis Polk &amp; Wardwell LLP</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0"/>
              </w:rPr>
              <w:t>450 Lexington Avenue</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New York, NY 10017</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3"/>
              </w:rPr>
              <w:t>(212) 450-4000</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620" w:type="dxa"/>
            <w:vAlign w:val="bottom"/>
          </w:tcPr>
          <w:p>
            <w:pPr>
              <w:spacing w:after="0"/>
              <w:rPr>
                <w:sz w:val="18"/>
                <w:szCs w:val="18"/>
                <w:color w:val="auto"/>
              </w:rPr>
            </w:pPr>
          </w:p>
        </w:tc>
        <w:tc>
          <w:tcPr>
            <w:tcW w:w="4900" w:type="dxa"/>
            <w:vAlign w:val="bottom"/>
            <w:gridSpan w:val="2"/>
          </w:tcPr>
          <w:p>
            <w:pPr>
              <w:jc w:val="center"/>
              <w:ind w:left="328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jc w:val="center"/>
              <w:ind w:left="9"/>
              <w:spacing w:after="0" w:line="116" w:lineRule="exact"/>
              <w:rPr>
                <w:sz w:val="20"/>
                <w:szCs w:val="20"/>
                <w:color w:val="auto"/>
              </w:rPr>
            </w:pPr>
            <w:r>
              <w:rPr>
                <w:rFonts w:ascii="Arial" w:cs="Arial" w:eastAsia="Arial" w:hAnsi="Arial"/>
                <w:sz w:val="13"/>
                <w:szCs w:val="13"/>
                <w:b w:val="1"/>
                <w:bCs w:val="1"/>
                <w:color w:val="auto"/>
                <w:w w:val="93"/>
              </w:rPr>
              <w:t>Proposed</w:t>
            </w:r>
          </w:p>
        </w:tc>
        <w:tc>
          <w:tcPr>
            <w:tcW w:w="1680" w:type="dxa"/>
            <w:vAlign w:val="bottom"/>
          </w:tcPr>
          <w:p>
            <w:pPr>
              <w:jc w:val="center"/>
              <w:ind w:left="29"/>
              <w:spacing w:after="0" w:line="116" w:lineRule="exact"/>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Borders>
              <w:right w:val="single" w:sz="8" w:color="auto"/>
            </w:tcBorders>
            <w:vMerge w:val="restart"/>
          </w:tcPr>
          <w:p>
            <w:pPr>
              <w:ind w:left="25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1"/>
              </w:rPr>
              <w:t>maximum aggregate</w:t>
            </w:r>
          </w:p>
        </w:tc>
        <w:tc>
          <w:tcPr>
            <w:tcW w:w="168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vMerge w:val="continue"/>
          </w:tcPr>
          <w:p>
            <w:pPr>
              <w:spacing w:after="0"/>
              <w:rPr>
                <w:sz w:val="15"/>
                <w:szCs w:val="15"/>
                <w:color w:val="auto"/>
              </w:rPr>
            </w:pPr>
          </w:p>
        </w:tc>
        <w:tc>
          <w:tcPr>
            <w:tcW w:w="172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5"/>
              </w:rPr>
              <w:t>fee(2)(3)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 nominal value CHF 0.02 per share</w:t>
            </w:r>
          </w:p>
        </w:tc>
        <w:tc>
          <w:tcPr>
            <w:tcW w:w="172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w w:val="92"/>
              </w:rPr>
              <w:t>$89,700,000</w:t>
            </w:r>
          </w:p>
        </w:tc>
        <w:tc>
          <w:tcPr>
            <w:tcW w:w="1680" w:type="dxa"/>
            <w:vAlign w:val="bottom"/>
            <w:tcBorders>
              <w:bottom w:val="single" w:sz="8" w:color="auto"/>
            </w:tcBorders>
          </w:tcPr>
          <w:p>
            <w:pPr>
              <w:jc w:val="right"/>
              <w:ind w:right="429"/>
              <w:spacing w:after="0" w:line="142" w:lineRule="exact"/>
              <w:rPr>
                <w:sz w:val="20"/>
                <w:szCs w:val="20"/>
                <w:color w:val="auto"/>
              </w:rPr>
            </w:pPr>
            <w:r>
              <w:rPr>
                <w:rFonts w:ascii="Arial" w:cs="Arial" w:eastAsia="Arial" w:hAnsi="Arial"/>
                <w:sz w:val="14"/>
                <w:szCs w:val="14"/>
                <w:color w:val="auto"/>
              </w:rPr>
              <w:t>$9,032.79</w:t>
            </w:r>
          </w:p>
        </w:tc>
        <w:tc>
          <w:tcPr>
            <w:tcW w:w="0" w:type="dxa"/>
            <w:vAlign w:val="bottom"/>
          </w:tcPr>
          <w:p>
            <w:pPr>
              <w:spacing w:after="0"/>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of 1933, as amended, based on a bona fide estimate of the proposed maximum aggregate offering price.</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Filing fees in the amount of $6,844.00 were previously paid.</w:t>
      </w:r>
    </w:p>
    <w:p>
      <w:pPr>
        <w:spacing w:after="0" w:line="12" w:lineRule="exact"/>
        <w:rPr>
          <w:sz w:val="24"/>
          <w:szCs w:val="24"/>
          <w:color w:val="auto"/>
        </w:rPr>
      </w:pPr>
    </w:p>
    <w:p>
      <w:pPr>
        <w:ind w:right="18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21,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218440</wp:posOffset>
            </wp:positionV>
            <wp:extent cx="253873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0" w:firstLine="456"/>
        <w:spacing w:after="0"/>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6,000,000 of our common shares in this offering. We expect the initial public offering price will be between $11.00 and $13.00 per common share. We have applied to list our common shares on the NASDAQ under the symbol “ACIU.”</w:t>
      </w:r>
    </w:p>
    <w:p>
      <w:pPr>
        <w:spacing w:after="0" w:line="243"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198"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318" w:lineRule="exact"/>
        <w:rPr>
          <w:sz w:val="20"/>
          <w:szCs w:val="20"/>
          <w:color w:val="auto"/>
        </w:rPr>
      </w:pPr>
    </w:p>
    <w:tbl>
      <w:tblPr>
        <w:tblLayout w:type="fixed"/>
        <w:tblInd w:w="574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Underwriting Discounts</w:t>
            </w:r>
          </w:p>
        </w:tc>
        <w:tc>
          <w:tcPr>
            <w:tcW w:w="7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Proceeds, Before</w:t>
            </w:r>
          </w:p>
        </w:tc>
      </w:tr>
      <w:tr>
        <w:trPr>
          <w:trHeight w:val="189"/>
        </w:trPr>
        <w:tc>
          <w:tcPr>
            <w:tcW w:w="1840" w:type="dxa"/>
            <w:vAlign w:val="bottom"/>
          </w:tcPr>
          <w:p>
            <w:pPr>
              <w:spacing w:after="0"/>
              <w:rPr>
                <w:sz w:val="20"/>
                <w:szCs w:val="20"/>
                <w:color w:val="auto"/>
              </w:rPr>
            </w:pPr>
            <w:r>
              <w:rPr>
                <w:rFonts w:ascii="Arial" w:cs="Arial" w:eastAsia="Arial" w:hAnsi="Arial"/>
                <w:sz w:val="14"/>
                <w:szCs w:val="14"/>
                <w:b w:val="1"/>
                <w:bCs w:val="1"/>
                <w:color w:val="auto"/>
              </w:rPr>
              <w:t>Price to Public</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Commissions(1)</w:t>
            </w:r>
          </w:p>
        </w:tc>
        <w:tc>
          <w:tcPr>
            <w:tcW w:w="7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 to Us</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line="195" w:lineRule="exact"/>
              <w:rPr>
                <w:sz w:val="20"/>
                <w:szCs w:val="20"/>
                <w:color w:val="auto"/>
              </w:rPr>
            </w:pPr>
            <w:r>
              <w:rPr>
                <w:rFonts w:ascii="Arial" w:cs="Arial" w:eastAsia="Arial" w:hAnsi="Arial"/>
                <w:sz w:val="18"/>
                <w:szCs w:val="18"/>
                <w:color w:val="auto"/>
              </w:rPr>
              <w:t>Per Common Share</w:t>
            </w:r>
          </w:p>
        </w:tc>
        <w:tc>
          <w:tcPr>
            <w:tcW w:w="1040" w:type="dxa"/>
            <w:vAlign w:val="bottom"/>
            <w:tcBorders>
              <w:top w:val="single" w:sz="8" w:color="auto"/>
            </w:tcBorders>
          </w:tcPr>
          <w:p>
            <w:pPr>
              <w:jc w:val="right"/>
              <w:ind w:right="850"/>
              <w:spacing w:after="0" w:line="195" w:lineRule="exact"/>
              <w:rPr>
                <w:sz w:val="20"/>
                <w:szCs w:val="20"/>
                <w:color w:val="auto"/>
              </w:rPr>
            </w:pPr>
            <w:r>
              <w:rPr>
                <w:rFonts w:ascii="Arial" w:cs="Arial" w:eastAsia="Arial" w:hAnsi="Arial"/>
                <w:sz w:val="18"/>
                <w:szCs w:val="18"/>
                <w:color w:val="auto"/>
                <w:w w:val="79"/>
              </w:rPr>
              <w:t>$</w:t>
            </w: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See “Underwriting” for additional information regarding total underwriter compensation.</w:t>
      </w:r>
    </w:p>
    <w:p>
      <w:pPr>
        <w:spacing w:after="0" w:line="20" w:lineRule="exact"/>
        <w:rPr>
          <w:sz w:val="20"/>
          <w:szCs w:val="20"/>
          <w:color w:val="auto"/>
        </w:rPr>
      </w:pPr>
      <w:r>
        <w:rPr>
          <w:sz w:val="20"/>
          <w:szCs w:val="20"/>
          <w:color w:val="auto"/>
        </w:rPr>
        <w:br w:type="column"/>
      </w:r>
    </w:p>
    <w:p>
      <w:pPr>
        <w:spacing w:after="0"/>
        <w:tabs>
          <w:tab w:leader="none" w:pos="2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7" w:lineRule="exact"/>
        <w:rPr>
          <w:sz w:val="20"/>
          <w:szCs w:val="20"/>
          <w:color w:val="auto"/>
        </w:rPr>
      </w:pPr>
    </w:p>
    <w:p>
      <w:pPr>
        <w:spacing w:after="0"/>
        <w:tabs>
          <w:tab w:leader="none" w:pos="2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591" w:lineRule="exact"/>
        <w:rPr>
          <w:sz w:val="20"/>
          <w:szCs w:val="20"/>
          <w:color w:val="auto"/>
        </w:rPr>
      </w:pPr>
    </w:p>
    <w:p>
      <w:pPr>
        <w:sectPr>
          <w:pgSz w:w="11900" w:h="16838" w:orient="portrait"/>
          <w:cols w:equalWidth="0" w:num="2">
            <w:col w:w="7340" w:space="540"/>
            <w:col w:w="3540"/>
          </w:cols>
          <w:pgMar w:left="240" w:top="459" w:right="239" w:bottom="1440" w:gutter="0" w:footer="0" w:header="0"/>
          <w:type w:val="continuous"/>
        </w:sectPr>
      </w:pPr>
    </w:p>
    <w:p>
      <w:pPr>
        <w:spacing w:after="0" w:line="64"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900,000 common shares from us to cover over-allotments.</w:t>
      </w:r>
    </w:p>
    <w:p>
      <w:pPr>
        <w:spacing w:after="0" w:line="202" w:lineRule="exact"/>
        <w:rPr>
          <w:sz w:val="20"/>
          <w:szCs w:val="20"/>
          <w:color w:val="auto"/>
        </w:rPr>
      </w:pPr>
    </w:p>
    <w:p>
      <w:pPr>
        <w:ind w:right="240" w:firstLine="456"/>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1" w:lineRule="exact"/>
        <w:rPr>
          <w:sz w:val="20"/>
          <w:szCs w:val="20"/>
          <w:color w:val="auto"/>
        </w:rPr>
      </w:pPr>
    </w:p>
    <w:p>
      <w:pPr>
        <w:ind w:right="80" w:firstLine="456"/>
        <w:spacing w:after="0"/>
        <w:rPr>
          <w:sz w:val="20"/>
          <w:szCs w:val="20"/>
          <w:color w:val="auto"/>
        </w:rPr>
      </w:pPr>
      <w:r>
        <w:rPr>
          <w:rFonts w:ascii="Arial" w:cs="Arial" w:eastAsia="Arial" w:hAnsi="Arial"/>
          <w:sz w:val="18"/>
          <w:szCs w:val="18"/>
          <w:color w:val="auto"/>
        </w:rPr>
        <w:t>Certain of our existing shareholders have indicated an interest in purchasing up to $ 30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gridSpan w:val="2"/>
          </w:tcPr>
          <w:p>
            <w:pPr>
              <w:ind w:left="460"/>
              <w:spacing w:after="0"/>
              <w:rPr>
                <w:sz w:val="20"/>
                <w:szCs w:val="20"/>
                <w:color w:val="auto"/>
              </w:rPr>
            </w:pPr>
            <w:r>
              <w:rPr>
                <w:rFonts w:ascii="Arial" w:cs="Arial" w:eastAsia="Arial" w:hAnsi="Arial"/>
                <w:sz w:val="18"/>
                <w:szCs w:val="18"/>
                <w:color w:val="auto"/>
              </w:rPr>
              <w:t>Delivery of the common shares is expected to be made on or about</w:t>
            </w:r>
          </w:p>
        </w:tc>
        <w:tc>
          <w:tcPr>
            <w:tcW w:w="4800" w:type="dxa"/>
            <w:vAlign w:val="bottom"/>
          </w:tcPr>
          <w:p>
            <w:pPr>
              <w:jc w:val="right"/>
              <w:ind w:right="3892"/>
              <w:spacing w:after="0"/>
              <w:rPr>
                <w:sz w:val="20"/>
                <w:szCs w:val="20"/>
                <w:color w:val="auto"/>
              </w:rPr>
            </w:pPr>
            <w:r>
              <w:rPr>
                <w:rFonts w:ascii="Arial" w:cs="Arial" w:eastAsia="Arial" w:hAnsi="Arial"/>
                <w:sz w:val="18"/>
                <w:szCs w:val="18"/>
                <w:color w:val="auto"/>
              </w:rPr>
              <w:t>, 2016.</w:t>
            </w:r>
          </w:p>
        </w:tc>
      </w:tr>
      <w:tr>
        <w:trPr>
          <w:trHeight w:val="626"/>
        </w:trPr>
        <w:tc>
          <w:tcPr>
            <w:tcW w:w="2760" w:type="dxa"/>
            <w:vAlign w:val="bottom"/>
          </w:tcPr>
          <w:p>
            <w:pPr>
              <w:spacing w:after="0"/>
              <w:rPr>
                <w:sz w:val="20"/>
                <w:szCs w:val="20"/>
                <w:color w:val="auto"/>
              </w:rPr>
            </w:pPr>
            <w:r>
              <w:rPr>
                <w:rFonts w:ascii="Arial" w:cs="Arial" w:eastAsia="Arial" w:hAnsi="Arial"/>
                <w:sz w:val="29"/>
                <w:szCs w:val="29"/>
                <w:b w:val="1"/>
                <w:bCs w:val="1"/>
                <w:color w:val="auto"/>
              </w:rPr>
              <w:t>Credit Suisse</w:t>
            </w:r>
          </w:p>
        </w:tc>
        <w:tc>
          <w:tcPr>
            <w:tcW w:w="3860" w:type="dxa"/>
            <w:vAlign w:val="bottom"/>
          </w:tcPr>
          <w:p>
            <w:pPr>
              <w:ind w:left="2420"/>
              <w:spacing w:after="0"/>
              <w:rPr>
                <w:sz w:val="20"/>
                <w:szCs w:val="20"/>
                <w:color w:val="auto"/>
              </w:rPr>
            </w:pPr>
            <w:r>
              <w:rPr>
                <w:rFonts w:ascii="Arial" w:cs="Arial" w:eastAsia="Arial" w:hAnsi="Arial"/>
                <w:sz w:val="29"/>
                <w:szCs w:val="29"/>
                <w:b w:val="1"/>
                <w:bCs w:val="1"/>
                <w:color w:val="auto"/>
              </w:rPr>
              <w:t>Jefferies</w:t>
            </w:r>
          </w:p>
        </w:tc>
        <w:tc>
          <w:tcPr>
            <w:tcW w:w="4800" w:type="dxa"/>
            <w:vAlign w:val="bottom"/>
          </w:tcPr>
          <w:p>
            <w:pPr>
              <w:jc w:val="right"/>
              <w:spacing w:after="0"/>
              <w:rPr>
                <w:sz w:val="20"/>
                <w:szCs w:val="20"/>
                <w:color w:val="auto"/>
              </w:rPr>
            </w:pPr>
            <w:r>
              <w:rPr>
                <w:rFonts w:ascii="Arial" w:cs="Arial" w:eastAsia="Arial" w:hAnsi="Arial"/>
                <w:sz w:val="29"/>
                <w:szCs w:val="29"/>
                <w:b w:val="1"/>
                <w:bCs w:val="1"/>
                <w:color w:val="auto"/>
              </w:rPr>
              <w:t>Leerink Partners</w:t>
            </w:r>
          </w:p>
        </w:tc>
      </w:tr>
      <w:tr>
        <w:trPr>
          <w:trHeight w:val="468"/>
        </w:trPr>
        <w:tc>
          <w:tcPr>
            <w:tcW w:w="2760" w:type="dxa"/>
            <w:vAlign w:val="bottom"/>
          </w:tcPr>
          <w:p>
            <w:pPr>
              <w:spacing w:after="0"/>
              <w:rPr>
                <w:sz w:val="24"/>
                <w:szCs w:val="24"/>
                <w:color w:val="auto"/>
              </w:rPr>
            </w:pP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The date of this prospectus is</w:t>
            </w:r>
          </w:p>
        </w:tc>
        <w:tc>
          <w:tcPr>
            <w:tcW w:w="4800" w:type="dxa"/>
            <w:vAlign w:val="bottom"/>
          </w:tcPr>
          <w:p>
            <w:pPr>
              <w:jc w:val="right"/>
              <w:ind w:right="3552"/>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Shareholder</w:t>
              </w:r>
            </w:hyperlink>
            <w:r>
              <w:rPr>
                <w:rFonts w:ascii="Arial" w:cs="Arial" w:eastAsia="Arial" w:hAnsi="Arial"/>
                <w:sz w:val="18"/>
                <w:szCs w:val="18"/>
                <w:color w:val="000000"/>
              </w:rPr>
              <w:t>s</w:t>
            </w: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8">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00">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1.0235 to CHF 1.00, the official exchange rate quoted as of September 9,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Through and including , 2016 (25 days after the date of this prospectus), all dealers that effect transactions in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four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71"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ACI-35 and our anti-tau antibody candidate.</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1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in connection with the audit of our financial statements as of and for the year ended December 31, 2014. This material weakness continued to exist as of December 31, 2015 and as at June 30,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21 345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17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2517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Anti-Tau Antibody Phase 1 Milestone Payment</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In June 2016, Genentech, our collaboration partner, informed us that the first patient has been dosed in a Phase 1 clinical study for Alzheimer’s disease with an anti-tau monoclonal antibody, making us eligible to receive a milestone payment of CHF 14 million, which we received in July 2016 (the “Anti-Tau Antibody Phase 1 Milestone Payment”). For more information on our collaboration agreement with Genentech, see “Management’s Discussion and Analysis of Financial Condition and Results of Operations—Strategic Collaborations and Licensing Agreements—Anti-Tau Antibodies —Collaboration with Genentech” and “Business—License Agreements and Collaborations—Genentech.”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34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4634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55,396,042 shares.</w:t>
      </w:r>
    </w:p>
    <w:p>
      <w:pPr>
        <w:spacing w:after="0" w:line="505"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We have granted the underwriters the option to purchase up to an additional 900,000 common shares from us within 30 days of the date of this prospectus to cover over-allotments, if any.</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estimate that the net proceeds to us from this offering will be approximately $63.4 million, assuming an initial public offering price of $12.00 per common share, which is the midpoint of the price range set forth on the cover page of this prospectus, after deducting underwriting discounts and commissions and estimated offering expenses payable by us. We intend to use the net proceeds from this offering together with cash and cash equivalents on hand (including the Anti-Tau Antibody Phase 1 Milestone Payment) to further the development of our therapeutic product candidates under collaboration agreements (ACI-35 and anti-tau antibodies), advance our other clinical and pre-clinical programs, and for research and development of other indications and initiatives that are complementary to our existing and planned research activities. See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60"/>
        <w:spacing w:after="0" w:line="342"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consider before deciding to invest in our common shares.</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“ACIU.”</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43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343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number of our common shares to be outstanding after this offering is based on 10,819,000 common shares outstanding as at August 31, 2016 and 38,577,042 additional common shares issuable upon the conversion of all of our preferred shares on a one-for-one basis upon the closing of this offering, but excludes:</w:t>
      </w:r>
    </w:p>
    <w:p>
      <w:pPr>
        <w:spacing w:after="0" w:line="87" w:lineRule="exact"/>
        <w:rPr>
          <w:sz w:val="20"/>
          <w:szCs w:val="20"/>
          <w:color w:val="auto"/>
        </w:rPr>
      </w:pPr>
    </w:p>
    <w:p>
      <w:pPr>
        <w:ind w:left="1060" w:right="16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at a weighted-average exercise price of CHF 0.14548 per common share; and</w:t>
      </w:r>
    </w:p>
    <w:p>
      <w:pPr>
        <w:spacing w:after="0" w:line="75" w:lineRule="exact"/>
        <w:rPr>
          <w:rFonts w:ascii="Arial" w:cs="Arial" w:eastAsia="Arial" w:hAnsi="Arial"/>
          <w:sz w:val="18"/>
          <w:szCs w:val="18"/>
          <w:color w:val="auto"/>
        </w:rPr>
      </w:pPr>
    </w:p>
    <w:p>
      <w:pPr>
        <w:jc w:val="both"/>
        <w:ind w:left="1060" w:right="2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in Note 7 (Other current liabilities) of our unaudited interim condensed financial statements as of and for the six months ended June 30, 2016 and June 30, 2015 included elsewhere in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31" w:lineRule="exact"/>
        <w:rPr>
          <w:sz w:val="20"/>
          <w:szCs w:val="20"/>
          <w:color w:val="auto"/>
        </w:rPr>
      </w:pPr>
    </w:p>
    <w:p>
      <w:pPr>
        <w:ind w:left="1060" w:right="46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initial public offering price of $12.00 per common share, which is the midpoint of the price range set forth on the cover page of this prospectus;</w:t>
      </w:r>
    </w:p>
    <w:p>
      <w:pPr>
        <w:spacing w:after="0" w:line="75" w:lineRule="exact"/>
        <w:rPr>
          <w:rFonts w:ascii="Arial" w:cs="Arial" w:eastAsia="Arial" w:hAnsi="Arial"/>
          <w:sz w:val="18"/>
          <w:szCs w:val="18"/>
          <w:color w:val="auto"/>
        </w:r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 association, resulting in a total of 49,396,042 common shares outstanding, and additional authorized share capital of 16,047,500 common shares at the closing of this offering.</w:t>
      </w:r>
    </w:p>
    <w:p>
      <w:pPr>
        <w:spacing w:after="0" w:line="187" w:lineRule="exact"/>
        <w:rPr>
          <w:sz w:val="20"/>
          <w:szCs w:val="20"/>
          <w:color w:val="auto"/>
        </w:rPr>
      </w:pPr>
    </w:p>
    <w:p>
      <w:pPr>
        <w:ind w:left="200" w:right="460" w:firstLine="443"/>
        <w:spacing w:after="0" w:line="286" w:lineRule="auto"/>
        <w:rPr>
          <w:sz w:val="20"/>
          <w:szCs w:val="20"/>
          <w:color w:val="auto"/>
        </w:rPr>
      </w:pPr>
      <w:r>
        <w:rPr>
          <w:rFonts w:ascii="Arial" w:cs="Arial" w:eastAsia="Arial" w:hAnsi="Arial"/>
          <w:sz w:val="17"/>
          <w:szCs w:val="17"/>
          <w:color w:val="auto"/>
        </w:rPr>
        <w:t>In addition, unless otherwise indicated, all information in this prospectus excludes the issuance of 5,300,000 of our common shares to Credit Suisse AG, Zurich in the CS AG Share Issuance, as described in Note 7 (Other current liabilities) of our unaudited interim condensed financial statements as of and for the six months ended June 30, 2016 and June 30, 2015 included elsewhere in this prospectus.</w:t>
      </w:r>
    </w:p>
    <w:p>
      <w:pPr>
        <w:spacing w:after="0" w:line="166"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7"/>
          <w:szCs w:val="17"/>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at June 30, 2016 and for the six months ended June 30,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1360" w:type="dxa"/>
            <w:vAlign w:val="bottom"/>
            <w:gridSpan w:val="3"/>
          </w:tcPr>
          <w:p>
            <w:pPr>
              <w:jc w:val="center"/>
              <w:ind w:left="7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14,401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39,090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w w:val="93"/>
              </w:rPr>
              <w:t>Weighted-average number of shares used to compute earnings per share 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42,725,207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43,412,250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45,845,283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46,043,198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at June 30, 2016</w:t>
            </w:r>
          </w:p>
        </w:tc>
        <w:tc>
          <w:tcPr>
            <w:tcW w:w="0" w:type="dxa"/>
            <w:vAlign w:val="bottom"/>
          </w:tcPr>
          <w:p>
            <w:pPr>
              <w:spacing w:after="0"/>
              <w:rPr>
                <w:sz w:val="1"/>
                <w:szCs w:val="1"/>
                <w:color w:val="auto"/>
              </w:rPr>
            </w:pPr>
          </w:p>
        </w:tc>
      </w:tr>
      <w:tr>
        <w:trPr>
          <w:trHeight w:val="142"/>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1300" w:type="dxa"/>
            <w:vAlign w:val="bottom"/>
            <w:tcBorders>
              <w:top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12"/>
                <w:szCs w:val="12"/>
                <w:b w:val="1"/>
                <w:bCs w:val="1"/>
                <w:color w:val="auto"/>
                <w:w w:val="90"/>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103,282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(33,825)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90,542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103,282</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adjusted balance sheet data gives effect to (i) our issuance and sale of 6,000,000 common shares in this offering, assuming an initial public offering price of $12.00 per common share, which is the midpoint of the range set forth on the cover page of this prospectus, after deducting underwriting discounts and commissions and estimated offering expenses payable by us and (ii) our receipt in July 2016 of the Anti-Tau Antibody Phase 1 Milestone Payment described under “Prospectus Summary—Anti-Tau Antibody Phase 1 Milestone Payment.”</w:t>
      </w:r>
    </w:p>
    <w:p>
      <w:pPr>
        <w:spacing w:after="0" w:line="2" w:lineRule="exact"/>
        <w:rPr>
          <w:rFonts w:ascii="Arial" w:cs="Arial" w:eastAsia="Arial" w:hAnsi="Arial"/>
          <w:sz w:val="17"/>
          <w:szCs w:val="17"/>
          <w:color w:val="auto"/>
        </w:rPr>
      </w:pPr>
    </w:p>
    <w:p>
      <w:pPr>
        <w:ind w:left="620" w:right="80" w:hanging="423"/>
        <w:spacing w:after="0" w:line="268"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$12.00 per common share, which is the midpoint of the price range set forth on the cover page of this prospectus, would increase (decrease) our as adjusted cash and cash equivalents and as adjusted total shareholders’ equity by $5.6 (CHF 5.5) million, assuming that the number of common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in the number of shares we are offering would increase (decrease) as adjusted cash and cash equivalents and as adjusted total shareholders’ equity by $11.2 (CHF 10.9) million, assuming that the assumed initial public offering price remains the same and after deducting the underwriting discount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ACI-35 and our anti-tau antibody candidate,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ACI-35 and our anti-tau antibody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Accordingly, if crenezumab, ACI-24, ACI-35 and our anti-tau antibody candidate are approved, competitors could file ANDAs for generic versions of crenezumab, ACI-24 and ACI-35, or 505(b)(2) NDAs that reference crenezumab, ACI-24, ACI-35 or our anti-tau antibody candidate,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initially showed promise in preclinical or early stage testing have later been found to cause side effects that restricted their use and prevented further development of the compound for larger indications.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ACI-35. In the third patient, urosepsis, or blood poisoning, and pyelonephritis were described and classified as unlikely related to the drug. A relationship between these serious adverse effects and ACI-35 cannot be ruled out, however. Non-drug related serious adverse effects observed during clinical studies of ACI-24 were acute chest pain, death due to Alzheimer’s disease or myocardial infarction (heart attack),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6" w:lineRule="exact"/>
        <w:rPr>
          <w:sz w:val="20"/>
          <w:szCs w:val="20"/>
          <w:color w:val="auto"/>
        </w:rPr>
      </w:pPr>
    </w:p>
    <w:p>
      <w:pPr>
        <w:ind w:right="92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and ABvac 40 (Araclon Biotech)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George Pavey, our Chief Financial Officer; and Jean-Fabien Monin, our Chief Administrative Officer.</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5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studies must be conducted with products produced under cGMP regulations. Our failure to comply with these regulations may require us to repeat clinical studies, which would delay the regulatory approval process.</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15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 fees on a patent and patent application are due to be paid to the USPTO and foreign patent agencies in several stages over the lifetime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commercial success depends on our ability and the ability of our licensees or collaborators to develop, manufacture, market and sell our product candidates and use our proprietary technology without infringing,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post grant review before the USPTO and corresponding foreign patent offices.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right="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In addition, we had accumulated losses of CHF 33.8 million as of June 30, 2016.</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ACI-35 or our anti-tau antibody, for which we complete clinical studies;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9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and our anti-tau antibody and initiate preclinical and clinical development of our other product candidates. As of June 30, 2016, we had cash and cash equivalents of CHF 82.4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0"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ACI-24 for Down syndrome in a Phase 1 clinical study, ACI-35 is in Phase 1b clinical studies and our anti-tau antibody in a Phase 1 clinical study. The development of our other product candidates is less advanced and studies have not yet started.</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5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28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conducted and may in the future choose to conduct one or more of our clinical studies outside the United States, including in Germany, Austria, Denmark, Sweden and Finland. The acceptance of study data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8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Following completion of this offering, our existing shareholders are expected to own approximately 89.2% of our common shares (or approximately 87.7% if the underwriters exercise their over-allotment option in full), excluding any shares purchased by any such holders in this offering. Depending on the level of attendance at our general meetings of shareholders, these shareholders may be in a position to determine the outcome of decisions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Following the completion of this offering, we will have 55,396,042 common shares outstanding based on 10,819,000 common shares outstanding as of August 31,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 affiliates. Approximately 64.2% of the common shares outstanding are expected to be held by affiliates (or 66.0% if existing investors, executives and directors purchase all the shares they have indicated an interest in purchasing in this offering)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 $12.00 per common share, which is the midpoint of the price range set forth on the cover page of this prospectus, you will experience immediate dilution of CHF 7.57 ($7.75) per common share, representing the difference between our as adjusted net tangible book value per common share after giving effect to this offering and the initial public offering price. In addition, purchasers of common shares in this offering will have contributed approximately 33.2% of the aggregate price paid by all purchasers of common shares issued by us but will own only approximately 10.8% of our common shares outstanding after this offering. See “Dilution.”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Note 7 (Other current liabilities) of our unaudited interim condensed financial statements as of and for the six months ended June 30, 2016 and June 30,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 completion of this offering, we expect the Company to have CHF 152.5 million of qualifying capital contributions and CHF 1,107,921 of registered share capital (consisting of 55,396,042 common shares each with a nominal value of CHF 0.02 and no preferred shares) on its audited statutory balance sheet. The number of common shares referred to in the preceding sentence includes the number of shares to be issued in this offering from the 5,300,000 common shares issued in the CS AG Share Issuance.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This material weakness continued to exist as at December 31, 2015 and as at June 30, 2016.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8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nor as at June 30, 2016.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9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 of our financial statements as and for the year ended December 31, 2014, we identified a material weakness in our internal control over financial reporting, which was not remediated as at December 31, 2015 nor as at June 30, 2016.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62"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estimate that the net proceeds from the sale of 6,000,000 common shares by us in this offering will be approximately $63.4 million at an assumed initial public offering price of $12.00 per share (which is the midpoint of the price range set forth on the cover page of this prospectus), after deducting the underwriting discount and estimated offering expenses payable by us. In addition, we received gross proceeds of CHF 14 million in July 2016 from Genentech related to our collaboration on the anti-tau antibody program.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$1.00 increase (decrease) in the assumed initial public offering price of $12.00 per share would increase (decrease) our net proceeds by</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$5.6 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 (decrease) of 1,000,000 in the number of shares we are offering would increase (decrease) the net proceeds to us from this offering, after deducting the underwriting discount and estimated offering expenses payable by us, by approximately $11.2 million, assuming the assumed initial public offering price stays the same.</w:t>
      </w:r>
    </w:p>
    <w:p>
      <w:pPr>
        <w:spacing w:after="0" w:line="1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undertaking this offering in order to access the public capital markets and to increase our liquidity. At June 30, 2016, after taking into consideration the CHF 14 million milestone payment from Genentech related to the anti-tau antibody program, we would have had cash and cash equivalents of CHF 96.4 million. We intend to use the net proceeds of this offering over the next three years together with our existing cash and cash equivalents as follows:</w:t>
      </w:r>
    </w:p>
    <w:p>
      <w:pPr>
        <w:spacing w:after="0" w:line="92" w:lineRule="exact"/>
        <w:rPr>
          <w:sz w:val="20"/>
          <w:szCs w:val="20"/>
          <w:color w:val="auto"/>
        </w:rPr>
      </w:pPr>
    </w:p>
    <w:p>
      <w:pPr>
        <w:ind w:left="900" w:right="60" w:hanging="325"/>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$5.0 million to fund our share of the costs for the further development of our therapeutic product candidates (other than ACI-35) and diagnostics product candidates under collaboration agreements (anti-tau antibodies and the tau PET tracers), excluding our collaboration agreement with Biogen, over the next three years, of which approximately $4.0 million will be spent on therapeutic product candidates and of which approximately $1.0 million will be spent on diagnostic product candidates, and we expect these expenditures will take the tau PET tracers into Phase 2 and the anti-tau antibody program into Phase 2;</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$10.0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$65.0 million for the further development of ACI-24 for AD through the remainder of the Phase 1/2a study and the Phase 2b study and for our ongoing Phase 1 study and a portion of the proposed Phase 2 study of ACI-24 for Down syndrome;</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approximately $25.0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52"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$20.0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$10.0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association.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reserves required by Swiss law and its articles of association have been deducted. Distributable reserves are generally booked either as “free reserves”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June 30, 2016 into an aggregate of 38,577,042 common shares;</w:t>
      </w:r>
    </w:p>
    <w:p>
      <w:pPr>
        <w:spacing w:after="0" w:line="140" w:lineRule="exact"/>
        <w:rPr>
          <w:rFonts w:ascii="Arial" w:cs="Arial" w:eastAsia="Arial" w:hAnsi="Arial"/>
          <w:sz w:val="16"/>
          <w:szCs w:val="16"/>
          <w:color w:val="auto"/>
        </w:rPr>
      </w:pPr>
    </w:p>
    <w:p>
      <w:pPr>
        <w:ind w:left="1760" w:hanging="268"/>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association;</w:t>
      </w:r>
    </w:p>
    <w:p>
      <w:pPr>
        <w:spacing w:after="0" w:line="117" w:lineRule="exact"/>
        <w:rPr>
          <w:rFonts w:ascii="Arial" w:cs="Arial" w:eastAsia="Arial" w:hAnsi="Arial"/>
          <w:sz w:val="18"/>
          <w:szCs w:val="18"/>
          <w:color w:val="auto"/>
        </w:rPr>
      </w:pPr>
    </w:p>
    <w:p>
      <w:pPr>
        <w:ind w:left="1500" w:right="320" w:hanging="8"/>
        <w:spacing w:after="0" w:line="277" w:lineRule="auto"/>
        <w:tabs>
          <w:tab w:leader="none" w:pos="18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our receipt in July 2016 of the Anti-Tau Antibody Phase 1 Milestone Payment described under “Prospectus Summary—Anti-Tau Antibody Phase 1 Milestone Payment”;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exercise of options into a total of 4,500 common shares between July 1, 2016 and August 31, 2016; and</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as further adjusted basis to further reflect the receipt of the estimated net proceeds from the sale of 6,000,000 common shares by us in this offering at an assumed initial public offering price of $12.00 per share (which is the midpoint of the range set forth on the cover page of this prospectus), after deducting the underwriting discount and estimated expenses payable by us.</w:t>
      </w:r>
    </w:p>
    <w:p>
      <w:pPr>
        <w:spacing w:after="0" w:line="12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w:t>
      </w:r>
    </w:p>
    <w:p>
      <w:pPr>
        <w:spacing w:after="0" w:line="21" w:lineRule="exact"/>
        <w:rPr>
          <w:sz w:val="20"/>
          <w:szCs w:val="20"/>
          <w:color w:val="auto"/>
        </w:rPr>
      </w:pPr>
    </w:p>
    <w:p>
      <w:pPr>
        <w:ind w:left="520" w:hanging="170"/>
        <w:spacing w:after="0" w:line="248" w:lineRule="auto"/>
        <w:rPr>
          <w:sz w:val="20"/>
          <w:szCs w:val="20"/>
          <w:color w:val="auto"/>
        </w:rPr>
      </w:pPr>
      <w:r>
        <w:rPr>
          <w:rFonts w:ascii="Arial" w:cs="Arial" w:eastAsia="Arial" w:hAnsi="Arial"/>
          <w:sz w:val="17"/>
          <w:szCs w:val="17"/>
          <w:color w:val="auto"/>
        </w:rPr>
        <w:t>Common shares nominal value CHF 0.02 per share, 10,814,500 shares issued and outstanding, actual; 65,443,542 shares authorized, 49,396,042 shares issued and outstanding, as adjusted; and 65,443,542 shares authorized, 55,396,042 shares issued and outstanding, as further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520" w:hanging="170"/>
        <w:spacing w:after="0" w:line="248" w:lineRule="auto"/>
        <w:rPr>
          <w:sz w:val="20"/>
          <w:szCs w:val="20"/>
          <w:color w:val="auto"/>
        </w:rPr>
      </w:pPr>
      <w:r>
        <w:rPr>
          <w:rFonts w:ascii="Arial" w:cs="Arial" w:eastAsia="Arial" w:hAnsi="Arial"/>
          <w:sz w:val="17"/>
          <w:szCs w:val="17"/>
          <w:color w:val="auto"/>
        </w:rPr>
        <w:t>Preferred shares nominal value CHF 0.02 per share, 38,577,042 authorized preferred shares, 38,577,042 preferred shares issued and outstanding, actual; no shares authorized or issued and outstanding, as adjusted or as further adjusted</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As at June 30,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6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1340" w:type="dxa"/>
            <w:vAlign w:val="bottom"/>
            <w:tcBorders>
              <w:top w:val="single" w:sz="8" w:color="auto"/>
            </w:tcBorders>
          </w:tcPr>
          <w:p>
            <w:pPr>
              <w:ind w:left="560"/>
              <w:spacing w:after="0" w:line="119" w:lineRule="exact"/>
              <w:rPr>
                <w:sz w:val="20"/>
                <w:szCs w:val="20"/>
                <w:color w:val="auto"/>
              </w:rPr>
            </w:pPr>
            <w:r>
              <w:rPr>
                <w:rFonts w:ascii="Arial" w:cs="Arial" w:eastAsia="Arial" w:hAnsi="Arial"/>
                <w:sz w:val="13"/>
                <w:szCs w:val="13"/>
                <w:b w:val="1"/>
                <w:bCs w:val="1"/>
                <w:color w:val="auto"/>
              </w:rPr>
              <w:t>As</w:t>
            </w:r>
          </w:p>
        </w:tc>
        <w:tc>
          <w:tcPr>
            <w:tcW w:w="7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(in CHF thousands)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spacing w:after="0"/>
        <w:tabs>
          <w:tab w:leader="none" w:pos="1140" w:val="left"/>
          <w:tab w:leader="none" w:pos="2180" w:val="left"/>
        </w:tabs>
        <w:rPr>
          <w:sz w:val="20"/>
          <w:szCs w:val="20"/>
          <w:color w:val="auto"/>
        </w:rPr>
      </w:pPr>
      <w:r>
        <w:rPr>
          <w:rFonts w:ascii="Arial" w:cs="Arial" w:eastAsia="Arial" w:hAnsi="Arial"/>
          <w:sz w:val="17"/>
          <w:szCs w:val="17"/>
          <w:color w:val="auto"/>
        </w:rPr>
        <w:t>82,377</w:t>
      </w:r>
      <w:r>
        <w:rPr>
          <w:sz w:val="20"/>
          <w:szCs w:val="20"/>
          <w:color w:val="auto"/>
        </w:rPr>
        <w:tab/>
      </w:r>
      <w:r>
        <w:rPr>
          <w:rFonts w:ascii="Arial" w:cs="Arial" w:eastAsia="Arial" w:hAnsi="Arial"/>
          <w:sz w:val="17"/>
          <w:szCs w:val="17"/>
          <w:color w:val="auto"/>
        </w:rPr>
        <w:t>96,377</w:t>
      </w:r>
      <w:r>
        <w:rPr>
          <w:sz w:val="20"/>
          <w:szCs w:val="20"/>
          <w:color w:val="auto"/>
        </w:rPr>
        <w:tab/>
      </w:r>
      <w:r>
        <w:rPr>
          <w:rFonts w:ascii="Arial" w:cs="Arial" w:eastAsia="Arial" w:hAnsi="Arial"/>
          <w:sz w:val="15"/>
          <w:szCs w:val="15"/>
          <w:color w:val="auto"/>
        </w:rPr>
        <w:t>160,872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174942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494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tabs>
          <w:tab w:leader="none" w:pos="1360" w:val="left"/>
          <w:tab w:leader="none" w:pos="236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988</w:t>
      </w:r>
      <w:r>
        <w:rPr>
          <w:sz w:val="20"/>
          <w:szCs w:val="20"/>
          <w:color w:val="auto"/>
        </w:rPr>
        <w:tab/>
      </w:r>
      <w:r>
        <w:rPr>
          <w:rFonts w:ascii="Arial" w:cs="Arial" w:eastAsia="Arial" w:hAnsi="Arial"/>
          <w:sz w:val="15"/>
          <w:szCs w:val="15"/>
          <w:color w:val="auto"/>
        </w:rPr>
        <w:t>1,108</w:t>
      </w:r>
    </w:p>
    <w:p>
      <w:pPr>
        <w:spacing w:after="0" w:line="200" w:lineRule="exact"/>
        <w:rPr>
          <w:sz w:val="20"/>
          <w:szCs w:val="20"/>
          <w:color w:val="auto"/>
        </w:rPr>
      </w:pPr>
    </w:p>
    <w:p>
      <w:pPr>
        <w:spacing w:after="0" w:line="212" w:lineRule="exact"/>
        <w:rPr>
          <w:sz w:val="20"/>
          <w:szCs w:val="20"/>
          <w:color w:val="auto"/>
        </w:rPr>
      </w:pPr>
    </w:p>
    <w:p>
      <w:pPr>
        <w:ind w:left="400"/>
        <w:spacing w:after="0"/>
        <w:tabs>
          <w:tab w:leader="none" w:pos="1360" w:val="left"/>
          <w:tab w:leader="none" w:pos="2480" w:val="left"/>
        </w:tabs>
        <w:rPr>
          <w:sz w:val="20"/>
          <w:szCs w:val="20"/>
          <w:color w:val="auto"/>
        </w:rPr>
      </w:pPr>
      <w:r>
        <w:rPr>
          <w:rFonts w:ascii="Arial" w:cs="Arial" w:eastAsia="Arial" w:hAnsi="Arial"/>
          <w:sz w:val="17"/>
          <w:szCs w:val="17"/>
          <w:color w:val="auto"/>
        </w:rPr>
        <w:t>772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ind w:left="100"/>
        <w:spacing w:after="0"/>
        <w:tabs>
          <w:tab w:leader="none" w:pos="1060" w:val="left"/>
          <w:tab w:leader="none" w:pos="2180" w:val="left"/>
        </w:tabs>
        <w:rPr>
          <w:sz w:val="20"/>
          <w:szCs w:val="20"/>
          <w:color w:val="auto"/>
        </w:rPr>
      </w:pPr>
      <w:r>
        <w:rPr>
          <w:rFonts w:ascii="Arial" w:cs="Arial" w:eastAsia="Arial" w:hAnsi="Arial"/>
          <w:sz w:val="17"/>
          <w:szCs w:val="17"/>
          <w:color w:val="auto"/>
        </w:rPr>
        <w:t>123,379</w:t>
      </w:r>
      <w:r>
        <w:rPr>
          <w:sz w:val="20"/>
          <w:szCs w:val="20"/>
          <w:color w:val="auto"/>
        </w:rPr>
        <w:tab/>
      </w:r>
      <w:r>
        <w:rPr>
          <w:rFonts w:ascii="Arial" w:cs="Arial" w:eastAsia="Arial" w:hAnsi="Arial"/>
          <w:sz w:val="17"/>
          <w:szCs w:val="17"/>
          <w:color w:val="auto"/>
        </w:rPr>
        <w:t>123,380</w:t>
      </w:r>
      <w:r>
        <w:rPr>
          <w:sz w:val="20"/>
          <w:szCs w:val="20"/>
          <w:color w:val="auto"/>
        </w:rPr>
        <w:tab/>
      </w:r>
      <w:r>
        <w:rPr>
          <w:rFonts w:ascii="Arial" w:cs="Arial" w:eastAsia="Arial" w:hAnsi="Arial"/>
          <w:sz w:val="15"/>
          <w:szCs w:val="15"/>
          <w:color w:val="auto"/>
        </w:rPr>
        <w:t>185,192</w:t>
      </w:r>
    </w:p>
    <w:p>
      <w:pPr>
        <w:spacing w:after="0" w:line="21" w:lineRule="exact"/>
        <w:rPr>
          <w:sz w:val="20"/>
          <w:szCs w:val="20"/>
          <w:color w:val="auto"/>
        </w:rPr>
      </w:pPr>
    </w:p>
    <w:p>
      <w:pPr>
        <w:ind w:left="120"/>
        <w:spacing w:after="0"/>
        <w:tabs>
          <w:tab w:leader="none" w:pos="1100" w:val="left"/>
          <w:tab w:leader="none" w:pos="2220" w:val="left"/>
        </w:tabs>
        <w:rPr>
          <w:sz w:val="20"/>
          <w:szCs w:val="20"/>
          <w:color w:val="auto"/>
        </w:rPr>
      </w:pPr>
      <w:r>
        <w:rPr>
          <w:rFonts w:ascii="Arial" w:cs="Arial" w:eastAsia="Arial" w:hAnsi="Arial"/>
          <w:sz w:val="17"/>
          <w:szCs w:val="17"/>
          <w:color w:val="auto"/>
        </w:rPr>
        <w:t>(33,825)</w:t>
      </w:r>
      <w:r>
        <w:rPr>
          <w:sz w:val="20"/>
          <w:szCs w:val="20"/>
          <w:color w:val="auto"/>
        </w:rPr>
        <w:tab/>
      </w:r>
      <w:r>
        <w:rPr>
          <w:rFonts w:ascii="Arial" w:cs="Arial" w:eastAsia="Arial" w:hAnsi="Arial"/>
          <w:sz w:val="17"/>
          <w:szCs w:val="17"/>
          <w:color w:val="auto"/>
        </w:rPr>
        <w:t>(33,825)</w:t>
      </w:r>
      <w:r>
        <w:rPr>
          <w:sz w:val="20"/>
          <w:szCs w:val="20"/>
          <w:color w:val="auto"/>
        </w:rPr>
        <w:tab/>
      </w:r>
      <w:r>
        <w:rPr>
          <w:rFonts w:ascii="Arial" w:cs="Arial" w:eastAsia="Arial" w:hAnsi="Arial"/>
          <w:sz w:val="15"/>
          <w:szCs w:val="15"/>
          <w:color w:val="auto"/>
        </w:rPr>
        <w:t>(33,825)</w:t>
      </w:r>
    </w:p>
    <w:p>
      <w:pPr>
        <w:spacing w:after="0" w:line="21" w:lineRule="exact"/>
        <w:rPr>
          <w:sz w:val="20"/>
          <w:szCs w:val="20"/>
          <w:color w:val="auto"/>
        </w:rPr>
      </w:pPr>
    </w:p>
    <w:p>
      <w:pPr>
        <w:sectPr>
          <w:pgSz w:w="11900" w:h="16838" w:orient="portrait"/>
          <w:cols w:equalWidth="0" w:num="2">
            <w:col w:w="8140" w:space="400"/>
            <w:col w:w="28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shareholders’ equity</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152,475</w:t>
            </w:r>
          </w:p>
        </w:tc>
        <w:tc>
          <w:tcPr>
            <w:tcW w:w="120" w:type="dxa"/>
            <w:vAlign w:val="bottom"/>
            <w:shd w:val="clear" w:color="auto" w:fill="CCEEFF"/>
          </w:tcPr>
          <w:p>
            <w:pPr>
              <w:spacing w:after="0"/>
              <w:rPr>
                <w:sz w:val="19"/>
                <w:szCs w:val="19"/>
                <w:color w:val="auto"/>
              </w:rPr>
            </w:pPr>
          </w:p>
        </w:tc>
      </w:tr>
      <w:tr>
        <w:trPr>
          <w:trHeight w:val="221"/>
        </w:trPr>
        <w:tc>
          <w:tcPr>
            <w:tcW w:w="8540" w:type="dxa"/>
            <w:vAlign w:val="bottom"/>
          </w:tcPr>
          <w:p>
            <w:pPr>
              <w:ind w:left="1040"/>
              <w:spacing w:after="0"/>
              <w:rPr>
                <w:sz w:val="20"/>
                <w:szCs w:val="20"/>
                <w:color w:val="auto"/>
              </w:rPr>
            </w:pPr>
            <w:r>
              <w:rPr>
                <w:rFonts w:ascii="Arial" w:cs="Arial" w:eastAsia="Arial" w:hAnsi="Arial"/>
                <w:sz w:val="17"/>
                <w:szCs w:val="17"/>
                <w:color w:val="auto"/>
              </w:rPr>
              <w:t>Total capitalization</w:t>
            </w:r>
          </w:p>
        </w:tc>
        <w:tc>
          <w:tcPr>
            <w:tcW w:w="660" w:type="dxa"/>
            <w:vAlign w:val="bottom"/>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90,542</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152,475</w:t>
            </w:r>
          </w:p>
        </w:tc>
      </w:tr>
      <w:tr>
        <w:trPr>
          <w:trHeight w:val="20"/>
        </w:trPr>
        <w:tc>
          <w:tcPr>
            <w:tcW w:w="8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86"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$12.00 per share would increase (decrease) each of as further adjusted cash and cash equivalents, additional paid-in capital, total capitalization and shareholders’ equity by $5.6 million, assuming that the number of shares offered by us, as set forth on the cover page of this prospectus, remains the same, and after deducting the underwriting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 capitalization by $11.2 million, assuming an initial public offering price of $12.00 per share, after deducting the underwriting discount and estimated offering expenses payable by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as at August 31, 2016 at an exercise price of CHF 0.14548 per common share;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in Note 7 (Other current liabilities) of our unaudited interim condensed financial statements as at and for the six months ended June 30, 2016 and June 30, 2015 included elsewhere in this prospectus.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June 30, 2016 was $92.7 (CHF 90.5) million, or $8.57 (CHF 8.37), per common share (on a fully diluted basis). Our as adjusted net tangible book value as at June 30, 2016, before giving effect to this offering was $92.7 (CHF 90.5) million, or $1.88 (CHF 1.83) per common share, based on the total number of our common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w:t>
      </w:r>
    </w:p>
    <w:p>
      <w:pPr>
        <w:spacing w:after="0" w:line="189"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the sale of 6,000,000 common shares in this offering at an assumed initial public offering price of $12.00 per share (the midpoint of the price range set forth on the cover page of this prospectus), after deducting the underwriting discount and estimated expenses payable by us, our as further adjusted net tangible book value as at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June 30, 2016 would have been $156.1 (CHF 152.5) million, or $2.82 (CHF 2.75) per share. This represents an immediate increase in as adjusted net tangible book value of $10.56 (CHF 10.32) per share to existing shareholders and an immediate dilution of $7.75 (CHF 7.57) per share to investors participating in this offering, as illustrated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USD)</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12.00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11.72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at June 30, 2016</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As adjusted net tangible book value per share at June 30, 2016, before giving effect to this offering but giving effect to the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adjustments described in the second immediately preceding paragraph</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 purchasing shares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10.56</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10.32</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 further adjusted net tangible book value per share after giving effect to this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20"/>
                <w:szCs w:val="20"/>
                <w:color w:val="auto"/>
              </w:rPr>
            </w:pPr>
          </w:p>
        </w:tc>
      </w:tr>
      <w:tr>
        <w:trPr>
          <w:trHeight w:val="230"/>
        </w:trPr>
        <w:tc>
          <w:tcPr>
            <w:tcW w:w="9900" w:type="dxa"/>
            <w:vAlign w:val="bottom"/>
          </w:tcPr>
          <w:p>
            <w:pPr>
              <w:ind w:left="360"/>
              <w:spacing w:after="0"/>
              <w:rPr>
                <w:sz w:val="20"/>
                <w:szCs w:val="20"/>
                <w:color w:val="auto"/>
              </w:rPr>
            </w:pPr>
            <w:r>
              <w:rPr>
                <w:rFonts w:ascii="Arial" w:cs="Arial" w:eastAsia="Arial" w:hAnsi="Arial"/>
                <w:sz w:val="18"/>
                <w:szCs w:val="18"/>
                <w:color w:val="auto"/>
              </w:rPr>
              <w:t>Dilution per share to investors participating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$1.00 increase (decrease) in the assumed initial public offering price of $12.00 (CHF 11.72) per share would increase (decrease) our as further adjusted net tangible book value by approximately $5.6 (CHF 5.5) million, or approximately $0.10 (CHF 0.10) per share, and the dilution per share to investors in this offering by approximately $0.10 (CHF 0.10) per share, assuming that the number of shares offered by us, as set forth on the cover page of this prospectus, remain the same and after deducting the underwriting discount and estimated offering expenses payable by us. We may also increase or decrease the number of shares we are offering. An increase (decrease) of 1,000,000 shares in the number of shares offered by us would increase (decrease) our as further adjusted net tangible book value by approximately $11.2 (CHF 10.9) million, or approximately $0.20 (CHF 0.20) per share, and decrease the as adjusted dilution per share to investors in this offering by approximately $0.20 (CHF 0.20) per share, assuming an initial public offering price of $12.00 (CHF 11.72) per share, after deducting the underwriting discount and estimated offering expenses payable by us. The as further adjusted information discussed above is illustrative only and will be adjusted based on the actual initial public offering price and other terms of this offering determined at pricing.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following table presents, on an as further adjusted basis described above, the difference between the existing shareholders as at June 30, 2016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8"/>
              </w:rPr>
              <w:t>Total Consideration</w:t>
            </w:r>
          </w:p>
        </w:tc>
        <w:tc>
          <w:tcPr>
            <w:tcW w:w="18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Total Consideration</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Total Shares</w:t>
            </w:r>
          </w:p>
        </w:tc>
        <w:tc>
          <w:tcPr>
            <w:tcW w:w="1800" w:type="dxa"/>
            <w:vAlign w:val="bottom"/>
            <w:gridSpan w:val="4"/>
            <w:vMerge w:val="continue"/>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(USD ’000)</w:t>
            </w:r>
          </w:p>
        </w:tc>
        <w:tc>
          <w:tcPr>
            <w:tcW w:w="18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(CHF ’000)</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49,396,042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127,290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124,367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880" w:type="dxa"/>
            <w:vAlign w:val="bottom"/>
          </w:tcPr>
          <w:p>
            <w:pPr>
              <w:jc w:val="right"/>
              <w:spacing w:after="0"/>
              <w:rPr>
                <w:sz w:val="20"/>
                <w:szCs w:val="20"/>
                <w:color w:val="auto"/>
              </w:rPr>
            </w:pPr>
            <w:r>
              <w:rPr>
                <w:rFonts w:ascii="Arial" w:cs="Arial" w:eastAsia="Arial" w:hAnsi="Arial"/>
                <w:sz w:val="18"/>
                <w:szCs w:val="18"/>
                <w:color w:val="auto"/>
              </w:rPr>
              <w:t>6,000,000</w:t>
            </w:r>
          </w:p>
        </w:tc>
        <w:tc>
          <w:tcPr>
            <w:tcW w:w="3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63,387</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61,932</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33.2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10.56</w:t>
            </w:r>
          </w:p>
        </w:tc>
        <w:tc>
          <w:tcPr>
            <w:tcW w:w="56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55,396,042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190,677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186,299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Each $1.00 increase (decrease) in the assumed initial public offering price of $12.00 (CHF 11.72) per share, would increase (decrease) the total consideration paid to us by new investors and total consideration paid to us by all shareholders by $5.6 (CHF 5.5) million, assuming that the number of 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 paid to us by new investors and total consideration paid to us by all shareholders by approximately $11.2 (CHF 10.9) million, assuming an initial public offering price of $12.00 (CHF 11.72) per share, after deducting the underwriting discount and estimated offering expenses payable by us.</w:t>
      </w:r>
    </w:p>
    <w:p>
      <w:pPr>
        <w:spacing w:after="0" w:line="16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calculations above are based on 49,396,042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 and exclude 2,196,250 of our common shares issuable upon the exercise of vested and unvested options outstanding under our existing equity incentive plans at an exercise price of CHF 0.14548 per common share.</w:t>
      </w:r>
    </w:p>
    <w:p>
      <w:pPr>
        <w:spacing w:after="0" w:line="1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After giving effect to the sale of shares in this offering by us, if the underwriters exercise in full their option to purchase additional shares from us, our existing shareholders would own approximately 87.7% and our new investors would own approximately 12.3% of the total number of common shares outstanding after this offering, excluding any shares purchased by any existing holders in this offering.</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September 9, 2016, the exchange rate as reported by the U.S. Federal Reserve Bank was CHF 1.0235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2011</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2013</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2015</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January 29,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1.0082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0.9920</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March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0.9811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April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0.9634</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0.9777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0.9792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0.9566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July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0.9690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0.9830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0.9690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August 31,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0.9830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0.9711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0.9838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September 30, 2016 (through September 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0.9770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0.9789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0.9804</w:t>
            </w:r>
          </w:p>
        </w:tc>
        <w:tc>
          <w:tcPr>
            <w:tcW w:w="0" w:type="dxa"/>
            <w:vAlign w:val="bottom"/>
          </w:tcPr>
          <w:p>
            <w:pPr>
              <w:spacing w:after="0"/>
              <w:rPr>
                <w:sz w:val="1"/>
                <w:szCs w:val="1"/>
                <w:color w:val="auto"/>
              </w:rPr>
            </w:pPr>
          </w:p>
        </w:tc>
      </w:tr>
      <w:tr>
        <w:trPr>
          <w:trHeight w:val="350"/>
        </w:trPr>
        <w:tc>
          <w:tcPr>
            <w:tcW w:w="4380" w:type="dxa"/>
            <w:vAlign w:val="bottom"/>
          </w:tcPr>
          <w:p>
            <w:pPr>
              <w:spacing w:after="0"/>
              <w:rPr>
                <w:sz w:val="24"/>
                <w:szCs w:val="24"/>
                <w:color w:val="auto"/>
              </w:rPr>
            </w:pPr>
          </w:p>
        </w:tc>
        <w:tc>
          <w:tcPr>
            <w:tcW w:w="200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2016 and for the six months ended June 30,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(7,190)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42,725,207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45,845,283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the CS AG Share Issuance, as described in Note 7 (Other current liabilities) of our unaudited interim condensed financial statements as at and for the six months ended June 30, 2016 and June 30, 2015 included elsewhere in this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82,377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(33,825)</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90,542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24" w:lineRule="exact"/>
        <w:rPr>
          <w:sz w:val="20"/>
          <w:szCs w:val="20"/>
          <w:color w:val="auto"/>
        </w:rPr>
      </w:pPr>
    </w:p>
    <w:p>
      <w:pPr>
        <w:jc w:val="both"/>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and had accumulated losses of CHF 33.8 million as of June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45 million from Genentech including a milestone payment of CHF 14 million upon the commencement of the Phase 1 clinical study, which we received in July 2016. In addition to milestones, we will be eligible to receive royalties on sales at a percentage rate ranging from the mid-single digits to low double digits.</w:t>
      </w:r>
    </w:p>
    <w:p>
      <w:pPr>
        <w:spacing w:after="0" w:line="17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 research contribution of CHF 1.5 million and a CHF 4.9 million clinical milestone payment. The total future payments that we would be entitled to under the agreement for clinical milestones amounts to CHF 77.1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1.5-year period. We recognize revenues from this grant on a straight line basis over the life of the grant.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3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0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left="3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w w:val="96"/>
              </w:rPr>
              <w:t>(in CHF thousands)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4"/>
              </w:rPr>
              <w:t>(in CHF thousands)</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1,292</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1,253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1,233</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3,611</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1,365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1,495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221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757</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1,315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6,542</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3,288</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3,254</w:t>
            </w:r>
          </w:p>
        </w:tc>
        <w:tc>
          <w:tcPr>
            <w:tcW w:w="340" w:type="dxa"/>
            <w:vAlign w:val="bottom"/>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8,470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8,325</w:t>
            </w:r>
          </w:p>
        </w:tc>
        <w:tc>
          <w:tcPr>
            <w:tcW w:w="4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2016 and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20,135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14,247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14,401</w:t>
            </w:r>
          </w:p>
        </w:tc>
        <w:tc>
          <w:tcPr>
            <w:tcW w:w="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Total revenues rose to CHF 20.5 million for the six months ended June 30, 2016 from CHF 14.4 million for the six months ended June 30, 2015, an increase of CHF 6.1 million. The increase in revenues was principally attributable to an increase in collaboration revenues. Specifically, in the first half of 2016, pursuant to the collaboration agreement with Janssen for ACI-35, we received a payment of CHF 1.5 million in January 2016 to cover part of our research costs associated with this program and a CHF 4.9 million milestone payment. In addition, in June we recognized revenues of CHF 14.0 million related to achieving a clinical milestone in our collaboration on the anti-tau antibody program with Genentech. The CHF 4.9 million and CHF 14.0 million milestone payments are non-refundable and there is no further performance obligation and, as a result, we recognized the amounts as revenues. As there is a performance obligation to the end of the Phase 1b clinical study which we expect will be completed in late 2016, we are recognizing the revenues related to the Janssen CHF 1.5 million research contribution on a straight line basis through December 31,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2016 and 2015:</w:t>
      </w: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5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200" w:type="dxa"/>
            <w:vAlign w:val="bottom"/>
          </w:tcPr>
          <w:p>
            <w:pPr>
              <w:spacing w:after="0"/>
              <w:rPr>
                <w:sz w:val="11"/>
                <w:szCs w:val="11"/>
                <w:color w:val="auto"/>
              </w:rPr>
            </w:pPr>
          </w:p>
        </w:tc>
        <w:tc>
          <w:tcPr>
            <w:tcW w:w="2120" w:type="dxa"/>
            <w:vAlign w:val="bottom"/>
            <w:tcBorders>
              <w:top w:val="single" w:sz="8" w:color="auto"/>
            </w:tcBorders>
            <w:gridSpan w:val="6"/>
          </w:tcPr>
          <w:p>
            <w:pPr>
              <w:jc w:val="right"/>
              <w:ind w:right="374"/>
              <w:spacing w:after="0" w:line="133" w:lineRule="exact"/>
              <w:rPr>
                <w:sz w:val="20"/>
                <w:szCs w:val="20"/>
                <w:color w:val="auto"/>
              </w:rPr>
            </w:pPr>
            <w:r>
              <w:rPr>
                <w:rFonts w:ascii="Arial" w:cs="Arial" w:eastAsia="Arial" w:hAnsi="Arial"/>
                <w:sz w:val="14"/>
                <w:szCs w:val="14"/>
                <w:b w:val="1"/>
                <w:bCs w:val="1"/>
                <w:color w:val="auto"/>
              </w:rPr>
              <w:t>(in CHF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3,271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3,038</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11,018</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7,190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Research and development expenses increased to CHF 11.0 million for the six months ended June 30, 2016 from CHF 7.2 million for the six months ended June 30, 2015, an increase of CHF 3.8 million. The significant increase in research and development costs is attributable to three key factors:</w:t>
      </w:r>
    </w:p>
    <w:p>
      <w:pPr>
        <w:jc w:val="both"/>
        <w:ind w:right="260" w:firstLine="8"/>
        <w:spacing w:after="0" w:line="255"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expenditures on direct research and development costs totaling CHF 3.2 million due principally to increased expenditures on ACI-35, ACI-24 and our new discovery programs, (ii) increased expenditures on manufacturing and quality assurance and increased regulatory costs, and (iii) greater wage expenses due to additional headcount in 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research and development team. Pursuant to our collaboration agreement with Janssen for ACI-35, we committed to spend a total of CHF 13.8 million over a two-year period starting in January 2015 to help bring ACI-35 to the end of the Phase 1b clinical trial. Because the scope of the Phase 1b clinical trial was not agreed to until mid 2015, we spent less than CHF 1.3 million, excluding wages, on research and development activities related to ACI-35 in the first half of 2015. In contrast, in the six months period ended June 30, 2016, research and development expenses totalled CHF 2.5 million, excluding wages. Similarly, during the first quarter of 2016, we spent CHF 1.9 million on the ACI-24 programs, as compared to CHF 0.6 million for the first six months ended June 30, 2015 while more than doubling the outlay on R&amp;D expenditures on new discovery programs from CHF 0.4 million in the first half of 2015 to</w:t>
      </w:r>
    </w:p>
    <w:p>
      <w:pPr>
        <w:spacing w:after="0" w:line="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CHF 1.1 million in the first half of 2016. As we are in the process of transitioning from an early stage development company to a more mature company, we are having to make substantial investments to upgrade and improve our manufacturing infrastructure. As a result, in the six month period ended June 30, 2016 we spent over CHF 2.0 million on manufacturing related initiatives, as compared to the CHF 0.8 million we spend in the six months period ended June 30, 2015. We have added a total of nine employees to our research and development team which has resulted in our wages and share based compensation attributable to research and development staff rising to CHF 3.3 million for the first six months of 2016 from CHF 3.0 million for the same period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For the Six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7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Ended 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46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1,061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756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2016 our general and administrative expenses totaled CHF 2.8 million, up CHF 1.0 million from the CHF</w:t>
      </w:r>
    </w:p>
    <w:p>
      <w:pPr>
        <w:spacing w:after="0" w:line="35"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color w:val="auto"/>
        </w:rPr>
        <w:t>1.7 million we incurred during the six months ended June 30, 2015. The increase is due primarily with increased wage costs and information technology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Ended 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4"/>
          </w:tcPr>
          <w:p>
            <w:pPr>
              <w:jc w:val="right"/>
              <w:ind w:right="394"/>
              <w:spacing w:after="0" w:line="119" w:lineRule="exact"/>
              <w:rPr>
                <w:sz w:val="20"/>
                <w:szCs w:val="20"/>
                <w:color w:val="auto"/>
              </w:rPr>
            </w:pPr>
            <w:r>
              <w:rPr>
                <w:rFonts w:ascii="Arial" w:cs="Arial" w:eastAsia="Arial" w:hAnsi="Arial"/>
                <w:sz w:val="13"/>
                <w:szCs w:val="13"/>
                <w:b w:val="1"/>
                <w:bCs w:val="1"/>
                <w:color w:val="auto"/>
              </w:rPr>
              <w:t>(in CHF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financial income amounted to CHF 0.1 million for the six months period ended June 30, 2016 compared with net financial income of CHF 0.2 million for the six months period ended June 30, 2015. The principal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 in the net financial result is attributable to (i) fees payable on the CS AG Share Issuance and (ii) the net impact of foreign exchange movements on our financial assets and payables owed by us during the reporting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rose by CHF 0.5 million to CHF 6.3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June 30, 2016, we had cash and cash equivalents of CHF 82.4 million. At June 30, 2016, after giving effect to the CHF 14 million milestone payment from Genentech for the anti-tau antibody program, we would have had cash and cash equivalents of CHF 96.4 million.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16,063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13,159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15,952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Net cash used in operating activities was CHF 7.2 million for the six months ended June 30, 2016 compared with net cash generated in operating activities of CHF 16.1 million for the six months ended June 30, 2015. The significant change in cash used in operating activities in the first six months of 2016 was due to (i) our outstanding receivables balances growing substantially in the first half of 2016 due to the notification in late June by Genentech that the anti-tau antibody program had moved into Phase 1 clinical studies triggering a CHF 14 million milestone payment while receivables declined sharply during the same period in 2015 due to the receipt of the CHF 25.9 million upfront payment from Janssen related to the collaboration agreement on ACI-35 which was partially offset by the addition of a CHF 14 million receivable from Genentech related to the ED-GO milestone payment, (ii) our prepaid expense balances rising from CHF 0.4 million to CHF 1.8 million between June 30, 2015 and June 30, 2016 while (iii) the amount of deferred revenues rose by CHF 2.1 million between June 30, 2015 and June 30, 2016 and (iv) the change in accounts payable positively impacted our cash position between June 30, 2015 and June 30, 2016 by CHF 0.9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Net cash used in investing activities rose to CHF 0.3 million for the six months ended June 30, 2016 compared with net cash used in investing activities of CHF 0.1 million in the six months ended June 30, 2015 due to increased capital expenditures to strengthen our manufacturing and research infrastructure.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financing activities was CHF 13.2 million for the six months ended June 30, 2016 compared with net cash from investing activities of CHF 6 thousand for the six months ended June 30, 2015. The increase is principally due to the completion of the Series E Extension (CHF 13.3 million) in April 2016, proceeds from the issuance of shares related to option exercises (CHF 0.2 million) and proceeds from issuance of shares under the CS AG Share issuance (CHF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As of June 30, 2016 we had cash balances totaling CHF 82.4 million. The increase relative to December 31, 2015 is due to the proceeds we received from the Series E Extension in April 2016, partially offset by a significant rise in total operating expenses driven by CHF 3.8 million spent on research and development. There can be no certainty as to the exact timing, or in fact whether any future milestone payments will ever be made given that these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 of $63.4 (based on the midpoint of the range set forth in the cover of this prospectus), we believe that our existing capital resources (including the proceeds we received from Genentech, as described below under “—Anti-Tau Antibody Phase 1 Milestone Payment”) will be sufficient to meet our projected operating requirements up to the fourth quarter of 2018.</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and reviewing our interim financial statements as of June 30, 2016,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right="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per share to a split adjusted strike price of CHF 0.14548 per share.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(excluding executive officers and board members) have the right, but not the obligation, to have their unvested options accelerated such that they vest immediately. A total of 1,250 options could be accelerated upon completion of this offering.</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 September 18, 2015, if we successfully complete this offering, the board will accelerate 76,000 options which were granted to directors and executive officers.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 Phase 1 Milestone Payment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June 2016, Genentech, our collaboration partner informed us that the first patient has been dosed in a Phase 1 clinical study for Alzheimer’s disease with an anti-tau monoclonal antibody, making us eligible to receive a milestone payment of CHF 14.0 million, which we received in July 2016. For more information on our collaboration agreement with Genentech, see “—Strategic Collaborations and Licensing Agreements—Anti-Tau Antibodies— Collaboration with Genentech” and “Business—License Agreements and Collaborations—Genentech.”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As at June 30, 2016 we had cash and cash equivalents of CHF 82.4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93"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and we expect to present the data from this study in 2018. A protocol amendment for the Phase 1b study of ACI-24 was submitted to the FDA in September 2015. Phase 1 and 2 studies are also currently ongoing in Finland, Sweden and Denmark.</w:t>
      </w:r>
    </w:p>
    <w:p>
      <w:pPr>
        <w:spacing w:after="0" w:line="70" w:lineRule="exact"/>
        <w:rPr>
          <w:rFonts w:ascii="Arial" w:cs="Arial" w:eastAsia="Arial" w:hAnsi="Arial"/>
          <w:sz w:val="16"/>
          <w:szCs w:val="16"/>
          <w:color w:val="auto"/>
        </w:rPr>
      </w:pPr>
    </w:p>
    <w:p>
      <w:pPr>
        <w:ind w:left="900" w:right="40" w:hanging="325"/>
        <w:spacing w:after="0" w:line="297"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Additionally, our passive anti-tau monoclonal antibody candidate is being developed under a collaboration agreement with Genentech, which we entered into in June 2012. The anti-tau antibody candidate is a humanized 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79"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 We expect to commence a Phase 1 clinical study of our alpha-synuclein PET imaging agent in 2017.</w:t>
      </w:r>
    </w:p>
    <w:p>
      <w:pPr>
        <w:spacing w:after="0" w:line="17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47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0573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Anti-tau antibody</w:t>
      </w:r>
      <w:r>
        <w:rPr>
          <w:rFonts w:ascii="Arial" w:cs="Arial" w:eastAsia="Arial" w:hAnsi="Arial"/>
          <w:sz w:val="16"/>
          <w:szCs w:val="16"/>
          <w:color w:val="auto"/>
        </w:rPr>
        <w:t>. Our collaboration partner, Genentech, is advancing an anti-tau antibody candidate through a Phase 1 clinical study.</w:t>
      </w:r>
    </w:p>
    <w:p>
      <w:pPr>
        <w:spacing w:after="0" w:line="153" w:lineRule="exact"/>
        <w:rPr>
          <w:rFonts w:ascii="Arial" w:cs="Arial" w:eastAsia="Arial" w:hAnsi="Arial"/>
          <w:sz w:val="16"/>
          <w:szCs w:val="16"/>
          <w:color w:val="auto"/>
        </w:rPr>
      </w:pPr>
    </w:p>
    <w:p>
      <w:pPr>
        <w:ind w:left="1480" w:right="160" w:hanging="446"/>
        <w:spacing w:after="0" w:line="308" w:lineRule="auto"/>
        <w:tabs>
          <w:tab w:leader="none" w:pos="148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 misfolded Abeta, tau and alpha-synuclein proteins, which are the key features in the pathology of many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240"/>
        <w:spacing w:after="0" w:line="286" w:lineRule="auto"/>
        <w:rPr>
          <w:sz w:val="20"/>
          <w:szCs w:val="20"/>
          <w:color w:val="auto"/>
        </w:rPr>
      </w:pPr>
      <w:r>
        <w:rPr>
          <w:rFonts w:ascii="Arial" w:cs="Arial" w:eastAsia="Arial" w:hAnsi="Arial"/>
          <w:sz w:val="17"/>
          <w:szCs w:val="17"/>
          <w:color w:val="auto"/>
        </w:rPr>
        <w:t>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67" w:lineRule="exact"/>
        <w:rPr>
          <w:sz w:val="20"/>
          <w:szCs w:val="20"/>
          <w:color w:val="auto"/>
        </w:rPr>
      </w:pPr>
    </w:p>
    <w:p>
      <w:pPr>
        <w:ind w:left="900" w:right="80" w:hanging="325"/>
        <w:spacing w:after="0" w:line="25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895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649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1380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84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298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0990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2016, the Morphomer library consisted of more than 2,900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2915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681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Medical School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28690" cy="2023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86360</wp:posOffset>
            </wp:positionV>
            <wp:extent cx="2186940" cy="19894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24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58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8178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05730" cy="2529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10 mg/kg dose cohort</w:t>
      </w:r>
    </w:p>
    <w:p>
      <w:pPr>
        <w:ind w:left="180" w:hanging="172"/>
        <w:spacing w:after="0" w:line="221" w:lineRule="auto"/>
        <w:tabs>
          <w:tab w:leader="none" w:pos="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6 mg/kg dose cohort</w:t>
      </w:r>
    </w:p>
    <w:p>
      <w:pPr>
        <w:ind w:right="9760" w:firstLine="8"/>
        <w:spacing w:after="0" w:line="271" w:lineRule="auto"/>
        <w:tabs>
          <w:tab w:leader="none" w:pos="108"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Reduced effector function **Full effector function</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171450</wp:posOffset>
            </wp:positionV>
            <wp:extent cx="5196840" cy="3378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53943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1454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146050</wp:posOffset>
            </wp:positionV>
            <wp:extent cx="5042535" cy="17665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425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205740</wp:posOffset>
            </wp:positionV>
            <wp:extent cx="4965700" cy="5917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65700" cy="591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 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87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collaboration partner for the anti-tau antibody program, announced the commencement of a Phase 1 clinical study in July 2016. The Phase 1 clinical study will test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90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Lead Indication</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1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8"/>
              </w:rPr>
              <w:t>Morphomer tau</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Anti-tau Morphomers are small molecule compounds designed to inhibit tau aggregation with the aim of interacting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 This molecule is expected to enter Phase 1 clinical studies in 2017 or 2018.</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143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 and Biogen under the non-exclusive research and development agreement signed in April 2016.</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 date, we have received payments totaling CHF 45 million including a CHF 14 million milestone payment associated with the recent announcement of the commencement of the Phase 1 clinical study of the lead anti-tau antibody candidate and a CHF 14 million milestone payment received in 2015 in connection with the ED-GO decision.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50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received an upfront payment of about CHF 25.9 million, a research contribution of CHF 1.5 million and a CHF 4.9 million clinical milestone payment and we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79" w:lineRule="auto"/>
        <w:rPr>
          <w:sz w:val="20"/>
          <w:szCs w:val="20"/>
          <w:color w:val="auto"/>
        </w:rPr>
      </w:pPr>
      <w:r>
        <w:rPr>
          <w:rFonts w:ascii="Arial" w:cs="Arial" w:eastAsia="Arial" w:hAnsi="Arial"/>
          <w:sz w:val="17"/>
          <w:szCs w:val="17"/>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 Aducanumab recently received Fast Track designation from the FDA as did crenezumab in 2008.</w:t>
      </w:r>
    </w:p>
    <w:p>
      <w:pPr>
        <w:spacing w:after="0" w:line="77" w:lineRule="exact"/>
        <w:rPr>
          <w:sz w:val="20"/>
          <w:szCs w:val="20"/>
          <w:color w:val="auto"/>
        </w:rPr>
      </w:pPr>
    </w:p>
    <w:p>
      <w:pPr>
        <w:ind w:left="900" w:right="80" w:hanging="325"/>
        <w:spacing w:after="0" w:line="276"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has completed a Phase 1 study and Affitope-AD-02 (AFFiRiS AG / GlaxoSmithKline) and CAD-106 (Novartis International AG), each of which has completed a Phase 2 study.</w:t>
      </w:r>
    </w:p>
    <w:p>
      <w:pPr>
        <w:spacing w:after="0" w:line="77"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of August 31, 2016, we owned or co-owned approximately 22 issued U.S. patents and 173 issued patents in other jurisdictions, as well as 18 pending U.S. patent applications and 327 pending foreign patent applications. As of August 31, 2016, we licensed approximately 12 issued U.S. patents and 12 pending U.S. patent applications, as well as 110 issued patents in other jurisdictions and 258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August 31,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August 31, 2016, we owned or co-owned approximately 20 patents (not including the patents in the individual countries where the issued European patent was validated) and 39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23 issued patents and 11 pending patent applications in 30 countries. With respect to the U.S., we own two issued U.S.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14 issued patents and 16 pending patent applications in 27 countries. With respect to the U.S., we own one issued U.S. patent.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2016, we employed 62 employees, 9 of whom were part-time employees. 34 of our employees hold Ph.D. degrees and 19 hold M.Sc. degrees. Our 62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Due to the expansion of our research and development team and addition of scientists, we have entered into an agreement with EPFL to lease an additional 240 square meters of space in the Innovation Park. We are planning to occupy this space in November, 2016. We believe that once we have this additional space, our existing facilities are sufficient to meet our current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Advisors and Board of Directors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advisors and directors, including their ages, as at August 31, 2016. The term of each of our directors is one year and, accordingly, will expire at our 2016 annual shareholder meeting to be held in the fourth quarter of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5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182"/>
        </w:trPr>
        <w:tc>
          <w:tcPr>
            <w:tcW w:w="4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 and Advisors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ind w:left="360"/>
              <w:spacing w:after="0"/>
              <w:rPr>
                <w:sz w:val="20"/>
                <w:szCs w:val="20"/>
                <w:color w:val="auto"/>
              </w:rPr>
            </w:pPr>
            <w:r>
              <w:rPr>
                <w:rFonts w:ascii="Arial" w:cs="Arial" w:eastAsia="Arial" w:hAnsi="Arial"/>
                <w:sz w:val="18"/>
                <w:szCs w:val="18"/>
                <w:color w:val="auto"/>
              </w:rPr>
              <w:t>Julian Gray, M.D.,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gridSpan w:val="2"/>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Clinical Advisor</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0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advisors,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 and Advisors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Julian Gray, M.D., Ph.D., Clinical Advisor: </w:t>
      </w:r>
      <w:r>
        <w:rPr>
          <w:rFonts w:ascii="Arial" w:cs="Arial" w:eastAsia="Arial" w:hAnsi="Arial"/>
          <w:sz w:val="17"/>
          <w:szCs w:val="17"/>
          <w:color w:val="auto"/>
        </w:rPr>
        <w:t>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 Dr. Hothum is a board member of various companies in the dievini portfolio and is the chairman of the advisory board of joimax GmbH.</w:t>
      </w:r>
    </w:p>
    <w:p>
      <w:pPr>
        <w:spacing w:after="0" w:line="17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broad industry experience embraces biotechnology and medical technology firms including previous Board positions with Cytos Biotechnology and Prionics.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the fourth quarter of 2016.</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jc w:val="center"/>
        <w:ind w:left="5580" w:right="540" w:hanging="5005"/>
        <w:spacing w:after="0" w:line="44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approve any audit and non-audit services proposed to be provided by the independent auditor to ensure independent auditor independence; 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16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August 31, 2016, there were 598,500 and 1,597,750 common shares underlying outstanding unvested options and vested options granted pursuant to our Prior Plans, respectively.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feature was removed. Instead, employees have the right, but not the obligation, to have their unvested options accelerated such that they vest immediately. A total of 1,250 options could be accelerated in the event this offering is completed.</w:t>
      </w:r>
    </w:p>
    <w:p>
      <w:pPr>
        <w:spacing w:after="0" w:line="17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Option Exercise Price</w:t>
      </w:r>
      <w:r>
        <w:rPr>
          <w:rFonts w:ascii="Arial" w:cs="Arial" w:eastAsia="Arial" w:hAnsi="Arial"/>
          <w:sz w:val="18"/>
          <w:szCs w:val="18"/>
          <w:color w:val="auto"/>
        </w:rPr>
        <w:t>. With the exception of Plan A, the exercise price of all options issued under the Prior Plans is CHF 0.14548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exercise price for options issued under Plan A was CHF 0.93186 per share. However, this exercise price was amended in June 2015 with the approval of our board of directors to be CHF 0.14548 per share. As a result, as of August 31, 2016, all options outstanding under our Prior Plans have an exercise price of CHF 0.14548 per share.</w:t>
      </w:r>
    </w:p>
    <w:p>
      <w:pPr>
        <w:spacing w:after="0" w:line="18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have granted our Chief Financial Officer, in the aggregate, options that will give him the right to acquire 196,750 shares. Contingent upon continued employment and approval of our Board of Directors, such options will vest as follows:</w:t>
      </w:r>
    </w:p>
    <w:p>
      <w:pPr>
        <w:spacing w:after="0" w:line="76" w:lineRule="exact"/>
        <w:rPr>
          <w:sz w:val="20"/>
          <w:szCs w:val="20"/>
          <w:color w:val="auto"/>
        </w:rPr>
      </w:pPr>
    </w:p>
    <w:p>
      <w:pPr>
        <w:jc w:val="both"/>
        <w:ind w:left="900" w:right="60" w:hanging="325"/>
        <w:spacing w:after="0" w:line="28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45,000 shares which became purchasable on July 15, 2015, on a four year period at a price of CHF 0.14548 per share with 25% having vested on July 14, 2016 and a further 25% vesting on each of July 14, 2017, July 14, 2018 and July 14, 2019; upon consummation of the proposed IPO, the 33,750 unvested options will be accelerated and will vest upon consummation of the IPO; and</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98,500 shares which were granted on July 15, 2016 at a price of CHF 0.14548 per share and will vest over a four year period with 25% vesting on each of July 14, 2017, July 14, 2018, July 14, 2019 and July 14, 2020;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53,250 shares which will be granted on July 15, 2017 at a price to be determined in July 2017 and will vest over a four year period with 25% of the granted options vesting on each of July 14, 2018, July 14, 2019, July 14, 2020 and July 14,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August 31,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completion of this offering, all of our outstanding preferred shares will be converted into common shares on a one-for-one basis and we will have only one class of shares issued and outstanding. All holders of our common shares will have the same voting rights upon the completion of this offering.</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August 31,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percentage of outstanding common shares is computed on the basis of 49,396,042 common shares outstanding as of August 31, 2016 (including the additional common shares issuable upon conversion of all of our preferred shares into common shares on a one-for-one basis upon the closing of this offering). Common shares that a person has the right to acquire within 60 days of August 31,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August 31, 2016, a total of 3,428,409 of our common shares (including the additional common shares issuable upon conversion of all of our preferred shares into common shares on a one-for-one basis upon the closing of this offering) were held by a total of 14 U.S. record holders.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 Accordingly, the table below assumes no purchase of shares by such existing shareholders in this offering.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percentage of common shares beneficially owned before this offering is computed on the basis of common shares issued and outstanding as of August 31, 2016. The percentage of common shares beneficially owned after this offering is based on 55,396,042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 percentage ownership after this offering, we have assumed the issuance and sale by us of an aggregate of 6,000,000 common shares in this offering and that the underwriters will not exercise their option to purchase additional shares from 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Percent of Shares</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Before This Offering</w:t>
            </w:r>
          </w:p>
        </w:tc>
        <w:tc>
          <w:tcPr>
            <w:tcW w:w="1460" w:type="dxa"/>
            <w:vAlign w:val="bottom"/>
            <w:gridSpan w:val="2"/>
            <w:vMerge w:val="continue"/>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Shareholders</w:t>
            </w: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vMerge w:val="restart"/>
          </w:tcPr>
          <w:p>
            <w:pPr>
              <w:jc w:val="right"/>
              <w:ind w:right="260"/>
              <w:spacing w:after="0" w:line="126" w:lineRule="exact"/>
              <w:rPr>
                <w:sz w:val="20"/>
                <w:szCs w:val="20"/>
                <w:color w:val="auto"/>
              </w:rPr>
            </w:pPr>
            <w:r>
              <w:rPr>
                <w:rFonts w:ascii="Arial" w:cs="Arial" w:eastAsia="Arial" w:hAnsi="Arial"/>
                <w:sz w:val="14"/>
                <w:szCs w:val="14"/>
                <w:b w:val="1"/>
                <w:bCs w:val="1"/>
                <w:color w:val="auto"/>
                <w:w w:val="91"/>
              </w:rPr>
              <w:t>Beneficially Owned</w:t>
            </w:r>
          </w:p>
        </w:tc>
        <w:tc>
          <w:tcPr>
            <w:tcW w:w="160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96"/>
              </w:rPr>
              <w:t>of Underwriters’ Over-</w:t>
            </w:r>
          </w:p>
        </w:tc>
        <w:tc>
          <w:tcPr>
            <w:tcW w:w="0" w:type="dxa"/>
            <w:vAlign w:val="bottom"/>
          </w:tcPr>
          <w:p>
            <w:pPr>
              <w:spacing w:after="0"/>
              <w:rPr>
                <w:sz w:val="1"/>
                <w:szCs w:val="1"/>
                <w:color w:val="auto"/>
              </w:rPr>
            </w:pPr>
          </w:p>
        </w:tc>
      </w:tr>
      <w:tr>
        <w:trPr>
          <w:trHeight w:val="79"/>
        </w:trPr>
        <w:tc>
          <w:tcPr>
            <w:tcW w:w="6440" w:type="dxa"/>
            <w:vAlign w:val="bottom"/>
            <w:gridSpan w:val="2"/>
            <w:vMerge w:val="continue"/>
          </w:tcPr>
          <w:p>
            <w:pPr>
              <w:spacing w:after="0"/>
              <w:rPr>
                <w:sz w:val="6"/>
                <w:szCs w:val="6"/>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46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After This Offering</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50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57"/>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143,500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327,500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618,750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6,151,250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11.1%</w:t>
            </w:r>
          </w:p>
        </w:tc>
        <w:tc>
          <w:tcPr>
            <w:tcW w:w="1600" w:type="dxa"/>
            <w:vAlign w:val="bottom"/>
            <w:gridSpan w:val="2"/>
          </w:tcPr>
          <w:p>
            <w:pPr>
              <w:jc w:val="right"/>
              <w:ind w:right="4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right="180" w:hanging="452"/>
        <w:spacing w:after="0" w:line="238" w:lineRule="auto"/>
        <w:tabs>
          <w:tab w:leader="none" w:pos="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18,041,000 shares held by dievini Hopp BioTech holding GmbH &amp; Co KG. Dietmar Hopp and Oliver Hopp control the voting and investment decisions of the ultimate parent company of dievini Hopp BioTech holding GmbH &amp; Co KG. The shares registered in the name of dievini Hopp BioTech holding GmbH &amp; Co KG may also be deemed to be beneficially owned by Friedrich von Bohlen und Halbach and Mathias Hothum, each of whom is a managing director of dievini Hopp BioTech holding GmbH &amp; Co KG. The address for dievini Hopp BioTech holding GmbH &amp; Co KG, Friedrich von Bohlen und Halbach and Mathias Hothum is Johann-Jakob-Astor Str. 57, 69190 Walldorf, Germany.</w:t>
      </w:r>
    </w:p>
    <w:p>
      <w:pPr>
        <w:spacing w:after="0" w:line="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2,915,250 of our common shares and options to purchase 168,000 of our common shares exercisable within 60 days of August 31, 2016.</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410,000 of our common shares and options to purchase 488,500 of our common shares exercisable within 60 days of August 31, 2016.</w:t>
      </w:r>
    </w:p>
    <w:p>
      <w:pPr>
        <w:ind w:left="460" w:right="20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August 31, 2016 and options to purchase 98,500 of our common shares exercisable over a four year period between July 2016 and July 2020.</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August 31, 2016.</w:t>
      </w:r>
    </w:p>
    <w:p>
      <w:pPr>
        <w:ind w:left="460" w:right="38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August 31, 2016. Includes shares held through an entity controlled by Mr. Velasco and, as such, Mr. Velasco has sole voting and dispositive power over such shares.</w:t>
      </w:r>
    </w:p>
    <w:p>
      <w:pPr>
        <w:ind w:left="460" w:right="12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August 31, 2016, and excludes the 18,041,000 shares registered in the name of dievini Hopp BioTech holding CmbH &amp; Co KG that may also be deemed to be beneficially owned by Friedrich von Bohlen und Halbach. See note (1) above. Mr. Hothum disclaims beneficial ownership of these shares except to the extent of any pecuniary interest therein.</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613,750 of our common shares and options to purchase 5,000 of our common shares exercisable within 60 days of August 31, 2016.</w:t>
      </w:r>
    </w:p>
    <w:p>
      <w:pPr>
        <w:jc w:val="both"/>
        <w:ind w:left="460" w:right="80" w:hanging="452"/>
        <w:spacing w:after="0" w:line="271" w:lineRule="auto"/>
        <w:tabs>
          <w:tab w:leader="none" w:pos="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Consists of 78,750 of our common shares, and excludes the 18,041,000 shares registered in the name of dievini Hopp BioTech holding CmbH &amp; Co KG that may also be beneficially owned by Friedrich von Bohlen und Halbach. See note (1) above. Mr. von Bohlen und Halbach disclaims beneficial ownership of these shares except to the extent of any pecuniary interest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per share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dievini Hopp BioTech holding GmbH &amp; Co KG, Varuma AG and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w:t>
      </w:r>
    </w:p>
    <w:p>
      <w:pPr>
        <w:spacing w:after="0" w:line="292" w:lineRule="auto"/>
        <w:rPr>
          <w:sz w:val="20"/>
          <w:szCs w:val="20"/>
          <w:color w:val="auto"/>
        </w:rPr>
      </w:pPr>
      <w:r>
        <w:rPr>
          <w:rFonts w:ascii="Arial" w:cs="Arial" w:eastAsia="Arial" w:hAnsi="Arial"/>
          <w:sz w:val="16"/>
          <w:szCs w:val="16"/>
          <w:color w:val="auto"/>
        </w:rPr>
        <w:t>33,028,758 of our common shares, representing approximately 59.6%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Offering</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 basis and (iii) any remaining shares from the 5,300,000 common shares issued in the CS AG Issuance, our issued fully paid-in share capital will consist of CHF 152.5 million divided into 55,396,042 common shares with a nominal value of CHF 0.02 each and no preferred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October 20, 2017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shares to be sold in this offering have been issued out of our authorized share capital. Accordingly, upon the consummation of this</w:t>
      </w:r>
    </w:p>
    <w:p>
      <w:pPr>
        <w:spacing w:after="0" w:line="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offering, our authorized but unissued share capital will remain at the amount of CHF</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nominal share capital may be increased by a maximum aggregate amount of CHF 91,868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November,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alleviating or withdrawing of restrictions upon the transfer of registered shares and the removal of the voting cap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 w:lineRule="exact"/>
        <w:rPr>
          <w:sz w:val="20"/>
          <w:szCs w:val="20"/>
          <w:color w:val="auto"/>
        </w:rPr>
      </w:pPr>
    </w:p>
    <w:p>
      <w:pPr>
        <w:ind w:right="20" w:firstLine="456"/>
        <w:spacing w:after="0" w:line="200" w:lineRule="auto"/>
        <w:rPr>
          <w:sz w:val="20"/>
          <w:szCs w:val="20"/>
          <w:color w:val="auto"/>
        </w:rPr>
      </w:pPr>
      <w:r>
        <w:rPr>
          <w:rFonts w:ascii="Arial" w:cs="Arial" w:eastAsia="Arial" w:hAnsi="Arial"/>
          <w:sz w:val="17"/>
          <w:szCs w:val="17"/>
          <w:color w:val="auto"/>
        </w:rPr>
        <w:t xml:space="preserve">Our articles contain provisions that prevent investors from acquiring voting rights exceeding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183"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xml:space="preserve">) with his or her name and address (in the case of legal entities, the registered office) as a shareholder with voting rights. Our articles contain provisions that prevent investors from acquiring voting rights exceeding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outstanding share capital. Specifically, no individual or legal entity may, directly or indirectly, control voting rights with respect to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ownership threshold, the registered shares exceeding 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the Company, directly or indirectly, to current or former members of the board of directors and executive management to the extent related to their former role within the Company or not on customary market terms.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00"/>
          </w:cols>
          <w:pgMar w:left="240" w:top="459" w:right="2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left="740" w:hanging="381"/>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28"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7" w:lineRule="exact"/>
        <w:rPr>
          <w:sz w:val="20"/>
          <w:szCs w:val="20"/>
          <w:color w:val="auto"/>
        </w:rPr>
      </w:pPr>
    </w:p>
    <w:p>
      <w:pPr>
        <w:ind w:left="720" w:right="180" w:hanging="361"/>
        <w:spacing w:after="0" w:line="312" w:lineRule="auto"/>
        <w:tabs>
          <w:tab w:leader="none" w:pos="7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420"/>
          </w:cols>
          <w:pgMar w:left="240" w:top="460" w:right="23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00"/>
          </w:cols>
          <w:pgMar w:left="240" w:top="459" w:right="25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completion of this offering, we will have 55,396,042 common shares outstanding. Of these shares, 6,000,000 common shares, or 6,900,000 common shares if the underwriters exercise their option in full to purchase additional common shares, will be freely transferable without restriction or registration under the Securities Act, except for any common shares purchased by one of our existing “affiliates,” as that term is defined in Rule 144 under the Securities Act. The remaining 49,396,042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pacing w:after="0" w:line="189"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Additionally, of the options to purchase 2,196,250 common shares outstanding as of August 31, 2016 and assuming no outstanding options are exercised and no exercise of the underwriters’ option to purchase additional shares, options exercisable for 1,597,750 common shares will be vested and eligible for sale 180 days after the date of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20"/>
          </w:cols>
          <w:pgMar w:left="240" w:top="460" w:right="23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40"/>
          </w:cols>
          <w:pgMar w:left="240" w:top="460" w:right="239" w:bottom="1440" w:gutter="0" w:footer="0" w:header="0"/>
          <w:type w:val="continuous"/>
        </w:sectPr>
      </w:pPr>
    </w:p>
    <w:p>
      <w:pPr>
        <w:ind w:left="900" w:right="3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All of our directors and executive officers and the holders of substantially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opinion of Vischer Ltd., the following are the material Swiss income tax consequences of owning and disposing our common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60" w:type="dxa"/>
            <w:vAlign w:val="bottom"/>
          </w:tcPr>
          <w:p>
            <w:pPr>
              <w:jc w:val="center"/>
              <w:ind w:left="4428"/>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5060" w:type="dxa"/>
            <w:vAlign w:val="bottom"/>
          </w:tcPr>
          <w:p>
            <w:pPr>
              <w:jc w:val="center"/>
              <w:ind w:left="4428"/>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375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375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have granted to the underwriters a 30-day over-allotment option to purchase up to 900,000 additional common shares from us at the initial public offering price less the underwriting discounts and commissions. The option may be exercised only to cover any over-allotments of common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We estimate the expenses paid or payable by us in connection with this offering, other than the underwriting discounts and commissions referred to above, will be approximately $3.6 million. We have also agreed to reimburse the underwriters for certain expenses, including an amount not to exceed $30,000 in connection with the clearance of this offering with the Financial Industry Regulatory Authority, as set forth in the underwriting agreement.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officers and directors and the holders of substantially all of our capital stock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6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40" w:hanging="446"/>
        <w:spacing w:after="0" w:line="264"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446"/>
        <w:spacing w:after="0" w:line="264"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the above exceptions, dievini Hopp BioTech holding GmbH &amp; Co KG and its representatives who hold our common shares will be allowed a one-time sale of any or all of the common shares held by them. Any such sale must be a private sale pursuant to an exemption from the Securities Act and the purchaser must agree to be bound in writing by the terms of the lock-up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standards for listing prospectuses under art. 27 ff. of the SIX Listing Rules or the listing rules of any other stock exchange or regulated trading facility in Switzerland.</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common shares have not been offered or sold and will not be offered or sold in Hong Kong, by means of any document, other than (a) to “professional investors” as defined in the Securities and Futures Ordinance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distribution of the common shares in Canada is being made only in the provinces of Ontario, Quebec, Alberta and British Columbia on a private placement basis exempt from the requirement that we prepare and file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00"/>
          </w:cols>
          <w:pgMar w:left="240" w:top="460"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r>
      <w:tr>
        <w:trPr>
          <w:trHeight w:val="210"/>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1,685,000</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1,105,177</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2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3,573,165</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80"/>
          </w:cols>
          <w:pgMar w:left="240" w:top="459" w:right="27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9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Balance Sheets as at June 30,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Income Statements and Statements of Comprehensive Income for the Six Months Ended June 30,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Statements of Changes in Equity for the Six Months Ended June 30, 2016 and 2015</w:t>
              </w:r>
            </w:hyperlink>
          </w:p>
        </w:tc>
        <w:tc>
          <w:tcPr>
            <w:tcW w:w="206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5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5">
              <w:r>
                <w:rPr>
                  <w:rFonts w:ascii="Arial" w:cs="Arial" w:eastAsia="Arial" w:hAnsi="Arial"/>
                  <w:sz w:val="18"/>
                  <w:szCs w:val="18"/>
                  <w:color w:val="0000EE"/>
                  <w:w w:val="90"/>
                </w:rPr>
                <w:t>Statements of Cash Flows for the Six Months Ended June 30, 2016 and 2015</w:t>
              </w:r>
            </w:hyperlink>
          </w:p>
        </w:tc>
        <w:tc>
          <w:tcPr>
            <w:tcW w:w="41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Notes to the Interim Condensed Financial Statements for the Six Months Ended June 30, 2016 and 2015</w:t>
              </w:r>
            </w:hyperlink>
          </w:p>
        </w:tc>
        <w:tc>
          <w:tcPr>
            <w:tcW w:w="222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 as of December 31, 2015 and 2014</w:t>
              </w:r>
            </w:hyperlink>
          </w:p>
        </w:tc>
        <w:tc>
          <w:tcPr>
            <w:tcW w:w="546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60" w:type="dxa"/>
            <w:vAlign w:val="bottom"/>
            <w:gridSpan w:val="9"/>
          </w:tcPr>
          <w:p>
            <w:pPr>
              <w:jc w:val="center"/>
              <w:ind w:right="260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753</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82,377</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102,529</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103,282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123,379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(33,825)</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90,542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3,196</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3,196</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2,625</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4,719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9,544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103,282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Notes</w:t>
            </w:r>
          </w:p>
        </w:tc>
        <w:tc>
          <w:tcPr>
            <w:tcW w:w="7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20,451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20,451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14,401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(11,018)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8"/>
                <w:szCs w:val="18"/>
                <w:color w:val="auto"/>
              </w:rPr>
              <w:t>(2,750)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(13,768)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(8,932)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6,683</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207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44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w w:val="86"/>
              </w:rPr>
              <w:t>47,209,976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42,725,207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diluted</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w w:val="86"/>
              </w:rPr>
              <w:t>49,101,623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45,845,283</w:t>
            </w:r>
          </w:p>
        </w:tc>
        <w:tc>
          <w:tcPr>
            <w:tcW w:w="0" w:type="dxa"/>
            <w:vAlign w:val="bottom"/>
          </w:tcPr>
          <w:p>
            <w:pPr>
              <w:spacing w:after="0"/>
              <w:rPr>
                <w:sz w:val="1"/>
                <w:szCs w:val="1"/>
                <w:color w:val="auto"/>
              </w:rPr>
            </w:pPr>
          </w:p>
        </w:tc>
      </w:tr>
      <w:tr>
        <w:trPr>
          <w:trHeight w:val="54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854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83,077</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(54,928)</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928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Issue of capital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60</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13,377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8"/>
              </w:rPr>
              <w:t>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extension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2016</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988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123,379</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Income for the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6,774</w:t>
            </w:r>
          </w:p>
        </w:tc>
        <w:tc>
          <w:tcPr>
            <w:tcW w:w="64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 for the period to net cash flows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and equipment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16,063</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13,344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common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13,159</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82,377</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the Company developed using our proprietary SupraAntigen platform. Phase 3 clinical studies for crenezumab were commenced in early 2016. The Company uses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2016 were authorized for issue in accordance with a resolution of the Board of Directors on August 25,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82.4 million as of June 30, 2016 which includes the $13.5 million (CHF 13.2 million) the Company raised in the Series E Extension financing in April 2016. The Company also received a clinical milestone payment of CHF 14 million in July 2016 related to the collaboration with Genentech on the anti-tau antibody program.</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20" w:firstLine="8"/>
        <w:spacing w:after="0" w:line="323" w:lineRule="auto"/>
        <w:tabs>
          <w:tab w:leader="none" w:pos="2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interim condensed financial statements for the six-month period ended June 30,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(all figures in CHF ‘000)</w:t>
            </w:r>
          </w:p>
        </w:tc>
        <w:tc>
          <w:tcPr>
            <w:tcW w:w="3000" w:type="dxa"/>
            <w:vAlign w:val="bottom"/>
          </w:tcPr>
          <w:p>
            <w:pPr>
              <w:spacing w:after="0"/>
              <w:rPr>
                <w:sz w:val="24"/>
                <w:szCs w:val="24"/>
                <w:color w:val="auto"/>
              </w:rPr>
            </w:pPr>
          </w:p>
        </w:tc>
        <w:tc>
          <w:tcPr>
            <w:tcW w:w="3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20,135</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4920" w:type="dxa"/>
            <w:vAlign w:val="bottom"/>
            <w:gridSpan w:val="3"/>
          </w:tcPr>
          <w:p>
            <w:pPr>
              <w:jc w:val="right"/>
              <w:ind w:right="940"/>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3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20,451</w:t>
            </w:r>
          </w:p>
        </w:tc>
        <w:tc>
          <w:tcPr>
            <w:tcW w:w="9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920" w:type="dxa"/>
            <w:vAlign w:val="bottom"/>
            <w:gridSpan w:val="3"/>
          </w:tcPr>
          <w:p>
            <w:pPr>
              <w:jc w:val="right"/>
              <w:ind w:right="3560"/>
              <w:spacing w:after="0"/>
              <w:rPr>
                <w:sz w:val="20"/>
                <w:szCs w:val="20"/>
                <w:color w:val="auto"/>
              </w:rPr>
            </w:pPr>
            <w:r>
              <w:rPr>
                <w:rFonts w:ascii="Arial" w:cs="Arial" w:eastAsia="Arial" w:hAnsi="Arial"/>
                <w:sz w:val="18"/>
                <w:szCs w:val="18"/>
                <w:color w:val="auto"/>
              </w:rPr>
              <w:t>F-7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80" w:firstLine="8"/>
        <w:spacing w:after="0" w:line="453" w:lineRule="auto"/>
        <w:tabs>
          <w:tab w:leader="none" w:pos="446"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The Company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received an upfront payment of CHF 25.9 million which it recognized in 2014 and is eligible to receive development, regulatory and commercialization milestone payments for AD and a potential second indication outside of AD. Additionally, the Company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agreement, AC Immune has committed to spend CHF 13.8 million in research and</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development to the end of Phase 1b which is currently anticipated to be completed at the end of 2016. Under the terms of the agreement, Janssen may terminate the agreement at any time after completion of the Phase 1b clinical study by providing 90 days’ notice to the Company.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2016, the Company received payments of CHF 1.5 million for pre-payment of research and external research costs the Company expects to incur during 2016. Pursuant to the terms of the collaboration agreement, there is a performance obligation until the end of the year. As a result, the Company is recognizing the proceeds from this payment over a 12-month period on a straight-line basis. In June 2016, the Company received a CHF 4.9 million payment for reaching a clinical milestone in the Phase 1b study. As the Company met all performance obligations on reaching the milestone, it recognized this income as revenue.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2012, the Company entered into an exclusive global license agreement and research collaboration with Genentech, Inc. to commercialize its anti-tau antibodies for use as immunotherapeutics. The value of this exclusive, worldwide alliance is potentially greater than CHF 400 million and includes upfront and milestone payments. In addition to milestones, the Company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Until June 30, 2016, the Company has received payments totalling CHF 31 million including a CHF 14 million milestone payment received in 2015. In June 2016, Genentech informed the Company that the first patient had been injected with the anti-tau antibody making the Company eligible for a CHF 14 million milestone payment and which also triggered a small licensing fee payment from AC Immune to a third party. The Company received the proceeds from this milestone payment in July 2016. Pursuant to the exclusive global license agreement, there is no further performance obligation attached to this payment, therefore the Company recognized the full amount as collaboration and license revenue in the six month period ended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Genentech may terminate the agreement at any time by providing three months’ notice to AC Immune. In such event all costs incurred are still refundable.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the Company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with Genentech, the Company may become eligible to receive payments totaling up to approximately $340 million, excluding royalties.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received payments of $65 million (CHF 70.1 million).</w:t>
      </w:r>
    </w:p>
    <w:p>
      <w:pPr>
        <w:spacing w:after="0" w:line="35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tax expense for the six-month period ended June 30, 2016 is zero. The estimated tax expense is based on the best estimate of the weighted average annual income tax rate expected for the full financial year ended December 31, 2016. As the Company expects to incur a loss for the full year, it does not anticipate any income tax expense.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IAS 34 and consistent with prior years, the Company has not recognized any deferred tax assets relating to tax losses available but offset against future profits as the recognition criteria have not been met at the balance sheet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64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Tax expense calculated at the statutory rate of 22.5%</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(1,524)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expected tax rate for full year (2016)</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1,524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Effect of unrecognized carry forward tax loss (2015)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r>
      <w:tr>
        <w:trPr>
          <w:trHeight w:val="20"/>
        </w:trPr>
        <w:tc>
          <w:tcPr>
            <w:tcW w:w="6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fact that AC Immune is expected to report a loss for the full year 2016, no tax on income was payable in H1 2016. In H1 2015, no income tax was payable due to the fact that AC Immune could offset taxable income with tax loss carry forwards.</w:t>
      </w:r>
    </w:p>
    <w:p>
      <w:pPr>
        <w:spacing w:after="0" w:line="315"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carrying amounts of financial assets and financial liabilities which are a reasonable approximation of the fair value of financial assets and financial liabilities: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2"/>
        </w:trPr>
        <w:tc>
          <w:tcPr>
            <w:tcW w:w="40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2016</w:t>
            </w:r>
          </w:p>
        </w:tc>
        <w:tc>
          <w:tcPr>
            <w:tcW w:w="2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82,377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98,055</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1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Trade payables and other payables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cash balance as at June 30, 2016 contains restricted cash totaling CHF 106 thousand related to the Credit Suisse AG, Zurich (“CS AG”) Share Issuance. This cash will remain restricted while CS AG holds shares of AC Immune pursuant to the CS AG Share Issuance agreement. The table above contains assets and liabilities held at amortization cost.</w:t>
      </w:r>
    </w:p>
    <w:p>
      <w:pPr>
        <w:spacing w:after="0" w:line="326"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May 25, 2016, AC Immune entered into a subscription agreement, pursuant to which AC Immune issued 5,300,000 common shares, each with a nominal value of CHF 0.02 to CS AG at a price equal to the CHF 0.02 per share nominal value for an aggregate subscription amount of CHF 106,000 (the “CS AG Share Issuance”). CS AG will hold these shares as nominee in anticipation of the consummation of AC Immune’s IPO and CS AG has agreed not to exercise any voting rights in respect to these shares. While CS AG owns the shares, it cannot sell any of the shares without the prior consent of AC Immune and any proceeds CS AG receives above the CHF 0.02 nominal value per share, net of fees, is to be remitted to AC Immune. In connection with the CS AG Share Issuance, AC Immune gave CS AG an option to put all or part of the shares it acquired back to AC Immune at CHF 0.02 per share at any point in time, for any reason (the “Put Option”). Similarly, CS AG gave AC Immune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call whereby AC Immune could acquire all or part of the shares it sold to CS AG at CHF 0.02 per share at any point in time, for any reason (the “Call Option”). The CS AG Share Issuance agreement has a termination date of June 30,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Due to the existence of the Put Option, the CS AG Share Issuance has resulted in the creation a contingent liability. CS AG can exercise the Put Option for any reason at any point in time. If the Put Option is exercised, AC Immune will be required to acquire any common shares that CS AG has indicated it wants to sell under the Put Option, at CHF 0.02 per common share.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59"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60"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in July 2015, Genentech announced it will commence Phase 3 clinical studies for crenezumab in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2014, we recognized revenue associated with a research grant given to us by a European Institution in October of 2011 and which had a 3-year duration.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revenues on a straight line basis over the period of the grant.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220345</wp:posOffset>
            </wp:positionV>
            <wp:extent cx="1595120" cy="3003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January 1, 2013 through August 31, 2016, the registrant issued options to purchase 963,000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January 1, 2013 through August 31, 2016, a total of 2,246,250 options were exercised by the registrant’s employees and directors for aggregate consideration of CHF 326,784.</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77"/>
        <w:spacing w:after="0"/>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28" w:lineRule="exact"/>
        <w:rPr>
          <w:rFonts w:ascii="Arial" w:cs="Arial" w:eastAsia="Arial" w:hAnsi="Arial"/>
          <w:sz w:val="17"/>
          <w:szCs w:val="17"/>
          <w:color w:val="auto"/>
        </w:rPr>
      </w:pPr>
    </w:p>
    <w:p>
      <w:pPr>
        <w:ind w:left="460" w:right="560" w:firstLine="443"/>
        <w:spacing w:after="0" w:line="277" w:lineRule="auto"/>
        <w:tabs>
          <w:tab w:leader="none" w:pos="10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September 21, 2016.</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Pavey</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George Pavey</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2016 in the capacities indicated:</w:t>
      </w:r>
    </w:p>
    <w:p>
      <w:pPr>
        <w:sectPr>
          <w:pgSz w:w="11900" w:h="16838" w:orient="portrait"/>
          <w:cols w:equalWidth="0" w:num="1">
            <w:col w:w="11100"/>
          </w:cols>
          <w:pgMar w:left="240" w:top="460" w:right="5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Mathias Hothum</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Friedrich von Bohlen und Halbach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Authorized Representative in the United States</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2"/>
              </w:rPr>
              <w:t>Colleen A. DeVries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SVP of National Corporate Research, Ltd</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Andrea Pfeifer</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20"/>
              <w:spacing w:after="0"/>
              <w:rPr>
                <w:sz w:val="20"/>
                <w:szCs w:val="20"/>
                <w:color w:val="auto"/>
              </w:rPr>
            </w:pPr>
            <w:r>
              <w:rPr>
                <w:rFonts w:ascii="Arial" w:cs="Arial" w:eastAsia="Arial" w:hAnsi="Arial"/>
                <w:sz w:val="18"/>
                <w:szCs w:val="18"/>
                <w:color w:val="auto"/>
                <w:w w:val="87"/>
              </w:rPr>
              <w:t>/s/ George Pavey</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George Pavey</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21, 2016</w:t>
      </w:r>
    </w:p>
    <w:p>
      <w:pPr>
        <w:spacing w:after="0" w:line="2298" w:lineRule="exact"/>
        <w:rPr>
          <w:sz w:val="20"/>
          <w:szCs w:val="20"/>
          <w:color w:val="auto"/>
        </w:rPr>
      </w:pPr>
    </w:p>
    <w:p>
      <w:pPr>
        <w:sectPr>
          <w:pgSz w:w="11900" w:h="16838" w:orient="portrait"/>
          <w:cols w:equalWidth="0" w:num="2">
            <w:col w:w="9000" w:space="660"/>
            <w:col w:w="1440"/>
          </w:cols>
          <w:pgMar w:left="240" w:top="460" w:right="559" w:bottom="1440" w:gutter="0" w:footer="0" w:header="0"/>
          <w:type w:val="continuous"/>
        </w:sectPr>
      </w:pP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100"/>
          </w:cols>
          <w:pgMar w:left="240" w:top="460" w:right="55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Form of Articles of Association*</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Agreement*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Vischer AG, Swiss counsel of AC Immune SA, as to the validity of the common shares*</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Vischer AG, Swiss counsel of AC Immune SA, as to Swiss tax matters*</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Opinion of Davis Polk &amp; Wardwell LLP as to U.S. tax matters*</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November 6, 2006#*</w:t>
      </w:r>
    </w:p>
    <w:p>
      <w:pPr>
        <w:spacing w:after="0" w:line="117" w:lineRule="exact"/>
        <w:rPr>
          <w:sz w:val="20"/>
          <w:szCs w:val="20"/>
          <w:color w:val="auto"/>
        </w:rPr>
      </w:pPr>
    </w:p>
    <w:p>
      <w:pPr>
        <w:ind w:left="920" w:hanging="872"/>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the Research Collaboration and License Agreement between AC Immune SA Corporation and Genentech, Inc. dated May 7, 2015#*</w:t>
      </w:r>
    </w:p>
    <w:p>
      <w:pPr>
        <w:spacing w:after="0" w:line="6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June 15, 2012#*</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License and Collaboration Agreement between Piramal Imaging Ltd., Piramal Imaging SA and AC Immune SA, dated May 9, 2014#*</w:t>
      </w:r>
    </w:p>
    <w:p>
      <w:pPr>
        <w:spacing w:after="0" w:line="117" w:lineRule="exact"/>
        <w:rPr>
          <w:sz w:val="20"/>
          <w:szCs w:val="20"/>
          <w:color w:val="auto"/>
        </w:rPr>
      </w:pPr>
    </w:p>
    <w:p>
      <w:pPr>
        <w:ind w:left="920" w:hanging="872"/>
        <w:spacing w:after="0" w:line="277"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License, Development and Commercialization Agreement between Janssen Pharmaceuticals, Inc. and AC Immune SA, dated December 24, 2014#*</w:t>
      </w:r>
    </w:p>
    <w:p>
      <w:pPr>
        <w:spacing w:after="0" w:line="6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Indemnity Agreement*</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AC Immune SA 2013 Equity Incentive Plan*</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Subscription Agreement among Fidelity entities and AC Immune SA, dated October 16, 2015*</w:t>
      </w:r>
    </w:p>
    <w:p>
      <w:pPr>
        <w:spacing w:after="0" w:line="13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Subscription Agreement among Temasek entities and AC Immune SA, dated October 16, 2015*</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AG</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Vischer AG, Swiss counsel of AC Immune SA (included in Exhibit 5.1)*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Vischer AG, Swiss counsel of AC Immune SA (included in Exhibit 8.1)*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7"/>
          <w:szCs w:val="17"/>
          <w:color w:val="auto"/>
        </w:rPr>
        <w:t>Consent of Davis Polk &amp; Wardwell LLP (included in 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right="5420" w:firstLine="8"/>
        <w:spacing w:after="0" w:line="277" w:lineRule="auto"/>
        <w:tabs>
          <w:tab w:leader="none" w:pos="4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 * Previously filed.</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240" w:top="460" w:right="6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21, 2016, in Amendment No. 6 to the Registration Statement (Form F-1 No. 333-211714) and related Prospectus of AC Immune SA for the registration of its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1)"/>
      <w:numFmt w:val="decimal"/>
      <w:start w:val="1"/>
    </w:lvl>
  </w:abstractNum>
  <w:abstractNum w:abstractNumId="2">
    <w:nsid w:val="1A32234B"/>
    <w:multiLevelType w:val="hybridMultilevel"/>
    <w:lvl w:ilvl="0">
      <w:lvlJc w:val="left"/>
      <w:lvlText w:val="•"/>
      <w:numFmt w:val="bullet"/>
      <w:start w:val="1"/>
    </w:lvl>
    <w:lvl w:ilvl="1">
      <w:lvlJc w:val="left"/>
      <w:lvlText w:val="•"/>
      <w:numFmt w:val="bullet"/>
      <w:start w:val="1"/>
    </w:lvl>
  </w:abstractNum>
  <w:abstractNum w:abstractNumId="3">
    <w:nsid w:val="3B0FD379"/>
    <w:multiLevelType w:val="hybridMultilevel"/>
    <w:lvl w:ilvl="0">
      <w:lvlJc w:val="left"/>
      <w:lvlText w:val="•"/>
      <w:numFmt w:val="bullet"/>
      <w:start w:val="1"/>
    </w:lvl>
    <w:lvl w:ilvl="1">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1)"/>
      <w:numFmt w:val="lowerRoman"/>
      <w:start w:val="1"/>
    </w:lvl>
  </w:abstractNum>
  <w:abstractNum w:abstractNumId="11">
    <w:nsid w:val="71EA1109"/>
    <w:multiLevelType w:val="hybridMultilevel"/>
    <w:lvl w:ilvl="0">
      <w:lvlJc w:val="left"/>
      <w:lvlText w:val="(%1)"/>
      <w:numFmt w:val="lowerRoman"/>
      <w:start w:val="3"/>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1)"/>
      <w:numFmt w:val="decimal"/>
      <w:start w:val="1"/>
    </w:lvl>
  </w:abstractNum>
  <w:abstractNum w:abstractNumId="15">
    <w:nsid w:val="6F6DD9AC"/>
    <w:multiLevelType w:val="hybridMultilevel"/>
    <w:lvl w:ilvl="0">
      <w:lvlJc w:val="left"/>
      <w:lvlText w:val="(%1)"/>
      <w:numFmt w:val="decimal"/>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1)"/>
      <w:numFmt w:val="lowerRoman"/>
      <w:start w:val="3"/>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lvl w:ilvl="1">
      <w:lvlJc w:val="left"/>
      <w:lvlText w:val="(%2)"/>
      <w:numFmt w:val="lowerRoman"/>
      <w:start w:val="1"/>
    </w:lvl>
  </w:abstractNum>
  <w:abstractNum w:abstractNumId="40">
    <w:nsid w:val="5FB8011C"/>
    <w:multiLevelType w:val="hybridMultilevel"/>
    <w:lvl w:ilvl="0">
      <w:lvlJc w:val="left"/>
      <w:lvlText w:val="(%1)"/>
      <w:numFmt w:val="decimal"/>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1)"/>
      <w:numFmt w:val="decimal"/>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1)"/>
      <w:numFmt w:val="lowerRoman"/>
      <w:start w:val="1"/>
    </w:lvl>
  </w:abstractNum>
  <w:abstractNum w:abstractNumId="47">
    <w:nsid w:val="73A1821B"/>
    <w:multiLevelType w:val="hybridMultilevel"/>
    <w:lvl w:ilvl="0">
      <w:lvlJc w:val="left"/>
      <w:lvlText w:val="(%1)"/>
      <w:numFmt w:val="decimal"/>
      <w:start w:val="1"/>
    </w:lvl>
  </w:abstractNum>
  <w:abstractNum w:abstractNumId="48">
    <w:nsid w:val="7DE67713"/>
    <w:multiLevelType w:val="hybridMultilevel"/>
    <w:lvl w:ilvl="0">
      <w:lvlJc w:val="left"/>
      <w:lvlText w:val="(%1)"/>
      <w:numFmt w:val="decimal"/>
      <w:start w:val="1"/>
    </w:lvl>
  </w:abstractNum>
  <w:abstractNum w:abstractNumId="49">
    <w:nsid w:val="555C55B5"/>
    <w:multiLevelType w:val="hybridMultilevel"/>
    <w:lvl w:ilvl="0">
      <w:lvlJc w:val="left"/>
      <w:lvlText w:val="(%1)"/>
      <w:numFmt w:val="lowerRoman"/>
      <w:start w:val="1"/>
    </w:lvl>
  </w:abstractNum>
  <w:abstractNum w:abstractNumId="50">
    <w:nsid w:val="3FA62ACA"/>
    <w:multiLevelType w:val="hybridMultilevel"/>
    <w:lvl w:ilvl="0">
      <w:lvlJc w:val="left"/>
      <w:lvlText w:val="(%1)"/>
      <w:numFmt w:val="decimal"/>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
      <w:numFmt w:val="bullet"/>
      <w:start w:val="1"/>
    </w:lvl>
    <w:lvl w:ilvl="1">
      <w:lvlJc w:val="left"/>
      <w:lvlText w:val="•"/>
      <w:numFmt w:val="bullet"/>
      <w:start w:val="1"/>
    </w:lvl>
  </w:abstractNum>
  <w:abstractNum w:abstractNumId="55">
    <w:nsid w:val="53299938"/>
    <w:multiLevelType w:val="hybridMultilevel"/>
    <w:lvl w:ilvl="0">
      <w:lvlJc w:val="left"/>
      <w:lvlText w:val="•"/>
      <w:numFmt w:val="bullet"/>
      <w:start w:val="1"/>
    </w:lvl>
    <w:lvl w:ilvl="1">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lvl w:ilvl="1">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
      <w:numFmt w:val="bullet"/>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lvl w:ilvl="1">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
      <w:numFmt w:val="bullet"/>
      <w:start w:val="1"/>
    </w:lvl>
    <w:lvl w:ilvl="1">
      <w:lvlJc w:val="left"/>
      <w:lvlText w:val="•"/>
      <w:numFmt w:val="bullet"/>
      <w:start w:val="1"/>
    </w:lvl>
  </w:abstractNum>
  <w:abstractNum w:abstractNumId="67">
    <w:nsid w:val="415E286C"/>
    <w:multiLevelType w:val="hybridMultilevel"/>
    <w:lvl w:ilvl="0">
      <w:lvlJc w:val="left"/>
      <w:lvlText w:val="(%1)"/>
      <w:numFmt w:val="decimal"/>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
      <w:numFmt w:val="bullet"/>
      <w:start w:val="1"/>
    </w:lvl>
  </w:abstractNum>
  <w:abstractNum w:abstractNumId="74">
    <w:nsid w:val="4BD8591A"/>
    <w:multiLevelType w:val="hybridMultilevel"/>
    <w:lvl w:ilvl="0">
      <w:lvlJc w:val="left"/>
      <w:lvlText w:val="•"/>
      <w:numFmt w:val="bullet"/>
      <w:start w:val="1"/>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
      <w:numFmt w:val="bullet"/>
      <w:start w:val="1"/>
    </w:lvl>
  </w:abstractNum>
  <w:abstractNum w:abstractNumId="78">
    <w:nsid w:val="6C80EC70"/>
    <w:multiLevelType w:val="hybridMultilevel"/>
    <w:lvl w:ilvl="0">
      <w:lvlJc w:val="left"/>
      <w:lvlText w:val="•"/>
      <w:numFmt w:val="bullet"/>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amp;"/>
      <w:numFmt w:val="bullet"/>
      <w:start w:val="1"/>
    </w:lvl>
  </w:abstractNum>
  <w:abstractNum w:abstractNumId="81">
    <w:nsid w:val="2C27173B"/>
    <w:multiLevelType w:val="hybridMultilevel"/>
    <w:lvl w:ilvl="0">
      <w:lvlJc w:val="left"/>
      <w:lvlText w:val="•"/>
      <w:numFmt w:val="bullet"/>
      <w:start w:val="1"/>
    </w:lvl>
  </w:abstractNum>
  <w:abstractNum w:abstractNumId="82">
    <w:nsid w:val="4C9B0904"/>
    <w:multiLevelType w:val="hybridMultilevel"/>
    <w:lvl w:ilvl="0">
      <w:lvlJc w:val="left"/>
      <w:lvlText w:val="•"/>
      <w:numFmt w:val="bullet"/>
      <w:start w:val="1"/>
    </w:lvl>
  </w:abstractNum>
  <w:abstractNum w:abstractNumId="83">
    <w:nsid w:val="6AA7B75C"/>
    <w:multiLevelType w:val="hybridMultilevel"/>
    <w:lvl w:ilvl="0">
      <w:lvlJc w:val="left"/>
      <w:lvlText w:val="•"/>
      <w:numFmt w:val="bullet"/>
      <w:start w:val="1"/>
    </w:lvl>
  </w:abstractNum>
  <w:abstractNum w:abstractNumId="84">
    <w:nsid w:val="1DF029D3"/>
    <w:multiLevelType w:val="hybridMultilevel"/>
    <w:lvl w:ilvl="0">
      <w:lvlJc w:val="left"/>
      <w:lvlText w:val="•"/>
      <w:numFmt w:val="bullet"/>
      <w:start w:val="1"/>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
      <w:numFmt w:val="bullet"/>
      <w:start w:val="1"/>
    </w:lvl>
  </w:abstractNum>
  <w:abstractNum w:abstractNumId="87">
    <w:nsid w:val="3DB012B3"/>
    <w:multiLevelType w:val="hybridMultilevel"/>
    <w:lvl w:ilvl="0">
      <w:lvlJc w:val="left"/>
      <w:lvlText w:val="•"/>
      <w:numFmt w:val="bullet"/>
      <w:start w:val="1"/>
    </w:lvl>
  </w:abstractNum>
  <w:abstractNum w:abstractNumId="88">
    <w:nsid w:val="2708C9AF"/>
    <w:multiLevelType w:val="hybridMultilevel"/>
    <w:lvl w:ilvl="0">
      <w:lvlJc w:val="left"/>
      <w:lvlText w:val="•"/>
      <w:numFmt w:val="bullet"/>
      <w:start w:val="1"/>
    </w:lvl>
  </w:abstractNum>
  <w:abstractNum w:abstractNumId="89">
    <w:nsid w:val="5B25ACE2"/>
    <w:multiLevelType w:val="hybridMultilevel"/>
    <w:lvl w:ilvl="0">
      <w:lvlJc w:val="left"/>
      <w:lvlText w:val="•"/>
      <w:numFmt w:val="bullet"/>
      <w:start w:val="1"/>
    </w:lvl>
  </w:abstractNum>
  <w:abstractNum w:abstractNumId="90">
    <w:nsid w:val="175DFCF0"/>
    <w:multiLevelType w:val="hybridMultilevel"/>
    <w:lvl w:ilvl="0">
      <w:lvlJc w:val="left"/>
      <w:lvlText w:val="•"/>
      <w:numFmt w:val="bullet"/>
      <w:start w:val="1"/>
    </w:lvl>
  </w:abstractNum>
  <w:abstractNum w:abstractNumId="91">
    <w:nsid w:val="4F97E3E4"/>
    <w:multiLevelType w:val="hybridMultilevel"/>
    <w:lvl w:ilvl="0">
      <w:lvlJc w:val="left"/>
      <w:lvlText w:val="•"/>
      <w:numFmt w:val="bullet"/>
      <w:start w:val="1"/>
    </w:lvl>
  </w:abstractNum>
  <w:abstractNum w:abstractNumId="92">
    <w:nsid w:val="53B0A9E"/>
    <w:multiLevelType w:val="hybridMultilevel"/>
    <w:lvl w:ilvl="0">
      <w:lvlJc w:val="left"/>
      <w:lvlText w:val="*"/>
      <w:numFmt w:val="bullet"/>
      <w:start w:val="1"/>
    </w:lvl>
  </w:abstractNum>
  <w:abstractNum w:abstractNumId="93">
    <w:nsid w:val="34FD6B4F"/>
    <w:multiLevelType w:val="hybridMultilevel"/>
    <w:lvl w:ilvl="0">
      <w:lvlJc w:val="left"/>
      <w:lvlText w:val="(%1)"/>
      <w:numFmt w:val="decimal"/>
      <w:start w:val="1"/>
    </w:lvl>
  </w:abstractNum>
  <w:abstractNum w:abstractNumId="94">
    <w:nsid w:val="5915FF32"/>
    <w:multiLevelType w:val="hybridMultilevel"/>
    <w:lvl w:ilvl="0">
      <w:lvlJc w:val="left"/>
      <w:lvlText w:val="(%1)"/>
      <w:numFmt w:val="decimal"/>
      <w:start w:val="1"/>
    </w:lvl>
  </w:abstractNum>
  <w:abstractNum w:abstractNumId="95">
    <w:nsid w:val="56438D15"/>
    <w:multiLevelType w:val="hybridMultilevel"/>
    <w:lvl w:ilvl="0">
      <w:lvlJc w:val="left"/>
      <w:lvlText w:val="•"/>
      <w:numFmt w:val="bullet"/>
      <w:start w:val="1"/>
    </w:lvl>
  </w:abstractNum>
  <w:abstractNum w:abstractNumId="96">
    <w:nsid w:val="519E3149"/>
    <w:multiLevelType w:val="hybridMultilevel"/>
    <w:lvl w:ilvl="0">
      <w:lvlJc w:val="left"/>
      <w:lvlText w:val="•"/>
      <w:numFmt w:val="bullet"/>
      <w:start w:val="1"/>
    </w:lvl>
  </w:abstractNum>
  <w:abstractNum w:abstractNumId="97">
    <w:nsid w:val="2C6E4AFD"/>
    <w:multiLevelType w:val="hybridMultilevel"/>
    <w:lvl w:ilvl="0">
      <w:lvlJc w:val="left"/>
      <w:lvlText w:val="•"/>
      <w:numFmt w:val="bullet"/>
      <w:start w:val="1"/>
    </w:lvl>
  </w:abstractNum>
  <w:abstractNum w:abstractNumId="98">
    <w:nsid w:val="17A1B582"/>
    <w:multiLevelType w:val="hybridMultilevel"/>
    <w:lvl w:ilvl="0">
      <w:lvlJc w:val="left"/>
      <w:lvlText w:val="•"/>
      <w:numFmt w:val="bullet"/>
      <w:start w:val="1"/>
    </w:lvl>
  </w:abstractNum>
  <w:abstractNum w:abstractNumId="99">
    <w:nsid w:val="4DF72E4E"/>
    <w:multiLevelType w:val="hybridMultilevel"/>
    <w:lvl w:ilvl="0">
      <w:lvlJc w:val="left"/>
      <w:lvlText w:val="•"/>
      <w:numFmt w:val="bullet"/>
      <w:start w:val="1"/>
    </w:lvl>
  </w:abstractNum>
  <w:abstractNum w:abstractNumId="100">
    <w:nsid w:val="5046B5A9"/>
    <w:multiLevelType w:val="hybridMultilevel"/>
    <w:lvl w:ilvl="0">
      <w:lvlJc w:val="left"/>
      <w:lvlText w:val="•"/>
      <w:numFmt w:val="bullet"/>
      <w:start w:val="1"/>
    </w:lvl>
  </w:abstractNum>
  <w:abstractNum w:abstractNumId="101">
    <w:nsid w:val="5D888A08"/>
    <w:multiLevelType w:val="hybridMultilevel"/>
    <w:lvl w:ilvl="0">
      <w:lvlJc w:val="left"/>
      <w:lvlText w:val="•"/>
      <w:numFmt w:val="bullet"/>
      <w:start w:val="1"/>
    </w:lvl>
  </w:abstractNum>
  <w:abstractNum w:abstractNumId="102">
    <w:nsid w:val="2A082C70"/>
    <w:multiLevelType w:val="hybridMultilevel"/>
    <w:lvl w:ilvl="0">
      <w:lvlJc w:val="left"/>
      <w:lvlText w:val="•"/>
      <w:numFmt w:val="bullet"/>
      <w:start w:val="1"/>
    </w:lvl>
  </w:abstractNum>
  <w:abstractNum w:abstractNumId="103">
    <w:nsid w:val="5EC6AFD4"/>
    <w:multiLevelType w:val="hybridMultilevel"/>
    <w:lvl w:ilvl="0">
      <w:lvlJc w:val="left"/>
      <w:lvlText w:val="•"/>
      <w:numFmt w:val="bullet"/>
      <w:start w:val="1"/>
    </w:lvl>
  </w:abstractNum>
  <w:abstractNum w:abstractNumId="104">
    <w:nsid w:val="19E21BB2"/>
    <w:multiLevelType w:val="hybridMultilevel"/>
    <w:lvl w:ilvl="0">
      <w:lvlJc w:val="left"/>
      <w:lvlText w:val="•"/>
      <w:numFmt w:val="bullet"/>
      <w:start w:val="1"/>
    </w:lvl>
  </w:abstractNum>
  <w:abstractNum w:abstractNumId="105">
    <w:nsid w:val="75E0858A"/>
    <w:multiLevelType w:val="hybridMultilevel"/>
    <w:lvl w:ilvl="0">
      <w:lvlJc w:val="left"/>
      <w:lvlText w:val="•"/>
      <w:numFmt w:val="bullet"/>
      <w:start w:val="1"/>
    </w:lvl>
  </w:abstractNum>
  <w:abstractNum w:abstractNumId="106">
    <w:nsid w:val="57A61A29"/>
    <w:multiLevelType w:val="hybridMultilevel"/>
    <w:lvl w:ilvl="0">
      <w:lvlJc w:val="left"/>
      <w:lvlText w:val="•"/>
      <w:numFmt w:val="bullet"/>
      <w:start w:val="1"/>
    </w:lvl>
  </w:abstractNum>
  <w:abstractNum w:abstractNumId="107">
    <w:nsid w:val="5399C654"/>
    <w:multiLevelType w:val="hybridMultilevel"/>
    <w:lvl w:ilvl="0">
      <w:lvlJc w:val="left"/>
      <w:lvlText w:val="•"/>
      <w:numFmt w:val="bullet"/>
      <w:start w:val="1"/>
    </w:lvl>
  </w:abstractNum>
  <w:abstractNum w:abstractNumId="108">
    <w:nsid w:val="20EE1348"/>
    <w:multiLevelType w:val="hybridMultilevel"/>
    <w:lvl w:ilvl="0">
      <w:lvlJc w:val="left"/>
      <w:lvlText w:val="•"/>
      <w:numFmt w:val="bullet"/>
      <w:start w:val="1"/>
    </w:lvl>
  </w:abstractNum>
  <w:abstractNum w:abstractNumId="109">
    <w:nsid w:val="4427069A"/>
    <w:multiLevelType w:val="hybridMultilevel"/>
    <w:lvl w:ilvl="0">
      <w:lvlJc w:val="left"/>
      <w:lvlText w:val="•"/>
      <w:numFmt w:val="bullet"/>
      <w:start w:val="1"/>
    </w:lvl>
  </w:abstractNum>
  <w:abstractNum w:abstractNumId="110">
    <w:nsid w:val="B37E80A"/>
    <w:multiLevelType w:val="hybridMultilevel"/>
    <w:lvl w:ilvl="0">
      <w:lvlJc w:val="left"/>
      <w:lvlText w:val="•"/>
      <w:numFmt w:val="bullet"/>
      <w:start w:val="1"/>
    </w:lvl>
  </w:abstractNum>
  <w:abstractNum w:abstractNumId="111">
    <w:nsid w:val="2157F6BC"/>
    <w:multiLevelType w:val="hybridMultilevel"/>
    <w:lvl w:ilvl="0">
      <w:lvlJc w:val="left"/>
      <w:lvlText w:val="•"/>
      <w:numFmt w:val="bullet"/>
      <w:start w:val="1"/>
    </w:lvl>
  </w:abstractNum>
  <w:abstractNum w:abstractNumId="112">
    <w:nsid w:val="704E1DD5"/>
    <w:multiLevelType w:val="hybridMultilevel"/>
    <w:lvl w:ilvl="0">
      <w:lvlJc w:val="left"/>
      <w:lvlText w:val="•"/>
      <w:numFmt w:val="bullet"/>
      <w:start w:val="1"/>
    </w:lvl>
  </w:abstractNum>
  <w:abstractNum w:abstractNumId="113">
    <w:nsid w:val="57D2F10E"/>
    <w:multiLevelType w:val="hybridMultilevel"/>
    <w:lvl w:ilvl="0">
      <w:lvlJc w:val="left"/>
      <w:lvlText w:val="•"/>
      <w:numFmt w:val="bullet"/>
      <w:start w:val="1"/>
    </w:lvl>
  </w:abstractNum>
  <w:abstractNum w:abstractNumId="114">
    <w:nsid w:val="BFFAE18"/>
    <w:multiLevelType w:val="hybridMultilevel"/>
    <w:lvl w:ilvl="0">
      <w:lvlJc w:val="left"/>
      <w:lvlText w:val="(%1)"/>
      <w:numFmt w:val="lowerRoman"/>
      <w:start w:val="4"/>
    </w:lvl>
  </w:abstractNum>
  <w:abstractNum w:abstractNumId="115">
    <w:nsid w:val="E3E47A8"/>
    <w:multiLevelType w:val="hybridMultilevel"/>
    <w:lvl w:ilvl="0">
      <w:lvlJc w:val="left"/>
      <w:lvlText w:val="•"/>
      <w:numFmt w:val="bullet"/>
      <w:start w:val="1"/>
    </w:lvl>
  </w:abstractNum>
  <w:abstractNum w:abstractNumId="116">
    <w:nsid w:val="2E48F044"/>
    <w:multiLevelType w:val="hybridMultilevel"/>
    <w:lvl w:ilvl="0">
      <w:lvlJc w:val="left"/>
      <w:lvlText w:val="•"/>
      <w:numFmt w:val="bullet"/>
      <w:start w:val="1"/>
    </w:lvl>
  </w:abstractNum>
  <w:abstractNum w:abstractNumId="117">
    <w:nsid w:val="49D0FEAC"/>
    <w:multiLevelType w:val="hybridMultilevel"/>
    <w:lvl w:ilvl="0">
      <w:lvlJc w:val="left"/>
      <w:lvlText w:val="(%1)"/>
      <w:numFmt w:val="lowerRoman"/>
      <w:start w:val="2"/>
    </w:lvl>
  </w:abstractNum>
  <w:abstractNum w:abstractNumId="118">
    <w:nsid w:val="4BEE5A5B"/>
    <w:multiLevelType w:val="hybridMultilevel"/>
    <w:lvl w:ilvl="0">
      <w:lvlJc w:val="left"/>
      <w:lvlText w:val="•"/>
      <w:numFmt w:val="bullet"/>
      <w:start w:val="1"/>
    </w:lvl>
    <w:lvl w:ilvl="1">
      <w:lvlJc w:val="left"/>
      <w:lvlText w:val="•"/>
      <w:numFmt w:val="bullet"/>
      <w:start w:val="1"/>
    </w:lvl>
  </w:abstractNum>
  <w:abstractNum w:abstractNumId="119">
    <w:nsid w:val="5551B9F3"/>
    <w:multiLevelType w:val="hybridMultilevel"/>
    <w:lvl w:ilvl="0">
      <w:lvlJc w:val="left"/>
      <w:lvlText w:val="•"/>
      <w:numFmt w:val="bullet"/>
      <w:start w:val="1"/>
    </w:lvl>
    <w:lvl w:ilvl="1">
      <w:lvlJc w:val="left"/>
      <w:lvlText w:val="•"/>
      <w:numFmt w:val="bullet"/>
      <w:start w:val="1"/>
    </w:lvl>
  </w:abstractNum>
  <w:abstractNum w:abstractNumId="120">
    <w:nsid w:val="24F6AB8E"/>
    <w:multiLevelType w:val="hybridMultilevel"/>
    <w:lvl w:ilvl="0">
      <w:lvlJc w:val="left"/>
      <w:lvlText w:val="•"/>
      <w:numFmt w:val="bullet"/>
      <w:start w:val="1"/>
    </w:lvl>
  </w:abstractNum>
  <w:abstractNum w:abstractNumId="121">
    <w:nsid w:val="634C574C"/>
    <w:multiLevelType w:val="hybridMultilevel"/>
    <w:lvl w:ilvl="0">
      <w:lvlJc w:val="left"/>
      <w:lvlText w:val="•"/>
      <w:numFmt w:val="bullet"/>
      <w:start w:val="1"/>
    </w:lvl>
  </w:abstractNum>
  <w:abstractNum w:abstractNumId="122">
    <w:nsid w:val="24E99DD7"/>
    <w:multiLevelType w:val="hybridMultilevel"/>
    <w:lvl w:ilvl="0">
      <w:lvlJc w:val="left"/>
      <w:lvlText w:val="•"/>
      <w:numFmt w:val="bullet"/>
      <w:start w:val="1"/>
    </w:lvl>
  </w:abstractNum>
  <w:abstractNum w:abstractNumId="123">
    <w:nsid w:val="2A31B62D"/>
    <w:multiLevelType w:val="hybridMultilevel"/>
    <w:lvl w:ilvl="0">
      <w:lvlJc w:val="left"/>
      <w:lvlText w:val="(%1)"/>
      <w:numFmt w:val="lowerRoman"/>
      <w:start w:val="1"/>
    </w:lvl>
  </w:abstractNum>
  <w:abstractNum w:abstractNumId="124">
    <w:nsid w:val="1849C29B"/>
    <w:multiLevelType w:val="hybridMultilevel"/>
    <w:lvl w:ilvl="0">
      <w:lvlJc w:val="left"/>
      <w:lvlText w:val="•"/>
      <w:numFmt w:val="bullet"/>
      <w:start w:val="1"/>
    </w:lvl>
  </w:abstractNum>
  <w:abstractNum w:abstractNumId="125">
    <w:nsid w:val="7DFF9D09"/>
    <w:multiLevelType w:val="hybridMultilevel"/>
    <w:lvl w:ilvl="0">
      <w:lvlJc w:val="left"/>
      <w:lvlText w:val="•"/>
      <w:numFmt w:val="bullet"/>
      <w:start w:val="1"/>
    </w:lvl>
  </w:abstractNum>
  <w:abstractNum w:abstractNumId="126">
    <w:nsid w:val="754342"/>
    <w:multiLevelType w:val="hybridMultilevel"/>
    <w:lvl w:ilvl="0">
      <w:lvlJc w:val="left"/>
      <w:lvlText w:val="%1."/>
      <w:numFmt w:val="decimal"/>
      <w:start w:val="1"/>
    </w:lvl>
  </w:abstractNum>
  <w:abstractNum w:abstractNumId="127">
    <w:nsid w:val="69E7F3E5"/>
    <w:multiLevelType w:val="hybridMultilevel"/>
    <w:lvl w:ilvl="0">
      <w:lvlJc w:val="left"/>
      <w:lvlText w:val="%1."/>
      <w:numFmt w:val="decimal"/>
      <w:start w:val="2"/>
    </w:lvl>
  </w:abstractNum>
  <w:abstractNum w:abstractNumId="128">
    <w:nsid w:val="2A6DE806"/>
    <w:multiLevelType w:val="hybridMultilevel"/>
    <w:lvl w:ilvl="0">
      <w:lvlJc w:val="left"/>
      <w:lvlText w:val="(%1)"/>
      <w:numFmt w:val="lowerRoman"/>
      <w:start w:val="1"/>
    </w:lvl>
  </w:abstractNum>
  <w:abstractNum w:abstractNumId="129">
    <w:nsid w:val="1816F8C4"/>
    <w:multiLevelType w:val="hybridMultilevel"/>
    <w:lvl w:ilvl="0">
      <w:lvlJc w:val="left"/>
      <w:lvlText w:val="%1."/>
      <w:numFmt w:val="decimal"/>
      <w:start w:val="4"/>
    </w:lvl>
  </w:abstractNum>
  <w:abstractNum w:abstractNumId="130">
    <w:nsid w:val="37DF2233"/>
    <w:multiLevelType w:val="hybridMultilevel"/>
    <w:lvl w:ilvl="0">
      <w:lvlJc w:val="left"/>
      <w:lvlText w:val="%1."/>
      <w:numFmt w:val="decimal"/>
      <w:start w:val="5"/>
    </w:lvl>
  </w:abstractNum>
  <w:abstractNum w:abstractNumId="131">
    <w:nsid w:val="7AB49DAF"/>
    <w:multiLevelType w:val="hybridMultilevel"/>
    <w:lvl w:ilvl="0">
      <w:lvlJc w:val="left"/>
      <w:lvlText w:val="%1."/>
      <w:numFmt w:val="decimal"/>
      <w:start w:val="6"/>
    </w:lvl>
  </w:abstractNum>
  <w:abstractNum w:abstractNumId="132">
    <w:nsid w:val="759F82CD"/>
    <w:multiLevelType w:val="hybridMultilevel"/>
    <w:lvl w:ilvl="0">
      <w:lvlJc w:val="left"/>
      <w:lvlText w:val="%1."/>
      <w:numFmt w:val="decimal"/>
      <w:start w:val="7"/>
    </w:lvl>
  </w:abstractNum>
  <w:abstractNum w:abstractNumId="133">
    <w:nsid w:val="61E74EA3"/>
    <w:multiLevelType w:val="hybridMultilevel"/>
    <w:lvl w:ilvl="0">
      <w:lvlJc w:val="left"/>
      <w:lvlText w:val="%1."/>
      <w:numFmt w:val="decimal"/>
      <w:start w:val="1"/>
    </w:lvl>
  </w:abstractNum>
  <w:abstractNum w:abstractNumId="134">
    <w:nsid w:val="597B4D84"/>
    <w:multiLevelType w:val="hybridMultilevel"/>
    <w:lvl w:ilvl="0">
      <w:lvlJc w:val="left"/>
      <w:lvlText w:val="%1."/>
      <w:numFmt w:val="decimal"/>
      <w:start w:val="2"/>
    </w:lvl>
  </w:abstractNum>
  <w:abstractNum w:abstractNumId="135">
    <w:nsid w:val="F819E7F"/>
    <w:multiLevelType w:val="hybridMultilevel"/>
    <w:lvl w:ilvl="0">
      <w:lvlJc w:val="left"/>
      <w:lvlText w:val="(%1)"/>
      <w:numFmt w:val="lowerRoman"/>
      <w:start w:val="1"/>
    </w:lvl>
  </w:abstractNum>
  <w:abstractNum w:abstractNumId="136">
    <w:nsid w:val="57C7D42D"/>
    <w:multiLevelType w:val="hybridMultilevel"/>
    <w:lvl w:ilvl="0">
      <w:lvlJc w:val="left"/>
      <w:lvlText w:val="(%1)"/>
      <w:numFmt w:val="lowerRoman"/>
      <w:start w:val="3"/>
    </w:lvl>
  </w:abstractNum>
  <w:abstractNum w:abstractNumId="137">
    <w:nsid w:val="312167AD"/>
    <w:multiLevelType w:val="hybridMultilevel"/>
    <w:lvl w:ilvl="0">
      <w:lvlJc w:val="left"/>
      <w:lvlText w:val="%1."/>
      <w:numFmt w:val="decimal"/>
      <w:start w:val="3"/>
    </w:lvl>
  </w:abstractNum>
  <w:abstractNum w:abstractNumId="138">
    <w:nsid w:val="631B64D4"/>
    <w:multiLevelType w:val="hybridMultilevel"/>
    <w:lvl w:ilvl="0">
      <w:lvlJc w:val="left"/>
      <w:lvlText w:val="•"/>
      <w:numFmt w:val="bullet"/>
      <w:start w:val="1"/>
    </w:lvl>
  </w:abstractNum>
  <w:abstractNum w:abstractNumId="139">
    <w:nsid w:val="78B5E776"/>
    <w:multiLevelType w:val="hybridMultilevel"/>
    <w:lvl w:ilvl="0">
      <w:lvlJc w:val="left"/>
      <w:lvlText w:val="%1."/>
      <w:numFmt w:val="decimal"/>
      <w:start w:val="6"/>
    </w:lvl>
  </w:abstractNum>
  <w:abstractNum w:abstractNumId="140">
    <w:nsid w:val="75486E47"/>
    <w:multiLevelType w:val="hybridMultilevel"/>
    <w:lvl w:ilvl="0">
      <w:lvlJc w:val="left"/>
      <w:lvlText w:val="%1."/>
      <w:numFmt w:val="decimal"/>
      <w:start w:val="9"/>
    </w:lvl>
  </w:abstractNum>
  <w:abstractNum w:abstractNumId="141">
    <w:nsid w:val="6E534CDE"/>
    <w:multiLevelType w:val="hybridMultilevel"/>
    <w:lvl w:ilvl="0">
      <w:lvlJc w:val="left"/>
      <w:lvlText w:val="%1."/>
      <w:numFmt w:val="decimal"/>
      <w:start w:val="12"/>
    </w:lvl>
  </w:abstractNum>
  <w:abstractNum w:abstractNumId="142">
    <w:nsid w:val="1A0DDE32"/>
    <w:multiLevelType w:val="hybridMultilevel"/>
    <w:lvl w:ilvl="0">
      <w:lvlJc w:val="left"/>
      <w:lvlText w:val="%1."/>
      <w:numFmt w:val="decimal"/>
      <w:start w:val="13"/>
    </w:lvl>
  </w:abstractNum>
  <w:abstractNum w:abstractNumId="143">
    <w:nsid w:val="65968C1C"/>
    <w:multiLevelType w:val="hybridMultilevel"/>
    <w:lvl w:ilvl="0">
      <w:lvlJc w:val="left"/>
      <w:lvlText w:val="%1."/>
      <w:numFmt w:val="decimal"/>
      <w:start w:val="15"/>
    </w:lvl>
  </w:abstractNum>
  <w:abstractNum w:abstractNumId="144">
    <w:nsid w:val="46263DEC"/>
    <w:multiLevelType w:val="hybridMultilevel"/>
    <w:lvl w:ilvl="0">
      <w:lvlJc w:val="left"/>
      <w:lvlText w:val="%1."/>
      <w:numFmt w:val="decimal"/>
      <w:start w:val="16"/>
    </w:lvl>
  </w:abstractNum>
  <w:abstractNum w:abstractNumId="145">
    <w:nsid w:val="260D8C4A"/>
    <w:multiLevelType w:val="hybridMultilevel"/>
    <w:lvl w:ilvl="0">
      <w:lvlJc w:val="left"/>
      <w:lvlText w:val="%1."/>
      <w:numFmt w:val="decimal"/>
      <w:start w:val="19"/>
    </w:lvl>
  </w:abstractNum>
  <w:abstractNum w:abstractNumId="146">
    <w:nsid w:val="73D4D3C4"/>
    <w:multiLevelType w:val="hybridMultilevel"/>
    <w:lvl w:ilvl="0">
      <w:lvlJc w:val="left"/>
      <w:lvlText w:val="%1."/>
      <w:numFmt w:val="decimal"/>
      <w:start w:val="20"/>
    </w:lvl>
  </w:abstractNum>
  <w:abstractNum w:abstractNumId="147">
    <w:nsid w:val="746F2E30"/>
    <w:multiLevelType w:val="hybridMultilevel"/>
    <w:lvl w:ilvl="0">
      <w:lvlJc w:val="left"/>
      <w:lvlText w:val="%1."/>
      <w:numFmt w:val="decimal"/>
      <w:start w:val="21"/>
    </w:lvl>
  </w:abstractNum>
  <w:abstractNum w:abstractNumId="148">
    <w:nsid w:val="6FDE8AF6"/>
    <w:multiLevelType w:val="hybridMultilevel"/>
    <w:lvl w:ilvl="0">
      <w:lvlJc w:val="left"/>
      <w:lvlText w:val="%1."/>
      <w:numFmt w:val="decimal"/>
      <w:start w:val="22"/>
    </w:lvl>
  </w:abstractNum>
  <w:abstractNum w:abstractNumId="149">
    <w:nsid w:val="3FC32E20"/>
    <w:multiLevelType w:val="hybridMultilevel"/>
    <w:lvl w:ilvl="0">
      <w:lvlJc w:val="left"/>
      <w:lvlText w:val="%1."/>
      <w:numFmt w:val="decimal"/>
      <w:start w:val="23"/>
    </w:lvl>
  </w:abstractNum>
  <w:abstractNum w:abstractNumId="150">
    <w:nsid w:val="49C0E823"/>
    <w:multiLevelType w:val="hybridMultilevel"/>
    <w:lvl w:ilvl="0">
      <w:lvlJc w:val="left"/>
      <w:lvlText w:val="%1."/>
      <w:numFmt w:val="decimal"/>
      <w:start w:val="1"/>
    </w:lvl>
  </w:abstractNum>
  <w:abstractNum w:abstractNumId="151">
    <w:nsid w:val="14D53685"/>
    <w:multiLevelType w:val="hybridMultilevel"/>
    <w:lvl w:ilvl="0">
      <w:lvlJc w:val="left"/>
      <w:lvlText w:val="%1."/>
      <w:numFmt w:val="decimal"/>
      <w:start w:val="6"/>
    </w:lvl>
  </w:abstractNum>
  <w:abstractNum w:abstractNumId="152">
    <w:nsid w:val="230F856C"/>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3">
    <w:nsid w:val="6EAA85FB"/>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4">
    <w:nsid w:val="3F06E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2019-12-09T02:15:51Z</dcterms:created>
  <dcterms:modified xsi:type="dcterms:W3CDTF">2019-12-09T02:15:51Z</dcterms:modified>
</cp:coreProperties>
</file>