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17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June Carl Howard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7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LAUSANNE PA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7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20"/>
                <w:szCs w:val="20"/>
                <w:color w:val="0000FF"/>
                <w:w w:val="91"/>
              </w:rPr>
              <w:t>50,988</w:t>
            </w:r>
            <w:r>
              <w:rPr>
                <w:rFonts w:ascii="Times New Roman" w:cs="Times New Roman" w:eastAsia="Times New Roman" w:hAnsi="Times New Roman"/>
                <w:sz w:val="25"/>
                <w:szCs w:val="25"/>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11/22/2030</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31,451</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5.04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06/24/2031</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12,865</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7.23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06/23/2032</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23,204</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3.15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06/23/2033</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37,168</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2.15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06/30/2034</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14,094</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4.23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06/17/2035</w:t>
            </w:r>
          </w:p>
        </w:tc>
        <w:tc>
          <w:tcPr>
            <w:tcW w:w="1620" w:type="dxa"/>
            <w:vAlign w:val="bottom"/>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43,299</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1.84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1. Includes 49,988 common shares underlying outstanding restricted share units.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2. The share option is fully vested.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8000"/>
              </w:rPr>
              <w:t>3. The share option will fully vest on June 17, 2026.</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Matthias Maurer,</w:t>
            </w:r>
          </w:p>
        </w:tc>
        <w:tc>
          <w:tcPr>
            <w:tcW w:w="36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Carl</w:t>
            </w: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June</w:t>
            </w:r>
          </w:p>
        </w:tc>
        <w:tc>
          <w:tcPr>
            <w:tcW w:w="640" w:type="dxa"/>
            <w:vAlign w:val="bottom"/>
            <w:tcBorders>
              <w:top w:val="single" w:sz="8" w:color="auto"/>
            </w:tcBorders>
            <w:gridSpan w:val="2"/>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75" w:gutter="0" w:footer="0" w:header="0"/>
          <w:type w:val="continuous"/>
        </w:sectPr>
      </w:pPr>
    </w:p>
    <w:bookmarkStart w:id="1" w:name="page2"/>
    <w:bookmarkEnd w:id="1"/>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Carl June</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Carl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-132715</wp:posOffset>
            </wp:positionV>
            <wp:extent cx="6423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6422"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2026-03-18T11:21:01Z</dcterms:created>
  <dcterms:modified xsi:type="dcterms:W3CDTF">2026-03-18T11:21:01Z</dcterms:modified>
</cp:coreProperties>
</file>