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8, 2017</w:t>
      </w:r>
    </w:p>
    <w:p>
      <w:pPr>
        <w:spacing w:after="0" w:line="27"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88"/>
        </w:trPr>
        <w:tc>
          <w:tcPr>
            <w:tcW w:w="29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840" w:type="dxa"/>
            <w:vAlign w:val="bottom"/>
            <w:tcBorders>
              <w:top w:val="single" w:sz="8" w:color="auto"/>
            </w:tcBorders>
            <w:gridSpan w:val="2"/>
          </w:tcPr>
          <w:p>
            <w:pPr>
              <w:jc w:val="center"/>
              <w:ind w:right="4496"/>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2980" w:type="dxa"/>
            <w:vAlign w:val="bottom"/>
          </w:tcPr>
          <w:p>
            <w:pPr>
              <w:spacing w:after="0"/>
              <w:rPr>
                <w:sz w:val="24"/>
                <w:szCs w:val="24"/>
                <w:color w:val="auto"/>
              </w:rPr>
            </w:pPr>
          </w:p>
        </w:tc>
        <w:tc>
          <w:tcPr>
            <w:tcW w:w="8440" w:type="dxa"/>
            <w:vAlign w:val="bottom"/>
            <w:gridSpan w:val="3"/>
          </w:tcPr>
          <w:p>
            <w:pPr>
              <w:jc w:val="center"/>
              <w:ind w:right="2896"/>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40" w:type="dxa"/>
            <w:vAlign w:val="bottom"/>
            <w:gridSpan w:val="2"/>
          </w:tcPr>
          <w:p>
            <w:pPr>
              <w:jc w:val="center"/>
              <w:ind w:right="4496"/>
              <w:spacing w:after="0"/>
              <w:rPr>
                <w:sz w:val="20"/>
                <w:szCs w:val="20"/>
                <w:color w:val="auto"/>
              </w:rPr>
            </w:pPr>
            <w:r>
              <w:rPr>
                <w:rFonts w:ascii="Arial" w:cs="Arial" w:eastAsia="Arial" w:hAnsi="Arial"/>
                <w:sz w:val="18"/>
                <w:szCs w:val="18"/>
                <w:b w:val="1"/>
                <w:bCs w:val="1"/>
                <w:color w:val="auto"/>
                <w:w w:val="91"/>
              </w:rPr>
              <w:t>Washington, D.C. 20549</w:t>
            </w:r>
          </w:p>
        </w:tc>
      </w:tr>
      <w:tr>
        <w:trPr>
          <w:trHeight w:val="54"/>
        </w:trPr>
        <w:tc>
          <w:tcPr>
            <w:tcW w:w="2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560" w:type="dxa"/>
            <w:vAlign w:val="bottom"/>
          </w:tcPr>
          <w:p>
            <w:pPr>
              <w:spacing w:after="0"/>
              <w:rPr>
                <w:sz w:val="4"/>
                <w:szCs w:val="4"/>
                <w:color w:val="auto"/>
              </w:rPr>
            </w:pPr>
          </w:p>
        </w:tc>
      </w:tr>
      <w:tr>
        <w:trPr>
          <w:trHeight w:val="340"/>
        </w:trPr>
        <w:tc>
          <w:tcPr>
            <w:tcW w:w="2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40" w:type="dxa"/>
            <w:vAlign w:val="bottom"/>
            <w:gridSpan w:val="2"/>
          </w:tcPr>
          <w:p>
            <w:pPr>
              <w:jc w:val="center"/>
              <w:ind w:right="4496"/>
              <w:spacing w:after="0"/>
              <w:rPr>
                <w:sz w:val="20"/>
                <w:szCs w:val="20"/>
                <w:color w:val="auto"/>
              </w:rPr>
            </w:pPr>
            <w:r>
              <w:rPr>
                <w:rFonts w:ascii="Arial" w:cs="Arial" w:eastAsia="Arial" w:hAnsi="Arial"/>
                <w:sz w:val="25"/>
                <w:szCs w:val="25"/>
                <w:b w:val="1"/>
                <w:bCs w:val="1"/>
                <w:color w:val="auto"/>
                <w:w w:val="98"/>
              </w:rPr>
              <w:t>FORM S-8</w:t>
            </w:r>
          </w:p>
        </w:tc>
      </w:tr>
      <w:tr>
        <w:trPr>
          <w:trHeight w:val="216"/>
        </w:trPr>
        <w:tc>
          <w:tcPr>
            <w:tcW w:w="2980" w:type="dxa"/>
            <w:vAlign w:val="bottom"/>
          </w:tcPr>
          <w:p>
            <w:pPr>
              <w:spacing w:after="0"/>
              <w:rPr>
                <w:sz w:val="18"/>
                <w:szCs w:val="18"/>
                <w:color w:val="auto"/>
              </w:rPr>
            </w:pPr>
          </w:p>
        </w:tc>
        <w:tc>
          <w:tcPr>
            <w:tcW w:w="8440" w:type="dxa"/>
            <w:vAlign w:val="bottom"/>
            <w:gridSpan w:val="3"/>
          </w:tcPr>
          <w:p>
            <w:pPr>
              <w:jc w:val="center"/>
              <w:ind w:right="2896"/>
              <w:spacing w:after="0"/>
              <w:rPr>
                <w:sz w:val="20"/>
                <w:szCs w:val="20"/>
                <w:color w:val="auto"/>
              </w:rPr>
            </w:pPr>
            <w:r>
              <w:rPr>
                <w:rFonts w:ascii="Arial" w:cs="Arial" w:eastAsia="Arial" w:hAnsi="Arial"/>
                <w:sz w:val="18"/>
                <w:szCs w:val="18"/>
                <w:b w:val="1"/>
                <w:bCs w:val="1"/>
                <w:color w:val="auto"/>
              </w:rPr>
              <w:t>REGISTRATION STATEMENT</w:t>
            </w:r>
          </w:p>
        </w:tc>
      </w:tr>
      <w:tr>
        <w:trPr>
          <w:trHeight w:val="234"/>
        </w:trPr>
        <w:tc>
          <w:tcPr>
            <w:tcW w:w="2980" w:type="dxa"/>
            <w:vAlign w:val="bottom"/>
          </w:tcPr>
          <w:p>
            <w:pPr>
              <w:spacing w:after="0"/>
              <w:rPr>
                <w:sz w:val="20"/>
                <w:szCs w:val="20"/>
                <w:color w:val="auto"/>
              </w:rPr>
            </w:pPr>
          </w:p>
        </w:tc>
        <w:tc>
          <w:tcPr>
            <w:tcW w:w="8440" w:type="dxa"/>
            <w:vAlign w:val="bottom"/>
            <w:gridSpan w:val="3"/>
          </w:tcPr>
          <w:p>
            <w:pPr>
              <w:jc w:val="center"/>
              <w:ind w:right="2876"/>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54"/>
        </w:trPr>
        <w:tc>
          <w:tcPr>
            <w:tcW w:w="2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560" w:type="dxa"/>
            <w:vAlign w:val="bottom"/>
          </w:tcPr>
          <w:p>
            <w:pPr>
              <w:spacing w:after="0"/>
              <w:rPr>
                <w:sz w:val="4"/>
                <w:szCs w:val="4"/>
                <w:color w:val="auto"/>
              </w:rPr>
            </w:pPr>
          </w:p>
        </w:tc>
      </w:tr>
      <w:tr>
        <w:trPr>
          <w:trHeight w:val="340"/>
        </w:trPr>
        <w:tc>
          <w:tcPr>
            <w:tcW w:w="2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40" w:type="dxa"/>
            <w:vAlign w:val="bottom"/>
            <w:gridSpan w:val="2"/>
          </w:tcPr>
          <w:p>
            <w:pPr>
              <w:jc w:val="center"/>
              <w:ind w:right="4476"/>
              <w:spacing w:after="0"/>
              <w:rPr>
                <w:sz w:val="20"/>
                <w:szCs w:val="20"/>
                <w:color w:val="auto"/>
              </w:rPr>
            </w:pPr>
            <w:r>
              <w:rPr>
                <w:rFonts w:ascii="Arial" w:cs="Arial" w:eastAsia="Arial" w:hAnsi="Arial"/>
                <w:sz w:val="25"/>
                <w:szCs w:val="25"/>
                <w:b w:val="1"/>
                <w:bCs w:val="1"/>
                <w:color w:val="auto"/>
              </w:rPr>
              <w:t>AC IMMUNE SA</w:t>
            </w:r>
          </w:p>
        </w:tc>
      </w:tr>
      <w:tr>
        <w:trPr>
          <w:trHeight w:val="234"/>
        </w:trPr>
        <w:tc>
          <w:tcPr>
            <w:tcW w:w="2980" w:type="dxa"/>
            <w:vAlign w:val="bottom"/>
          </w:tcPr>
          <w:p>
            <w:pPr>
              <w:spacing w:after="0"/>
              <w:rPr>
                <w:sz w:val="20"/>
                <w:szCs w:val="20"/>
                <w:color w:val="auto"/>
              </w:rPr>
            </w:pPr>
          </w:p>
        </w:tc>
        <w:tc>
          <w:tcPr>
            <w:tcW w:w="8440" w:type="dxa"/>
            <w:vAlign w:val="bottom"/>
            <w:gridSpan w:val="3"/>
          </w:tcPr>
          <w:p>
            <w:pPr>
              <w:jc w:val="center"/>
              <w:ind w:right="289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80"/>
        </w:trPr>
        <w:tc>
          <w:tcPr>
            <w:tcW w:w="2980" w:type="dxa"/>
            <w:vAlign w:val="bottom"/>
          </w:tcPr>
          <w:p>
            <w:pPr>
              <w:jc w:val="center"/>
              <w:ind w:left="716"/>
              <w:spacing w:after="0"/>
              <w:rPr>
                <w:sz w:val="20"/>
                <w:szCs w:val="20"/>
                <w:color w:val="auto"/>
              </w:rPr>
            </w:pPr>
            <w:r>
              <w:rPr>
                <w:rFonts w:ascii="Arial" w:cs="Arial" w:eastAsia="Arial" w:hAnsi="Arial"/>
                <w:sz w:val="14"/>
                <w:szCs w:val="14"/>
                <w:b w:val="1"/>
                <w:bCs w:val="1"/>
                <w:color w:val="auto"/>
                <w:w w:val="95"/>
              </w:rPr>
              <w:t>Switzerland</w:t>
            </w: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center"/>
              <w:ind w:left="716"/>
              <w:spacing w:after="0"/>
              <w:rPr>
                <w:sz w:val="20"/>
                <w:szCs w:val="20"/>
                <w:color w:val="auto"/>
              </w:rPr>
            </w:pPr>
            <w:r>
              <w:rPr>
                <w:rFonts w:ascii="Arial" w:cs="Arial" w:eastAsia="Arial" w:hAnsi="Arial"/>
                <w:sz w:val="14"/>
                <w:szCs w:val="14"/>
                <w:b w:val="1"/>
                <w:bCs w:val="1"/>
                <w:color w:val="auto"/>
                <w:w w:val="99"/>
              </w:rPr>
              <w:t>N/A</w:t>
            </w:r>
          </w:p>
        </w:tc>
      </w:tr>
      <w:tr>
        <w:trPr>
          <w:trHeight w:val="254"/>
        </w:trPr>
        <w:tc>
          <w:tcPr>
            <w:tcW w:w="2980" w:type="dxa"/>
            <w:vAlign w:val="bottom"/>
          </w:tcPr>
          <w:p>
            <w:pPr>
              <w:jc w:val="center"/>
              <w:ind w:left="676"/>
              <w:spacing w:after="0"/>
              <w:rPr>
                <w:sz w:val="20"/>
                <w:szCs w:val="20"/>
                <w:color w:val="auto"/>
              </w:rPr>
            </w:pPr>
            <w:r>
              <w:rPr>
                <w:rFonts w:ascii="Arial" w:cs="Arial" w:eastAsia="Arial" w:hAnsi="Arial"/>
                <w:sz w:val="18"/>
                <w:szCs w:val="18"/>
                <w:color w:val="auto"/>
                <w:w w:val="93"/>
              </w:rPr>
              <w:t>(State or other jurisdiction of</w:t>
            </w:r>
          </w:p>
        </w:tc>
        <w:tc>
          <w:tcPr>
            <w:tcW w:w="16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560" w:type="dxa"/>
            <w:vAlign w:val="bottom"/>
          </w:tcPr>
          <w:p>
            <w:pPr>
              <w:jc w:val="center"/>
              <w:ind w:left="676"/>
              <w:spacing w:after="0"/>
              <w:rPr>
                <w:sz w:val="20"/>
                <w:szCs w:val="20"/>
                <w:color w:val="auto"/>
              </w:rPr>
            </w:pPr>
            <w:r>
              <w:rPr>
                <w:rFonts w:ascii="Arial" w:cs="Arial" w:eastAsia="Arial" w:hAnsi="Arial"/>
                <w:sz w:val="18"/>
                <w:szCs w:val="18"/>
                <w:color w:val="auto"/>
                <w:w w:val="93"/>
              </w:rPr>
              <w:t>(I.R.S. Employer</w:t>
            </w:r>
          </w:p>
        </w:tc>
      </w:tr>
      <w:tr>
        <w:trPr>
          <w:trHeight w:val="212"/>
        </w:trPr>
        <w:tc>
          <w:tcPr>
            <w:tcW w:w="2980" w:type="dxa"/>
            <w:vAlign w:val="bottom"/>
          </w:tcPr>
          <w:p>
            <w:pPr>
              <w:jc w:val="center"/>
              <w:ind w:left="716"/>
              <w:spacing w:after="0"/>
              <w:rPr>
                <w:sz w:val="20"/>
                <w:szCs w:val="20"/>
                <w:color w:val="auto"/>
              </w:rPr>
            </w:pPr>
            <w:r>
              <w:rPr>
                <w:rFonts w:ascii="Arial" w:cs="Arial" w:eastAsia="Arial" w:hAnsi="Arial"/>
                <w:sz w:val="18"/>
                <w:szCs w:val="18"/>
                <w:color w:val="auto"/>
                <w:w w:val="93"/>
              </w:rPr>
              <w:t>incorporation or organization)</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60" w:type="dxa"/>
            <w:vAlign w:val="bottom"/>
          </w:tcPr>
          <w:p>
            <w:pPr>
              <w:jc w:val="center"/>
              <w:ind w:left="736"/>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40" w:type="dxa"/>
            <w:vAlign w:val="bottom"/>
            <w:gridSpan w:val="2"/>
          </w:tcPr>
          <w:p>
            <w:pPr>
              <w:jc w:val="center"/>
              <w:ind w:right="4476"/>
              <w:spacing w:after="0"/>
              <w:rPr>
                <w:sz w:val="20"/>
                <w:szCs w:val="20"/>
                <w:color w:val="auto"/>
              </w:rPr>
            </w:pPr>
            <w:r>
              <w:rPr>
                <w:rFonts w:ascii="Arial" w:cs="Arial" w:eastAsia="Arial" w:hAnsi="Arial"/>
                <w:sz w:val="18"/>
                <w:szCs w:val="18"/>
                <w:b w:val="1"/>
                <w:bCs w:val="1"/>
                <w:color w:val="auto"/>
                <w:w w:val="94"/>
              </w:rPr>
              <w:t>EPFL Innovation Park</w:t>
            </w:r>
          </w:p>
        </w:tc>
      </w:tr>
      <w:tr>
        <w:trPr>
          <w:trHeight w:val="216"/>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40" w:type="dxa"/>
            <w:vAlign w:val="bottom"/>
            <w:gridSpan w:val="2"/>
          </w:tcPr>
          <w:p>
            <w:pPr>
              <w:jc w:val="center"/>
              <w:ind w:right="4476"/>
              <w:spacing w:after="0"/>
              <w:rPr>
                <w:sz w:val="20"/>
                <w:szCs w:val="20"/>
                <w:color w:val="auto"/>
              </w:rPr>
            </w:pPr>
            <w:r>
              <w:rPr>
                <w:rFonts w:ascii="Arial" w:cs="Arial" w:eastAsia="Arial" w:hAnsi="Arial"/>
                <w:sz w:val="18"/>
                <w:szCs w:val="18"/>
                <w:b w:val="1"/>
                <w:bCs w:val="1"/>
                <w:color w:val="auto"/>
                <w:w w:val="93"/>
              </w:rPr>
              <w:t>Building B</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40" w:type="dxa"/>
            <w:vAlign w:val="bottom"/>
            <w:gridSpan w:val="2"/>
          </w:tcPr>
          <w:p>
            <w:pPr>
              <w:jc w:val="center"/>
              <w:ind w:right="4476"/>
              <w:spacing w:after="0"/>
              <w:rPr>
                <w:sz w:val="20"/>
                <w:szCs w:val="20"/>
                <w:color w:val="auto"/>
              </w:rPr>
            </w:pPr>
            <w:r>
              <w:rPr>
                <w:rFonts w:ascii="Arial" w:cs="Arial" w:eastAsia="Arial" w:hAnsi="Arial"/>
                <w:sz w:val="18"/>
                <w:szCs w:val="18"/>
                <w:b w:val="1"/>
                <w:bCs w:val="1"/>
                <w:color w:val="auto"/>
                <w:w w:val="90"/>
              </w:rPr>
              <w:t>1015 Lausanne, Switzerland</w:t>
            </w:r>
          </w:p>
        </w:tc>
      </w:tr>
    </w:tbl>
    <w:p>
      <w:pPr>
        <w:spacing w:after="0" w:line="197"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38100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2"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AC Immune SA 2016 Stock Option and Incentive Plan</w:t>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59690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National Corporate Research, Ltd.</w:t>
      </w:r>
    </w:p>
    <w:p>
      <w:pPr>
        <w:ind w:left="4800"/>
        <w:spacing w:after="0" w:line="182" w:lineRule="auto"/>
        <w:rPr>
          <w:sz w:val="20"/>
          <w:szCs w:val="20"/>
          <w:color w:val="auto"/>
        </w:rPr>
      </w:pPr>
      <w:r>
        <w:rPr>
          <w:rFonts w:ascii="Arial" w:cs="Arial" w:eastAsia="Arial" w:hAnsi="Arial"/>
          <w:sz w:val="14"/>
          <w:szCs w:val="14"/>
          <w:b w:val="1"/>
          <w:bCs w:val="1"/>
          <w:color w:val="auto"/>
        </w:rPr>
        <w:t>10 East 40</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Street, 10</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10016, USA</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38100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Copies to</w:t>
      </w:r>
      <w:r>
        <w:rPr>
          <w:rFonts w:ascii="Arial" w:cs="Arial" w:eastAsia="Arial" w:hAnsi="Arial"/>
          <w:sz w:val="14"/>
          <w:szCs w:val="14"/>
          <w:color w:val="auto"/>
        </w:rPr>
        <w:t>:</w:t>
      </w:r>
    </w:p>
    <w:p>
      <w:pPr>
        <w:spacing w:after="0" w:line="59"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Richard D. Truesdell, Jr.</w:t>
      </w:r>
    </w:p>
    <w:p>
      <w:pPr>
        <w:jc w:val="center"/>
        <w:ind w:right="200"/>
        <w:spacing w:after="0" w:line="221" w:lineRule="auto"/>
        <w:rPr>
          <w:sz w:val="20"/>
          <w:szCs w:val="20"/>
          <w:color w:val="auto"/>
        </w:rPr>
      </w:pPr>
      <w:r>
        <w:rPr>
          <w:rFonts w:ascii="Arial" w:cs="Arial" w:eastAsia="Arial" w:hAnsi="Arial"/>
          <w:sz w:val="14"/>
          <w:szCs w:val="14"/>
          <w:color w:val="auto"/>
        </w:rPr>
        <w:t>Derek J. Dostal</w:t>
      </w:r>
    </w:p>
    <w:p>
      <w:pPr>
        <w:jc w:val="center"/>
        <w:ind w:right="200"/>
        <w:spacing w:after="0" w:line="221" w:lineRule="auto"/>
        <w:rPr>
          <w:sz w:val="20"/>
          <w:szCs w:val="20"/>
          <w:color w:val="auto"/>
        </w:rPr>
      </w:pPr>
      <w:r>
        <w:rPr>
          <w:rFonts w:ascii="Arial" w:cs="Arial" w:eastAsia="Arial" w:hAnsi="Arial"/>
          <w:sz w:val="14"/>
          <w:szCs w:val="14"/>
          <w:color w:val="auto"/>
        </w:rPr>
        <w:t>Davis Polk &amp; Wardwell LLP</w:t>
      </w:r>
    </w:p>
    <w:p>
      <w:pPr>
        <w:jc w:val="center"/>
        <w:ind w:right="200"/>
        <w:spacing w:after="0" w:line="222" w:lineRule="auto"/>
        <w:rPr>
          <w:sz w:val="20"/>
          <w:szCs w:val="20"/>
          <w:color w:val="auto"/>
        </w:rPr>
      </w:pPr>
      <w:r>
        <w:rPr>
          <w:rFonts w:ascii="Arial" w:cs="Arial" w:eastAsia="Arial" w:hAnsi="Arial"/>
          <w:sz w:val="14"/>
          <w:szCs w:val="14"/>
          <w:color w:val="auto"/>
        </w:rPr>
        <w:t>450 Lexington Avenue</w:t>
      </w:r>
    </w:p>
    <w:p>
      <w:pPr>
        <w:jc w:val="center"/>
        <w:ind w:right="200"/>
        <w:spacing w:after="0" w:line="221" w:lineRule="auto"/>
        <w:rPr>
          <w:sz w:val="20"/>
          <w:szCs w:val="20"/>
          <w:color w:val="auto"/>
        </w:rPr>
      </w:pPr>
      <w:r>
        <w:rPr>
          <w:rFonts w:ascii="Arial" w:cs="Arial" w:eastAsia="Arial" w:hAnsi="Arial"/>
          <w:sz w:val="14"/>
          <w:szCs w:val="14"/>
          <w:color w:val="auto"/>
        </w:rPr>
        <w:t>New York, NY 10017</w:t>
      </w:r>
    </w:p>
    <w:p>
      <w:pPr>
        <w:spacing w:after="0" w:line="1" w:lineRule="exact"/>
        <w:rPr>
          <w:sz w:val="24"/>
          <w:szCs w:val="24"/>
          <w:color w:val="auto"/>
        </w:rPr>
      </w:pPr>
    </w:p>
    <w:p>
      <w:pPr>
        <w:jc w:val="both"/>
        <w:ind w:right="20"/>
        <w:spacing w:after="0" w:line="237" w:lineRule="auto"/>
        <w:rPr>
          <w:sz w:val="20"/>
          <w:szCs w:val="20"/>
          <w:color w:val="auto"/>
        </w:rPr>
      </w:pPr>
      <w:r>
        <w:rPr>
          <w:rFonts w:ascii="Arial" w:cs="Arial" w:eastAsia="Arial" w:hAnsi="Arial"/>
          <w:sz w:val="14"/>
          <w:szCs w:val="14"/>
          <w:b w:val="1"/>
          <w:bCs w:val="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21"/>
                <w:szCs w:val="21"/>
                <w:color w:val="auto"/>
              </w:rPr>
              <w:t>o</w:t>
            </w:r>
          </w:p>
        </w:tc>
        <w:tc>
          <w:tcPr>
            <w:tcW w:w="5620" w:type="dxa"/>
            <w:vAlign w:val="bottom"/>
          </w:tcPr>
          <w:p>
            <w:pPr>
              <w:ind w:left="1400"/>
              <w:spacing w:after="0"/>
              <w:rPr>
                <w:sz w:val="20"/>
                <w:szCs w:val="20"/>
                <w:color w:val="auto"/>
              </w:rPr>
            </w:pPr>
            <w:r>
              <w:rPr>
                <w:rFonts w:ascii="Arial" w:cs="Arial" w:eastAsia="Arial" w:hAnsi="Arial"/>
                <w:sz w:val="14"/>
                <w:szCs w:val="14"/>
                <w:b w:val="1"/>
                <w:bCs w:val="1"/>
                <w:color w:val="auto"/>
              </w:rPr>
              <w:t xml:space="preserve">Accelerated filer </w:t>
            </w:r>
            <w:r>
              <w:rPr>
                <w:rFonts w:ascii="Arial" w:cs="Arial" w:eastAsia="Arial" w:hAnsi="Arial"/>
                <w:sz w:val="21"/>
                <w:szCs w:val="21"/>
                <w:color w:val="auto"/>
              </w:rPr>
              <w:t>o</w:t>
            </w:r>
          </w:p>
        </w:tc>
      </w:tr>
      <w:tr>
        <w:trPr>
          <w:trHeight w:val="339"/>
        </w:trPr>
        <w:tc>
          <w:tcPr>
            <w:tcW w:w="5800" w:type="dxa"/>
            <w:vAlign w:val="bottom"/>
          </w:tcPr>
          <w:p>
            <w:pPr>
              <w:spacing w:after="0" w:line="242" w:lineRule="exact"/>
              <w:rPr>
                <w:sz w:val="20"/>
                <w:szCs w:val="20"/>
                <w:color w:val="auto"/>
              </w:rPr>
            </w:pPr>
            <w:r>
              <w:rPr>
                <w:rFonts w:ascii="Arial" w:cs="Arial" w:eastAsia="Arial" w:hAnsi="Arial"/>
                <w:sz w:val="14"/>
                <w:szCs w:val="14"/>
                <w:b w:val="1"/>
                <w:bCs w:val="1"/>
                <w:color w:val="auto"/>
              </w:rPr>
              <w:t xml:space="preserve">Non-accelerated filer </w:t>
            </w: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(Do not check if a smaller reporting company)</w:t>
            </w:r>
          </w:p>
        </w:tc>
        <w:tc>
          <w:tcPr>
            <w:tcW w:w="5620" w:type="dxa"/>
            <w:vAlign w:val="bottom"/>
          </w:tcPr>
          <w:p>
            <w:pPr>
              <w:ind w:left="1400"/>
              <w:spacing w:after="0"/>
              <w:rPr>
                <w:sz w:val="20"/>
                <w:szCs w:val="20"/>
                <w:color w:val="auto"/>
              </w:rPr>
            </w:pPr>
            <w:r>
              <w:rPr>
                <w:rFonts w:ascii="Arial" w:cs="Arial" w:eastAsia="Arial" w:hAnsi="Arial"/>
                <w:sz w:val="14"/>
                <w:szCs w:val="14"/>
                <w:b w:val="1"/>
                <w:bCs w:val="1"/>
                <w:color w:val="auto"/>
              </w:rPr>
              <w:t xml:space="preserve">Smaller reporting company </w:t>
            </w:r>
            <w:r>
              <w:rPr>
                <w:rFonts w:ascii="Arial" w:cs="Arial" w:eastAsia="Arial" w:hAnsi="Arial"/>
                <w:sz w:val="21"/>
                <w:szCs w:val="21"/>
                <w:color w:val="auto"/>
              </w:rPr>
              <w:t>o</w:t>
            </w:r>
          </w:p>
        </w:tc>
      </w:tr>
      <w:tr>
        <w:trPr>
          <w:trHeight w:val="398"/>
        </w:trPr>
        <w:tc>
          <w:tcPr>
            <w:tcW w:w="5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20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4"/>
              </w:rPr>
              <w:t>Proposed</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2"/>
              </w:rPr>
              <w:t>Offering Price</w:t>
            </w:r>
          </w:p>
        </w:tc>
        <w:tc>
          <w:tcPr>
            <w:tcW w:w="20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1"/>
              </w:rPr>
              <w:t>Maximum Aggregate</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Title of Securities to be Registered</w:t>
            </w:r>
          </w:p>
        </w:tc>
        <w:tc>
          <w:tcPr>
            <w:tcW w:w="162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30"/>
                <w:szCs w:val="30"/>
                <w:b w:val="1"/>
                <w:bCs w:val="1"/>
                <w:color w:val="auto"/>
                <w:w w:val="85"/>
                <w:vertAlign w:val="superscript"/>
              </w:rPr>
              <w: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Registration Fee</w:t>
            </w:r>
            <w:r>
              <w:rPr>
                <w:rFonts w:ascii="Arial" w:cs="Arial" w:eastAsia="Arial" w:hAnsi="Arial"/>
                <w:sz w:val="30"/>
                <w:szCs w:val="30"/>
                <w:b w:val="1"/>
                <w:bCs w:val="1"/>
                <w:color w:val="auto"/>
                <w:w w:val="86"/>
                <w:vertAlign w:val="superscript"/>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Shares, par value CHF 0.02 each, reserved for</w:t>
            </w:r>
          </w:p>
        </w:tc>
        <w:tc>
          <w:tcPr>
            <w:tcW w:w="16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2"/>
              </w:rPr>
              <w:t xml:space="preserve">$11.95 </w:t>
            </w:r>
            <w:r>
              <w:rPr>
                <w:rFonts w:ascii="Arial" w:cs="Arial" w:eastAsia="Arial" w:hAnsi="Arial"/>
                <w:sz w:val="30"/>
                <w:szCs w:val="30"/>
                <w:color w:val="auto"/>
                <w:w w:val="82"/>
                <w:vertAlign w:val="superscript"/>
              </w:rPr>
              <w:t>(2)</w:t>
            </w:r>
          </w:p>
        </w:tc>
        <w:tc>
          <w:tcPr>
            <w:tcW w:w="20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issuance pursuant to the AC Immune SA 2016 Stock Option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2,057,740</w:t>
            </w:r>
          </w:p>
        </w:tc>
        <w:tc>
          <w:tcPr>
            <w:tcW w:w="170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$24,579,704.30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$2,848.79</w:t>
            </w: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and Incentive Plan</w:t>
            </w:r>
          </w:p>
        </w:tc>
        <w:tc>
          <w:tcPr>
            <w:tcW w:w="16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8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(this “Registration Statement”) covers common shares of CHF 0.02 each par value (“Common Shares”), of AC Immune SA (the “Registrant”) issuable pursuant to the AC Immune SA 2016 Stock Option and Incentive Plan (the “Plan”). Pursuant to Rule 416(a) under the Securities Act of 1933, as amended (the “Securities Act”), this Registration Statement shall also cover any additional Common Shares that become issuable under the Plan by reason of any share dividend, share split or other similar transaction.</w:t>
      </w:r>
    </w:p>
    <w:p>
      <w:pPr>
        <w:spacing w:after="0" w:line="2" w:lineRule="exact"/>
        <w:rPr>
          <w:rFonts w:ascii="Arial" w:cs="Arial" w:eastAsia="Arial" w:hAnsi="Arial"/>
          <w:sz w:val="17"/>
          <w:szCs w:val="17"/>
          <w:color w:val="auto"/>
        </w:rPr>
      </w:pPr>
    </w:p>
    <w:p>
      <w:pPr>
        <w:ind w:left="340" w:right="4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on the basis of the high and low prices reported for a Common Share on the NASDAQ Global Market on March 7, 2017.</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documents containing the information specified in Item 1 and Item 2 of Part I of Form S-8 will be sent or given to participants as specified by Rule 428(b)(1) under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1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225" w:lineRule="exact"/>
        <w:rPr>
          <w:sz w:val="20"/>
          <w:szCs w:val="20"/>
          <w:color w:val="auto"/>
        </w:rPr>
      </w:pPr>
    </w:p>
    <w:p>
      <w:pPr>
        <w:ind w:right="480" w:firstLine="8"/>
        <w:spacing w:after="0" w:line="308"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Amendment No. 7 to the Registrant’s Registration Statement on Form F-1 filed with the Commission on September 22, 2016 (Registration No. 333-211714), which contains the Registrant’s audited financial statements for the latest fiscal year for which such statements have been filed.</w:t>
      </w:r>
    </w:p>
    <w:p>
      <w:pPr>
        <w:spacing w:after="0" w:line="146" w:lineRule="exact"/>
        <w:rPr>
          <w:rFonts w:ascii="Arial" w:cs="Arial" w:eastAsia="Arial" w:hAnsi="Arial"/>
          <w:sz w:val="17"/>
          <w:szCs w:val="17"/>
          <w:color w:val="auto"/>
        </w:rPr>
      </w:pPr>
    </w:p>
    <w:p>
      <w:pPr>
        <w:ind w:right="34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to be filed with the Commission pursuant to Rule 424(b) under the Securities Act, relating to the Registrant’s Registration Statement on Form F-1, as amended (Registration No. 333-211714).</w:t>
      </w:r>
    </w:p>
    <w:p>
      <w:pPr>
        <w:spacing w:after="0" w:line="170"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share capital which is contained in the Registrant’s Registration Statement Form 8-A (Registration No. 333-211714), dated September 23, 2016, including any amendments or supplements thereto.</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addition, all documents subsequently filed by the Registrant with the Commission pursuant to Sections 13(a), 13(c), 14 and 15(d) of the Exchange Act, prior to the filing of a post-effective amendment to this Registration Statement which indicates that all securities offered have been sold or which deregisters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Swiss law, Article 29 of the Registrant’s articles of association provides for indemnification of the existing and former members of the Registrant’s board of directors, executive management, and their heirs, executors and administrators, against liabilities arising in connection with the performance of their duties in such capacity, and permits the Registrant to advance the expenses of defending any act, suit or proceeding to members of our board of directors and executive management.</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Registrant intends to enter into indemnification agreements with each of the members of its board of directors and executive officers in the form to be filed as an exhibit to the Registrant’s Registration Statement on Form F-1 filed with the Commission.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underwriting agreement that the Registrant enters into in connection with the sale of the common shares being registered on the Registrant’s Form F-1, the underwriters will agree to indemnify, under certain conditions, the Registrant, its directors, our officers and persons who control the Registrant within the meaning of the Securities Act of 1933, as amended, the Securities Act, against certain liabilities.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4.1</w:t>
            </w:r>
          </w:p>
        </w:tc>
        <w:tc>
          <w:tcPr>
            <w:tcW w:w="10700" w:type="dxa"/>
            <w:vAlign w:val="bottom"/>
          </w:tcPr>
          <w:p>
            <w:pPr>
              <w:ind w:left="400"/>
              <w:spacing w:after="0"/>
              <w:rPr>
                <w:sz w:val="20"/>
                <w:szCs w:val="20"/>
                <w:color w:val="auto"/>
              </w:rPr>
            </w:pPr>
            <w:r>
              <w:rPr>
                <w:rFonts w:ascii="Arial" w:cs="Arial" w:eastAsia="Arial" w:hAnsi="Arial"/>
                <w:sz w:val="18"/>
                <w:szCs w:val="18"/>
                <w:color w:val="auto"/>
                <w:w w:val="90"/>
              </w:rPr>
              <w:t>AC Immune SA Articles of Association dated September 25, 2016 (incorporated herein by reference to the Registrant’s Registration Statement</w:t>
            </w:r>
          </w:p>
        </w:tc>
      </w:tr>
      <w:tr>
        <w:trPr>
          <w:trHeight w:val="230"/>
        </w:trPr>
        <w:tc>
          <w:tcPr>
            <w:tcW w:w="64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on Form S-8, filed on September 29, 2016)</w:t>
            </w:r>
          </w:p>
        </w:tc>
      </w:tr>
      <w:tr>
        <w:trPr>
          <w:trHeight w:val="418"/>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4.2</w:t>
            </w:r>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Registration Right Agreement (incorporated by reference to the Registrant’s Registration Statement on Form F-1, filed with the SEC on May</w:t>
            </w:r>
          </w:p>
        </w:tc>
      </w:tr>
      <w:tr>
        <w:trPr>
          <w:trHeight w:val="230"/>
        </w:trPr>
        <w:tc>
          <w:tcPr>
            <w:tcW w:w="64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31, 2016)</w:t>
            </w:r>
          </w:p>
        </w:tc>
      </w:tr>
    </w:tbl>
    <w:p>
      <w:pPr>
        <w:spacing w:after="0" w:line="202"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Vischer AG, Swiss counsel of AC Immune SA, as to the validity of the common shares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160" w:type="dxa"/>
            <w:vAlign w:val="bottom"/>
          </w:tcPr>
          <w:p>
            <w:pPr>
              <w:ind w:left="360"/>
              <w:spacing w:after="0"/>
              <w:rPr>
                <w:sz w:val="20"/>
                <w:szCs w:val="20"/>
                <w:color w:val="auto"/>
              </w:rPr>
            </w:pPr>
            <w:r>
              <w:rPr>
                <w:rFonts w:ascii="Arial" w:cs="Arial" w:eastAsia="Arial" w:hAnsi="Arial"/>
                <w:sz w:val="18"/>
                <w:szCs w:val="18"/>
                <w:color w:val="auto"/>
              </w:rPr>
              <w:t>Consent of Vischer AG, counsel of AC Immune SA (included in Exhibit 5)</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160" w:type="dxa"/>
            <w:vAlign w:val="bottom"/>
          </w:tcPr>
          <w:p>
            <w:pPr>
              <w:ind w:left="360"/>
              <w:spacing w:after="0"/>
              <w:rPr>
                <w:sz w:val="20"/>
                <w:szCs w:val="20"/>
                <w:color w:val="auto"/>
              </w:rPr>
            </w:pPr>
            <w:r>
              <w:rPr>
                <w:rFonts w:ascii="Arial" w:cs="Arial" w:eastAsia="Arial" w:hAnsi="Arial"/>
                <w:sz w:val="18"/>
                <w:szCs w:val="18"/>
                <w:color w:val="auto"/>
                <w:w w:val="92"/>
              </w:rPr>
              <w:t>Consent of Ernst &amp; Young AG, independent registered public accounting firm (filed herewith)</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7160" w:type="dxa"/>
            <w:vAlign w:val="bottom"/>
          </w:tcPr>
          <w:p>
            <w:pPr>
              <w:ind w:left="360"/>
              <w:spacing w:after="0"/>
              <w:rPr>
                <w:sz w:val="20"/>
                <w:szCs w:val="20"/>
                <w:color w:val="auto"/>
              </w:rPr>
            </w:pPr>
            <w:r>
              <w:rPr>
                <w:rFonts w:ascii="Arial" w:cs="Arial" w:eastAsia="Arial" w:hAnsi="Arial"/>
                <w:sz w:val="18"/>
                <w:szCs w:val="18"/>
                <w:color w:val="auto"/>
              </w:rPr>
              <w:t>Powers of Attorney (included in the signature pages hereto)</w:t>
            </w:r>
          </w:p>
        </w:tc>
      </w:tr>
    </w:tbl>
    <w:p>
      <w:pPr>
        <w:spacing w:after="0" w:line="202" w:lineRule="exact"/>
        <w:rPr>
          <w:sz w:val="20"/>
          <w:szCs w:val="20"/>
          <w:color w:val="auto"/>
        </w:rPr>
      </w:pPr>
    </w:p>
    <w:p>
      <w:pPr>
        <w:ind w:left="1040" w:right="100" w:hanging="1032"/>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 Immune SA 2016 Stock Option and Incentive Plan (incorporated by reference to the Registrant’s Report on Form 6-K, filed with the SEC on October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20" w:firstLine="320"/>
        <w:spacing w:after="0" w:line="255" w:lineRule="auto"/>
        <w:tabs>
          <w:tab w:leader="none" w:pos="124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660" w:right="60" w:firstLine="320"/>
        <w:spacing w:after="0" w:line="277" w:lineRule="auto"/>
        <w:tabs>
          <w:tab w:leader="none" w:pos="129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Plans not previously disclosed in this Registration Statement or any material change to such information in this Registration Statement;</w:t>
      </w:r>
    </w:p>
    <w:p>
      <w:pPr>
        <w:spacing w:after="0" w:line="170"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15(d) of the Exchange Act that are incorporated by reference in this Registration Statement.</w:t>
      </w:r>
    </w:p>
    <w:p>
      <w:pPr>
        <w:spacing w:after="0" w:line="181" w:lineRule="exact"/>
        <w:rPr>
          <w:sz w:val="20"/>
          <w:szCs w:val="20"/>
          <w:color w:val="auto"/>
        </w:rPr>
      </w:pPr>
    </w:p>
    <w:p>
      <w:pPr>
        <w:ind w:left="340" w:right="220" w:firstLine="316"/>
        <w:spacing w:after="0" w:line="264" w:lineRule="auto"/>
        <w:tabs>
          <w:tab w:leader="none" w:pos="916"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340" w:right="840" w:firstLine="316"/>
        <w:spacing w:after="0" w:line="277" w:lineRule="auto"/>
        <w:tabs>
          <w:tab w:leader="none" w:pos="91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332"/>
        <w:spacing w:after="0" w:line="302" w:lineRule="auto"/>
        <w:tabs>
          <w:tab w:leader="none" w:pos="57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firstLine="332"/>
        <w:spacing w:after="0" w:line="291" w:lineRule="auto"/>
        <w:tabs>
          <w:tab w:leader="none" w:pos="56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this Registration Statement and has duly caused this Registration Statement to be signed on its behalf by the undersigned, thereunto duly authorized, in the City of Lausanne, Switzerland on this 8th day of March, 2017.</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Jean-Fabien Monin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Jean-Fabien Monin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200" w:lineRule="exact"/>
        <w:rPr>
          <w:sz w:val="20"/>
          <w:szCs w:val="20"/>
          <w:color w:val="auto"/>
        </w:rPr>
      </w:pPr>
    </w:p>
    <w:p>
      <w:pPr>
        <w:spacing w:after="0" w:line="24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National Corporate Research,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c>
          <w:tcPr>
            <w:tcW w:w="114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Colleen A. DeVries</w:t>
            </w:r>
          </w:p>
        </w:tc>
        <w:tc>
          <w:tcPr>
            <w:tcW w:w="114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SVP on behalf of National Corporate Research, Ltd.</w:t>
            </w:r>
          </w:p>
        </w:tc>
        <w:tc>
          <w:tcPr>
            <w:tcW w:w="1140" w:type="dxa"/>
            <w:vAlign w:val="bottom"/>
          </w:tcPr>
          <w:p>
            <w:pPr>
              <w:spacing w:after="0"/>
              <w:rPr>
                <w:sz w:val="20"/>
                <w:szCs w:val="20"/>
                <w:color w:val="auto"/>
              </w:rPr>
            </w:pPr>
          </w:p>
        </w:tc>
      </w:tr>
      <w:tr>
        <w:trPr>
          <w:trHeight w:val="419"/>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772"/>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Andrea Pfeifer and Jean-Fabien Monin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U.S. Securities and Exchange Commission, granting unto said attorneys-in-fact and agent full power and authority to do and perform each and every act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right="20" w:firstLine="77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1"/>
              </w:rPr>
              <w:t>Title</w:t>
            </w:r>
          </w:p>
        </w:tc>
        <w:tc>
          <w:tcPr>
            <w:tcW w:w="1460" w:type="dxa"/>
            <w:vAlign w:val="bottom"/>
          </w:tcPr>
          <w:p>
            <w:pPr>
              <w:spacing w:after="0"/>
              <w:rPr>
                <w:sz w:val="17"/>
                <w:szCs w:val="17"/>
                <w:color w:val="auto"/>
              </w:rPr>
            </w:pPr>
          </w:p>
        </w:tc>
        <w:tc>
          <w:tcPr>
            <w:tcW w:w="154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Andrea Pfeifer</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Executive Officer, Director</w:t>
            </w:r>
          </w:p>
        </w:tc>
        <w:tc>
          <w:tcPr>
            <w:tcW w:w="300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7, 2017</w:t>
            </w:r>
          </w:p>
        </w:tc>
        <w:tc>
          <w:tcPr>
            <w:tcW w:w="0" w:type="dxa"/>
            <w:vAlign w:val="bottom"/>
          </w:tcPr>
          <w:p>
            <w:pPr>
              <w:spacing w:after="0"/>
              <w:rPr>
                <w:sz w:val="1"/>
                <w:szCs w:val="1"/>
                <w:color w:val="auto"/>
              </w:rPr>
            </w:pP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Andrea Pfeifer</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Executive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Jean-Fabien Monin</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6"/>
              </w:rPr>
              <w:t>Chief Administrative Officer</w:t>
            </w:r>
          </w:p>
        </w:tc>
        <w:tc>
          <w:tcPr>
            <w:tcW w:w="300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6, 2017</w:t>
            </w:r>
          </w:p>
        </w:tc>
        <w:tc>
          <w:tcPr>
            <w:tcW w:w="0" w:type="dxa"/>
            <w:vAlign w:val="bottom"/>
          </w:tcPr>
          <w:p>
            <w:pPr>
              <w:spacing w:after="0"/>
              <w:rPr>
                <w:sz w:val="1"/>
                <w:szCs w:val="1"/>
                <w:color w:val="auto"/>
              </w:rPr>
            </w:pP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Jean-Fabien Monin</w:t>
            </w:r>
          </w:p>
        </w:tc>
        <w:tc>
          <w:tcPr>
            <w:tcW w:w="522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(Principal Financial and Accounting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Martin Velasco</w:t>
            </w:r>
          </w:p>
        </w:tc>
        <w:tc>
          <w:tcPr>
            <w:tcW w:w="522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91"/>
              </w:rPr>
              <w:t>Chairman and Director</w:t>
            </w:r>
          </w:p>
        </w:tc>
        <w:tc>
          <w:tcPr>
            <w:tcW w:w="300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auto"/>
                <w:w w:val="92"/>
              </w:rPr>
              <w:t>March 7, 2017</w:t>
            </w:r>
          </w:p>
        </w:tc>
        <w:tc>
          <w:tcPr>
            <w:tcW w:w="0" w:type="dxa"/>
            <w:vAlign w:val="bottom"/>
          </w:tcPr>
          <w:p>
            <w:pPr>
              <w:spacing w:after="0"/>
              <w:rPr>
                <w:sz w:val="1"/>
                <w:szCs w:val="1"/>
                <w:color w:val="auto"/>
              </w:rPr>
            </w:pP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Martin Velasco</w:t>
            </w:r>
          </w:p>
        </w:tc>
        <w:tc>
          <w:tcPr>
            <w:tcW w:w="5220" w:type="dxa"/>
            <w:vAlign w:val="bottom"/>
            <w:gridSpan w:val="3"/>
            <w:vMerge w:val="continue"/>
          </w:tcPr>
          <w:p>
            <w:pPr>
              <w:spacing w:after="0"/>
              <w:rPr>
                <w:sz w:val="19"/>
                <w:szCs w:val="19"/>
                <w:color w:val="auto"/>
              </w:rPr>
            </w:pPr>
          </w:p>
        </w:tc>
        <w:tc>
          <w:tcPr>
            <w:tcW w:w="30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______________, 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Detlev Riesner</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______________, 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Friedrich von Bohlen und Halbach</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Peter Bollman</w:t>
            </w: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6, 2017</w:t>
            </w:r>
          </w:p>
        </w:tc>
        <w:tc>
          <w:tcPr>
            <w:tcW w:w="0" w:type="dxa"/>
            <w:vAlign w:val="bottom"/>
          </w:tcPr>
          <w:p>
            <w:pPr>
              <w:spacing w:after="0"/>
              <w:rPr>
                <w:sz w:val="1"/>
                <w:szCs w:val="1"/>
                <w:color w:val="auto"/>
              </w:rPr>
            </w:pP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Peter Bollman</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Thomas Graney</w:t>
            </w: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3, 2017</w:t>
            </w:r>
          </w:p>
        </w:tc>
        <w:tc>
          <w:tcPr>
            <w:tcW w:w="0" w:type="dxa"/>
            <w:vAlign w:val="bottom"/>
          </w:tcPr>
          <w:p>
            <w:pPr>
              <w:spacing w:after="0"/>
              <w:rPr>
                <w:sz w:val="1"/>
                <w:szCs w:val="1"/>
                <w:color w:val="auto"/>
              </w:rPr>
            </w:pP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Thomas Graney</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30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526"/>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10300" w:type="dxa"/>
            <w:vAlign w:val="bottom"/>
          </w:tcPr>
          <w:p>
            <w:pPr>
              <w:spacing w:after="0"/>
              <w:rPr>
                <w:sz w:val="24"/>
                <w:szCs w:val="24"/>
                <w:color w:val="auto"/>
              </w:rPr>
            </w:pPr>
          </w:p>
        </w:tc>
      </w:tr>
      <w:tr>
        <w:trPr>
          <w:trHeight w:val="230"/>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300" w:type="dxa"/>
            <w:vAlign w:val="bottom"/>
          </w:tcPr>
          <w:p>
            <w:pPr>
              <w:spacing w:after="0"/>
              <w:rPr>
                <w:sz w:val="20"/>
                <w:szCs w:val="20"/>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0300" w:type="dxa"/>
            <w:vAlign w:val="bottom"/>
          </w:tcPr>
          <w:p>
            <w:pPr>
              <w:spacing w:after="0"/>
              <w:rPr>
                <w:sz w:val="20"/>
                <w:szCs w:val="20"/>
                <w:color w:val="auto"/>
              </w:rPr>
            </w:pPr>
            <w:r>
              <w:rPr>
                <w:rFonts w:ascii="Arial" w:cs="Arial" w:eastAsia="Arial" w:hAnsi="Arial"/>
                <w:sz w:val="18"/>
                <w:szCs w:val="18"/>
                <w:color w:val="auto"/>
                <w:w w:val="90"/>
              </w:rPr>
              <w:t>AC Immune SA Articles of Association dated September 25, 2016 (incorporated herein by reference to the Registrant’s Registration Statement</w:t>
            </w:r>
          </w:p>
        </w:tc>
      </w:tr>
      <w:tr>
        <w:trPr>
          <w:trHeight w:val="230"/>
        </w:trPr>
        <w:tc>
          <w:tcPr>
            <w:tcW w:w="104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on Form S-8, filed on September 29, 2016)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10300" w:type="dxa"/>
            <w:vAlign w:val="bottom"/>
          </w:tcPr>
          <w:p>
            <w:pPr>
              <w:spacing w:after="0"/>
              <w:rPr>
                <w:sz w:val="20"/>
                <w:szCs w:val="20"/>
                <w:color w:val="auto"/>
              </w:rPr>
            </w:pPr>
            <w:r>
              <w:rPr>
                <w:rFonts w:ascii="Arial" w:cs="Arial" w:eastAsia="Arial" w:hAnsi="Arial"/>
                <w:sz w:val="18"/>
                <w:szCs w:val="18"/>
                <w:color w:val="auto"/>
                <w:w w:val="92"/>
              </w:rPr>
              <w:t>Registration Right Agreement (incorporated by reference to the Registrant’s Registration Statement on Form F-1, filed with the SEC on May</w:t>
            </w:r>
          </w:p>
        </w:tc>
      </w:tr>
      <w:tr>
        <w:trPr>
          <w:trHeight w:val="230"/>
        </w:trPr>
        <w:tc>
          <w:tcPr>
            <w:tcW w:w="104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31, 2016)</w:t>
            </w:r>
          </w:p>
        </w:tc>
      </w:tr>
    </w:tbl>
    <w:p>
      <w:pPr>
        <w:spacing w:after="0" w:line="202"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of Vischer AG, Swiss counsel of AC Immune SA, as to the validity of the common shares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160" w:type="dxa"/>
            <w:vAlign w:val="bottom"/>
          </w:tcPr>
          <w:p>
            <w:pPr>
              <w:ind w:left="360"/>
              <w:spacing w:after="0"/>
              <w:rPr>
                <w:sz w:val="20"/>
                <w:szCs w:val="20"/>
                <w:color w:val="auto"/>
              </w:rPr>
            </w:pPr>
            <w:r>
              <w:rPr>
                <w:rFonts w:ascii="Arial" w:cs="Arial" w:eastAsia="Arial" w:hAnsi="Arial"/>
                <w:sz w:val="18"/>
                <w:szCs w:val="18"/>
                <w:color w:val="auto"/>
              </w:rPr>
              <w:t>Consent of Vischer AG, counsel of AC Immune SA (included in Exhibit 5)</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160" w:type="dxa"/>
            <w:vAlign w:val="bottom"/>
          </w:tcPr>
          <w:p>
            <w:pPr>
              <w:ind w:left="360"/>
              <w:spacing w:after="0"/>
              <w:rPr>
                <w:sz w:val="20"/>
                <w:szCs w:val="20"/>
                <w:color w:val="auto"/>
              </w:rPr>
            </w:pPr>
            <w:r>
              <w:rPr>
                <w:rFonts w:ascii="Arial" w:cs="Arial" w:eastAsia="Arial" w:hAnsi="Arial"/>
                <w:sz w:val="18"/>
                <w:szCs w:val="18"/>
                <w:color w:val="auto"/>
                <w:w w:val="92"/>
              </w:rPr>
              <w:t>Consent of Ernst &amp; Young AG, independent registered public accounting firm (filed herewith)</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7160" w:type="dxa"/>
            <w:vAlign w:val="bottom"/>
          </w:tcPr>
          <w:p>
            <w:pPr>
              <w:ind w:left="360"/>
              <w:spacing w:after="0"/>
              <w:rPr>
                <w:sz w:val="20"/>
                <w:szCs w:val="20"/>
                <w:color w:val="auto"/>
              </w:rPr>
            </w:pPr>
            <w:r>
              <w:rPr>
                <w:rFonts w:ascii="Arial" w:cs="Arial" w:eastAsia="Arial" w:hAnsi="Arial"/>
                <w:sz w:val="18"/>
                <w:szCs w:val="18"/>
                <w:color w:val="auto"/>
              </w:rPr>
              <w:t>Powers of Attorney (included in the signature pages hereto)</w:t>
            </w:r>
          </w:p>
        </w:tc>
      </w:tr>
    </w:tbl>
    <w:p>
      <w:pPr>
        <w:spacing w:after="0" w:line="202" w:lineRule="exact"/>
        <w:rPr>
          <w:sz w:val="20"/>
          <w:szCs w:val="20"/>
          <w:color w:val="auto"/>
        </w:rPr>
      </w:pPr>
    </w:p>
    <w:p>
      <w:pPr>
        <w:ind w:left="1040" w:right="80" w:hanging="1032"/>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 Immune SA 2016 Stock Option and Incentive Plan (incorporated by reference to the Registrant’s Report on Form 6-K, filed with the SEC on October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Civil Law Notaries 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Basel-City</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color w:val="auto"/>
        </w:rPr>
        <w:t>Registered</w:t>
      </w:r>
    </w:p>
    <w:p>
      <w:pPr>
        <w:ind w:left="3"/>
        <w:spacing w:after="0" w:line="234" w:lineRule="auto"/>
        <w:rPr>
          <w:sz w:val="20"/>
          <w:szCs w:val="20"/>
          <w:color w:val="auto"/>
        </w:rPr>
      </w:pPr>
      <w:r>
        <w:rPr>
          <w:rFonts w:ascii="Arial" w:cs="Arial" w:eastAsia="Arial" w:hAnsi="Arial"/>
          <w:sz w:val="18"/>
          <w:szCs w:val="18"/>
          <w:color w:val="auto"/>
        </w:rPr>
        <w:t>AC Immune SA</w:t>
      </w:r>
    </w:p>
    <w:p>
      <w:pPr>
        <w:ind w:left="3"/>
        <w:spacing w:after="0" w:line="235" w:lineRule="auto"/>
        <w:rPr>
          <w:sz w:val="20"/>
          <w:szCs w:val="20"/>
          <w:color w:val="auto"/>
        </w:rPr>
      </w:pPr>
      <w:r>
        <w:rPr>
          <w:rFonts w:ascii="Arial" w:cs="Arial" w:eastAsia="Arial" w:hAnsi="Arial"/>
          <w:sz w:val="18"/>
          <w:szCs w:val="18"/>
          <w:color w:val="auto"/>
        </w:rPr>
        <w:t>EPFL Innovation Park</w:t>
      </w:r>
    </w:p>
    <w:p>
      <w:pPr>
        <w:ind w:left="3"/>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
        <w:spacing w:after="0"/>
        <w:rPr>
          <w:sz w:val="20"/>
          <w:szCs w:val="20"/>
          <w:color w:val="auto"/>
        </w:rPr>
      </w:pPr>
      <w:r>
        <w:rPr>
          <w:rFonts w:ascii="Arial" w:cs="Arial" w:eastAsia="Arial" w:hAnsi="Arial"/>
          <w:sz w:val="18"/>
          <w:szCs w:val="18"/>
          <w:color w:val="auto"/>
        </w:rPr>
        <w:t>Basel, 8 March 2017</w:t>
      </w:r>
    </w:p>
    <w:p>
      <w:pPr>
        <w:spacing w:after="0" w:line="37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AC Immune SA – Registration Statement on Form S-8</w:t>
      </w:r>
    </w:p>
    <w:p>
      <w:pPr>
        <w:spacing w:after="0" w:line="220"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ind w:left="3"/>
        <w:spacing w:after="0"/>
        <w:rPr>
          <w:sz w:val="20"/>
          <w:szCs w:val="20"/>
          <w:color w:val="auto"/>
        </w:rPr>
      </w:pPr>
      <w:r>
        <w:rPr>
          <w:rFonts w:ascii="Arial" w:cs="Arial" w:eastAsia="Arial" w:hAnsi="Arial"/>
          <w:sz w:val="18"/>
          <w:szCs w:val="18"/>
          <w:color w:val="auto"/>
        </w:rPr>
        <w:t>This opinion is being rendered at the request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filed with the U.S. Securities and Exchange Commission on 8 March 2017 (the "</w:t>
      </w:r>
      <w:r>
        <w:rPr>
          <w:rFonts w:ascii="Arial" w:cs="Arial" w:eastAsia="Arial" w:hAnsi="Arial"/>
          <w:sz w:val="18"/>
          <w:szCs w:val="18"/>
          <w:b w:val="1"/>
          <w:bCs w:val="1"/>
          <w:color w:val="auto"/>
        </w:rPr>
        <w:t>Form S-8</w:t>
      </w:r>
      <w:r>
        <w:rPr>
          <w:rFonts w:ascii="Arial" w:cs="Arial" w:eastAsia="Arial" w:hAnsi="Arial"/>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common shares in the Company, each share currently having a par value of CHF 0.02 (the "</w:t>
      </w:r>
      <w:r>
        <w:rPr>
          <w:rFonts w:ascii="Arial" w:cs="Arial" w:eastAsia="Arial" w:hAnsi="Arial"/>
          <w:sz w:val="18"/>
          <w:szCs w:val="18"/>
          <w:b w:val="1"/>
          <w:bCs w:val="1"/>
          <w:color w:val="auto"/>
        </w:rPr>
        <w:t>Shares</w:t>
      </w:r>
      <w:r>
        <w:rPr>
          <w:rFonts w:ascii="Arial" w:cs="Arial" w:eastAsia="Arial" w:hAnsi="Arial"/>
          <w:sz w:val="18"/>
          <w:szCs w:val="18"/>
          <w:color w:val="auto"/>
        </w:rPr>
        <w:t>"), which may be issued from time to time under the Plan (as defined below). As such counsel, we have been requested to render an opinion as to certain matters of Swiss law.</w:t>
      </w:r>
    </w:p>
    <w:p>
      <w:pPr>
        <w:spacing w:after="0" w:line="189" w:lineRule="exact"/>
        <w:rPr>
          <w:sz w:val="20"/>
          <w:szCs w:val="20"/>
          <w:color w:val="auto"/>
        </w:rPr>
      </w:pPr>
    </w:p>
    <w:p>
      <w:pPr>
        <w:jc w:val="both"/>
        <w:ind w:left="3"/>
        <w:spacing w:after="0" w:line="246" w:lineRule="auto"/>
        <w:rPr>
          <w:sz w:val="20"/>
          <w:szCs w:val="20"/>
          <w:color w:val="auto"/>
        </w:rPr>
      </w:pPr>
      <w:r>
        <w:rPr>
          <w:rFonts w:ascii="Arial" w:cs="Arial" w:eastAsia="Arial" w:hAnsi="Arial"/>
          <w:sz w:val="18"/>
          <w:szCs w:val="18"/>
          <w:color w:val="auto"/>
        </w:rPr>
        <w:t>We understand that the Company is party to the AC Immune SA 2016 Stock Option and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61" w:lineRule="exact"/>
        <w:rPr>
          <w:sz w:val="20"/>
          <w:szCs w:val="20"/>
          <w:color w:val="auto"/>
        </w:rPr>
      </w:pPr>
    </w:p>
    <w:p>
      <w:pPr>
        <w:ind w:left="503" w:hanging="503"/>
        <w:spacing w:after="0"/>
        <w:tabs>
          <w:tab w:leader="none" w:pos="50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220" w:lineRule="exact"/>
        <w:rPr>
          <w:sz w:val="20"/>
          <w:szCs w:val="20"/>
          <w:color w:val="auto"/>
        </w:rPr>
      </w:pPr>
    </w:p>
    <w:p>
      <w:pPr>
        <w:jc w:val="both"/>
        <w:ind w:left="3"/>
        <w:spacing w:after="0"/>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9" w:lineRule="exact"/>
        <w:rPr>
          <w:sz w:val="20"/>
          <w:szCs w:val="20"/>
          <w:color w:val="auto"/>
        </w:rPr>
      </w:pPr>
    </w:p>
    <w:p>
      <w:pPr>
        <w:jc w:val="both"/>
        <w:ind w:left="3"/>
        <w:spacing w:after="0" w:line="246"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339725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917" w:space="720"/>
            <w:col w:w="8743"/>
          </w:cols>
          <w:pgMar w:left="240" w:top="134" w:right="279" w:bottom="144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172"/>
        </w:trPr>
        <w:tc>
          <w:tcPr>
            <w:tcW w:w="6080" w:type="dxa"/>
            <w:vAlign w:val="bottom"/>
          </w:tcPr>
          <w:p>
            <w:pPr>
              <w:spacing w:after="0"/>
              <w:rPr>
                <w:sz w:val="20"/>
                <w:szCs w:val="20"/>
                <w:color w:val="auto"/>
              </w:rPr>
            </w:pPr>
            <w:r>
              <w:rPr>
                <w:rFonts w:ascii="Arial" w:cs="Arial" w:eastAsia="Arial" w:hAnsi="Arial"/>
                <w:sz w:val="14"/>
                <w:szCs w:val="14"/>
                <w:color w:val="auto"/>
              </w:rPr>
              <w:t>8 March 2017</w:t>
            </w:r>
          </w:p>
        </w:tc>
        <w:tc>
          <w:tcPr>
            <w:tcW w:w="528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205105</wp:posOffset>
            </wp:positionV>
            <wp:extent cx="50609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09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98" w:lineRule="exact"/>
        <w:rPr>
          <w:sz w:val="20"/>
          <w:szCs w:val="20"/>
          <w:color w:val="auto"/>
        </w:rPr>
      </w:pPr>
    </w:p>
    <w:p>
      <w:pPr>
        <w:ind w:left="760" w:right="20" w:hanging="752"/>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original excerpt from the register of commerce of the Canton of Vaud with regard to the Company certified by such register of commerce as of 27 September 2016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60" w:hanging="752"/>
        <w:spacing w:after="0" w:line="27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original copy of the notarized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dated 25 September 2016 (the "</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 Commercial Register of the Canton of Vaud;</w:t>
      </w:r>
    </w:p>
    <w:p>
      <w:pPr>
        <w:spacing w:after="0" w:line="162" w:lineRule="exact"/>
        <w:rPr>
          <w:rFonts w:ascii="Arial" w:cs="Arial" w:eastAsia="Arial" w:hAnsi="Arial"/>
          <w:sz w:val="18"/>
          <w:szCs w:val="18"/>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pdf copy of the Plan;</w:t>
      </w:r>
    </w:p>
    <w:p>
      <w:pPr>
        <w:spacing w:after="0" w:line="176" w:lineRule="exact"/>
        <w:rPr>
          <w:rFonts w:ascii="Arial" w:cs="Arial" w:eastAsia="Arial" w:hAnsi="Arial"/>
          <w:sz w:val="18"/>
          <w:szCs w:val="18"/>
          <w:color w:val="auto"/>
        </w:rPr>
      </w:pPr>
    </w:p>
    <w:p>
      <w:pPr>
        <w:ind w:right="120" w:firstLine="8"/>
        <w:spacing w:after="0" w:line="482" w:lineRule="auto"/>
        <w:tabs>
          <w:tab w:leader="none" w:pos="7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pdf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7 October 2016 with respect to the Plan. The documents referred to above in paragraphs a) to d)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further examined such other records, documents and other instruments as we have deemed necessary or advisable for the purposes of rendering this opinion.</w:t>
      </w:r>
    </w:p>
    <w:p>
      <w:pPr>
        <w:spacing w:after="0" w:line="161"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760" w:right="20" w:hanging="752"/>
        <w:spacing w:after="0" w:line="24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183" w:lineRule="exact"/>
        <w:rPr>
          <w:rFonts w:ascii="Arial" w:cs="Arial" w:eastAsia="Arial" w:hAnsi="Arial"/>
          <w:sz w:val="18"/>
          <w:szCs w:val="18"/>
          <w:color w:val="auto"/>
        </w:rPr>
      </w:pPr>
    </w:p>
    <w:p>
      <w:pPr>
        <w:ind w:left="760" w:hanging="75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198" w:lineRule="exact"/>
        <w:rPr>
          <w:rFonts w:ascii="Arial" w:cs="Arial" w:eastAsia="Arial" w:hAnsi="Arial"/>
          <w:sz w:val="18"/>
          <w:szCs w:val="18"/>
          <w:color w:val="auto"/>
        </w:rPr>
      </w:pPr>
    </w:p>
    <w:p>
      <w:pPr>
        <w:jc w:val="both"/>
        <w:ind w:left="760" w:hanging="752"/>
        <w:spacing w:after="0" w:line="23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legal capacity, power and authority of each of the parties (other than the Company) to enter into and perform its obligations under the Plan as well as the due authorization, execution and delivery of the Plan or any document thereunder by each of the parties thereto (including the Company) and that all consents or approvals from and filings, registrations and notifications with or to all governmental authorities (other than in Switzerland) required in connection with the execution, delivery and performance of the Plan have been obtained or made and are in full force and effect;</w:t>
      </w:r>
    </w:p>
    <w:p>
      <w:pPr>
        <w:spacing w:after="0" w:line="189" w:lineRule="exact"/>
        <w:rPr>
          <w:rFonts w:ascii="Arial" w:cs="Arial" w:eastAsia="Arial" w:hAnsi="Arial"/>
          <w:sz w:val="18"/>
          <w:szCs w:val="18"/>
          <w:color w:val="auto"/>
        </w:rPr>
      </w:pPr>
    </w:p>
    <w:p>
      <w:pPr>
        <w:jc w:val="both"/>
        <w:ind w:left="760" w:right="20" w:hanging="75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is in full force and effect, has not been rescinded, either in whole or in part, by the Board and that there is no matter affecting the authority of the Board to approve the adoption or assumption of the Plan and filing of the registration statement which would have any adverse implication in relation to the opinions expressed herein;</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constitutes legal, valid, binding and enforceable obligations of the Company under the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0" w:name="page11"/>
    <w:bookmarkEnd w:id="10"/>
    <w:tbl>
      <w:tblPr>
        <w:tblLayout w:type="fixed"/>
        <w:tblInd w:w="60" w:type="dxa"/>
        <w:tblCellMar>
          <w:top w:w="0" w:type="dxa"/>
          <w:left w:w="0" w:type="dxa"/>
          <w:bottom w:w="0" w:type="dxa"/>
          <w:right w:w="0" w:type="dxa"/>
        </w:tblCellMar>
      </w:tblPr>
      <w:tr>
        <w:trPr>
          <w:trHeight w:val="172"/>
        </w:trPr>
        <w:tc>
          <w:tcPr>
            <w:tcW w:w="6080" w:type="dxa"/>
            <w:vAlign w:val="bottom"/>
          </w:tcPr>
          <w:p>
            <w:pPr>
              <w:spacing w:after="0"/>
              <w:rPr>
                <w:sz w:val="20"/>
                <w:szCs w:val="20"/>
                <w:color w:val="auto"/>
              </w:rPr>
            </w:pPr>
            <w:r>
              <w:rPr>
                <w:rFonts w:ascii="Arial" w:cs="Arial" w:eastAsia="Arial" w:hAnsi="Arial"/>
                <w:sz w:val="14"/>
                <w:szCs w:val="14"/>
                <w:color w:val="auto"/>
              </w:rPr>
              <w:t>8 March 2017</w:t>
            </w:r>
          </w:p>
        </w:tc>
        <w:tc>
          <w:tcPr>
            <w:tcW w:w="528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205105</wp:posOffset>
            </wp:positionV>
            <wp:extent cx="50609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09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authorizations, approvals, consents, licenses, exemptions and other requirements, other than those required under the laws of Switzerland, for the legality, validity and enforceability of the Plan have been duly obtained and are and will remain in full force and effect;</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of the options under the Plan will be conducted in writing in the manner described in the Plan;</w:t>
      </w:r>
    </w:p>
    <w:p>
      <w:pPr>
        <w:spacing w:after="0" w:line="198"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of any option granted is at least the current par value of CHF 0.02 per Share and is paid by the option holder to the Company;</w:t>
      </w:r>
    </w:p>
    <w:p>
      <w:pPr>
        <w:spacing w:after="0" w:line="183" w:lineRule="exact"/>
        <w:rPr>
          <w:rFonts w:ascii="Arial" w:cs="Arial" w:eastAsia="Arial" w:hAnsi="Arial"/>
          <w:sz w:val="18"/>
          <w:szCs w:val="18"/>
          <w:color w:val="auto"/>
        </w:rPr>
      </w:pPr>
    </w:p>
    <w:p>
      <w:pPr>
        <w:jc w:val="both"/>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time of any issuance of Shares under the Plan, the Company will have according to article 3c of the Articles of Association sufficient conditional share capital to issue the required number of new Shares to be delivered to option holders exercising options granted under the Plan; and</w:t>
      </w:r>
    </w:p>
    <w:p>
      <w:pPr>
        <w:spacing w:after="0" w:line="167" w:lineRule="exact"/>
        <w:rPr>
          <w:rFonts w:ascii="Arial" w:cs="Arial" w:eastAsia="Arial" w:hAnsi="Arial"/>
          <w:sz w:val="18"/>
          <w:szCs w:val="18"/>
          <w:color w:val="auto"/>
        </w:rPr>
      </w:pPr>
    </w:p>
    <w:p>
      <w:pPr>
        <w:jc w:val="both"/>
        <w:ind w:left="760" w:hanging="752"/>
        <w:spacing w:after="0" w:line="25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 the requisite reports of the Company's auditors according to article 653f of the Swiss Code of Obligations (the "</w:t>
      </w:r>
      <w:r>
        <w:rPr>
          <w:rFonts w:ascii="Arial" w:cs="Arial" w:eastAsia="Arial" w:hAnsi="Arial"/>
          <w:sz w:val="18"/>
          <w:szCs w:val="18"/>
          <w:b w:val="1"/>
          <w:bCs w:val="1"/>
          <w:color w:val="auto"/>
        </w:rPr>
        <w:t>SCO</w:t>
      </w:r>
      <w:r>
        <w:rPr>
          <w:rFonts w:ascii="Arial" w:cs="Arial" w:eastAsia="Arial" w:hAnsi="Arial"/>
          <w:sz w:val="18"/>
          <w:szCs w:val="18"/>
          <w:color w:val="auto"/>
        </w:rPr>
        <w:t>"), (ii) the amendments of the Articles of Association according to article 653g SCO, and (iii) the entry of the corresponding share capital increase into the Commercial Register of the Canton of Vaud will be given or made.</w:t>
      </w:r>
    </w:p>
    <w:p>
      <w:pPr>
        <w:spacing w:after="0" w:line="156"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w:t>
      </w:r>
    </w:p>
    <w:p>
      <w:pPr>
        <w:spacing w:after="0" w:line="180" w:lineRule="exact"/>
        <w:rPr>
          <w:sz w:val="20"/>
          <w:szCs w:val="20"/>
          <w:color w:val="auto"/>
        </w:rPr>
      </w:pPr>
    </w:p>
    <w:p>
      <w:pPr>
        <w:jc w:val="both"/>
        <w:ind w:left="760" w:hanging="752"/>
        <w:spacing w:after="0" w:line="25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under the laws of Switzerland, having unlimited corporate existence and the capacity to carry out its business, to own its property and to sue and to be sued in its own name.</w:t>
      </w:r>
    </w:p>
    <w:p>
      <w:pPr>
        <w:spacing w:after="0" w:line="178" w:lineRule="exact"/>
        <w:rPr>
          <w:rFonts w:ascii="Arial" w:cs="Arial" w:eastAsia="Arial" w:hAnsi="Arial"/>
          <w:sz w:val="18"/>
          <w:szCs w:val="18"/>
          <w:color w:val="auto"/>
        </w:rPr>
      </w:pPr>
    </w:p>
    <w:p>
      <w:pPr>
        <w:jc w:val="both"/>
        <w:ind w:left="760" w:hanging="75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when issued and paid for in accordance with the Articles of Association and, provided the issue price for such Shares has been fully paid-in, will be validly issued, fully paid-in and non-assessable (which term means when used herein that no further contributions have to be made by the holders of the Shares).</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QUALIFICATIONS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jc w:val="both"/>
        <w:ind w:left="760" w:hanging="75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any representations and warranties made by the parties to the Plan or any matters of fact.</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1" w:name="page12"/>
    <w:bookmarkEnd w:id="11"/>
    <w:tbl>
      <w:tblPr>
        <w:tblLayout w:type="fixed"/>
        <w:tblInd w:w="60" w:type="dxa"/>
        <w:tblCellMar>
          <w:top w:w="0" w:type="dxa"/>
          <w:left w:w="0" w:type="dxa"/>
          <w:bottom w:w="0" w:type="dxa"/>
          <w:right w:w="0" w:type="dxa"/>
        </w:tblCellMar>
      </w:tblPr>
      <w:tr>
        <w:trPr>
          <w:trHeight w:val="172"/>
        </w:trPr>
        <w:tc>
          <w:tcPr>
            <w:tcW w:w="6080" w:type="dxa"/>
            <w:vAlign w:val="bottom"/>
          </w:tcPr>
          <w:p>
            <w:pPr>
              <w:spacing w:after="0"/>
              <w:rPr>
                <w:sz w:val="20"/>
                <w:szCs w:val="20"/>
                <w:color w:val="auto"/>
              </w:rPr>
            </w:pPr>
            <w:r>
              <w:rPr>
                <w:rFonts w:ascii="Arial" w:cs="Arial" w:eastAsia="Arial" w:hAnsi="Arial"/>
                <w:sz w:val="14"/>
                <w:szCs w:val="14"/>
                <w:color w:val="auto"/>
              </w:rPr>
              <w:t>8 March 2017</w:t>
            </w:r>
          </w:p>
        </w:tc>
        <w:tc>
          <w:tcPr>
            <w:tcW w:w="528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205105</wp:posOffset>
            </wp:positionV>
            <wp:extent cx="50609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09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 be implied or inferred. In particular we express no opinion as to any commercial, calculating, auditing or other non-legal matters.</w:t>
      </w:r>
    </w:p>
    <w:p>
      <w:pPr>
        <w:ind w:left="780"/>
        <w:spacing w:after="0"/>
        <w:rPr>
          <w:sz w:val="20"/>
          <w:szCs w:val="20"/>
          <w:color w:val="auto"/>
        </w:rPr>
      </w:pPr>
      <w:r>
        <w:rPr>
          <w:rFonts w:ascii="Arial" w:cs="Arial" w:eastAsia="Arial" w:hAnsi="Arial"/>
          <w:sz w:val="18"/>
          <w:szCs w:val="18"/>
          <w:color w:val="auto"/>
        </w:rPr>
        <w:t>Further, we express no opinion as to tax law.</w:t>
      </w:r>
    </w:p>
    <w:p>
      <w:pPr>
        <w:spacing w:after="0" w:line="198"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Form S-8.</w:t>
      </w:r>
    </w:p>
    <w:p>
      <w:pPr>
        <w:spacing w:after="0" w:line="200" w:lineRule="exact"/>
        <w:rPr>
          <w:sz w:val="20"/>
          <w:szCs w:val="20"/>
          <w:color w:val="auto"/>
        </w:rPr>
      </w:pPr>
    </w:p>
    <w:p>
      <w:pPr>
        <w:spacing w:after="0" w:line="201"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172"/>
        </w:trPr>
        <w:tc>
          <w:tcPr>
            <w:tcW w:w="6080" w:type="dxa"/>
            <w:vAlign w:val="bottom"/>
          </w:tcPr>
          <w:p>
            <w:pPr>
              <w:spacing w:after="0"/>
              <w:rPr>
                <w:sz w:val="20"/>
                <w:szCs w:val="20"/>
                <w:color w:val="auto"/>
              </w:rPr>
            </w:pPr>
            <w:r>
              <w:rPr>
                <w:rFonts w:ascii="Arial" w:cs="Arial" w:eastAsia="Arial" w:hAnsi="Arial"/>
                <w:sz w:val="14"/>
                <w:szCs w:val="14"/>
                <w:color w:val="auto"/>
              </w:rPr>
              <w:t>8 March 2017</w:t>
            </w:r>
          </w:p>
        </w:tc>
        <w:tc>
          <w:tcPr>
            <w:tcW w:w="528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205105</wp:posOffset>
            </wp:positionV>
            <wp:extent cx="50609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09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hereby consent to the filing of this opinion as an exhibit to the Form S-8. In giving such consent, we do not thereby admit that we are in the category of persons whose consent is required under Section 7 of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/s/Matthias Staehelin</w:t>
      </w:r>
    </w:p>
    <w:p>
      <w:pPr>
        <w:spacing w:after="0"/>
        <w:rPr>
          <w:sz w:val="20"/>
          <w:szCs w:val="20"/>
          <w:color w:val="auto"/>
        </w:rPr>
      </w:pPr>
      <w:r>
        <w:rPr>
          <w:rFonts w:ascii="Arial" w:cs="Arial" w:eastAsia="Arial" w:hAnsi="Arial"/>
          <w:sz w:val="18"/>
          <w:szCs w:val="18"/>
          <w:color w:val="auto"/>
        </w:rPr>
        <w:t>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AC Immune SA 2016 Stock Option and Incentive Plan of AC Immune SA of our report dated April 21, 2016, with respect to the financial statements of AC Immune SA included in its Registration Statement (Form F-1 No. 333-211714) for the year ended December 31, 2015,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5"/>
      <w:numFmt w:val="bullet"/>
      <w:start w:val="1"/>
    </w:lvl>
  </w:abstractNum>
  <w:abstractNum w:abstractNumId="3">
    <w:nsid w:val="1F16E9E8"/>
    <w:multiLevelType w:val="hybridMultilevel"/>
    <w:lvl w:ilvl="0">
      <w:lvlJc w:val="left"/>
      <w:lvlText w:val="%1"/>
      <w:numFmt w:val="decimal"/>
      <w:start w:val="99"/>
    </w:lvl>
  </w:abstractNum>
  <w:abstractNum w:abstractNumId="4">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66EF438D"/>
    <w:multiLevelType w:val="hybridMultilevel"/>
    <w:lvl w:ilvl="0">
      <w:lvlJc w:val="left"/>
      <w:lvlText w:val="%1"/>
      <w:numFmt w:val="lowerLetter"/>
      <w:start w:val="1"/>
    </w:lvl>
    <w:lvl w:ilvl="1">
      <w:lvlJc w:val="left"/>
      <w:lvlText w:val="(%2)"/>
      <w:numFmt w:val="decimal"/>
      <w:start w:val="2"/>
    </w:lvl>
  </w:abstractNum>
  <w:abstractNum w:abstractNumId="6">
    <w:nsid w:val="140E0F76"/>
    <w:multiLevelType w:val="hybridMultilevel"/>
    <w:lvl w:ilvl="0">
      <w:lvlJc w:val="left"/>
      <w:lvlText w:val="(%1)"/>
      <w:numFmt w:val="lowerLetter"/>
      <w:start w:val="2"/>
    </w:lvl>
    <w:lvl w:ilvl="1">
      <w:lvlJc w:val="left"/>
      <w:lvlText w:val="%2"/>
      <w:numFmt w:val="decimal"/>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1"/>
      <w:numFmt w:val="decimal"/>
      <w:start w:val="99"/>
    </w:lvl>
  </w:abstractNum>
  <w:abstractNum w:abstractNumId="9">
    <w:nsid w:val="DED7263"/>
    <w:multiLevelType w:val="hybridMultilevel"/>
    <w:lvl w:ilvl="0">
      <w:lvlJc w:val="left"/>
      <w:lvlText w:val="%1."/>
      <w:numFmt w:val="upperLetter"/>
      <w:start w:val="9"/>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upperLetter"/>
      <w:start w:val="3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6"/>
    </w:lvl>
  </w:abstractNum>
  <w:abstractNum w:abstractNumId="14">
    <w:nsid w:val="4E6AFB66"/>
    <w:multiLevelType w:val="hybridMultilevel"/>
    <w:lvl w:ilvl="0">
      <w:lvlJc w:val="left"/>
      <w:lvlText w:val="%1."/>
      <w:numFmt w:val="upperLetter"/>
      <w:start w:val="6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2019-12-08T04:36:22Z</dcterms:created>
  <dcterms:modified xsi:type="dcterms:W3CDTF">2019-12-08T04:36:22Z</dcterms:modified>
</cp:coreProperties>
</file>