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19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UNDER THE SECURITIES EXCHANGE ACT OF 1934</w:t>
      </w: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month of March, 2025</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5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-553085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652145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40"/>
          </w:cols>
          <w:pgMar w:left="1200" w:top="778" w:right="1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gridSpan w:val="2"/>
          </w:tcPr>
          <w:p>
            <w:pPr>
              <w:jc w:val="center"/>
              <w:ind w:left="33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March 13, 2025</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412"/>
        </w:trPr>
        <w:tc>
          <w:tcPr>
            <w:tcW w:w="7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2024 Annual Report</w:t>
            </w:r>
          </w:p>
        </w:tc>
      </w:tr>
      <w:tr>
        <w:trPr>
          <w:trHeight w:val="695"/>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top w:val="single" w:sz="8" w:color="0000EE"/>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94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94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3990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9900" cy="3600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Reports Full Year 2024 Financial Results and Provides a Corporate Update</w:t>
      </w:r>
    </w:p>
    <w:p>
      <w:pPr>
        <w:spacing w:after="0" w:line="229" w:lineRule="exact"/>
        <w:rPr>
          <w:sz w:val="20"/>
          <w:szCs w:val="20"/>
          <w:color w:val="auto"/>
        </w:rPr>
      </w:pPr>
    </w:p>
    <w:p>
      <w:pPr>
        <w:ind w:left="660" w:right="2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Landmark exclusive option and license deal with Takeda for ACI-24.060 with $100 million upfront and additional potential milestones of up to about $2.1 billion plus royalties on sales upon commercialization</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ACI-24.060 ABATE Phase 1b/2 trial showed encouraging interim safety and tolerability data in Down syndrome (DS) cohort; further interim results in Alzheimer’s disease (AD) and DS expected in 2025</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progress in JNJ-2056 (ACI-35.030) ReTain Phase 2b trial in preclinical AD patients triggered second milestone payment of CHF 24.6 million; JNJ-2056 granted U.S. FDA Fast Track Designation in AD</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ACI-7104.056 VacSYn Phase 2 trial demonstrated positive interim safety and immunogenicity results in Parkinson’s disease (PD); further interim results in H1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resources of CHF 165.5 million at year end provides funding into Q1 2027, assuming no other milestones</w:t>
      </w:r>
    </w:p>
    <w:p>
      <w:pPr>
        <w:spacing w:after="0" w:line="22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Lausanne, Switzerland, March 13, 2025 – </w:t>
      </w:r>
      <w:r>
        <w:rPr>
          <w:rFonts w:ascii="Times New Roman" w:cs="Times New Roman" w:eastAsia="Times New Roman" w:hAnsi="Times New Roman"/>
          <w:sz w:val="18"/>
          <w:szCs w:val="18"/>
          <w:color w:val="auto"/>
        </w:rPr>
        <w:t>AC Immune SA (NASDAQ: ACIU), a clinical-stage biopharmaceutical company pioneering precision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for neurodegenerative diseases, today reported results for the full year ended December 31, 2024, and provided a corporate update.</w:t>
      </w:r>
    </w:p>
    <w:p>
      <w:pPr>
        <w:spacing w:after="0" w:line="15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Dr. Andrea Pfeifer, CEO of AC Immune SA, commented: </w:t>
      </w:r>
      <w:r>
        <w:rPr>
          <w:rFonts w:ascii="Times New Roman" w:cs="Times New Roman" w:eastAsia="Times New Roman" w:hAnsi="Times New Roman"/>
          <w:sz w:val="18"/>
          <w:szCs w:val="18"/>
          <w:color w:val="auto"/>
        </w:rPr>
        <w:t>“We significantly advanced our leading position in the precision prevention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neurodegenerative diseases in 2024 through strong pipeline progress and the closing of a landmark deal with Takeda. Achievements across our portfolio of active immunotherapies, including encouraging clinical data from ACI-7104.056 and ACI-24.060 and U.S. FDA Fast Track designation for ACI-35.030, underscore the potential of this modality to treat patients earlier and to prevent or delay neurodegenerative diseases and their symptoms. We anticipate additional important evidence this year from the VacSYn trial of ACI-7104.056 and the ABATE trial of ACI-24.060, bringing us closer to redefining treatment with more convenient and better tolerated prevention options for these devastating conditions.”</w:t>
      </w:r>
    </w:p>
    <w:p>
      <w:pPr>
        <w:spacing w:after="0" w:line="18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agreement with Takeda for ACI-24.060 includes potential milestone payments of up to $2.1 billion and affirms our proven track record of securing high-value partnerships. In 2024, our partnership with Takeda included a $100 million upfront payment, combined with a CHF 24.6 million milestone payment from Janssen, triggered by rapid prescreening rates in the ReTain trial of ACI-35.030. These payments ensure funding for currently planned operations into 2027 and reaffirm the value of our pipeline assets and differentiated discovery platforms.”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ability to innovate is key to our future success. Driven by our two drug discovery platforms, in 2024, we advanced multiple early-stage assets, such as small molecule candidates targeting NLRP3 and Tau further into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3990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9900" cy="3600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and Subsequent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Active Immunotherapy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ACI-24.060 anti-Abeta active immunotherapy</w:t>
      </w:r>
    </w:p>
    <w:p>
      <w:pPr>
        <w:spacing w:after="0" w:line="227" w:lineRule="exact"/>
        <w:rPr>
          <w:sz w:val="20"/>
          <w:szCs w:val="20"/>
          <w:color w:val="auto"/>
        </w:rPr>
      </w:pPr>
    </w:p>
    <w:p>
      <w:pPr>
        <w:ind w:left="660" w:right="22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and Takeda signed an exclusive option and license agreement for AC Immune’s active immunotherapies targeting Abeta, including ACI-24.060 for AD. AC Immune received an upfront payment of $100 million and is eligible to receive total potential payments of up to approximately $2.1 billion; these include an option exercise fee, development, commercial and sales milestones. Upon commercialization, AC Immune also is entitled to receive tiered double-digit royalties on worldwide net sales.</w:t>
      </w:r>
    </w:p>
    <w:p>
      <w:pPr>
        <w:spacing w:after="0" w:line="17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interim data from the ABATE Phase 1b/2 trial in individuals with DS showed that ACI-24.060 was generally safe and well tolerated with no serious adverse events related to the study drug and no cases of amyloid-related imaging abnormalities (ARIA). ABATE will now start to evaluate the high dose of ACI-24.060 in individuals with DS.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AD patients in the Phase 1b/2 ABATE trial continues.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ACI-35.030 (JNJ-2056) anti-phospho-Tau (anti-pTau) active immunotherapy</w:t>
      </w:r>
    </w:p>
    <w:p>
      <w:pPr>
        <w:spacing w:after="0" w:line="227" w:lineRule="exact"/>
        <w:rPr>
          <w:sz w:val="20"/>
          <w:szCs w:val="20"/>
          <w:color w:val="auto"/>
        </w:rPr>
      </w:pPr>
    </w:p>
    <w:p>
      <w:pPr>
        <w:ind w:left="660" w:right="8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received the second ReTain-related milestone payment of CHF 24.6 million under its agreement with Janssen Pharmaceuticals, Inc. (Janssen), a Johnson &amp; Johnson company. The payment was triggered by the rapid prescreening rate in the potentially registrational Phase 2b ReTain trial investigating JNJ-2056 (ACI-35.030) to treat preclinical (pre-symptomatic) AD. Phase 1b/2a clinical testing showed that ACI-35.030 induces an antibody response targeting pathologic phosphorylated Tau while sparing normal physiological forms of Tau.</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&amp; Johnson received Fast Track designation for JNJ-2056 from the U.S. FDA for AD in July 2024.</w:t>
      </w:r>
    </w:p>
    <w:p>
      <w:pPr>
        <w:spacing w:after="0" w:line="2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Medicines and Healthcare products Regulatory Agency (MHRA) has awarded the innovative medicine designation, the Innovation Passport, for ACI-35.030/JNJ-2056 in the treatment of AD. This is the entry point to the Innovative Licensing and Access Pathway (ILAP) which aims to accelerate time to market and facilitate patient access.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ACI-7104.056 anti-a-syn active immunotherapy</w:t>
      </w:r>
    </w:p>
    <w:p>
      <w:pPr>
        <w:spacing w:after="0" w:line="22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ACI-7104.056 demonstrated positive interim safety and immunogenicity in the Phase 2 VacSYn clinical trial in early PD patients:</w:t>
      </w:r>
    </w:p>
    <w:p>
      <w:pPr>
        <w:spacing w:after="0" w:line="225"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antibody responses were induced against the target antigen at week 6 after 2 immunizations and were strongly boostable.</w:t>
      </w:r>
    </w:p>
    <w:p>
      <w:pPr>
        <w:spacing w:after="0" w:line="225"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ACI-7104.056 induced an increase in anti-a-syn antibodies on average 16-fold higher than the placebo background level after three immunizations.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3990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9900" cy="3600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300" w:right="66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no clinically relevant safety issues have been reported and the most common adverse events were transient injection site reactions (49%) and headaches (18%).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 Molecule Programs</w:t>
      </w:r>
    </w:p>
    <w:p>
      <w:pPr>
        <w:spacing w:after="0" w:line="227" w:lineRule="exact"/>
        <w:rPr>
          <w:sz w:val="20"/>
          <w:szCs w:val="20"/>
          <w:color w:val="auto"/>
        </w:rPr>
      </w:pPr>
    </w:p>
    <w:p>
      <w:pPr>
        <w:ind w:left="660" w:right="880" w:hanging="328"/>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ACI-19764 small molecule NLRP3 inhibitor is undergoing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proof of concept with results expected in 2025 anticipated to enable investigational new drug (IND) application.</w:t>
      </w:r>
    </w:p>
    <w:p>
      <w:pPr>
        <w:spacing w:after="0" w:line="16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Morphomer Tau and Morphomer a-syn small molecule aggregation inhibitors have made steady progress with selection of lead candidates expected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 Programs</w:t>
      </w:r>
    </w:p>
    <w:p>
      <w:pPr>
        <w:spacing w:after="0" w:line="229" w:lineRule="exact"/>
        <w:rPr>
          <w:sz w:val="20"/>
          <w:szCs w:val="20"/>
          <w:color w:val="auto"/>
        </w:rPr>
      </w:pPr>
    </w:p>
    <w:p>
      <w:pPr>
        <w:ind w:left="660" w:right="4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Immune’s partner Life Molecular Imaging (LMI) received FDA Fast Track Designation for the Tau positron emission tomography (PET) diagnostic PI-2620 in AD, progressive supranuclear palsy (PSP), and corticobasal degeneration (CBD).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 of TDP-43-PET tracer ACI-19626 in genetic frontotemporal dementia (FTD) is ongoing with initial clinical data expected in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IND-enabling studies of a-syn-PET tracer ACI-15916 for the diagnosis of PD.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Thought and Innovation Leadership</w:t>
      </w:r>
    </w:p>
    <w:p>
      <w:pPr>
        <w:spacing w:after="0" w:line="229" w:lineRule="exact"/>
        <w:rPr>
          <w:sz w:val="20"/>
          <w:szCs w:val="20"/>
          <w:color w:val="auto"/>
        </w:rPr>
      </w:pPr>
    </w:p>
    <w:p>
      <w:pPr>
        <w:ind w:left="660" w:right="34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Immune’s therapeutic and diagnostic programs were featured in multiple presentations at the International Conference on Alzheimer’s &amp; Parkinson’s disease (AD/PD™ 2024). In addition, Andrea Pfeifer, Ph.D., CEO of AC Immune, led an industry symposium exploring the latest clinical advances in the diagnosis and treatment of alpha-synuclein pathologies.</w:t>
      </w:r>
    </w:p>
    <w:p>
      <w:pPr>
        <w:spacing w:after="0" w:line="175" w:lineRule="exact"/>
        <w:rPr>
          <w:rFonts w:ascii="Times New Roman" w:cs="Times New Roman" w:eastAsia="Times New Roman" w:hAnsi="Times New Roman"/>
          <w:sz w:val="18"/>
          <w:szCs w:val="18"/>
          <w:color w:val="auto"/>
        </w:rPr>
      </w:pPr>
    </w:p>
    <w:p>
      <w:pPr>
        <w:ind w:left="660" w:hanging="328"/>
        <w:spacing w:after="0" w:line="29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unveiled its novel therapeutic antibody drug conjugate technology morADC for improved efficacy in neurodegenerative diseases at the Alzheimer's Association International Conference (AAIC) 2024. morADC combines proprietary brain-penetrant small molecule Morphomers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SupraAntigen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monoclonal antibodies and holds substantial promise in our fight against neurodegeneration.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PRESS RELEASE</w:t>
            </w:r>
          </w:p>
        </w:tc>
        <w:tc>
          <w:tcPr>
            <w:tcW w:w="0" w:type="dxa"/>
            <w:vAlign w:val="bottom"/>
          </w:tcPr>
          <w:p>
            <w:pPr>
              <w:spacing w:after="0"/>
              <w:rPr>
                <w:sz w:val="1"/>
                <w:szCs w:val="1"/>
                <w:color w:val="auto"/>
              </w:rPr>
            </w:pPr>
          </w:p>
        </w:tc>
      </w:tr>
      <w:tr>
        <w:trPr>
          <w:trHeight w:val="783"/>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Anticipated 2025 Milestones</w:t>
            </w:r>
          </w:p>
        </w:tc>
        <w:tc>
          <w:tcPr>
            <w:tcW w:w="6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Program</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Milestone</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Expected in</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ACI-24.060</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ABATE Phase 2 trial interim results in AD and DS</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anti-Abeta active immunotherapy</w:t>
            </w:r>
          </w:p>
        </w:tc>
        <w:tc>
          <w:tcPr>
            <w:tcW w:w="69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ACI-7104.056</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Further interim results from Part 1 of Phase 2 VacSYn trial in PD, including</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H1 2025</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anti-a-syn active immunotherapy</w:t>
            </w:r>
          </w:p>
        </w:tc>
        <w:tc>
          <w:tcPr>
            <w:tcW w:w="69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pharmacodynamics and biomarkers</w:t>
            </w: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20" w:type="dxa"/>
            <w:vAlign w:val="bottom"/>
            <w:tcBorders>
              <w:left w:val="single" w:sz="8" w:color="auto"/>
              <w:right w:val="single" w:sz="8" w:color="auto"/>
            </w:tcBorders>
          </w:tcPr>
          <w:p>
            <w:pPr>
              <w:spacing w:after="0"/>
              <w:rPr>
                <w:sz w:val="24"/>
                <w:szCs w:val="24"/>
                <w:color w:val="auto"/>
              </w:rPr>
            </w:pP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Initiation of Part 2 of VacSYn trial</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TDP-43</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Validated pharmacodynamic assay for clinical readout</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monoclonal antibody</w:t>
            </w:r>
          </w:p>
        </w:tc>
        <w:tc>
          <w:tcPr>
            <w:tcW w:w="69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ACI-19764</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Lead declaration and initiation of IND-enabling studies</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H1 2025</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Small molecule NLRP3 inhibitor</w:t>
            </w:r>
          </w:p>
        </w:tc>
        <w:tc>
          <w:tcPr>
            <w:tcW w:w="6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IND/CTA filing</w:t>
            </w:r>
          </w:p>
        </w:tc>
        <w:tc>
          <w:tcPr>
            <w:tcW w:w="166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6960" w:type="dxa"/>
            <w:vAlign w:val="bottom"/>
            <w:tcBorders>
              <w:right w:val="single" w:sz="8" w:color="auto"/>
            </w:tcBorders>
            <w:vMerge w:val="continue"/>
          </w:tcPr>
          <w:p>
            <w:pPr>
              <w:spacing w:after="0"/>
              <w:rPr>
                <w:sz w:val="18"/>
                <w:szCs w:val="18"/>
                <w:color w:val="auto"/>
              </w:rPr>
            </w:pPr>
          </w:p>
        </w:tc>
        <w:tc>
          <w:tcPr>
            <w:tcW w:w="16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Morphomer-Tau aggregation</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Lead declaration and initiation of IND-enabling studies</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inhibitors</w:t>
            </w:r>
          </w:p>
        </w:tc>
        <w:tc>
          <w:tcPr>
            <w:tcW w:w="69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Morphomer a-syn aggregation</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Lead declaration</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inhibitor</w:t>
            </w:r>
          </w:p>
        </w:tc>
        <w:tc>
          <w:tcPr>
            <w:tcW w:w="69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morADC</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In vivo</w:t>
            </w:r>
            <w:r>
              <w:rPr>
                <w:rFonts w:ascii="Times New Roman" w:cs="Times New Roman" w:eastAsia="Times New Roman" w:hAnsi="Times New Roman"/>
                <w:sz w:val="18"/>
                <w:szCs w:val="18"/>
                <w:color w:val="auto"/>
              </w:rPr>
              <w:t xml:space="preserve"> PoC study of proprietary brain delivery platform</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H1 2025</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TDP-43-PET tracer</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Initial Phase 1 readout in genetic FTD</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ACI-15916</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Phase 1 readout</w:t>
            </w:r>
          </w:p>
        </w:tc>
        <w:tc>
          <w:tcPr>
            <w:tcW w:w="16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a-syn-PET tracer</w:t>
            </w:r>
          </w:p>
        </w:tc>
        <w:tc>
          <w:tcPr>
            <w:tcW w:w="69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-3951605</wp:posOffset>
            </wp:positionV>
            <wp:extent cx="173990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9900" cy="36004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Statements for the Year Ended December 31, 2024</w:t>
      </w:r>
    </w:p>
    <w:p>
      <w:pPr>
        <w:spacing w:after="0" w:line="225" w:lineRule="exact"/>
        <w:rPr>
          <w:sz w:val="20"/>
          <w:szCs w:val="20"/>
          <w:color w:val="auto"/>
        </w:rPr>
      </w:pPr>
    </w:p>
    <w:p>
      <w:pPr>
        <w:ind w:left="660" w:right="1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The Company had total cash resources of CHF 165.5 million as of December 31, 2024, compared to total cash resources of CHF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103.1 million as of December 31, 2023. The Company’s cash balance provides sufficient capital resources into Q1 2027, assuming no other milestones.</w:t>
      </w:r>
    </w:p>
    <w:p>
      <w:pPr>
        <w:spacing w:after="0" w:line="170"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Contract Revenues: </w:t>
      </w:r>
      <w:r>
        <w:rPr>
          <w:rFonts w:ascii="Times New Roman" w:cs="Times New Roman" w:eastAsia="Times New Roman" w:hAnsi="Times New Roman"/>
          <w:sz w:val="18"/>
          <w:szCs w:val="18"/>
          <w:color w:val="auto"/>
        </w:rPr>
        <w:t>The Company recorded CHF 27.3 million in contract revenues for the year ended December 31, 2024, compared with CHF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14.8 million in contract revenues in the prior year. For the year ended December 31, 2024, our contract revenues of CHF 27.3 million were related to:</w:t>
      </w:r>
    </w:p>
    <w:p>
      <w:pPr>
        <w:spacing w:after="0" w:line="175" w:lineRule="exact"/>
        <w:rPr>
          <w:sz w:val="20"/>
          <w:szCs w:val="20"/>
          <w:color w:val="auto"/>
        </w:rPr>
      </w:pPr>
    </w:p>
    <w:p>
      <w:pPr>
        <w:ind w:left="1300" w:right="160" w:hanging="320"/>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the second ReTain-related milestone payment of CHF 24.6 million under the agreement with Janssen. The milestone payment was triggered by the rapid rate of prescreening in the potentially registrational Phase 2b ReTain trial investigating active-immunotherapy candidate JNJ-2056 (ACI-35.030) to treat preclinical AD;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39900"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9900" cy="3600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made under the agreement with Takeda for the development, CMC, and regulatory activities.</w:t>
      </w:r>
    </w:p>
    <w:p>
      <w:pPr>
        <w:spacing w:after="0" w:line="221"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Expenditures: </w:t>
      </w:r>
      <w:r>
        <w:rPr>
          <w:rFonts w:ascii="Times New Roman" w:cs="Times New Roman" w:eastAsia="Times New Roman" w:hAnsi="Times New Roman"/>
          <w:sz w:val="18"/>
          <w:szCs w:val="18"/>
          <w:color w:val="auto"/>
        </w:rPr>
        <w:t>R&amp;D expense increased by CHF 8.0 million for the year ended December 31, 2024 to CHF 62.6 million, predominantly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t>
      </w:r>
    </w:p>
    <w:p>
      <w:pPr>
        <w:spacing w:after="0" w:line="154" w:lineRule="exact"/>
        <w:rPr>
          <w:rFonts w:ascii="Times New Roman" w:cs="Times New Roman" w:eastAsia="Times New Roman" w:hAnsi="Times New Roman"/>
          <w:sz w:val="18"/>
          <w:szCs w:val="18"/>
          <w:color w:val="auto"/>
        </w:rPr>
      </w:pPr>
    </w:p>
    <w:p>
      <w:pPr>
        <w:ind w:left="1300" w:right="280" w:hanging="320"/>
        <w:spacing w:after="0" w:line="268"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Discovery and preclinical expenses: </w:t>
      </w:r>
      <w:r>
        <w:rPr>
          <w:rFonts w:ascii="Times New Roman" w:cs="Times New Roman" w:eastAsia="Times New Roman" w:hAnsi="Times New Roman"/>
          <w:sz w:val="18"/>
          <w:szCs w:val="18"/>
          <w:color w:val="auto"/>
        </w:rPr>
        <w:t>Decrease of CHF 1.8 million, primarily due to the completion of certain pre-clinical studies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strategic focus on advancing clinical-stage programs. As a result, a greater proportion of our resources was allocated to clinical development activities rather than discovery and pre-clinical activities.</w:t>
      </w:r>
    </w:p>
    <w:p>
      <w:pPr>
        <w:spacing w:after="0" w:line="17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expenses: </w:t>
      </w:r>
      <w:r>
        <w:rPr>
          <w:rFonts w:ascii="Times New Roman" w:cs="Times New Roman" w:eastAsia="Times New Roman" w:hAnsi="Times New Roman"/>
          <w:sz w:val="18"/>
          <w:szCs w:val="18"/>
          <w:color w:val="auto"/>
        </w:rPr>
        <w:t>Increase of CHF 8.8 million, primarily due to an increase of activities in our Phase 1b/2 ABATE study of ACI-</w:t>
      </w:r>
    </w:p>
    <w:p>
      <w:pPr>
        <w:spacing w:after="0" w:line="31" w:lineRule="exact"/>
        <w:rPr>
          <w:rFonts w:ascii="Times New Roman" w:cs="Times New Roman" w:eastAsia="Times New Roman" w:hAnsi="Times New Roman"/>
          <w:sz w:val="18"/>
          <w:szCs w:val="18"/>
          <w:color w:val="auto"/>
        </w:rPr>
      </w:pPr>
    </w:p>
    <w:p>
      <w:pPr>
        <w:ind w:left="1300"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24.060, and our Phase 2 VacSYn study of ACI-7104.056. This was partially offset by a decrease of CHF 0.8 million for the clinical development of ACI-35.030, driven by the completion of the prior Phase 1b/2a trial and its progression into the Phase 2b ReTain trial, where the costs are borne by Janssen.</w:t>
      </w:r>
    </w:p>
    <w:p>
      <w:pPr>
        <w:spacing w:after="0" w:line="181" w:lineRule="exact"/>
        <w:rPr>
          <w:rFonts w:ascii="Times New Roman" w:cs="Times New Roman" w:eastAsia="Times New Roman" w:hAnsi="Times New Roman"/>
          <w:sz w:val="18"/>
          <w:szCs w:val="18"/>
          <w:color w:val="auto"/>
        </w:rPr>
      </w:pPr>
    </w:p>
    <w:p>
      <w:pPr>
        <w:ind w:left="1300" w:right="80" w:hanging="320"/>
        <w:spacing w:after="0" w:line="268"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Salary- and benefit-related costs: </w:t>
      </w:r>
      <w:r>
        <w:rPr>
          <w:rFonts w:ascii="Times New Roman" w:cs="Times New Roman" w:eastAsia="Times New Roman" w:hAnsi="Times New Roman"/>
          <w:sz w:val="18"/>
          <w:szCs w:val="18"/>
          <w:color w:val="auto"/>
        </w:rPr>
        <w:t>Increase of CHF 1.0 million, primarily due to the annualization of 2023 hires and additional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hires during the year, which resulted in an increase in salary- and benefit-related costs of CHF 0.7 million, and CHF 0.3 million in share-based compensation expense.</w:t>
      </w:r>
    </w:p>
    <w:p>
      <w:pPr>
        <w:spacing w:after="0" w:line="170"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Expenditures: </w:t>
      </w:r>
      <w:r>
        <w:rPr>
          <w:rFonts w:ascii="Times New Roman" w:cs="Times New Roman" w:eastAsia="Times New Roman" w:hAnsi="Times New Roman"/>
          <w:sz w:val="18"/>
          <w:szCs w:val="18"/>
          <w:color w:val="auto"/>
        </w:rPr>
        <w:t>G&amp;A expenses increased by CHF 2.0 million for the year ended December 31, 2024, to CHF 17.3 million. This increase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legal fees related to business development and licensing activities, as well as salaries and related costs, largely attributable to the higher expenses from equity awards granted in 2024, which have a higher fair value based on our share price development.</w:t>
      </w:r>
    </w:p>
    <w:p>
      <w:pPr>
        <w:spacing w:after="0" w:line="170"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IFRS Loss for the Period: </w:t>
      </w:r>
      <w:r>
        <w:rPr>
          <w:rFonts w:ascii="Times New Roman" w:cs="Times New Roman" w:eastAsia="Times New Roman" w:hAnsi="Times New Roman"/>
          <w:sz w:val="18"/>
          <w:szCs w:val="18"/>
          <w:color w:val="auto"/>
        </w:rPr>
        <w:t>The Company reported a net loss after taxes of CHF 50.9 million for the year ended December 31, 2024,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net loss of CHF 54.2 million for the prior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Financial Guidance</w:t>
      </w:r>
    </w:p>
    <w:p>
      <w:pPr>
        <w:spacing w:after="0" w:line="229" w:lineRule="exact"/>
        <w:rPr>
          <w:sz w:val="20"/>
          <w:szCs w:val="20"/>
          <w:color w:val="auto"/>
        </w:rPr>
      </w:pPr>
    </w:p>
    <w:p>
      <w:pPr>
        <w:ind w:left="660" w:right="1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2025, the Company expects its total cash expenditure to be in the range of CHF 75–85 million. The Company defines total cash expenditure as operating expenditures adjusted to include capital expenditures and offset by significant non-cash items (including share-based compensation and depreciation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including five in Phase 2 development and one in Phase 3.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3990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9900" cy="3600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SupraAntigen® is a registered trademark of AC Immune SA in the following territories: AU, EU, CH, GB, JP, RU, SG and USA. Morphomer® is a registered trademark of AC Immune SA in CN, CH, GB, JP, KR, NO and RU.</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expressly not incorporated by reference into, and does not constitute a part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SVP, Investor Relations &amp; Corporate Communications</w:t>
            </w:r>
          </w:p>
        </w:tc>
        <w:tc>
          <w:tcPr>
            <w:tcW w:w="36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U.S. Investors</w:t>
            </w:r>
          </w:p>
        </w:tc>
      </w:tr>
      <w:tr>
        <w:trPr>
          <w:trHeight w:val="216"/>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Gary Waanders, Ph.D., MBA</w:t>
            </w:r>
          </w:p>
        </w:tc>
        <w:tc>
          <w:tcPr>
            <w:tcW w:w="3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Christina Tartaglia</w:t>
            </w:r>
          </w:p>
        </w:tc>
      </w:tr>
      <w:tr>
        <w:trPr>
          <w:trHeight w:val="216"/>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 Immune</w:t>
            </w:r>
          </w:p>
        </w:tc>
        <w:tc>
          <w:tcPr>
            <w:tcW w:w="3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Precision AQ</w:t>
            </w:r>
          </w:p>
        </w:tc>
      </w:tr>
      <w:tr>
        <w:trPr>
          <w:trHeight w:val="216"/>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Phone: +41 21 345 91 91</w:t>
            </w:r>
          </w:p>
        </w:tc>
        <w:tc>
          <w:tcPr>
            <w:tcW w:w="3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Phone: +1 332 322 7430</w:t>
            </w:r>
          </w:p>
        </w:tc>
      </w:tr>
      <w:tr>
        <w:trPr>
          <w:trHeight w:val="194"/>
        </w:trPr>
        <w:tc>
          <w:tcPr>
            <w:tcW w:w="47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Email: gary.waanders@acimmune.com</w:t>
            </w:r>
          </w:p>
        </w:tc>
        <w:tc>
          <w:tcPr>
            <w:tcW w:w="3660" w:type="dxa"/>
            <w:vAlign w:val="bottom"/>
            <w:gridSpan w:val="2"/>
          </w:tcPr>
          <w:p>
            <w:pPr>
              <w:ind w:left="480"/>
              <w:spacing w:after="0" w:line="194" w:lineRule="exact"/>
              <w:rPr>
                <w:sz w:val="20"/>
                <w:szCs w:val="20"/>
                <w:color w:val="auto"/>
              </w:rPr>
            </w:pPr>
            <w:r>
              <w:rPr>
                <w:rFonts w:ascii="Times New Roman" w:cs="Times New Roman" w:eastAsia="Times New Roman" w:hAnsi="Times New Roman"/>
                <w:sz w:val="18"/>
                <w:szCs w:val="18"/>
                <w:color w:val="auto"/>
                <w:w w:val="99"/>
              </w:rPr>
              <w:t>Email: christina.tartaglia@precisionaq.com]</w:t>
            </w:r>
          </w:p>
        </w:tc>
      </w:tr>
      <w:tr>
        <w:trPr>
          <w:trHeight w:val="20"/>
        </w:trPr>
        <w:tc>
          <w:tcPr>
            <w:tcW w:w="5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434"/>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International Media</w:t>
            </w:r>
          </w:p>
        </w:tc>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6"/>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Chris Maggos</w:t>
            </w:r>
          </w:p>
        </w:tc>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Cohesion Bureau</w:t>
            </w:r>
          </w:p>
        </w:tc>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Phone: +41 79 367 6254</w:t>
            </w:r>
          </w:p>
        </w:tc>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94"/>
        </w:trPr>
        <w:tc>
          <w:tcPr>
            <w:tcW w:w="47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Email: chris.maggos@cohesionbureau.com</w:t>
            </w:r>
          </w:p>
        </w:tc>
        <w:tc>
          <w:tcPr>
            <w:tcW w:w="100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260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53"/>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tc>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pacing w:after="0" w:line="19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399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financial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376"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43"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3" w:lineRule="exact"/>
        <w:rPr>
          <w:sz w:val="20"/>
          <w:szCs w:val="20"/>
          <w:color w:val="auto"/>
        </w:rPr>
      </w:pPr>
    </w:p>
    <w:p>
      <w:pPr>
        <w:jc w:val="center"/>
        <w:ind w:left="-3479"/>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3479"/>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14605</wp:posOffset>
            </wp:positionV>
            <wp:extent cx="1705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7" w:lineRule="exact"/>
        <w:rPr>
          <w:sz w:val="20"/>
          <w:szCs w:val="20"/>
          <w:color w:val="auto"/>
        </w:rPr>
      </w:pPr>
    </w:p>
    <w:p>
      <w:pPr>
        <w:ind w:left="4360"/>
        <w:spacing w:after="0"/>
        <w:tabs>
          <w:tab w:leader="none" w:pos="58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19685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3920" w:type="dxa"/>
        <w:tblCellMar>
          <w:top w:w="0" w:type="dxa"/>
          <w:left w:w="0" w:type="dxa"/>
          <w:bottom w:w="0" w:type="dxa"/>
          <w:right w:w="0" w:type="dxa"/>
        </w:tblCellMar>
      </w:tblPr>
      <w:tr>
        <w:trPr>
          <w:trHeight w:val="216"/>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16"/>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30"/>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50,416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50,416</w:t>
            </w:r>
          </w:p>
        </w:tc>
      </w:tr>
      <w:tr>
        <w:trPr>
          <w:trHeight w:val="234"/>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57,661</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-736600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-462280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-179070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720"/>
          </w:cols>
          <w:pgMar w:left="320" w:top="90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129,214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36,275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78,494</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171,994</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4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230,913</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182,814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478,506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474,907</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(368,239)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(316,197)</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5,770</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11,087</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Short-term deferred income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85,056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118,643</w:t>
            </w: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22,171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230,913</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182,814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tc>
        <w:tc>
          <w:tcPr>
            <w:tcW w:w="0" w:type="dxa"/>
            <w:vAlign w:val="bottom"/>
          </w:tcPr>
          <w:p>
            <w:pPr>
              <w:spacing w:after="0"/>
              <w:rPr>
                <w:sz w:val="1"/>
                <w:szCs w:val="1"/>
                <w:color w:val="auto"/>
              </w:rPr>
            </w:pPr>
          </w:p>
        </w:tc>
      </w:tr>
      <w:tr>
        <w:trPr>
          <w:trHeight w:val="761"/>
        </w:trPr>
        <w:tc>
          <w:tcPr>
            <w:tcW w:w="7420" w:type="dxa"/>
            <w:vAlign w:val="bottom"/>
            <w:gridSpan w:val="2"/>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rPr>
              <w:t>Consolidated Statements of Income/(Loss)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20" w:type="dxa"/>
            <w:vAlign w:val="bottom"/>
            <w:gridSpan w:val="2"/>
          </w:tcPr>
          <w:p>
            <w:pPr>
              <w:jc w:val="center"/>
              <w:ind w:left="37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In CHF thousands, except for per-share data)</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9"/>
                <w:szCs w:val="19"/>
                <w:color w:val="auto"/>
              </w:rPr>
            </w:pP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14,801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160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(54,606)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(60,336)</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16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(15,305)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0" w:type="dxa"/>
            <w:vAlign w:val="bottom"/>
          </w:tcPr>
          <w:p>
            <w:pPr>
              <w:spacing w:after="0"/>
              <w:rPr>
                <w:sz w:val="1"/>
                <w:szCs w:val="1"/>
                <w:color w:val="auto"/>
              </w:rPr>
            </w:pPr>
          </w:p>
        </w:tc>
      </w:tr>
      <w:tr>
        <w:trPr>
          <w:trHeight w:val="229"/>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1,486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(79,687</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(52,378)</w:t>
            </w: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(53,624)</w:t>
            </w:r>
          </w:p>
        </w:tc>
        <w:tc>
          <w:tcPr>
            <w:tcW w:w="22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(70,847)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1,044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(176)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60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(1,467)</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16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(54,223)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(70,740)</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(0.64)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391"/>
        </w:trPr>
        <w:tc>
          <w:tcPr>
            <w:tcW w:w="8300" w:type="dxa"/>
            <w:vAlign w:val="bottom"/>
            <w:gridSpan w:val="4"/>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Income/(Loss)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20" w:type="dxa"/>
            <w:vAlign w:val="bottom"/>
            <w:gridSpan w:val="2"/>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(In CHF thousands)</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9"/>
                <w:szCs w:val="19"/>
                <w:color w:val="auto"/>
              </w:rPr>
            </w:pP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may be reclassified to income or loss in subsequent periods (net of tax):</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 periods (net of tax):</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gains/(losses) on defined-benefit plans (net of tax)</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6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(1,669)</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(53,954</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(55,963</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(66,317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-7063105</wp:posOffset>
            </wp:positionV>
            <wp:extent cx="173990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9900" cy="3600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o"/>
      <w:numFmt w:val="bullet"/>
      <w:start w:val="1"/>
    </w:lvl>
  </w:abstractNum>
  <w:abstractNum w:abstractNumId="5">
    <w:nsid w:val="12200854"/>
    <w:multiLevelType w:val="hybridMultilevel"/>
    <w:lvl w:ilvl="0">
      <w:lvlJc w:val="left"/>
      <w:lvlText w:val="o"/>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o"/>
      <w:numFmt w:val="bullet"/>
      <w:start w:val="1"/>
    </w:lvl>
  </w:abstractNum>
  <w:abstractNum w:abstractNumId="11">
    <w:nsid w:val="140E0F76"/>
    <w:multiLevelType w:val="hybridMultilevel"/>
    <w:lvl w:ilvl="0">
      <w:lvlJc w:val="left"/>
      <w:lvlText w:val="·"/>
      <w:numFmt w:val="bullet"/>
      <w:start w:val="1"/>
    </w:lvl>
    <w:lvl w:ilvl="1">
      <w:lvlJc w:val="left"/>
      <w:lvlText w:val="o"/>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2025-03-13T06:42:45Z</dcterms:created>
  <dcterms:modified xsi:type="dcterms:W3CDTF">2025-03-13T06:42:45Z</dcterms:modified>
</cp:coreProperties>
</file>