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June 15, 2016</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 IMMUNE SA</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tbl>
      <w:tblPr>
        <w:tblLayout w:type="fixed"/>
        <w:tblInd w:w="880" w:type="dxa"/>
        <w:tblCellMar>
          <w:top w:w="0" w:type="dxa"/>
          <w:left w:w="0" w:type="dxa"/>
          <w:bottom w:w="0" w:type="dxa"/>
          <w:right w:w="0" w:type="dxa"/>
        </w:tblCellMar>
      </w:tblPr>
      <w:tr>
        <w:trPr>
          <w:trHeight w:val="203"/>
        </w:trPr>
        <w:tc>
          <w:tcPr>
            <w:tcW w:w="3020" w:type="dxa"/>
            <w:vAlign w:val="bottom"/>
          </w:tcPr>
          <w:p>
            <w:pPr>
              <w:jc w:val="center"/>
              <w:ind w:right="799"/>
              <w:spacing w:after="0"/>
              <w:rPr>
                <w:sz w:val="20"/>
                <w:szCs w:val="20"/>
                <w:color w:val="auto"/>
              </w:rPr>
            </w:pPr>
            <w:r>
              <w:rPr>
                <w:rFonts w:ascii="Arial" w:cs="Arial" w:eastAsia="Arial" w:hAnsi="Arial"/>
                <w:sz w:val="16"/>
                <w:szCs w:val="16"/>
                <w:b w:val="1"/>
                <w:bCs w:val="1"/>
                <w:color w:val="auto"/>
                <w:w w:val="92"/>
              </w:rPr>
              <w:t>Switzerland</w:t>
            </w: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560" w:type="dxa"/>
            <w:vAlign w:val="bottom"/>
          </w:tcPr>
          <w:p>
            <w:pPr>
              <w:jc w:val="center"/>
              <w:ind w:left="879"/>
              <w:spacing w:after="0"/>
              <w:rPr>
                <w:sz w:val="20"/>
                <w:szCs w:val="20"/>
                <w:color w:val="auto"/>
              </w:rPr>
            </w:pPr>
            <w:r>
              <w:rPr>
                <w:rFonts w:ascii="Arial" w:cs="Arial" w:eastAsia="Arial" w:hAnsi="Arial"/>
                <w:sz w:val="16"/>
                <w:szCs w:val="16"/>
                <w:b w:val="1"/>
                <w:bCs w:val="1"/>
                <w:color w:val="auto"/>
                <w:w w:val="92"/>
              </w:rPr>
              <w:t>Not Applicable</w:t>
            </w:r>
          </w:p>
        </w:tc>
      </w:tr>
      <w:tr>
        <w:trPr>
          <w:trHeight w:val="203"/>
        </w:trPr>
        <w:tc>
          <w:tcPr>
            <w:tcW w:w="3020" w:type="dxa"/>
            <w:vAlign w:val="bottom"/>
          </w:tcPr>
          <w:p>
            <w:pPr>
              <w:jc w:val="center"/>
              <w:ind w:right="799"/>
              <w:spacing w:after="0"/>
              <w:rPr>
                <w:sz w:val="20"/>
                <w:szCs w:val="20"/>
                <w:color w:val="auto"/>
              </w:rPr>
            </w:pPr>
            <w:r>
              <w:rPr>
                <w:rFonts w:ascii="Arial" w:cs="Arial" w:eastAsia="Arial" w:hAnsi="Arial"/>
                <w:sz w:val="16"/>
                <w:szCs w:val="16"/>
                <w:b w:val="1"/>
                <w:bCs w:val="1"/>
                <w:color w:val="auto"/>
                <w:w w:val="91"/>
              </w:rPr>
              <w:t>(State or other jurisdiction of</w:t>
            </w: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5"/>
              </w:rPr>
              <w:t>(Primary Standard Industrial</w:t>
            </w:r>
          </w:p>
        </w:tc>
        <w:tc>
          <w:tcPr>
            <w:tcW w:w="2560" w:type="dxa"/>
            <w:vAlign w:val="bottom"/>
          </w:tcPr>
          <w:p>
            <w:pPr>
              <w:jc w:val="center"/>
              <w:ind w:left="879"/>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3020" w:type="dxa"/>
            <w:vAlign w:val="bottom"/>
          </w:tcPr>
          <w:p>
            <w:pPr>
              <w:jc w:val="center"/>
              <w:ind w:right="819"/>
              <w:spacing w:after="0"/>
              <w:rPr>
                <w:sz w:val="20"/>
                <w:szCs w:val="20"/>
                <w:color w:val="auto"/>
              </w:rPr>
            </w:pPr>
            <w:r>
              <w:rPr>
                <w:rFonts w:ascii="Arial" w:cs="Arial" w:eastAsia="Arial" w:hAnsi="Arial"/>
                <w:sz w:val="16"/>
                <w:szCs w:val="16"/>
                <w:b w:val="1"/>
                <w:bCs w:val="1"/>
                <w:color w:val="auto"/>
                <w:w w:val="92"/>
              </w:rPr>
              <w:t>incorporation or organization)</w:t>
            </w:r>
          </w:p>
        </w:tc>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1"/>
              </w:rPr>
              <w:t>Classification Code Number)</w:t>
            </w:r>
          </w:p>
        </w:tc>
        <w:tc>
          <w:tcPr>
            <w:tcW w:w="2560" w:type="dxa"/>
            <w:vAlign w:val="bottom"/>
          </w:tcPr>
          <w:p>
            <w:pPr>
              <w:jc w:val="center"/>
              <w:ind w:left="879"/>
              <w:spacing w:after="0"/>
              <w:rPr>
                <w:sz w:val="20"/>
                <w:szCs w:val="20"/>
                <w:color w:val="auto"/>
              </w:rPr>
            </w:pPr>
            <w:r>
              <w:rPr>
                <w:rFonts w:ascii="Arial" w:cs="Arial" w:eastAsia="Arial" w:hAnsi="Arial"/>
                <w:sz w:val="16"/>
                <w:szCs w:val="16"/>
                <w:b w:val="1"/>
                <w:bCs w:val="1"/>
                <w:color w:val="auto"/>
                <w:w w:val="94"/>
              </w:rPr>
              <w:t>Identification Number)</w:t>
            </w: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Andrea Pfeifer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EPFL Innovation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Building B</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1015 Lausanne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Switzerland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+41 21 693 91 21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National Corporate Research,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 East 40th Street, 10th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10016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 221-0102</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1" w:lineRule="exact"/>
        <w:rPr>
          <w:sz w:val="24"/>
          <w:szCs w:val="24"/>
          <w:color w:val="auto"/>
        </w:rPr>
      </w:pPr>
    </w:p>
    <w:tbl>
      <w:tblPr>
        <w:tblLayout w:type="fixed"/>
        <w:tblInd w:w="1900" w:type="dxa"/>
        <w:tblCellMar>
          <w:top w:w="0" w:type="dxa"/>
          <w:left w:w="0" w:type="dxa"/>
          <w:bottom w:w="0" w:type="dxa"/>
          <w:right w:w="0" w:type="dxa"/>
        </w:tblCellMar>
      </w:tblPr>
      <w:tr>
        <w:trPr>
          <w:trHeight w:val="194"/>
        </w:trPr>
        <w:tc>
          <w:tcPr>
            <w:tcW w:w="2740" w:type="dxa"/>
            <w:vAlign w:val="bottom"/>
          </w:tcPr>
          <w:p>
            <w:pPr>
              <w:spacing w:after="0"/>
              <w:rPr>
                <w:sz w:val="16"/>
                <w:szCs w:val="16"/>
                <w:color w:val="auto"/>
              </w:rPr>
            </w:pPr>
          </w:p>
        </w:tc>
        <w:tc>
          <w:tcPr>
            <w:tcW w:w="4780" w:type="dxa"/>
            <w:vAlign w:val="bottom"/>
          </w:tcPr>
          <w:p>
            <w:pPr>
              <w:ind w:left="760"/>
              <w:spacing w:after="0"/>
              <w:rPr>
                <w:sz w:val="20"/>
                <w:szCs w:val="20"/>
                <w:color w:val="auto"/>
              </w:rPr>
            </w:pPr>
            <w:r>
              <w:rPr>
                <w:rFonts w:ascii="Arial" w:cs="Arial" w:eastAsia="Arial" w:hAnsi="Arial"/>
                <w:sz w:val="15"/>
                <w:szCs w:val="15"/>
                <w:b w:val="1"/>
                <w:bCs w:val="1"/>
                <w:i w:val="1"/>
                <w:iCs w:val="1"/>
                <w:color w:val="auto"/>
              </w:rPr>
              <w:t>Copies to:</w:t>
            </w:r>
          </w:p>
        </w:tc>
      </w:tr>
      <w:tr>
        <w:trPr>
          <w:trHeight w:val="251"/>
        </w:trPr>
        <w:tc>
          <w:tcPr>
            <w:tcW w:w="2740" w:type="dxa"/>
            <w:vAlign w:val="bottom"/>
          </w:tcPr>
          <w:p>
            <w:pPr>
              <w:jc w:val="center"/>
              <w:ind w:right="679"/>
              <w:spacing w:after="0"/>
              <w:rPr>
                <w:sz w:val="20"/>
                <w:szCs w:val="20"/>
                <w:color w:val="auto"/>
              </w:rPr>
            </w:pPr>
            <w:r>
              <w:rPr>
                <w:rFonts w:ascii="Arial" w:cs="Arial" w:eastAsia="Arial" w:hAnsi="Arial"/>
                <w:sz w:val="16"/>
                <w:szCs w:val="16"/>
                <w:b w:val="1"/>
                <w:bCs w:val="1"/>
                <w:color w:val="auto"/>
                <w:w w:val="92"/>
              </w:rPr>
              <w:t>Richard D. Truesdell, Jr.</w:t>
            </w:r>
          </w:p>
        </w:tc>
        <w:tc>
          <w:tcPr>
            <w:tcW w:w="4780" w:type="dxa"/>
            <w:vAlign w:val="bottom"/>
          </w:tcPr>
          <w:p>
            <w:pPr>
              <w:jc w:val="center"/>
              <w:ind w:left="3180"/>
              <w:spacing w:after="0"/>
              <w:rPr>
                <w:sz w:val="20"/>
                <w:szCs w:val="20"/>
                <w:color w:val="auto"/>
              </w:rPr>
            </w:pPr>
            <w:r>
              <w:rPr>
                <w:rFonts w:ascii="Arial" w:cs="Arial" w:eastAsia="Arial" w:hAnsi="Arial"/>
                <w:sz w:val="16"/>
                <w:szCs w:val="16"/>
                <w:b w:val="1"/>
                <w:bCs w:val="1"/>
                <w:color w:val="auto"/>
                <w:w w:val="92"/>
              </w:rPr>
              <w:t>Mitchell S. Bloom</w:t>
            </w:r>
          </w:p>
        </w:tc>
      </w:tr>
      <w:tr>
        <w:trPr>
          <w:trHeight w:val="203"/>
        </w:trPr>
        <w:tc>
          <w:tcPr>
            <w:tcW w:w="2740" w:type="dxa"/>
            <w:vAlign w:val="bottom"/>
          </w:tcPr>
          <w:p>
            <w:pPr>
              <w:jc w:val="center"/>
              <w:ind w:right="659"/>
              <w:spacing w:after="0"/>
              <w:rPr>
                <w:sz w:val="20"/>
                <w:szCs w:val="20"/>
                <w:color w:val="auto"/>
              </w:rPr>
            </w:pPr>
            <w:r>
              <w:rPr>
                <w:rFonts w:ascii="Arial" w:cs="Arial" w:eastAsia="Arial" w:hAnsi="Arial"/>
                <w:sz w:val="16"/>
                <w:szCs w:val="16"/>
                <w:b w:val="1"/>
                <w:bCs w:val="1"/>
                <w:color w:val="auto"/>
                <w:w w:val="97"/>
              </w:rPr>
              <w:t>Deanna L. Kirkpatrick</w:t>
            </w:r>
          </w:p>
        </w:tc>
        <w:tc>
          <w:tcPr>
            <w:tcW w:w="4780" w:type="dxa"/>
            <w:vAlign w:val="bottom"/>
          </w:tcPr>
          <w:p>
            <w:pPr>
              <w:jc w:val="center"/>
              <w:ind w:left="3160"/>
              <w:spacing w:after="0"/>
              <w:rPr>
                <w:sz w:val="20"/>
                <w:szCs w:val="20"/>
                <w:color w:val="auto"/>
              </w:rPr>
            </w:pPr>
            <w:r>
              <w:rPr>
                <w:rFonts w:ascii="Arial" w:cs="Arial" w:eastAsia="Arial" w:hAnsi="Arial"/>
                <w:sz w:val="16"/>
                <w:szCs w:val="16"/>
                <w:b w:val="1"/>
                <w:bCs w:val="1"/>
                <w:color w:val="auto"/>
                <w:w w:val="99"/>
              </w:rPr>
              <w:t>Arthur R. McGivern</w:t>
            </w:r>
          </w:p>
        </w:tc>
      </w:tr>
      <w:tr>
        <w:trPr>
          <w:trHeight w:val="203"/>
        </w:trPr>
        <w:tc>
          <w:tcPr>
            <w:tcW w:w="2740" w:type="dxa"/>
            <w:vAlign w:val="bottom"/>
          </w:tcPr>
          <w:p>
            <w:pPr>
              <w:jc w:val="center"/>
              <w:ind w:right="679"/>
              <w:spacing w:after="0"/>
              <w:rPr>
                <w:sz w:val="20"/>
                <w:szCs w:val="20"/>
                <w:color w:val="auto"/>
              </w:rPr>
            </w:pPr>
            <w:r>
              <w:rPr>
                <w:rFonts w:ascii="Arial" w:cs="Arial" w:eastAsia="Arial" w:hAnsi="Arial"/>
                <w:sz w:val="16"/>
                <w:szCs w:val="16"/>
                <w:b w:val="1"/>
                <w:bCs w:val="1"/>
                <w:color w:val="auto"/>
                <w:w w:val="95"/>
              </w:rPr>
              <w:t>Davis Polk &amp; Wardwell LLP</w:t>
            </w:r>
          </w:p>
        </w:tc>
        <w:tc>
          <w:tcPr>
            <w:tcW w:w="4780" w:type="dxa"/>
            <w:vAlign w:val="bottom"/>
          </w:tcPr>
          <w:p>
            <w:pPr>
              <w:jc w:val="center"/>
              <w:ind w:left="3160"/>
              <w:spacing w:after="0"/>
              <w:rPr>
                <w:sz w:val="20"/>
                <w:szCs w:val="20"/>
                <w:color w:val="auto"/>
              </w:rPr>
            </w:pPr>
            <w:r>
              <w:rPr>
                <w:rFonts w:ascii="Arial" w:cs="Arial" w:eastAsia="Arial" w:hAnsi="Arial"/>
                <w:sz w:val="16"/>
                <w:szCs w:val="16"/>
                <w:b w:val="1"/>
                <w:bCs w:val="1"/>
                <w:color w:val="auto"/>
                <w:w w:val="94"/>
              </w:rPr>
              <w:t>Goodwin Procter LLP</w:t>
            </w:r>
          </w:p>
        </w:tc>
      </w:tr>
      <w:tr>
        <w:trPr>
          <w:trHeight w:val="203"/>
        </w:trPr>
        <w:tc>
          <w:tcPr>
            <w:tcW w:w="2740" w:type="dxa"/>
            <w:vAlign w:val="bottom"/>
          </w:tcPr>
          <w:p>
            <w:pPr>
              <w:jc w:val="center"/>
              <w:ind w:right="679"/>
              <w:spacing w:after="0"/>
              <w:rPr>
                <w:sz w:val="20"/>
                <w:szCs w:val="20"/>
                <w:color w:val="auto"/>
              </w:rPr>
            </w:pPr>
            <w:r>
              <w:rPr>
                <w:rFonts w:ascii="Arial" w:cs="Arial" w:eastAsia="Arial" w:hAnsi="Arial"/>
                <w:sz w:val="16"/>
                <w:szCs w:val="16"/>
                <w:b w:val="1"/>
                <w:bCs w:val="1"/>
                <w:color w:val="auto"/>
                <w:w w:val="90"/>
              </w:rPr>
              <w:t>450 Lexington Avenue</w:t>
            </w:r>
          </w:p>
        </w:tc>
        <w:tc>
          <w:tcPr>
            <w:tcW w:w="4780" w:type="dxa"/>
            <w:vAlign w:val="bottom"/>
          </w:tcPr>
          <w:p>
            <w:pPr>
              <w:jc w:val="center"/>
              <w:ind w:left="3160"/>
              <w:spacing w:after="0"/>
              <w:rPr>
                <w:sz w:val="20"/>
                <w:szCs w:val="20"/>
                <w:color w:val="auto"/>
              </w:rPr>
            </w:pPr>
            <w:r>
              <w:rPr>
                <w:rFonts w:ascii="Arial" w:cs="Arial" w:eastAsia="Arial" w:hAnsi="Arial"/>
                <w:sz w:val="16"/>
                <w:szCs w:val="16"/>
                <w:b w:val="1"/>
                <w:bCs w:val="1"/>
                <w:color w:val="auto"/>
                <w:w w:val="90"/>
              </w:rPr>
              <w:t>Exchange Place</w:t>
            </w:r>
          </w:p>
        </w:tc>
      </w:tr>
      <w:tr>
        <w:trPr>
          <w:trHeight w:val="203"/>
        </w:trPr>
        <w:tc>
          <w:tcPr>
            <w:tcW w:w="2740" w:type="dxa"/>
            <w:vAlign w:val="bottom"/>
          </w:tcPr>
          <w:p>
            <w:pPr>
              <w:jc w:val="center"/>
              <w:ind w:right="679"/>
              <w:spacing w:after="0"/>
              <w:rPr>
                <w:sz w:val="20"/>
                <w:szCs w:val="20"/>
                <w:color w:val="auto"/>
              </w:rPr>
            </w:pPr>
            <w:r>
              <w:rPr>
                <w:rFonts w:ascii="Arial" w:cs="Arial" w:eastAsia="Arial" w:hAnsi="Arial"/>
                <w:sz w:val="16"/>
                <w:szCs w:val="16"/>
                <w:b w:val="1"/>
                <w:bCs w:val="1"/>
                <w:color w:val="auto"/>
                <w:w w:val="95"/>
              </w:rPr>
              <w:t>New York, NY 10017</w:t>
            </w:r>
          </w:p>
        </w:tc>
        <w:tc>
          <w:tcPr>
            <w:tcW w:w="4780" w:type="dxa"/>
            <w:vAlign w:val="bottom"/>
          </w:tcPr>
          <w:p>
            <w:pPr>
              <w:jc w:val="center"/>
              <w:ind w:left="3160"/>
              <w:spacing w:after="0"/>
              <w:rPr>
                <w:sz w:val="20"/>
                <w:szCs w:val="20"/>
                <w:color w:val="auto"/>
              </w:rPr>
            </w:pPr>
            <w:r>
              <w:rPr>
                <w:rFonts w:ascii="Arial" w:cs="Arial" w:eastAsia="Arial" w:hAnsi="Arial"/>
                <w:sz w:val="16"/>
                <w:szCs w:val="16"/>
                <w:b w:val="1"/>
                <w:bCs w:val="1"/>
                <w:color w:val="auto"/>
                <w:w w:val="91"/>
              </w:rPr>
              <w:t>53 State Street</w:t>
            </w:r>
          </w:p>
        </w:tc>
      </w:tr>
      <w:tr>
        <w:trPr>
          <w:trHeight w:val="203"/>
        </w:trPr>
        <w:tc>
          <w:tcPr>
            <w:tcW w:w="2740" w:type="dxa"/>
            <w:vAlign w:val="bottom"/>
          </w:tcPr>
          <w:p>
            <w:pPr>
              <w:jc w:val="center"/>
              <w:ind w:right="679"/>
              <w:spacing w:after="0"/>
              <w:rPr>
                <w:sz w:val="20"/>
                <w:szCs w:val="20"/>
                <w:color w:val="auto"/>
              </w:rPr>
            </w:pPr>
            <w:r>
              <w:rPr>
                <w:rFonts w:ascii="Arial" w:cs="Arial" w:eastAsia="Arial" w:hAnsi="Arial"/>
                <w:sz w:val="16"/>
                <w:szCs w:val="16"/>
                <w:b w:val="1"/>
                <w:bCs w:val="1"/>
                <w:color w:val="auto"/>
                <w:w w:val="93"/>
              </w:rPr>
              <w:t>(212) 450-4000</w:t>
            </w:r>
          </w:p>
        </w:tc>
        <w:tc>
          <w:tcPr>
            <w:tcW w:w="4780" w:type="dxa"/>
            <w:vAlign w:val="bottom"/>
          </w:tcPr>
          <w:p>
            <w:pPr>
              <w:jc w:val="center"/>
              <w:ind w:left="3160"/>
              <w:spacing w:after="0"/>
              <w:rPr>
                <w:sz w:val="20"/>
                <w:szCs w:val="20"/>
                <w:color w:val="auto"/>
              </w:rPr>
            </w:pPr>
            <w:r>
              <w:rPr>
                <w:rFonts w:ascii="Arial" w:cs="Arial" w:eastAsia="Arial" w:hAnsi="Arial"/>
                <w:sz w:val="16"/>
                <w:szCs w:val="16"/>
                <w:b w:val="1"/>
                <w:bCs w:val="1"/>
                <w:color w:val="auto"/>
                <w:w w:val="91"/>
              </w:rPr>
              <w:t>Boston, MA 02109</w:t>
            </w:r>
          </w:p>
        </w:tc>
      </w:tr>
      <w:tr>
        <w:trPr>
          <w:trHeight w:val="210"/>
        </w:trPr>
        <w:tc>
          <w:tcPr>
            <w:tcW w:w="2740" w:type="dxa"/>
            <w:vAlign w:val="bottom"/>
          </w:tcPr>
          <w:p>
            <w:pPr>
              <w:spacing w:after="0"/>
              <w:rPr>
                <w:sz w:val="18"/>
                <w:szCs w:val="18"/>
                <w:color w:val="auto"/>
              </w:rPr>
            </w:pPr>
          </w:p>
        </w:tc>
        <w:tc>
          <w:tcPr>
            <w:tcW w:w="4780" w:type="dxa"/>
            <w:vAlign w:val="bottom"/>
          </w:tcPr>
          <w:p>
            <w:pPr>
              <w:jc w:val="center"/>
              <w:ind w:left="3160"/>
              <w:spacing w:after="0"/>
              <w:rPr>
                <w:sz w:val="20"/>
                <w:szCs w:val="20"/>
                <w:color w:val="auto"/>
              </w:rPr>
            </w:pPr>
            <w:r>
              <w:rPr>
                <w:rFonts w:ascii="Arial" w:cs="Arial" w:eastAsia="Arial" w:hAnsi="Arial"/>
                <w:sz w:val="16"/>
                <w:szCs w:val="16"/>
                <w:b w:val="1"/>
                <w:bCs w:val="1"/>
                <w:color w:val="auto"/>
                <w:w w:val="93"/>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115570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90" w:lineRule="exact"/>
        <w:rPr>
          <w:sz w:val="24"/>
          <w:szCs w:val="24"/>
          <w:color w:val="auto"/>
        </w:rPr>
      </w:pPr>
    </w:p>
    <w:p>
      <w:pPr>
        <w:ind w:right="52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6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right="32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4"/>
          <w:szCs w:val="24"/>
          <w:color w:val="auto"/>
        </w:rPr>
      </w:pPr>
    </w:p>
    <w:p>
      <w:pPr>
        <w:jc w:val="both"/>
        <w:ind w:right="60"/>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DE1A1E"/>
        </w:rPr>
        <w:t>The information in this prospectus is not complete and may be changed. We and the selling shareholders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JUNE 15,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and the selling shareholders are offering of our common shares in this offering. We will not receive any proceeds from the sale of the common shares by the selling shareholders in this offering. We expect the initial public offering price will be between $ and $ per common share. We have applied to list our common shares on the NASDAQ under the symbol “ACIU.”</w:t>
      </w:r>
    </w:p>
    <w:p>
      <w:pPr>
        <w:spacing w:after="0" w:line="22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5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56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Proceeds, before expenses, to the selling shareholders</w:t>
            </w:r>
          </w:p>
        </w:tc>
        <w:tc>
          <w:tcPr>
            <w:tcW w:w="356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the selling shareholders have granted the underwriters an option for a period of 30 days from the date of this prospectus to purchase an</w:t>
      </w:r>
    </w:p>
    <w:p>
      <w:pPr>
        <w:spacing w:after="0" w:line="4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additional</w:t>
      </w:r>
      <w:r>
        <w:rPr>
          <w:sz w:val="20"/>
          <w:szCs w:val="20"/>
          <w:color w:val="auto"/>
        </w:rPr>
        <w:tab/>
      </w:r>
      <w:r>
        <w:rPr>
          <w:rFonts w:ascii="Arial" w:cs="Arial" w:eastAsia="Arial" w:hAnsi="Arial"/>
          <w:sz w:val="18"/>
          <w:szCs w:val="18"/>
          <w:color w:val="auto"/>
        </w:rPr>
        <w:t>common shares from them to cover over-allotments.</w:t>
      </w:r>
    </w:p>
    <w:p>
      <w:pPr>
        <w:spacing w:after="0" w:line="24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257175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200" w:lineRule="exact"/>
        <w:rPr>
          <w:sz w:val="20"/>
          <w:szCs w:val="20"/>
          <w:color w:val="auto"/>
        </w:rPr>
      </w:pPr>
    </w:p>
    <w:p>
      <w:pPr>
        <w:sectPr>
          <w:pgSz w:w="11900" w:h="16838" w:orient="portrait"/>
          <w:cols w:equalWidth="0" w:num="3">
            <w:col w:w="4540" w:space="720"/>
            <w:col w:w="3320" w:space="720"/>
            <w:col w:w="2120"/>
          </w:cols>
          <w:pgMar w:left="240" w:top="459" w:right="239" w:bottom="1440" w:gutter="0" w:footer="0" w:header="0"/>
          <w:type w:val="continuous"/>
        </w:sectPr>
      </w:pPr>
    </w:p>
    <w:p>
      <w:pPr>
        <w:spacing w:after="0" w:line="95"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2016</w:t>
      </w:r>
    </w:p>
    <w:p>
      <w:pPr>
        <w:sectPr>
          <w:pgSz w:w="11900" w:h="16838" w:orient="portrait"/>
          <w:cols w:equalWidth="0" w:num="2">
            <w:col w:w="6360" w:space="720"/>
            <w:col w:w="43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3"/>
          </w:tcPr>
          <w:p>
            <w:pPr>
              <w:spacing w:after="0"/>
              <w:rPr>
                <w:sz w:val="17"/>
                <w:szCs w:val="17"/>
                <w:color w:val="auto"/>
              </w:rPr>
            </w:pPr>
          </w:p>
        </w:tc>
        <w:tc>
          <w:tcPr>
            <w:tcW w:w="5040" w:type="dxa"/>
            <w:vAlign w:val="bottom"/>
            <w:gridSpan w:val="13"/>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Principal and Selling Shareholders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Related Party Transactions</w:t>
              </w:r>
            </w:hyperlink>
          </w:p>
        </w:tc>
        <w:tc>
          <w:tcPr>
            <w:tcW w:w="4400" w:type="dxa"/>
            <w:vAlign w:val="bottom"/>
            <w:gridSpan w:val="1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61">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3">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90">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00">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5"/>
          </w:tcPr>
          <w:p>
            <w:pPr>
              <w:spacing w:after="0"/>
              <w:rPr>
                <w:sz w:val="17"/>
                <w:szCs w:val="17"/>
                <w:color w:val="auto"/>
              </w:rPr>
            </w:pPr>
          </w:p>
        </w:tc>
        <w:tc>
          <w:tcPr>
            <w:tcW w:w="5100" w:type="dxa"/>
            <w:vAlign w:val="bottom"/>
            <w:gridSpan w:val="1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00">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194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202">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03">
              <w:r>
                <w:rPr>
                  <w:rFonts w:ascii="Arial" w:cs="Arial" w:eastAsia="Arial" w:hAnsi="Arial"/>
                  <w:sz w:val="18"/>
                  <w:szCs w:val="18"/>
                  <w:color w:val="0000EE"/>
                  <w:w w:val="90"/>
                </w:rPr>
                <w:t>Index to Financial Statements</w:t>
              </w:r>
            </w:hyperlink>
          </w:p>
        </w:tc>
        <w:tc>
          <w:tcPr>
            <w:tcW w:w="4740" w:type="dxa"/>
            <w:vAlign w:val="bottom"/>
            <w:gridSpan w:val="11"/>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1.0382 to CHF 1.00, the official exchange rate quoted as of June 10,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the selling shareholders and the underwriters have not authorized anyone to provide any information other than that contained in this prospectus or in any free writing prospectus prepared by or on behalf of us or to which we may have referred you. We, the selling shareholders and the underwriters take no responsibility for, and can provide no assurance as to the reliability of, any other information that others may give you.</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we, the selling shareholders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8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487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460" w:firstLine="443"/>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crenezumab to achieve success in Phase 3 clinical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2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for the years ended December 31, 2014 and December 31, 2015.</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21 693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97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2997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E Private Placement</w:t>
      </w:r>
    </w:p>
    <w:p>
      <w:pPr>
        <w:spacing w:after="0" w:line="121"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On October 23, 2015, we completed a private placement of Series E preferred shares, each with a nominal value of CHF 0.02 per share (the “Series E Private Placement”). An aggregate of 3,113,250 Series E preferred shares were issued to certain institutions and existing shareholders in the Series E Private Placement for an aggregate subscription amount of approximately $30.0 million. On April 15, 2016 we completed an additional private placement of Series E preferred shares, each with a nominal value of CHF 0.02 per share (the “Series E Private Placement Extension”). An aggregate of 1,401,792 Series E preferred shares were issued to certain new and existing shareholders in the Series E Private Placement Extension. An aggregate subscription amount of $13.5 million was raised in the Series E Private Placement Extension. The Series E preferred shares have substantially the same terms as the Series A, B, C and D preferred shares, will be accounted for as equity on our balance sheet and will convert into common shares on a one-for-one basis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64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10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ectPr>
          <w:pgSz w:w="11900" w:h="16838" w:orient="portrait"/>
          <w:cols w:equalWidth="0" w:num="1">
            <w:col w:w="11220"/>
          </w:cols>
          <w:pgMar w:left="240" w:top="459" w:right="43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offered by us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220" w:space="720"/>
            <w:col w:w="628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the selling shareholders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211" w:lineRule="exact"/>
        <w:rPr>
          <w:sz w:val="20"/>
          <w:szCs w:val="20"/>
          <w:color w:val="auto"/>
        </w:rPr>
      </w:pPr>
    </w:p>
    <w:p>
      <w:pPr>
        <w:sectPr>
          <w:pgSz w:w="11900" w:h="16838" w:orient="portrait"/>
          <w:cols w:equalWidth="0" w:num="2">
            <w:col w:w="4220" w:space="720"/>
            <w:col w:w="628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to be outstanding immediately after this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57" w:lineRule="exact"/>
        <w:rPr>
          <w:sz w:val="20"/>
          <w:szCs w:val="20"/>
          <w:color w:val="auto"/>
        </w:rPr>
      </w:pPr>
    </w:p>
    <w:p>
      <w:pPr>
        <w:sectPr>
          <w:pgSz w:w="11900" w:h="16838" w:orient="portrait"/>
          <w:cols w:equalWidth="0" w:num="2">
            <w:col w:w="4280" w:space="660"/>
            <w:col w:w="6280"/>
          </w:cols>
          <w:pgMar w:left="240" w:top="459" w:right="439" w:bottom="1440" w:gutter="0" w:footer="0" w:header="0"/>
          <w:type w:val="continuous"/>
        </w:sectPr>
      </w:pPr>
    </w:p>
    <w:tbl>
      <w:tblPr>
        <w:tblLayout w:type="fixed"/>
        <w:tblInd w:w="200" w:type="dxa"/>
        <w:tblCellMar>
          <w:top w:w="0" w:type="dxa"/>
          <w:left w:w="0" w:type="dxa"/>
          <w:bottom w:w="0" w:type="dxa"/>
          <w:right w:w="0" w:type="dxa"/>
        </w:tblCellMar>
      </w:tblPr>
      <w:tr>
        <w:trPr>
          <w:trHeight w:val="230"/>
        </w:trPr>
        <w:tc>
          <w:tcPr>
            <w:tcW w:w="3120" w:type="dxa"/>
            <w:vAlign w:val="bottom"/>
          </w:tcPr>
          <w:p>
            <w:pPr>
              <w:ind w:left="80"/>
              <w:spacing w:after="0"/>
              <w:rPr>
                <w:sz w:val="20"/>
                <w:szCs w:val="20"/>
                <w:color w:val="auto"/>
              </w:rPr>
            </w:pPr>
            <w:r>
              <w:rPr>
                <w:rFonts w:ascii="Arial" w:cs="Arial" w:eastAsia="Arial" w:hAnsi="Arial"/>
                <w:sz w:val="18"/>
                <w:szCs w:val="18"/>
                <w:color w:val="auto"/>
              </w:rPr>
              <w:t>offering</w:t>
            </w:r>
          </w:p>
        </w:tc>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44"/>
        </w:trPr>
        <w:tc>
          <w:tcPr>
            <w:tcW w:w="3120" w:type="dxa"/>
            <w:vAlign w:val="bottom"/>
          </w:tcPr>
          <w:p>
            <w:pPr>
              <w:spacing w:after="0"/>
              <w:rPr>
                <w:sz w:val="20"/>
                <w:szCs w:val="20"/>
                <w:color w:val="auto"/>
              </w:rPr>
            </w:pPr>
            <w:r>
              <w:rPr>
                <w:rFonts w:ascii="Arial" w:cs="Arial" w:eastAsia="Arial" w:hAnsi="Arial"/>
                <w:sz w:val="18"/>
                <w:szCs w:val="18"/>
                <w:color w:val="auto"/>
              </w:rPr>
              <w:t>Over-allotment option</w:t>
            </w: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1"/>
              </w:rPr>
              <w:t>Certain of the selling shareholders have granted the underwriters the option to purchase up to</w:t>
            </w:r>
          </w:p>
        </w:tc>
      </w:tr>
      <w:tr>
        <w:trPr>
          <w:trHeight w:val="216"/>
        </w:trPr>
        <w:tc>
          <w:tcPr>
            <w:tcW w:w="3120" w:type="dxa"/>
            <w:vAlign w:val="bottom"/>
          </w:tcPr>
          <w:p>
            <w:pPr>
              <w:spacing w:after="0"/>
              <w:rPr>
                <w:sz w:val="18"/>
                <w:szCs w:val="18"/>
                <w:color w:val="auto"/>
              </w:rPr>
            </w:pPr>
          </w:p>
        </w:tc>
        <w:tc>
          <w:tcPr>
            <w:tcW w:w="2320" w:type="dxa"/>
            <w:vAlign w:val="bottom"/>
            <w:gridSpan w:val="2"/>
          </w:tcPr>
          <w:p>
            <w:pPr>
              <w:ind w:left="1080"/>
              <w:spacing w:after="0"/>
              <w:rPr>
                <w:sz w:val="20"/>
                <w:szCs w:val="20"/>
                <w:color w:val="auto"/>
              </w:rPr>
            </w:pPr>
            <w:r>
              <w:rPr>
                <w:rFonts w:ascii="Arial" w:cs="Arial" w:eastAsia="Arial" w:hAnsi="Arial"/>
                <w:sz w:val="18"/>
                <w:szCs w:val="18"/>
                <w:color w:val="auto"/>
              </w:rPr>
              <w:t>an additional</w:t>
            </w:r>
          </w:p>
        </w:tc>
        <w:tc>
          <w:tcPr>
            <w:tcW w:w="5580" w:type="dxa"/>
            <w:vAlign w:val="bottom"/>
            <w:gridSpan w:val="2"/>
          </w:tcPr>
          <w:p>
            <w:pPr>
              <w:ind w:left="320"/>
              <w:spacing w:after="0"/>
              <w:rPr>
                <w:sz w:val="20"/>
                <w:szCs w:val="20"/>
                <w:color w:val="auto"/>
              </w:rPr>
            </w:pPr>
            <w:r>
              <w:rPr>
                <w:rFonts w:ascii="Arial" w:cs="Arial" w:eastAsia="Arial" w:hAnsi="Arial"/>
                <w:sz w:val="18"/>
                <w:szCs w:val="18"/>
                <w:color w:val="auto"/>
                <w:w w:val="92"/>
              </w:rPr>
              <w:t>common shares from them within 30 days of the date of this prospectus</w:t>
            </w:r>
          </w:p>
        </w:tc>
      </w:tr>
      <w:tr>
        <w:trPr>
          <w:trHeight w:val="230"/>
        </w:trPr>
        <w:tc>
          <w:tcPr>
            <w:tcW w:w="3120" w:type="dxa"/>
            <w:vAlign w:val="bottom"/>
          </w:tcPr>
          <w:p>
            <w:pPr>
              <w:spacing w:after="0"/>
              <w:rPr>
                <w:sz w:val="20"/>
                <w:szCs w:val="20"/>
                <w:color w:val="auto"/>
              </w:rPr>
            </w:pPr>
          </w:p>
        </w:tc>
        <w:tc>
          <w:tcPr>
            <w:tcW w:w="5860" w:type="dxa"/>
            <w:vAlign w:val="bottom"/>
            <w:gridSpan w:val="3"/>
          </w:tcPr>
          <w:p>
            <w:pPr>
              <w:ind w:left="1080"/>
              <w:spacing w:after="0"/>
              <w:rPr>
                <w:sz w:val="20"/>
                <w:szCs w:val="20"/>
                <w:color w:val="auto"/>
              </w:rPr>
            </w:pPr>
            <w:r>
              <w:rPr>
                <w:rFonts w:ascii="Arial" w:cs="Arial" w:eastAsia="Arial" w:hAnsi="Arial"/>
                <w:sz w:val="18"/>
                <w:szCs w:val="18"/>
                <w:color w:val="auto"/>
              </w:rPr>
              <w:t>to cover over-allotments, if any.</w:t>
            </w:r>
          </w:p>
        </w:tc>
        <w:tc>
          <w:tcPr>
            <w:tcW w:w="2040" w:type="dxa"/>
            <w:vAlign w:val="bottom"/>
          </w:tcPr>
          <w:p>
            <w:pPr>
              <w:spacing w:after="0"/>
              <w:rPr>
                <w:sz w:val="20"/>
                <w:szCs w:val="20"/>
                <w:color w:val="auto"/>
              </w:rPr>
            </w:pPr>
          </w:p>
        </w:tc>
      </w:tr>
      <w:tr>
        <w:trPr>
          <w:trHeight w:val="445"/>
        </w:trPr>
        <w:tc>
          <w:tcPr>
            <w:tcW w:w="3120" w:type="dxa"/>
            <w:vAlign w:val="bottom"/>
          </w:tcPr>
          <w:p>
            <w:pPr>
              <w:spacing w:after="0"/>
              <w:rPr>
                <w:sz w:val="20"/>
                <w:szCs w:val="20"/>
                <w:color w:val="auto"/>
              </w:rPr>
            </w:pPr>
            <w:r>
              <w:rPr>
                <w:rFonts w:ascii="Arial" w:cs="Arial" w:eastAsia="Arial" w:hAnsi="Arial"/>
                <w:sz w:val="18"/>
                <w:szCs w:val="18"/>
                <w:color w:val="auto"/>
              </w:rPr>
              <w:t>Use of proceeds</w:t>
            </w: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rPr>
              <w:t>We estimate that the net proceeds to us from this offering will be approximately</w:t>
            </w:r>
          </w:p>
        </w:tc>
      </w:tr>
      <w:tr>
        <w:trPr>
          <w:trHeight w:val="216"/>
        </w:trPr>
        <w:tc>
          <w:tcPr>
            <w:tcW w:w="3120" w:type="dxa"/>
            <w:vAlign w:val="bottom"/>
          </w:tcPr>
          <w:p>
            <w:pPr>
              <w:spacing w:after="0"/>
              <w:rPr>
                <w:sz w:val="18"/>
                <w:szCs w:val="18"/>
                <w:color w:val="auto"/>
              </w:rPr>
            </w:pPr>
          </w:p>
        </w:tc>
        <w:tc>
          <w:tcPr>
            <w:tcW w:w="1740" w:type="dxa"/>
            <w:vAlign w:val="bottom"/>
          </w:tcPr>
          <w:p>
            <w:pPr>
              <w:ind w:left="1080"/>
              <w:spacing w:after="0"/>
              <w:rPr>
                <w:sz w:val="20"/>
                <w:szCs w:val="20"/>
                <w:color w:val="auto"/>
              </w:rPr>
            </w:pPr>
            <w:r>
              <w:rPr>
                <w:rFonts w:ascii="Arial" w:cs="Arial" w:eastAsia="Arial" w:hAnsi="Arial"/>
                <w:sz w:val="18"/>
                <w:szCs w:val="18"/>
                <w:color w:val="auto"/>
              </w:rPr>
              <w:t>$</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million, assuming an initial public offering price of $</w:t>
            </w:r>
          </w:p>
        </w:tc>
        <w:tc>
          <w:tcPr>
            <w:tcW w:w="2040" w:type="dxa"/>
            <w:vAlign w:val="bottom"/>
          </w:tcPr>
          <w:p>
            <w:pPr>
              <w:ind w:left="300"/>
              <w:spacing w:after="0"/>
              <w:rPr>
                <w:sz w:val="20"/>
                <w:szCs w:val="20"/>
                <w:color w:val="auto"/>
              </w:rPr>
            </w:pPr>
            <w:r>
              <w:rPr>
                <w:rFonts w:ascii="Arial" w:cs="Arial" w:eastAsia="Arial" w:hAnsi="Arial"/>
                <w:sz w:val="18"/>
                <w:szCs w:val="18"/>
                <w:color w:val="auto"/>
              </w:rPr>
              <w:t>per common share,</w:t>
            </w:r>
          </w:p>
        </w:tc>
      </w:tr>
      <w:tr>
        <w:trPr>
          <w:trHeight w:val="216"/>
        </w:trPr>
        <w:tc>
          <w:tcPr>
            <w:tcW w:w="312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3"/>
              </w:rPr>
              <w:t>which is the midpoint of the price range set forth on the cover page of this prospectus, after</w:t>
            </w:r>
          </w:p>
        </w:tc>
      </w:tr>
      <w:tr>
        <w:trPr>
          <w:trHeight w:val="216"/>
        </w:trPr>
        <w:tc>
          <w:tcPr>
            <w:tcW w:w="312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1"/>
              </w:rPr>
              <w:t>deducting underwriting discounts and commissions and estimated offering expenses payable</w:t>
            </w:r>
          </w:p>
        </w:tc>
      </w:tr>
      <w:tr>
        <w:trPr>
          <w:trHeight w:val="216"/>
        </w:trPr>
        <w:tc>
          <w:tcPr>
            <w:tcW w:w="312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7"/>
              </w:rPr>
              <w:t>by us. We intend to use the net proceeds from this offering together with cash and cash</w:t>
            </w:r>
          </w:p>
        </w:tc>
      </w:tr>
      <w:tr>
        <w:trPr>
          <w:trHeight w:val="216"/>
        </w:trPr>
        <w:tc>
          <w:tcPr>
            <w:tcW w:w="312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rPr>
              <w:t>equivalents on hand (including the net proceeds from the Series E Private Placement</w:t>
            </w:r>
          </w:p>
        </w:tc>
      </w:tr>
      <w:tr>
        <w:trPr>
          <w:trHeight w:val="216"/>
        </w:trPr>
        <w:tc>
          <w:tcPr>
            <w:tcW w:w="312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rPr>
              <w:t>Extension) to further the development of our therapeutic product candidates under</w:t>
            </w:r>
          </w:p>
        </w:tc>
      </w:tr>
      <w:tr>
        <w:trPr>
          <w:trHeight w:val="216"/>
        </w:trPr>
        <w:tc>
          <w:tcPr>
            <w:tcW w:w="312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0"/>
              </w:rPr>
              <w:t>collaboration agreements (ACI-35 and anti-tau antibodies), advance our other clinical and pre-</w:t>
            </w:r>
          </w:p>
        </w:tc>
      </w:tr>
      <w:tr>
        <w:trPr>
          <w:trHeight w:val="216"/>
        </w:trPr>
        <w:tc>
          <w:tcPr>
            <w:tcW w:w="312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3"/>
              </w:rPr>
              <w:t>clinical programs, and for research and development of other indications and initiatives that</w:t>
            </w:r>
          </w:p>
        </w:tc>
      </w:tr>
      <w:tr>
        <w:trPr>
          <w:trHeight w:val="216"/>
        </w:trPr>
        <w:tc>
          <w:tcPr>
            <w:tcW w:w="3120" w:type="dxa"/>
            <w:vAlign w:val="bottom"/>
          </w:tcPr>
          <w:p>
            <w:pPr>
              <w:spacing w:after="0"/>
              <w:rPr>
                <w:sz w:val="18"/>
                <w:szCs w:val="18"/>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89"/>
              </w:rPr>
              <w:t>are complementary to our existing and planned research activities. See “Use of Proceeds” for a</w:t>
            </w:r>
          </w:p>
        </w:tc>
      </w:tr>
      <w:tr>
        <w:trPr>
          <w:trHeight w:val="230"/>
        </w:trPr>
        <w:tc>
          <w:tcPr>
            <w:tcW w:w="3120" w:type="dxa"/>
            <w:vAlign w:val="bottom"/>
          </w:tcPr>
          <w:p>
            <w:pPr>
              <w:spacing w:after="0"/>
              <w:rPr>
                <w:sz w:val="20"/>
                <w:szCs w:val="20"/>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rPr>
              <w:t>more complete description of the intended use of proceeds from this offering.</w:t>
            </w:r>
          </w:p>
        </w:tc>
      </w:tr>
      <w:tr>
        <w:trPr>
          <w:trHeight w:val="459"/>
        </w:trPr>
        <w:tc>
          <w:tcPr>
            <w:tcW w:w="3120" w:type="dxa"/>
            <w:vAlign w:val="bottom"/>
          </w:tcPr>
          <w:p>
            <w:pPr>
              <w:spacing w:after="0"/>
              <w:rPr>
                <w:sz w:val="24"/>
                <w:szCs w:val="24"/>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rPr>
              <w:t>We will not receive any proceeds from the sale of shares by the selling shareholders.</w:t>
            </w:r>
          </w:p>
        </w:tc>
      </w:tr>
      <w:tr>
        <w:trPr>
          <w:trHeight w:val="445"/>
        </w:trPr>
        <w:tc>
          <w:tcPr>
            <w:tcW w:w="3120" w:type="dxa"/>
            <w:vAlign w:val="bottom"/>
          </w:tcPr>
          <w:p>
            <w:pPr>
              <w:spacing w:after="0"/>
              <w:rPr>
                <w:sz w:val="20"/>
                <w:szCs w:val="20"/>
                <w:color w:val="auto"/>
              </w:rPr>
            </w:pPr>
            <w:r>
              <w:rPr>
                <w:rFonts w:ascii="Arial" w:cs="Arial" w:eastAsia="Arial" w:hAnsi="Arial"/>
                <w:sz w:val="18"/>
                <w:szCs w:val="18"/>
                <w:color w:val="auto"/>
              </w:rPr>
              <w:t>Risk factors</w:t>
            </w: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w w:val="94"/>
              </w:rPr>
              <w:t>See “Risk Factors” and the other information included in this prospectus for a discussion of</w:t>
            </w:r>
          </w:p>
        </w:tc>
      </w:tr>
      <w:tr>
        <w:trPr>
          <w:trHeight w:val="230"/>
        </w:trPr>
        <w:tc>
          <w:tcPr>
            <w:tcW w:w="3120" w:type="dxa"/>
            <w:vAlign w:val="bottom"/>
          </w:tcPr>
          <w:p>
            <w:pPr>
              <w:spacing w:after="0"/>
              <w:rPr>
                <w:sz w:val="20"/>
                <w:szCs w:val="20"/>
                <w:color w:val="auto"/>
              </w:rPr>
            </w:pPr>
          </w:p>
        </w:tc>
        <w:tc>
          <w:tcPr>
            <w:tcW w:w="7900" w:type="dxa"/>
            <w:vAlign w:val="bottom"/>
            <w:gridSpan w:val="4"/>
          </w:tcPr>
          <w:p>
            <w:pPr>
              <w:ind w:left="1080"/>
              <w:spacing w:after="0"/>
              <w:rPr>
                <w:sz w:val="20"/>
                <w:szCs w:val="20"/>
                <w:color w:val="auto"/>
              </w:rPr>
            </w:pPr>
            <w:r>
              <w:rPr>
                <w:rFonts w:ascii="Arial" w:cs="Arial" w:eastAsia="Arial" w:hAnsi="Arial"/>
                <w:sz w:val="18"/>
                <w:szCs w:val="18"/>
                <w:color w:val="auto"/>
              </w:rPr>
              <w:t>factors you should consider before deciding to invest in our common shares.</w:t>
            </w:r>
          </w:p>
        </w:tc>
      </w:tr>
      <w:tr>
        <w:trPr>
          <w:trHeight w:val="459"/>
        </w:trPr>
        <w:tc>
          <w:tcPr>
            <w:tcW w:w="3120" w:type="dxa"/>
            <w:vAlign w:val="bottom"/>
          </w:tcPr>
          <w:p>
            <w:pPr>
              <w:spacing w:after="0"/>
              <w:rPr>
                <w:sz w:val="20"/>
                <w:szCs w:val="20"/>
                <w:color w:val="auto"/>
              </w:rPr>
            </w:pPr>
            <w:r>
              <w:rPr>
                <w:rFonts w:ascii="Arial" w:cs="Arial" w:eastAsia="Arial" w:hAnsi="Arial"/>
                <w:sz w:val="18"/>
                <w:szCs w:val="18"/>
                <w:color w:val="auto"/>
              </w:rPr>
              <w:t>Proposed NASDAQ symbol</w:t>
            </w:r>
          </w:p>
        </w:tc>
        <w:tc>
          <w:tcPr>
            <w:tcW w:w="1740" w:type="dxa"/>
            <w:vAlign w:val="bottom"/>
          </w:tcPr>
          <w:p>
            <w:pPr>
              <w:ind w:left="1080"/>
              <w:spacing w:after="0"/>
              <w:rPr>
                <w:sz w:val="20"/>
                <w:szCs w:val="20"/>
                <w:color w:val="auto"/>
              </w:rPr>
            </w:pPr>
            <w:r>
              <w:rPr>
                <w:rFonts w:ascii="Arial" w:cs="Arial" w:eastAsia="Arial" w:hAnsi="Arial"/>
                <w:sz w:val="18"/>
                <w:szCs w:val="18"/>
                <w:color w:val="auto"/>
              </w:rPr>
              <w:t>“ACIU.”</w:t>
            </w:r>
          </w:p>
        </w:tc>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15" w:lineRule="exact"/>
        <w:rPr>
          <w:sz w:val="20"/>
          <w:szCs w:val="20"/>
          <w:color w:val="auto"/>
        </w:rPr>
      </w:pPr>
    </w:p>
    <w:p>
      <w:pPr>
        <w:ind w:left="200" w:right="60" w:firstLine="443"/>
        <w:spacing w:after="0" w:line="286" w:lineRule="auto"/>
        <w:rPr>
          <w:sz w:val="20"/>
          <w:szCs w:val="20"/>
          <w:color w:val="auto"/>
        </w:rPr>
      </w:pPr>
      <w:r>
        <w:rPr>
          <w:rFonts w:ascii="Arial" w:cs="Arial" w:eastAsia="Arial" w:hAnsi="Arial"/>
          <w:sz w:val="17"/>
          <w:szCs w:val="17"/>
          <w:color w:val="auto"/>
        </w:rPr>
        <w:t>The number of our common shares to be outstanding after this offering is based on 10,003,000 common shares outstanding as of June 6, 2016 and 38,577,042 additional common shares issuable upon the conversion of all of our preferred shares (including the preferred shares issued in the Series E Private Placement Extension) on a one-for-one basis upon the closing of this offering, but excludes:</w:t>
      </w:r>
    </w:p>
    <w:p>
      <w:pPr>
        <w:spacing w:after="0" w:line="71" w:lineRule="exact"/>
        <w:rPr>
          <w:sz w:val="20"/>
          <w:szCs w:val="20"/>
          <w:color w:val="auto"/>
        </w:rPr>
      </w:pPr>
    </w:p>
    <w:p>
      <w:pPr>
        <w:ind w:left="1060" w:right="16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2,679,998 of our common shares issuable upon the exercise of vested and unvested options outstanding under our existing equity incentive plans at a weighted-average exercise price of CHF 0.14548 per common share;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091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3091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60" w:hanging="431"/>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on May 25, 2016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ectPr>
          <w:pgSz w:w="11900" w:h="16838" w:orient="portrait"/>
          <w:cols w:equalWidth="0" w:num="1">
            <w:col w:w="11220"/>
          </w:cols>
          <w:pgMar w:left="240" w:top="459" w:right="43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480" w:space="600"/>
            <w:col w:w="7080"/>
          </w:cols>
          <w:pgMar w:left="240" w:top="459" w:right="439" w:bottom="1440" w:gutter="0" w:footer="0" w:header="0"/>
          <w:type w:val="continuous"/>
        </w:sectPr>
      </w:pPr>
    </w:p>
    <w:p>
      <w:pPr>
        <w:ind w:left="1060" w:right="44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 and</w:t>
      </w:r>
    </w:p>
    <w:p>
      <w:pPr>
        <w:spacing w:after="0" w:line="51" w:lineRule="exact"/>
        <w:rPr>
          <w:rFonts w:ascii="Arial" w:cs="Arial" w:eastAsia="Arial" w:hAnsi="Arial"/>
          <w:sz w:val="17"/>
          <w:szCs w:val="17"/>
          <w:color w:val="auto"/>
        </w:rPr>
      </w:pPr>
    </w:p>
    <w:p>
      <w:pPr>
        <w:ind w:left="1060" w:hanging="431"/>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conversion of all of our preferred shares (including the preferred shares issued in the Series E Private Placement Extension) into common</w:t>
      </w:r>
    </w:p>
    <w:p>
      <w:pPr>
        <w:spacing w:after="0" w:line="46"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shares on a one-for-one basis upon the closing of this offering and the filing and effectiveness of our amended and restated articles of</w:t>
      </w:r>
    </w:p>
    <w:p>
      <w:pPr>
        <w:spacing w:after="0" w:line="21" w:lineRule="exact"/>
        <w:rPr>
          <w:sz w:val="20"/>
          <w:szCs w:val="20"/>
          <w:color w:val="auto"/>
        </w:rPr>
      </w:pPr>
    </w:p>
    <w:p>
      <w:pPr>
        <w:ind w:left="1060"/>
        <w:spacing w:after="0"/>
        <w:tabs>
          <w:tab w:leader="none" w:pos="5500" w:val="left"/>
        </w:tabs>
        <w:rPr>
          <w:sz w:val="20"/>
          <w:szCs w:val="20"/>
          <w:color w:val="auto"/>
        </w:rPr>
      </w:pPr>
      <w:r>
        <w:rPr>
          <w:rFonts w:ascii="Arial" w:cs="Arial" w:eastAsia="Arial" w:hAnsi="Arial"/>
          <w:sz w:val="18"/>
          <w:szCs w:val="18"/>
          <w:color w:val="auto"/>
        </w:rPr>
        <w:t>association and creation of authorized share capital of</w:t>
      </w:r>
      <w:r>
        <w:rPr>
          <w:sz w:val="20"/>
          <w:szCs w:val="20"/>
          <w:color w:val="auto"/>
        </w:rPr>
        <w:tab/>
      </w:r>
      <w:r>
        <w:rPr>
          <w:rFonts w:ascii="Arial" w:cs="Arial" w:eastAsia="Arial" w:hAnsi="Arial"/>
          <w:sz w:val="16"/>
          <w:szCs w:val="16"/>
          <w:color w:val="auto"/>
        </w:rPr>
        <w:t>common shares upon the closing of this offering.</w:t>
      </w:r>
    </w:p>
    <w:p>
      <w:pPr>
        <w:spacing w:after="0" w:line="211" w:lineRule="exact"/>
        <w:rPr>
          <w:sz w:val="20"/>
          <w:szCs w:val="20"/>
          <w:color w:val="auto"/>
        </w:rPr>
      </w:pPr>
    </w:p>
    <w:p>
      <w:pPr>
        <w:ind w:left="200" w:right="360" w:firstLine="443"/>
        <w:spacing w:after="0" w:line="302" w:lineRule="auto"/>
        <w:rPr>
          <w:sz w:val="20"/>
          <w:szCs w:val="20"/>
          <w:color w:val="auto"/>
        </w:rPr>
      </w:pPr>
      <w:r>
        <w:rPr>
          <w:rFonts w:ascii="Arial" w:cs="Arial" w:eastAsia="Arial" w:hAnsi="Arial"/>
          <w:sz w:val="16"/>
          <w:szCs w:val="16"/>
          <w:color w:val="auto"/>
        </w:rPr>
        <w:t>In addition, unless otherwise indicated, all information in this prospectus excludes the issuance of 5,300,000 of our common shares to Credit Suisse AG, Zurich in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82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882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60" w:firstLine="443"/>
        <w:spacing w:after="0" w:line="297" w:lineRule="auto"/>
        <w:rPr>
          <w:sz w:val="20"/>
          <w:szCs w:val="20"/>
          <w:color w:val="auto"/>
        </w:rPr>
      </w:pPr>
      <w:r>
        <w:rPr>
          <w:rFonts w:ascii="Arial" w:cs="Arial" w:eastAsia="Arial" w:hAnsi="Arial"/>
          <w:sz w:val="16"/>
          <w:szCs w:val="16"/>
          <w:color w:val="auto"/>
        </w:rPr>
        <w:t>The summary income statement data and balance sheet data for and as of the years ended December 31, 2015 and 2014 are derived from our audited financial statements included elsewhere in this prospectus. The financial data as of March 31, 2016 and for the three months ended March 31, 2016 and 2015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w:t>
      </w:r>
    </w:p>
    <w:p>
      <w:pPr>
        <w:spacing w:after="0" w:line="15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c>
          <w:tcPr>
            <w:tcW w:w="23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2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23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39,090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(3,417)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18,624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Finance result—net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1,646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before tax</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20,270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3"/>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for the period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20,270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0.47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w w:val="95"/>
              </w:rPr>
              <w:t>Weighted-average number of shares used to compute earnings per share basic</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46,402,500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42,709,750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43,412,250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02"/>
        </w:trPr>
        <w:tc>
          <w:tcPr>
            <w:tcW w:w="64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Weighted-average number of shares used to compute earnings per share fully</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42,709,750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46,043,198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Series E Private Placement Extension or the CS AG Share Issuance.</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As of March 31, 2016</w:t>
            </w: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6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Actual</w:t>
            </w:r>
          </w:p>
        </w:tc>
        <w:tc>
          <w:tcPr>
            <w:tcW w:w="2560" w:type="dxa"/>
            <w:vAlign w:val="bottom"/>
            <w:gridSpan w:val="3"/>
          </w:tcPr>
          <w:p>
            <w:pPr>
              <w:jc w:val="right"/>
              <w:ind w:right="800"/>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142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As Further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80,775</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73,545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86,460</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(46,702)</w:t>
            </w:r>
          </w:p>
        </w:tc>
        <w:tc>
          <w:tcPr>
            <w:tcW w:w="25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(46,702)</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Total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64,679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77,594</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86,460</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460" w:hanging="42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adjusted to reflect (i) the conversion of all shares of our preferred stock outstanding as of March 31, 2016 into an aggregate of 37,175,250 common shares; (ii) the issuance and sale of preferred shares in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1343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3134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1"/>
              </w:rPr>
              <w:t>Series E Private Placement Extension and the conversion of all such shares into an aggregate of 1,401,792 common shares; (iii) the exercise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0"/>
              </w:rPr>
              <w:t>options into a total of 775,750 common shares between April 1 and June 6, 2016; and (iv) the filing and effectiveness of our amended and restated</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4"/>
              </w:rPr>
              <w:t>articles of incorporation. Does not give effect to the CS AG Share Issuance, as described under “Management’s Discussion and Analysis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2"/>
              </w:rPr>
              <w:t>Financial Condition and Results of Operations—Subsequent Events—CS AG Share Issuance” and in Note 8 (Post balance sheet events) of our</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0"/>
              </w:rPr>
              <w:t>unaudited interim condensed financial statements as of and for the three months ended March 31, 2016 and March 31, 2015 included elsewhere in</w:t>
            </w:r>
          </w:p>
        </w:tc>
      </w:tr>
      <w:tr>
        <w:trPr>
          <w:trHeight w:val="216"/>
        </w:trPr>
        <w:tc>
          <w:tcPr>
            <w:tcW w:w="3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this prospectus.</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As further adjusted balance sheet data gives effect to our issuance and sale of</w:t>
            </w:r>
          </w:p>
        </w:tc>
        <w:tc>
          <w:tcPr>
            <w:tcW w:w="4620" w:type="dxa"/>
            <w:vAlign w:val="bottom"/>
          </w:tcPr>
          <w:p>
            <w:pPr>
              <w:jc w:val="right"/>
              <w:ind w:right="110"/>
              <w:spacing w:after="0"/>
              <w:rPr>
                <w:sz w:val="20"/>
                <w:szCs w:val="20"/>
                <w:color w:val="auto"/>
              </w:rPr>
            </w:pPr>
            <w:r>
              <w:rPr>
                <w:rFonts w:ascii="Arial" w:cs="Arial" w:eastAsia="Arial" w:hAnsi="Arial"/>
                <w:sz w:val="18"/>
                <w:szCs w:val="18"/>
                <w:color w:val="auto"/>
                <w:w w:val="96"/>
              </w:rPr>
              <w:t>common shares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9040" w:type="dxa"/>
            <w:vAlign w:val="bottom"/>
            <w:gridSpan w:val="4"/>
          </w:tcPr>
          <w:p>
            <w:pPr>
              <w:jc w:val="right"/>
              <w:ind w:right="39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1"/>
              </w:rPr>
              <w:t>underwriting discounts and commissions and estimated offering expenses payable by us. Does not give effect to the CS AG Share Issuance, as</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1"/>
              </w:rPr>
              <w:t>described under “Management’s Discussion and Analysis of Financial Condition and Results of Operations—Subsequent Events—CS AG Share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Issuance” and in Note 8 (Post balance sheet events) of our unaudited interim condensed financial statements as of and for the three months ended</w:t>
            </w:r>
          </w:p>
        </w:tc>
      </w:tr>
      <w:tr>
        <w:trPr>
          <w:trHeight w:val="216"/>
        </w:trPr>
        <w:tc>
          <w:tcPr>
            <w:tcW w:w="320" w:type="dxa"/>
            <w:vAlign w:val="bottom"/>
          </w:tcPr>
          <w:p>
            <w:pPr>
              <w:spacing w:after="0"/>
              <w:rPr>
                <w:sz w:val="18"/>
                <w:szCs w:val="18"/>
                <w:color w:val="auto"/>
              </w:rPr>
            </w:pP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8"/>
              </w:rPr>
              <w:t>March 31, 2016 and March 31, 2015 included elsewhere in this prospectus.</w:t>
            </w:r>
          </w:p>
        </w:tc>
        <w:tc>
          <w:tcPr>
            <w:tcW w:w="46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20" w:type="dxa"/>
            <w:vAlign w:val="bottom"/>
          </w:tcPr>
          <w:p>
            <w:pPr>
              <w:jc w:val="right"/>
              <w:spacing w:after="0"/>
              <w:rPr>
                <w:sz w:val="20"/>
                <w:szCs w:val="20"/>
                <w:color w:val="auto"/>
              </w:rPr>
            </w:pPr>
            <w:r>
              <w:rPr>
                <w:rFonts w:ascii="Arial" w:cs="Arial" w:eastAsia="Arial" w:hAnsi="Arial"/>
                <w:sz w:val="18"/>
                <w:szCs w:val="18"/>
                <w:color w:val="auto"/>
                <w:w w:val="97"/>
              </w:rPr>
              <w:t>per common share, which is the midpoint of the price range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set forth on the cover page of this prospectus, would increase (decrease) our as further adjusted cash and cash equivalents and as further adjusted</w:t>
            </w:r>
          </w:p>
        </w:tc>
      </w:tr>
      <w:tr>
        <w:trPr>
          <w:trHeight w:val="216"/>
        </w:trPr>
        <w:tc>
          <w:tcPr>
            <w:tcW w:w="320" w:type="dxa"/>
            <w:vAlign w:val="bottom"/>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total shareholders’ equity by $</w:t>
            </w:r>
          </w:p>
        </w:tc>
        <w:tc>
          <w:tcPr>
            <w:tcW w:w="980" w:type="dxa"/>
            <w:vAlign w:val="bottom"/>
          </w:tcPr>
          <w:p>
            <w:pPr>
              <w:ind w:left="280"/>
              <w:spacing w:after="0"/>
              <w:rPr>
                <w:sz w:val="20"/>
                <w:szCs w:val="20"/>
                <w:color w:val="auto"/>
              </w:rPr>
            </w:pPr>
            <w:r>
              <w:rPr>
                <w:rFonts w:ascii="Arial" w:cs="Arial" w:eastAsia="Arial" w:hAnsi="Arial"/>
                <w:sz w:val="18"/>
                <w:szCs w:val="18"/>
                <w:color w:val="auto"/>
              </w:rPr>
              <w:t>(CHF</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w w:val="93"/>
              </w:rPr>
              <w:t>), assuming that the number of common shares offered by us, as set forth on the cover page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this prospectus, remains the same and after deducting estimated underwriting discounts and commissions and estimated offering expenses payable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8"/>
              </w:rPr>
              <w:t>by us. We may also increase or decrease the number of shares we are offering. An increase (decrease) of 1,000,000 in the number of shares we 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8"/>
              </w:rPr>
              <w:t>offering would increase (decrease) as further adjusted cash and cash equivalents and as further adjusted total shareholders’ equity by</w:t>
            </w:r>
          </w:p>
        </w:tc>
      </w:tr>
      <w:tr>
        <w:trPr>
          <w:trHeight w:val="230"/>
        </w:trPr>
        <w:tc>
          <w:tcPr>
            <w:tcW w:w="32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ind w:left="280"/>
              <w:spacing w:after="0"/>
              <w:rPr>
                <w:sz w:val="20"/>
                <w:szCs w:val="20"/>
                <w:color w:val="auto"/>
              </w:rPr>
            </w:pPr>
            <w:r>
              <w:rPr>
                <w:rFonts w:ascii="Arial" w:cs="Arial" w:eastAsia="Arial" w:hAnsi="Arial"/>
                <w:sz w:val="18"/>
                <w:szCs w:val="18"/>
                <w:color w:val="auto"/>
              </w:rPr>
              <w:t>(CHF</w:t>
            </w:r>
          </w:p>
        </w:tc>
        <w:tc>
          <w:tcPr>
            <w:tcW w:w="9040" w:type="dxa"/>
            <w:vAlign w:val="bottom"/>
            <w:gridSpan w:val="4"/>
          </w:tcPr>
          <w:p>
            <w:pPr>
              <w:jc w:val="right"/>
              <w:ind w:right="90"/>
              <w:spacing w:after="0"/>
              <w:rPr>
                <w:sz w:val="20"/>
                <w:szCs w:val="20"/>
                <w:color w:val="auto"/>
              </w:rPr>
            </w:pPr>
            <w:r>
              <w:rPr>
                <w:rFonts w:ascii="Arial" w:cs="Arial" w:eastAsia="Arial" w:hAnsi="Arial"/>
                <w:sz w:val="18"/>
                <w:szCs w:val="18"/>
                <w:color w:val="auto"/>
                <w:w w:val="92"/>
              </w:rPr>
              <w:t>), assuming that the assumed initial public offering price remains the same and after deducting the underwriting discount</w:t>
            </w:r>
          </w:p>
        </w:tc>
      </w:tr>
    </w:tbl>
    <w:p>
      <w:pPr>
        <w:ind w:left="620"/>
        <w:spacing w:after="0"/>
        <w:rPr>
          <w:sz w:val="20"/>
          <w:szCs w:val="20"/>
          <w:color w:val="auto"/>
        </w:rPr>
      </w:pPr>
      <w:r>
        <w:rPr>
          <w:rFonts w:ascii="Arial" w:cs="Arial" w:eastAsia="Arial" w:hAnsi="Arial"/>
          <w:sz w:val="18"/>
          <w:szCs w:val="18"/>
          <w:color w:val="auto"/>
        </w:rPr>
        <w:t>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for AD and ACI-35,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for AD and ACI-35,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Accordingly, if crenezumab, ACI-24 and ACI-35 are approved, competitors could file ANDAs for generic versions of crenezumab, ACI-24 and ACI-35, or 505(b)(2) NDAs that reference crenezumab, ACI-24 and ACI-35,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Roche, the parent company of our collaboration partner Genentech, is evaluating gantenerumab, which is a product candidate in the same indication as our lead product candidate crenezumab.</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9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two serious adverse events were observed in one patient during clinical studies of ACI-35, although we believe that these serious adverse events were not related to the treatment. The first event, pyelonephritis, was considered likely to have started prior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study given the patient’s tendency to contract urinary infections, including pyelonephritis. The second event, dizziness accompanied by confusion, was considered likely related to the progression of the patient’s underlying condition, since no abnormalities were noted during repeat MRIs and other examinations. A relationship between these serious adverse effects and ACI-35 cannot be ruled out, however. Non-drug related serious adverse effects observed during clinical studies of ACI-24 were acute chest pain, death,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George Pavey, our Chief Financial Officer; and Jean-Fabien Monin, our Chief Administrative Officer.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activities of these groups are successful, our research and development activities may be interrupted, delayed or become more expensive.</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2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3" w:lineRule="exact"/>
        <w:rPr>
          <w:sz w:val="20"/>
          <w:szCs w:val="20"/>
          <w:color w:val="auto"/>
        </w:rPr>
      </w:pPr>
    </w:p>
    <w:p>
      <w:pPr>
        <w:ind w:left="5620" w:right="300" w:hanging="5166"/>
        <w:spacing w:after="0" w:line="449" w:lineRule="auto"/>
        <w:tabs>
          <w:tab w:leader="none" w:pos="8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collaboration partner devotes to the product development program; 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14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5" w:lineRule="exact"/>
        <w:rPr>
          <w:sz w:val="20"/>
          <w:szCs w:val="20"/>
          <w:color w:val="auto"/>
        </w:rPr>
      </w:pPr>
    </w:p>
    <w:p>
      <w:pPr>
        <w:jc w:val="both"/>
        <w:ind w:left="240" w:right="16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73"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6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0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jc w:val="both"/>
        <w:ind w:right="120" w:firstLine="456"/>
        <w:spacing w:after="0" w:line="293" w:lineRule="auto"/>
        <w:rPr>
          <w:sz w:val="20"/>
          <w:szCs w:val="20"/>
          <w:color w:val="auto"/>
        </w:rPr>
      </w:pPr>
      <w:r>
        <w:rPr>
          <w:rFonts w:ascii="Arial" w:cs="Arial" w:eastAsia="Arial" w:hAnsi="Arial"/>
          <w:sz w:val="16"/>
          <w:szCs w:val="16"/>
          <w:color w:val="auto"/>
        </w:rPr>
        <w:t xml:space="preserve">Our commercial success depends on our ability and the ability of our licensees or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derivation proceedings and post grant review before the USPTO and corresponding foreign patent offices.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employ and utilize the services of individuals who were previously employed or provided services to universities or other biotechnology or pharmaceutical companies, including our competitors or potential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and net losses of CHF 6.2 million for the three months ended March 31, 2016. In addition, we had accumulated losses of CHF 46.7 million as of March 31, 2016.</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right="2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and a Phase 1b clinical study of ACI-35;</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or ACI-35, for which we complete clinical studies;</w:t>
      </w:r>
    </w:p>
    <w:p>
      <w:pPr>
        <w:spacing w:after="0" w:line="75" w:lineRule="exact"/>
        <w:rPr>
          <w:rFonts w:ascii="Arial" w:cs="Arial" w:eastAsia="Arial" w:hAnsi="Arial"/>
          <w:sz w:val="18"/>
          <w:szCs w:val="18"/>
          <w:color w:val="auto"/>
        </w:rPr>
      </w:pPr>
    </w:p>
    <w:p>
      <w:pPr>
        <w:ind w:left="900" w:right="28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currently advancing our product candidates through clinical development, either together with a collaboration partner (crenezumab and ACI-35) or independently (ACI-24 for AD). We expect our research and development expenses to continue to increase in connection with our ongoing activities, particularly as we and/or our collaboration partners continue our ongoing studies and initiate new studies of crenezumab, ACI-24 for AD and ACI-35 and initiate preclinical and clinical development of our other product candidates. As of March 31, 2016, we had cash and cash equivalents of CHF 67.9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 least through the fourth quarter of fiscal year 2017. We have based this estimate on assumptions that may prove to be wrong, and we could exhaust our capital resources sooner than we currently expect. Our future funding requirements will depend on many factors, including but not limited to:</w:t>
      </w:r>
    </w:p>
    <w:p>
      <w:pPr>
        <w:spacing w:after="0" w:line="18"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and ACI-35 is in Phase 1b clinical studies. The development of our other product candidates is less advanced and studies have not yet started.</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6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7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among us, the selling shareholders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Following completion of this offering, our existing shareholders are expected to own approximately % of our common shares (or approximately % if the underwriters exercise their over-allotment option in full). Depending on the level of attendance at our general meetings of shareholders, these shareholders may be in a position to determine the outcome of decisions taken at any such general meeting. To the extent that the interests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common shares. Following the completion of this offering, we will have common shares outstanding (assuming no exercise of the underwriters’ over-allotment option) based on 10,003,000 common shares outstanding as of June 6, 2016 and 38,577,042 additional common shares issuable upon the conversion of all of our outstanding preferred shares into common shares, excluding 5,300,000 of our common shares issued to Credit Suisse AG, Zurich in the CS AG Share Issuance. This includes the common shares in this offering, which may be resold in the public market immediately upon the closing of this offering without restriction, unless purchased by our affiliates. Approximately % of the common shares outstanding are expected to be held by affiliates (or % if existing investors, executives and directors purchase all the shares they have indicated an interest in purchasing in this offering) (assuming no exercise of the underwriters’ over-allotment option).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680" w:hanging="672"/>
        <w:spacing w:after="0"/>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 common share, which is the midpoint of the price range set forth on the cover page of this prospectus, you will experience immediate dilution of</w:t>
      </w:r>
    </w:p>
    <w:p>
      <w:pPr>
        <w:spacing w:after="0" w:line="32"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CHF ($ ) per common share, representing the difference between our as adjusted net tangible book value per common share after giving effect to this offering and the initial public offering price. In addition, purchasers of common shares in this offering will have contributed approximately % of the aggregate price paid by all purchasers of our common shares but will own only approximately % of our common shares outstanding after this offering. See “Dilution.”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 shareholders’ meeting held on October 21, 2015, which requires registration with the commercial register of the Canton of Vaud. On May 27, 2016, the commercial register of the Canton of Vaud approved an increase in our authorized share capital of 5,300,000 common shares, all of which were issued to Credit Suisse AG, Zurich. See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 Any registration of a capital increase over and above these 5,300,000 common shares in the commercial register of the Canton of Vaud may be blocked by a shareholder and, therefore, prevent or delay the completion of this offering.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w:t>
      </w:r>
    </w:p>
    <w:p>
      <w:pPr>
        <w:spacing w:after="0" w:line="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completion of this offering, we expect the Company to have CHF of qualifying capital contributions and CHF of registered share capital on its audited statutory balance sheet.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7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2017 (the end of our second fiscal quarter in the fiscal year after this offering), which would require us to comply with all of the periodic disclosure and current reporting requirements of the Exchange Act applicable to U.S. domestic issuers as of January 1, 2018.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20"/>
        <w:spacing w:after="0" w:line="279" w:lineRule="auto"/>
        <w:rPr>
          <w:sz w:val="20"/>
          <w:szCs w:val="20"/>
          <w:color w:val="auto"/>
        </w:rPr>
      </w:pPr>
      <w:r>
        <w:rPr>
          <w:rFonts w:ascii="Arial" w:cs="Arial" w:eastAsia="Arial" w:hAnsi="Arial"/>
          <w:sz w:val="17"/>
          <w:szCs w:val="17"/>
          <w:b w:val="1"/>
          <w:bCs w:val="1"/>
          <w:i w:val="1"/>
          <w:iCs w:val="1"/>
          <w:color w:val="auto"/>
        </w:rPr>
        <w:t>In connection with the audit of our financial statements as of and for the years ended December 31, 2014 and December 31, 2015, we and our independent registered public accounting firm identified a material weakness in our internal control over financial reporting.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63"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2015.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audits of our financial statements as and at the year ended December 31, 2014, we identified a material weakness in our internal control over financial reporting, which was not fully remediated as of December 31, 2015.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55"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Table of Contents</w:t>
              </w:r>
            </w:hyperlink>
          </w:p>
        </w:tc>
        <w:tc>
          <w:tcPr>
            <w:tcW w:w="27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0" w:type="dxa"/>
            <w:vAlign w:val="bottom"/>
          </w:tcPr>
          <w:p>
            <w:pPr>
              <w:ind w:left="62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r>
      <w:tr>
        <w:trPr>
          <w:trHeight w:val="418"/>
        </w:trPr>
        <w:tc>
          <w:tcPr>
            <w:tcW w:w="4260" w:type="dxa"/>
            <w:vAlign w:val="bottom"/>
            <w:gridSpan w:val="3"/>
          </w:tcPr>
          <w:p>
            <w:pPr>
              <w:ind w:left="460"/>
              <w:spacing w:after="0"/>
              <w:rPr>
                <w:sz w:val="20"/>
                <w:szCs w:val="20"/>
                <w:color w:val="auto"/>
              </w:rPr>
            </w:pPr>
            <w:r>
              <w:rPr>
                <w:rFonts w:ascii="Arial" w:cs="Arial" w:eastAsia="Arial" w:hAnsi="Arial"/>
                <w:sz w:val="18"/>
                <w:szCs w:val="18"/>
                <w:color w:val="auto"/>
                <w:w w:val="93"/>
              </w:rPr>
              <w:t>We estimate that the net proceeds from the sale of</w:t>
            </w:r>
          </w:p>
        </w:tc>
        <w:tc>
          <w:tcPr>
            <w:tcW w:w="4400" w:type="dxa"/>
            <w:vAlign w:val="bottom"/>
          </w:tcPr>
          <w:p>
            <w:pPr>
              <w:ind w:left="200"/>
              <w:spacing w:after="0"/>
              <w:rPr>
                <w:sz w:val="20"/>
                <w:szCs w:val="20"/>
                <w:color w:val="auto"/>
              </w:rPr>
            </w:pPr>
            <w:r>
              <w:rPr>
                <w:rFonts w:ascii="Arial" w:cs="Arial" w:eastAsia="Arial" w:hAnsi="Arial"/>
                <w:sz w:val="18"/>
                <w:szCs w:val="18"/>
                <w:color w:val="auto"/>
                <w:w w:val="96"/>
              </w:rPr>
              <w:t>common shares in this offering will be approximately $</w:t>
            </w:r>
          </w:p>
        </w:tc>
        <w:tc>
          <w:tcPr>
            <w:tcW w:w="2740" w:type="dxa"/>
            <w:vAlign w:val="bottom"/>
          </w:tcPr>
          <w:p>
            <w:pPr>
              <w:ind w:left="200"/>
              <w:spacing w:after="0"/>
              <w:rPr>
                <w:sz w:val="20"/>
                <w:szCs w:val="20"/>
                <w:color w:val="auto"/>
              </w:rPr>
            </w:pPr>
            <w:r>
              <w:rPr>
                <w:rFonts w:ascii="Arial" w:cs="Arial" w:eastAsia="Arial" w:hAnsi="Arial"/>
                <w:sz w:val="18"/>
                <w:szCs w:val="18"/>
                <w:color w:val="auto"/>
                <w:w w:val="92"/>
              </w:rPr>
              <w:t>million at an assumed initial public</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860" w:type="dxa"/>
            <w:vAlign w:val="bottom"/>
            <w:gridSpan w:val="3"/>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 the cover page of this prospectus), after deducting the underwriting</w:t>
            </w:r>
          </w:p>
        </w:tc>
      </w:tr>
    </w:tbl>
    <w:p>
      <w:pPr>
        <w:ind w:right="3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 and estimated offering expenses payable by us. In addition, we received gross proceeds of approximately $13.5 million from the Series E Private Placement Extension.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shares by the selling shareholders.</w:t>
      </w:r>
    </w:p>
    <w:p>
      <w:pPr>
        <w:spacing w:after="0" w:line="225"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300" w:firstLine="8"/>
        <w:spacing w:after="0" w:line="281" w:lineRule="auto"/>
        <w:tabs>
          <w:tab w:leader="none" w:pos="4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March 31, 2016, after giving effect to the Series E Private Placement Extension, we would have had cash and cash equivalents of CHF 80.7 million. We intend to use the net proceeds of this offering</w:t>
      </w:r>
    </w:p>
    <w:p>
      <w:pPr>
        <w:ind w:right="80"/>
        <w:spacing w:after="0" w:line="261" w:lineRule="auto"/>
        <w:rPr>
          <w:sz w:val="20"/>
          <w:szCs w:val="20"/>
          <w:color w:val="auto"/>
        </w:rPr>
      </w:pPr>
      <w:r>
        <w:rPr>
          <w:rFonts w:ascii="Arial" w:cs="Arial" w:eastAsia="Arial" w:hAnsi="Arial"/>
          <w:sz w:val="18"/>
          <w:szCs w:val="18"/>
          <w:color w:val="auto"/>
        </w:rPr>
        <w:t>over the next years, together with our existing cash and cash equivalents (including the net proceeds from the Series E Private Placement Extension), as follows:</w:t>
      </w:r>
    </w:p>
    <w:p>
      <w:pPr>
        <w:spacing w:after="0" w:line="89"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share of the costs for the further development of our therapeutic and diagnostics product candidates</w:t>
      </w:r>
    </w:p>
    <w:p>
      <w:pPr>
        <w:sectPr>
          <w:pgSz w:w="11900" w:h="16838" w:orient="portrait"/>
          <w:cols w:equalWidth="0" w:num="1">
            <w:col w:w="11420"/>
          </w:cols>
          <w:pgMar w:left="240" w:top="446" w:right="239" w:bottom="1440" w:gutter="0" w:footer="0" w:header="0"/>
        </w:sectPr>
      </w:pPr>
    </w:p>
    <w:p>
      <w:pPr>
        <w:spacing w:after="0" w:line="23" w:lineRule="exact"/>
        <w:rPr>
          <w:sz w:val="20"/>
          <w:szCs w:val="20"/>
          <w:color w:val="auto"/>
        </w:rPr>
      </w:pPr>
    </w:p>
    <w:p>
      <w:pPr>
        <w:ind w:left="900" w:right="20"/>
        <w:spacing w:after="0" w:line="277" w:lineRule="auto"/>
        <w:rPr>
          <w:sz w:val="20"/>
          <w:szCs w:val="20"/>
          <w:color w:val="auto"/>
        </w:rPr>
      </w:pPr>
      <w:r>
        <w:rPr>
          <w:rFonts w:ascii="Arial" w:cs="Arial" w:eastAsia="Arial" w:hAnsi="Arial"/>
          <w:sz w:val="17"/>
          <w:szCs w:val="17"/>
          <w:color w:val="auto"/>
        </w:rPr>
        <w:t>under collaboration agreements (anti-tau antibodies and the tau PET tracers) over the next three years, of which approximately $ million will be spent on therapeutic product candidates and of which approximately $ million will be spent on diagnostic product candidates, and we expect these expenditures will take the tau PET tracers into Phase 3 and the anti-tau antibody program into Phase 2;</w:t>
      </w:r>
    </w:p>
    <w:p>
      <w:pPr>
        <w:sectPr>
          <w:pgSz w:w="11900" w:h="16838" w:orient="portrait"/>
          <w:cols w:equalWidth="0" w:num="1">
            <w:col w:w="11420"/>
          </w:cols>
          <w:pgMar w:left="240" w:top="446" w:right="239" w:bottom="1440" w:gutter="0" w:footer="0" w:header="0"/>
          <w:type w:val="continuous"/>
        </w:sectPr>
      </w:pPr>
    </w:p>
    <w:p>
      <w:pPr>
        <w:spacing w:after="0" w:line="79" w:lineRule="exact"/>
        <w:rPr>
          <w:sz w:val="20"/>
          <w:szCs w:val="20"/>
          <w:color w:val="auto"/>
        </w:rPr>
      </w:pPr>
    </w:p>
    <w:p>
      <w:pPr>
        <w:ind w:left="900" w:right="46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approximately $ million for the further development of ACI-24 for AD through the remainder of the Phase 1/2a study and the Phase 2b study and for our ongoing Phase 1 study and a portion of the proposed Phase 2 study of ACI-24 for Down syndrome;</w:t>
      </w:r>
    </w:p>
    <w:p>
      <w:pPr>
        <w:spacing w:after="0" w:line="51"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approximately $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70"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46"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conversion of all shares of our preferred stock outstanding as of March 31, 2016 into an aggregate of 37,175,250 common shares;</w:t>
      </w:r>
    </w:p>
    <w:p>
      <w:pPr>
        <w:spacing w:after="0" w:line="140" w:lineRule="exact"/>
        <w:rPr>
          <w:rFonts w:ascii="Arial" w:cs="Arial" w:eastAsia="Arial" w:hAnsi="Arial"/>
          <w:sz w:val="16"/>
          <w:szCs w:val="16"/>
          <w:color w:val="auto"/>
        </w:rPr>
      </w:pPr>
    </w:p>
    <w:p>
      <w:pPr>
        <w:ind w:left="1500" w:right="300" w:hanging="8"/>
        <w:spacing w:after="0" w:line="277" w:lineRule="auto"/>
        <w:tabs>
          <w:tab w:leader="none" w:pos="1765" w:val="left"/>
        </w:tabs>
        <w:numPr>
          <w:ilvl w:val="1"/>
          <w:numId w:val="44"/>
        </w:numPr>
        <w:rPr>
          <w:rFonts w:ascii="Arial" w:cs="Arial" w:eastAsia="Arial" w:hAnsi="Arial"/>
          <w:sz w:val="18"/>
          <w:szCs w:val="18"/>
          <w:color w:val="auto"/>
        </w:rPr>
      </w:pPr>
      <w:r>
        <w:rPr>
          <w:rFonts w:ascii="Arial" w:cs="Arial" w:eastAsia="Arial" w:hAnsi="Arial"/>
          <w:sz w:val="18"/>
          <w:szCs w:val="18"/>
          <w:color w:val="auto"/>
        </w:rPr>
        <w:t>our issuance and sale of preferred shares in the Series E Private Placement Extension and the conversion of all such shares into an aggregate of 1,401,792 common shares;</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exercise of options into a total of 775,750 common shares between April 1 and June 6, 2016; and</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7980" w:type="dxa"/>
            <w:vAlign w:val="bottom"/>
            <w:gridSpan w:val="3"/>
          </w:tcPr>
          <w:p>
            <w:pPr>
              <w:ind w:left="220"/>
              <w:spacing w:after="0"/>
              <w:rPr>
                <w:sz w:val="20"/>
                <w:szCs w:val="20"/>
                <w:color w:val="auto"/>
              </w:rPr>
            </w:pPr>
            <w:r>
              <w:rPr>
                <w:rFonts w:ascii="Arial" w:cs="Arial" w:eastAsia="Arial" w:hAnsi="Arial"/>
                <w:sz w:val="18"/>
                <w:szCs w:val="18"/>
                <w:color w:val="auto"/>
                <w:w w:val="92"/>
              </w:rPr>
              <w:t>on an as further adjusted basis to further reflect the receipt of the estimated net proceeds from the sale of</w:t>
            </w:r>
          </w:p>
        </w:tc>
        <w:tc>
          <w:tcPr>
            <w:tcW w:w="2760" w:type="dxa"/>
            <w:vAlign w:val="bottom"/>
            <w:gridSpan w:val="8"/>
          </w:tcPr>
          <w:p>
            <w:pPr>
              <w:ind w:left="400"/>
              <w:spacing w:after="0"/>
              <w:rPr>
                <w:sz w:val="20"/>
                <w:szCs w:val="20"/>
                <w:color w:val="auto"/>
              </w:rPr>
            </w:pPr>
            <w:r>
              <w:rPr>
                <w:rFonts w:ascii="Arial" w:cs="Arial" w:eastAsia="Arial" w:hAnsi="Arial"/>
                <w:sz w:val="18"/>
                <w:szCs w:val="18"/>
                <w:color w:val="auto"/>
              </w:rPr>
              <w:t>common shares by us in this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w w:val="96"/>
              </w:rPr>
              <w:t>offering at an assumed initial public offering price of $</w:t>
            </w:r>
          </w:p>
        </w:tc>
        <w:tc>
          <w:tcPr>
            <w:tcW w:w="6380" w:type="dxa"/>
            <w:vAlign w:val="bottom"/>
            <w:gridSpan w:val="9"/>
          </w:tcPr>
          <w:p>
            <w:pPr>
              <w:ind w:left="220"/>
              <w:spacing w:after="0"/>
              <w:rPr>
                <w:sz w:val="20"/>
                <w:szCs w:val="20"/>
                <w:color w:val="auto"/>
              </w:rPr>
            </w:pPr>
            <w:r>
              <w:rPr>
                <w:rFonts w:ascii="Arial" w:cs="Arial" w:eastAsia="Arial" w:hAnsi="Arial"/>
                <w:sz w:val="18"/>
                <w:szCs w:val="18"/>
                <w:color w:val="auto"/>
                <w:w w:val="97"/>
              </w:rPr>
              <w:t>per share (which is the midpoint of the range set forth on the cover page of this</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80" w:type="dxa"/>
            <w:vAlign w:val="bottom"/>
            <w:gridSpan w:val="3"/>
          </w:tcPr>
          <w:p>
            <w:pPr>
              <w:ind w:left="220"/>
              <w:spacing w:after="0"/>
              <w:rPr>
                <w:sz w:val="20"/>
                <w:szCs w:val="20"/>
                <w:color w:val="auto"/>
              </w:rPr>
            </w:pPr>
            <w:r>
              <w:rPr>
                <w:rFonts w:ascii="Arial" w:cs="Arial" w:eastAsia="Arial" w:hAnsi="Arial"/>
                <w:sz w:val="18"/>
                <w:szCs w:val="18"/>
                <w:color w:val="auto"/>
              </w:rPr>
              <w:t>prospectus), after deducting the underwriting discount and estimated expenses payable by us.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20" w:type="dxa"/>
            <w:vAlign w:val="bottom"/>
            <w:gridSpan w:val="12"/>
          </w:tcPr>
          <w:p>
            <w:pPr>
              <w:ind w:left="460"/>
              <w:spacing w:after="0"/>
              <w:rPr>
                <w:sz w:val="20"/>
                <w:szCs w:val="20"/>
                <w:color w:val="auto"/>
              </w:rPr>
            </w:pPr>
            <w:r>
              <w:rPr>
                <w:rFonts w:ascii="Arial" w:cs="Arial" w:eastAsia="Arial" w:hAnsi="Arial"/>
                <w:sz w:val="18"/>
                <w:szCs w:val="18"/>
                <w:color w:val="auto"/>
                <w:w w:val="94"/>
              </w:rPr>
              <w:t>You should read this table in conjunction with our audited financial statements included in this prospectus as well as “Use of Proceeds,” “Selected</w:t>
            </w:r>
          </w:p>
        </w:tc>
        <w:tc>
          <w:tcPr>
            <w:tcW w:w="0" w:type="dxa"/>
            <w:vAlign w:val="bottom"/>
          </w:tcPr>
          <w:p>
            <w:pPr>
              <w:spacing w:after="0"/>
              <w:rPr>
                <w:sz w:val="1"/>
                <w:szCs w:val="1"/>
                <w:color w:val="auto"/>
              </w:rPr>
            </w:pPr>
          </w:p>
        </w:tc>
      </w:tr>
      <w:tr>
        <w:trPr>
          <w:trHeight w:val="216"/>
        </w:trPr>
        <w:tc>
          <w:tcPr>
            <w:tcW w:w="10660" w:type="dxa"/>
            <w:vAlign w:val="bottom"/>
            <w:gridSpan w:val="11"/>
          </w:tcPr>
          <w:p>
            <w:pPr>
              <w:spacing w:after="0"/>
              <w:rPr>
                <w:sz w:val="20"/>
                <w:szCs w:val="20"/>
                <w:color w:val="auto"/>
              </w:rPr>
            </w:pPr>
            <w:r>
              <w:rPr>
                <w:rFonts w:ascii="Arial" w:cs="Arial" w:eastAsia="Arial" w:hAnsi="Arial"/>
                <w:sz w:val="18"/>
                <w:szCs w:val="18"/>
                <w:color w:val="auto"/>
                <w:w w:val="92"/>
              </w:rPr>
              <w:t>Financial and Other Information” and “Management’s Discussion and Analysis of Financial Condition and Results of Operations” and our financial</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statements included elsewhere in this prospectus.</w:t>
            </w:r>
          </w:p>
        </w:tc>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5"/>
          </w:tcPr>
          <w:p>
            <w:pPr>
              <w:jc w:val="center"/>
              <w:ind w:right="631"/>
              <w:spacing w:after="0"/>
              <w:rPr>
                <w:sz w:val="20"/>
                <w:szCs w:val="20"/>
                <w:color w:val="auto"/>
              </w:rPr>
            </w:pPr>
            <w:r>
              <w:rPr>
                <w:rFonts w:ascii="Arial" w:cs="Arial" w:eastAsia="Arial" w:hAnsi="Arial"/>
                <w:sz w:val="14"/>
                <w:szCs w:val="14"/>
                <w:b w:val="1"/>
                <w:bCs w:val="1"/>
                <w:color w:val="auto"/>
                <w:w w:val="93"/>
              </w:rPr>
              <w:t>As of March 31, 2016</w:t>
            </w:r>
          </w:p>
        </w:tc>
        <w:tc>
          <w:tcPr>
            <w:tcW w:w="0" w:type="dxa"/>
            <w:vAlign w:val="bottom"/>
          </w:tcPr>
          <w:p>
            <w:pPr>
              <w:spacing w:after="0"/>
              <w:rPr>
                <w:sz w:val="1"/>
                <w:szCs w:val="1"/>
                <w:color w:val="auto"/>
              </w:rPr>
            </w:pPr>
          </w:p>
        </w:tc>
      </w:tr>
      <w:tr>
        <w:trPr>
          <w:trHeight w:val="119"/>
        </w:trPr>
        <w:tc>
          <w:tcPr>
            <w:tcW w:w="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0"/>
                <w:szCs w:val="10"/>
                <w:color w:val="auto"/>
              </w:rPr>
            </w:pPr>
          </w:p>
        </w:tc>
        <w:tc>
          <w:tcPr>
            <w:tcW w:w="102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As</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3"/>
              </w:rPr>
              <w:t>Adjusted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19"/>
        </w:trPr>
        <w:tc>
          <w:tcPr>
            <w:tcW w:w="6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(in CHF thousands)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Cash and cash equivalents</w:t>
            </w:r>
          </w:p>
        </w:tc>
        <w:tc>
          <w:tcPr>
            <w:tcW w:w="29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67,860</w:t>
            </w:r>
          </w:p>
        </w:tc>
        <w:tc>
          <w:tcPr>
            <w:tcW w:w="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80,775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2"/>
            <w:vMerge w:val="continue"/>
          </w:tcPr>
          <w:p>
            <w:pPr>
              <w:spacing w:after="0"/>
              <w:rPr>
                <w:sz w:val="18"/>
                <w:szCs w:val="18"/>
                <w:color w:val="auto"/>
              </w:rPr>
            </w:pPr>
          </w:p>
        </w:tc>
        <w:tc>
          <w:tcPr>
            <w:tcW w:w="29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6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shares nominal value CHF 0.02 per share, 9,227,250 shares issued and outstanding, actual;</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91"/>
              </w:rPr>
              <w:t>69,151,792 shares authorized, 48,580,042 shares issued and outstanding, as adjusted; and 69,151,792 shares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authorized,</w:t>
            </w:r>
          </w:p>
        </w:tc>
        <w:tc>
          <w:tcPr>
            <w:tcW w:w="6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 issued and outstanding, as further adjusted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4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972</w:t>
            </w: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60" w:type="dxa"/>
            <w:vAlign w:val="bottom"/>
            <w:gridSpan w:val="4"/>
          </w:tcPr>
          <w:p>
            <w:pPr>
              <w:ind w:left="360"/>
              <w:spacing w:after="0" w:line="201" w:lineRule="exact"/>
              <w:rPr>
                <w:sz w:val="20"/>
                <w:szCs w:val="20"/>
                <w:color w:val="auto"/>
              </w:rPr>
            </w:pPr>
            <w:r>
              <w:rPr>
                <w:rFonts w:ascii="Arial" w:cs="Arial" w:eastAsia="Arial" w:hAnsi="Arial"/>
                <w:sz w:val="18"/>
                <w:szCs w:val="18"/>
                <w:color w:val="auto"/>
                <w:w w:val="98"/>
              </w:rPr>
              <w:t>Preferred shares nominal value CHF 0.02 per share, 37,175,250 authorized preferred shares, 37,175,250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gridSpan w:val="4"/>
          </w:tcPr>
          <w:p>
            <w:pPr>
              <w:ind w:left="540"/>
              <w:spacing w:after="0"/>
              <w:rPr>
                <w:sz w:val="20"/>
                <w:szCs w:val="20"/>
                <w:color w:val="auto"/>
              </w:rPr>
            </w:pPr>
            <w:r>
              <w:rPr>
                <w:rFonts w:ascii="Arial" w:cs="Arial" w:eastAsia="Arial" w:hAnsi="Arial"/>
                <w:sz w:val="18"/>
                <w:szCs w:val="18"/>
                <w:color w:val="auto"/>
                <w:w w:val="90"/>
              </w:rPr>
              <w:t>preferred shares issued and outstanding, actual; no shares authorized or issued and outstanding, as adjusted or</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ind w:left="540"/>
              <w:spacing w:after="0"/>
              <w:rPr>
                <w:sz w:val="20"/>
                <w:szCs w:val="20"/>
                <w:color w:val="auto"/>
              </w:rPr>
            </w:pPr>
            <w:r>
              <w:rPr>
                <w:rFonts w:ascii="Arial" w:cs="Arial" w:eastAsia="Arial" w:hAnsi="Arial"/>
                <w:sz w:val="18"/>
                <w:szCs w:val="18"/>
                <w:color w:val="auto"/>
              </w:rPr>
              <w:t>as further adjusted</w:t>
            </w:r>
          </w:p>
        </w:tc>
        <w:tc>
          <w:tcPr>
            <w:tcW w:w="29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29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110,453</w:t>
            </w:r>
          </w:p>
        </w:tc>
        <w:tc>
          <w:tcPr>
            <w:tcW w:w="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123,324</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gridSpan w:val="2"/>
          </w:tcPr>
          <w:p>
            <w:pPr>
              <w:ind w:left="360"/>
              <w:spacing w:after="0"/>
              <w:rPr>
                <w:sz w:val="20"/>
                <w:szCs w:val="20"/>
                <w:color w:val="auto"/>
              </w:rPr>
            </w:pPr>
            <w:r>
              <w:rPr>
                <w:rFonts w:ascii="Arial" w:cs="Arial" w:eastAsia="Arial" w:hAnsi="Arial"/>
                <w:sz w:val="18"/>
                <w:szCs w:val="18"/>
                <w:color w:val="auto"/>
                <w:w w:val="99"/>
              </w:rPr>
              <w:t>Accumulated (deficit)</w:t>
            </w:r>
          </w:p>
        </w:tc>
        <w:tc>
          <w:tcPr>
            <w:tcW w:w="29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(46,702)</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(46,702)</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6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77,594</w:t>
            </w:r>
          </w:p>
        </w:tc>
        <w:tc>
          <w:tcPr>
            <w:tcW w:w="32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360" w:type="dxa"/>
            <w:vAlign w:val="bottom"/>
            <w:gridSpan w:val="2"/>
          </w:tcPr>
          <w:p>
            <w:pPr>
              <w:ind w:left="400"/>
              <w:spacing w:after="0"/>
              <w:rPr>
                <w:sz w:val="20"/>
                <w:szCs w:val="20"/>
                <w:color w:val="auto"/>
              </w:rPr>
            </w:pPr>
            <w:r>
              <w:rPr>
                <w:rFonts w:ascii="Arial" w:cs="Arial" w:eastAsia="Arial" w:hAnsi="Arial"/>
                <w:sz w:val="18"/>
                <w:szCs w:val="18"/>
                <w:color w:val="auto"/>
              </w:rPr>
              <w:t>Total capitalization</w:t>
            </w:r>
          </w:p>
        </w:tc>
        <w:tc>
          <w:tcPr>
            <w:tcW w:w="3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77,594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9"/>
        <w:spacing w:after="0" w:line="291"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would increase (decrease) each of as further adjusted cash and cash equivalents, additional paid-in capital, total capitalization and shareholders’ equity by $ million, assuming that the number of shares</w:t>
      </w:r>
    </w:p>
    <w:p>
      <w:pPr>
        <w:ind w:left="460" w:right="140"/>
        <w:spacing w:after="0" w:line="261" w:lineRule="auto"/>
        <w:rPr>
          <w:sz w:val="20"/>
          <w:szCs w:val="20"/>
          <w:color w:val="auto"/>
        </w:rPr>
      </w:pPr>
      <w:r>
        <w:rPr>
          <w:rFonts w:ascii="Arial" w:cs="Arial" w:eastAsia="Arial" w:hAnsi="Arial"/>
          <w:sz w:val="18"/>
          <w:szCs w:val="18"/>
          <w:color w:val="auto"/>
        </w:rPr>
        <w:t>offered by us, as set forth on the cover page of this prospectus, remains the same, and after deducting the underwriting discount and estimated offering expenses payable by us. We may also increase or decrease the number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we are offering. Each increase (decrease) of 1,000,000 in the number of shares offered by us would increase (decrease) as further adjusted cash</w:t>
      </w:r>
    </w:p>
    <w:p>
      <w:pPr>
        <w:spacing w:after="0" w:line="46" w:lineRule="exact"/>
        <w:rPr>
          <w:sz w:val="20"/>
          <w:szCs w:val="20"/>
          <w:color w:val="auto"/>
        </w:rPr>
      </w:pPr>
    </w:p>
    <w:p>
      <w:pPr>
        <w:ind w:left="460"/>
        <w:spacing w:after="0"/>
        <w:tabs>
          <w:tab w:leader="none" w:pos="7780" w:val="left"/>
        </w:tabs>
        <w:rPr>
          <w:sz w:val="20"/>
          <w:szCs w:val="20"/>
          <w:color w:val="auto"/>
        </w:rPr>
      </w:pPr>
      <w:r>
        <w:rPr>
          <w:rFonts w:ascii="Arial" w:cs="Arial" w:eastAsia="Arial" w:hAnsi="Arial"/>
          <w:sz w:val="18"/>
          <w:szCs w:val="18"/>
          <w:color w:val="auto"/>
        </w:rPr>
        <w:t>and cash equivalents, additional paid-in capital, total shareholders’ equity and capitalization by $</w:t>
      </w:r>
      <w:r>
        <w:rPr>
          <w:sz w:val="20"/>
          <w:szCs w:val="20"/>
          <w:color w:val="auto"/>
        </w:rPr>
        <w:tab/>
      </w:r>
      <w:r>
        <w:rPr>
          <w:rFonts w:ascii="Arial" w:cs="Arial" w:eastAsia="Arial" w:hAnsi="Arial"/>
          <w:sz w:val="16"/>
          <w:szCs w:val="16"/>
          <w:color w:val="auto"/>
        </w:rPr>
        <w:t>million, assuming an initial public offering price</w:t>
      </w:r>
    </w:p>
    <w:p>
      <w:pPr>
        <w:spacing w:after="0" w:line="9"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per share, after deducting the underwriting discount and estimated offering expenses payable by us.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right="1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2,679,998 of our common shares issuable upon the exercise of vested and unvested options outstanding under our existing equity incentive plans as of June 6, 2016 at an exercise price of CHF 0.14548 per common share; and</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Net tangible book value is determined by dividing our total tangible assets less our total liabilities by the number of our common shares outstanding. Our historical net tangible book value as of March 31, 2016 was CHF 64.6 ($67.5) million, or CHF 7.01 ($7.28), per common share (on a fully diluted basis). Our as adjusted net tangible book value as of March 31, 2016, before giving effect to this offering was CHF 77.6 ($80.9) million, or CHF 1.60 ($1.66) per common share, based on the total number of our common shares outstanding as of March 31, 2016, after giving effect to the conversion of (i) all preferred stock outstanding as of March 31, 2016 into an aggregate of 37,175,250 common shares, (ii) all shares of our preferred stock issued in the Series E Private Placement Extension into an aggregate of 1,401,792 common shares, and (iii) the exercise of options between April 1 and June 6, 2016 resulting in the issuance of 775,750 common shares.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40" w:type="dxa"/>
            <w:vAlign w:val="bottom"/>
            <w:gridSpan w:val="15"/>
          </w:tcPr>
          <w:p>
            <w:pPr>
              <w:spacing w:after="0"/>
              <w:rPr>
                <w:sz w:val="20"/>
                <w:szCs w:val="20"/>
                <w:color w:val="auto"/>
              </w:rPr>
            </w:pPr>
            <w:r>
              <w:rPr>
                <w:rFonts w:ascii="Arial" w:cs="Arial" w:eastAsia="Arial" w:hAnsi="Arial"/>
                <w:sz w:val="18"/>
                <w:szCs w:val="18"/>
                <w:color w:val="auto"/>
                <w:w w:val="94"/>
              </w:rPr>
              <w:t>the as further adjusted net tangible book value per common share immediately after completion of this offering. After giving effect to the sale of</w:t>
            </w:r>
          </w:p>
        </w:tc>
        <w:tc>
          <w:tcPr>
            <w:tcW w:w="680" w:type="dxa"/>
            <w:vAlign w:val="bottom"/>
          </w:tcPr>
          <w:p>
            <w:pPr>
              <w:spacing w:after="0"/>
              <w:rPr>
                <w:sz w:val="17"/>
                <w:szCs w:val="17"/>
                <w:color w:val="auto"/>
              </w:rPr>
            </w:pPr>
          </w:p>
        </w:tc>
      </w:tr>
      <w:tr>
        <w:trPr>
          <w:trHeight w:val="216"/>
        </w:trPr>
        <w:tc>
          <w:tcPr>
            <w:tcW w:w="5760" w:type="dxa"/>
            <w:vAlign w:val="bottom"/>
            <w:gridSpan w:val="8"/>
          </w:tcPr>
          <w:p>
            <w:pPr>
              <w:spacing w:after="0"/>
              <w:rPr>
                <w:sz w:val="20"/>
                <w:szCs w:val="20"/>
                <w:color w:val="auto"/>
              </w:rPr>
            </w:pPr>
            <w:r>
              <w:rPr>
                <w:rFonts w:ascii="Arial" w:cs="Arial" w:eastAsia="Arial" w:hAnsi="Arial"/>
                <w:sz w:val="18"/>
                <w:szCs w:val="18"/>
                <w:color w:val="auto"/>
                <w:w w:val="94"/>
              </w:rPr>
              <w:t>common shares in this offering at an assumed initial public offering price of $</w:t>
            </w:r>
          </w:p>
        </w:tc>
        <w:tc>
          <w:tcPr>
            <w:tcW w:w="5660" w:type="dxa"/>
            <w:vAlign w:val="bottom"/>
            <w:gridSpan w:val="8"/>
          </w:tcPr>
          <w:p>
            <w:pPr>
              <w:ind w:left="260"/>
              <w:spacing w:after="0"/>
              <w:rPr>
                <w:sz w:val="20"/>
                <w:szCs w:val="20"/>
                <w:color w:val="auto"/>
              </w:rPr>
            </w:pPr>
            <w:r>
              <w:rPr>
                <w:rFonts w:ascii="Arial" w:cs="Arial" w:eastAsia="Arial" w:hAnsi="Arial"/>
                <w:sz w:val="18"/>
                <w:szCs w:val="18"/>
                <w:color w:val="auto"/>
                <w:w w:val="94"/>
              </w:rPr>
              <w:t>per share (the midpoint of the price range set forth on the cover page of</w:t>
            </w:r>
          </w:p>
        </w:tc>
      </w:tr>
      <w:tr>
        <w:trPr>
          <w:trHeight w:val="216"/>
        </w:trPr>
        <w:tc>
          <w:tcPr>
            <w:tcW w:w="11420" w:type="dxa"/>
            <w:vAlign w:val="bottom"/>
            <w:gridSpan w:val="16"/>
          </w:tcPr>
          <w:p>
            <w:pPr>
              <w:spacing w:after="0"/>
              <w:rPr>
                <w:sz w:val="20"/>
                <w:szCs w:val="20"/>
                <w:color w:val="auto"/>
              </w:rPr>
            </w:pPr>
            <w:r>
              <w:rPr>
                <w:rFonts w:ascii="Arial" w:cs="Arial" w:eastAsia="Arial" w:hAnsi="Arial"/>
                <w:sz w:val="18"/>
                <w:szCs w:val="18"/>
                <w:color w:val="auto"/>
                <w:w w:val="94"/>
              </w:rPr>
              <w:t>this prospectus), after deducting the underwriting discount and estimated expenses payable by us. Our as further adjusted net tangible book value as of</w:t>
            </w: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March 31, 2016 would have been CHF</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 million, or CHF</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60" w:type="dxa"/>
            <w:vAlign w:val="bottom"/>
            <w:gridSpan w:val="8"/>
          </w:tcPr>
          <w:p>
            <w:pPr>
              <w:ind w:left="140"/>
              <w:spacing w:after="0"/>
              <w:rPr>
                <w:sz w:val="20"/>
                <w:szCs w:val="20"/>
                <w:color w:val="auto"/>
              </w:rPr>
            </w:pPr>
            <w:r>
              <w:rPr>
                <w:rFonts w:ascii="Arial" w:cs="Arial" w:eastAsia="Arial" w:hAnsi="Arial"/>
                <w:sz w:val="18"/>
                <w:szCs w:val="18"/>
                <w:color w:val="auto"/>
                <w:w w:val="88"/>
              </w:rPr>
              <w:t>) per share. This represents an immediate increase in as adjusted net tangible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book value of CHF</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280" w:type="dxa"/>
            <w:vAlign w:val="bottom"/>
            <w:gridSpan w:val="9"/>
          </w:tcPr>
          <w:p>
            <w:pPr>
              <w:ind w:left="180"/>
              <w:spacing w:after="0"/>
              <w:rPr>
                <w:sz w:val="20"/>
                <w:szCs w:val="20"/>
                <w:color w:val="auto"/>
              </w:rPr>
            </w:pPr>
            <w:r>
              <w:rPr>
                <w:rFonts w:ascii="Arial" w:cs="Arial" w:eastAsia="Arial" w:hAnsi="Arial"/>
                <w:sz w:val="18"/>
                <w:szCs w:val="18"/>
                <w:color w:val="auto"/>
                <w:w w:val="91"/>
              </w:rPr>
              <w:t>) per share to existing shareholders and an immediate dilution of CHF</w:t>
            </w:r>
          </w:p>
        </w:tc>
        <w:tc>
          <w:tcPr>
            <w:tcW w:w="800" w:type="dxa"/>
            <w:vAlign w:val="bottom"/>
          </w:tcPr>
          <w:p>
            <w:pPr>
              <w:ind w:left="340"/>
              <w:spacing w:after="0"/>
              <w:rPr>
                <w:sz w:val="20"/>
                <w:szCs w:val="20"/>
                <w:color w:val="auto"/>
              </w:rPr>
            </w:pPr>
            <w:r>
              <w:rPr>
                <w:rFonts w:ascii="Arial" w:cs="Arial" w:eastAsia="Arial" w:hAnsi="Arial"/>
                <w:sz w:val="18"/>
                <w:szCs w:val="18"/>
                <w:color w:val="auto"/>
                <w:w w:val="99"/>
              </w:rPr>
              <w:t>(USD</w:t>
            </w:r>
          </w:p>
        </w:tc>
        <w:tc>
          <w:tcPr>
            <w:tcW w:w="3220" w:type="dxa"/>
            <w:vAlign w:val="bottom"/>
            <w:gridSpan w:val="4"/>
          </w:tcPr>
          <w:p>
            <w:pPr>
              <w:ind w:left="320"/>
              <w:spacing w:after="0"/>
              <w:rPr>
                <w:sz w:val="20"/>
                <w:szCs w:val="20"/>
                <w:color w:val="auto"/>
              </w:rPr>
            </w:pPr>
            <w:r>
              <w:rPr>
                <w:rFonts w:ascii="Arial" w:cs="Arial" w:eastAsia="Arial" w:hAnsi="Arial"/>
                <w:sz w:val="18"/>
                <w:szCs w:val="18"/>
                <w:color w:val="auto"/>
                <w:w w:val="94"/>
              </w:rPr>
              <w:t>) per share to investors participating in</w:t>
            </w:r>
          </w:p>
        </w:tc>
      </w:tr>
      <w:tr>
        <w:trPr>
          <w:trHeight w:val="230"/>
        </w:trPr>
        <w:tc>
          <w:tcPr>
            <w:tcW w:w="3580" w:type="dxa"/>
            <w:vAlign w:val="bottom"/>
            <w:gridSpan w:val="4"/>
          </w:tcPr>
          <w:p>
            <w:pPr>
              <w:spacing w:after="0"/>
              <w:rPr>
                <w:sz w:val="20"/>
                <w:szCs w:val="20"/>
                <w:color w:val="auto"/>
              </w:rPr>
            </w:pPr>
            <w:r>
              <w:rPr>
                <w:rFonts w:ascii="Arial" w:cs="Arial" w:eastAsia="Arial" w:hAnsi="Arial"/>
                <w:sz w:val="18"/>
                <w:szCs w:val="18"/>
                <w:color w:val="auto"/>
                <w:w w:val="94"/>
              </w:rPr>
              <w:t>this offering, as illustrated in the following table:</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2"/>
        </w:trPr>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USD)</w:t>
            </w: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(in CHF)</w:t>
            </w:r>
          </w:p>
        </w:tc>
      </w:tr>
      <w:tr>
        <w:trPr>
          <w:trHeight w:val="210"/>
        </w:trPr>
        <w:tc>
          <w:tcPr>
            <w:tcW w:w="35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8"/>
              </w:rPr>
              <w:t>Assumed initial public offering price per share</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gridSpan w:val="6"/>
          </w:tcPr>
          <w:p>
            <w:pPr>
              <w:ind w:left="360"/>
              <w:spacing w:after="0"/>
              <w:rPr>
                <w:sz w:val="20"/>
                <w:szCs w:val="20"/>
                <w:color w:val="auto"/>
              </w:rPr>
            </w:pPr>
            <w:r>
              <w:rPr>
                <w:rFonts w:ascii="Arial" w:cs="Arial" w:eastAsia="Arial" w:hAnsi="Arial"/>
                <w:sz w:val="18"/>
                <w:szCs w:val="18"/>
                <w:color w:val="auto"/>
                <w:w w:val="91"/>
              </w:rPr>
              <w:t>Historical net tangible book value per share at March 31, 2016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7.01</w:t>
            </w:r>
          </w:p>
        </w:tc>
      </w:tr>
      <w:tr>
        <w:trPr>
          <w:trHeight w:val="202"/>
        </w:trPr>
        <w:tc>
          <w:tcPr>
            <w:tcW w:w="9820" w:type="dxa"/>
            <w:vAlign w:val="bottom"/>
            <w:gridSpan w:val="13"/>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As adjusted net tangible book value per share at March 31, 2016, before giving effect to this offering but giving effect to the</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9820" w:type="dxa"/>
            <w:vAlign w:val="bottom"/>
            <w:gridSpan w:val="13"/>
            <w:shd w:val="clear" w:color="auto" w:fill="CCEEFF"/>
          </w:tcPr>
          <w:p>
            <w:pPr>
              <w:ind w:left="540"/>
              <w:spacing w:after="0"/>
              <w:rPr>
                <w:sz w:val="20"/>
                <w:szCs w:val="20"/>
                <w:color w:val="auto"/>
              </w:rPr>
            </w:pPr>
            <w:r>
              <w:rPr>
                <w:rFonts w:ascii="Arial" w:cs="Arial" w:eastAsia="Arial" w:hAnsi="Arial"/>
                <w:sz w:val="18"/>
                <w:szCs w:val="18"/>
                <w:color w:val="auto"/>
                <w:w w:val="98"/>
              </w:rPr>
              <w:t>conversion of all outstanding preferred shares, including the preferred shares issued in the Series E Private Placement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9820" w:type="dxa"/>
            <w:vAlign w:val="bottom"/>
            <w:gridSpan w:val="13"/>
            <w:shd w:val="clear" w:color="auto" w:fill="CCEEFF"/>
          </w:tcPr>
          <w:p>
            <w:pPr>
              <w:ind w:left="540"/>
              <w:spacing w:after="0"/>
              <w:rPr>
                <w:sz w:val="20"/>
                <w:szCs w:val="20"/>
                <w:color w:val="auto"/>
              </w:rPr>
            </w:pPr>
            <w:r>
              <w:rPr>
                <w:rFonts w:ascii="Arial" w:cs="Arial" w:eastAsia="Arial" w:hAnsi="Arial"/>
                <w:sz w:val="18"/>
                <w:szCs w:val="18"/>
                <w:color w:val="auto"/>
                <w:w w:val="94"/>
              </w:rPr>
              <w:t>Extension, into common shares and the exercise of options between April 1 and June 6, 2016 into 775,750 common shares</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1.60</w:t>
            </w:r>
          </w:p>
        </w:tc>
      </w:tr>
      <w:tr>
        <w:trPr>
          <w:trHeight w:val="216"/>
        </w:trPr>
        <w:tc>
          <w:tcPr>
            <w:tcW w:w="9820" w:type="dxa"/>
            <w:vAlign w:val="bottom"/>
            <w:gridSpan w:val="13"/>
          </w:tcPr>
          <w:p>
            <w:pPr>
              <w:ind w:left="360"/>
              <w:spacing w:after="0"/>
              <w:rPr>
                <w:sz w:val="20"/>
                <w:szCs w:val="20"/>
                <w:color w:val="auto"/>
              </w:rPr>
            </w:pPr>
            <w:r>
              <w:rPr>
                <w:rFonts w:ascii="Arial" w:cs="Arial" w:eastAsia="Arial" w:hAnsi="Arial"/>
                <w:sz w:val="18"/>
                <w:szCs w:val="18"/>
                <w:color w:val="auto"/>
                <w:w w:val="98"/>
              </w:rPr>
              <w:t>Increase in as adjusted net tangible book value per share attributable to new investors purchasing shares in this offering</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180" w:type="dxa"/>
            <w:vAlign w:val="bottom"/>
            <w:gridSpan w:val="10"/>
            <w:shd w:val="clear" w:color="auto" w:fill="CCEEFF"/>
          </w:tcPr>
          <w:p>
            <w:pPr>
              <w:ind w:left="360"/>
              <w:spacing w:after="0"/>
              <w:rPr>
                <w:sz w:val="20"/>
                <w:szCs w:val="20"/>
                <w:color w:val="auto"/>
              </w:rPr>
            </w:pPr>
            <w:r>
              <w:rPr>
                <w:rFonts w:ascii="Arial" w:cs="Arial" w:eastAsia="Arial" w:hAnsi="Arial"/>
                <w:sz w:val="18"/>
                <w:szCs w:val="18"/>
                <w:color w:val="auto"/>
                <w:w w:val="99"/>
              </w:rPr>
              <w:t>As further adjusted net tangible book value per share after giving effect to this offering</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4920" w:type="dxa"/>
            <w:vAlign w:val="bottom"/>
            <w:gridSpan w:val="6"/>
          </w:tcPr>
          <w:p>
            <w:pPr>
              <w:ind w:left="360"/>
              <w:spacing w:after="0"/>
              <w:rPr>
                <w:sz w:val="20"/>
                <w:szCs w:val="20"/>
                <w:color w:val="auto"/>
              </w:rPr>
            </w:pPr>
            <w:r>
              <w:rPr>
                <w:rFonts w:ascii="Arial" w:cs="Arial" w:eastAsia="Arial" w:hAnsi="Arial"/>
                <w:sz w:val="18"/>
                <w:szCs w:val="18"/>
                <w:color w:val="auto"/>
                <w:w w:val="99"/>
              </w:rPr>
              <w:t>Dilution per share to investors participating in this offering</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04"/>
        </w:trPr>
        <w:tc>
          <w:tcPr>
            <w:tcW w:w="6320" w:type="dxa"/>
            <w:vAlign w:val="bottom"/>
            <w:gridSpan w:val="9"/>
          </w:tcPr>
          <w:p>
            <w:pPr>
              <w:jc w:val="center"/>
              <w:ind w:left="170"/>
              <w:spacing w:after="0"/>
              <w:rPr>
                <w:sz w:val="20"/>
                <w:szCs w:val="20"/>
                <w:color w:val="auto"/>
              </w:rPr>
            </w:pPr>
            <w:r>
              <w:rPr>
                <w:rFonts w:ascii="Arial" w:cs="Arial" w:eastAsia="Arial" w:hAnsi="Arial"/>
                <w:sz w:val="18"/>
                <w:szCs w:val="18"/>
                <w:color w:val="auto"/>
                <w:w w:val="90"/>
              </w:rPr>
              <w:t>Each $1.00 increase (decrease) in the assumed initial public offering price of $</w:t>
            </w:r>
          </w:p>
        </w:tc>
        <w:tc>
          <w:tcPr>
            <w:tcW w:w="860" w:type="dxa"/>
            <w:vAlign w:val="bottom"/>
          </w:tcPr>
          <w:p>
            <w:pPr>
              <w:ind w:left="200"/>
              <w:spacing w:after="0"/>
              <w:rPr>
                <w:sz w:val="20"/>
                <w:szCs w:val="20"/>
                <w:color w:val="auto"/>
              </w:rPr>
            </w:pPr>
            <w:r>
              <w:rPr>
                <w:rFonts w:ascii="Arial" w:cs="Arial" w:eastAsia="Arial" w:hAnsi="Arial"/>
                <w:sz w:val="18"/>
                <w:szCs w:val="18"/>
                <w:color w:val="auto"/>
              </w:rPr>
              <w:t>(CHF</w:t>
            </w:r>
          </w:p>
        </w:tc>
        <w:tc>
          <w:tcPr>
            <w:tcW w:w="4240" w:type="dxa"/>
            <w:vAlign w:val="bottom"/>
            <w:gridSpan w:val="6"/>
          </w:tcPr>
          <w:p>
            <w:pPr>
              <w:ind w:left="120"/>
              <w:spacing w:after="0"/>
              <w:rPr>
                <w:sz w:val="20"/>
                <w:szCs w:val="20"/>
                <w:color w:val="auto"/>
              </w:rPr>
            </w:pPr>
            <w:r>
              <w:rPr>
                <w:rFonts w:ascii="Arial" w:cs="Arial" w:eastAsia="Arial" w:hAnsi="Arial"/>
                <w:sz w:val="18"/>
                <w:szCs w:val="18"/>
                <w:color w:val="auto"/>
                <w:w w:val="98"/>
              </w:rPr>
              <w:t>) per share would increase (decrease) our as further</w:t>
            </w:r>
          </w:p>
        </w:tc>
      </w:tr>
      <w:tr>
        <w:trPr>
          <w:trHeight w:val="216"/>
        </w:trPr>
        <w:tc>
          <w:tcPr>
            <w:tcW w:w="4100" w:type="dxa"/>
            <w:vAlign w:val="bottom"/>
            <w:gridSpan w:val="5"/>
          </w:tcPr>
          <w:p>
            <w:pPr>
              <w:spacing w:after="0"/>
              <w:rPr>
                <w:sz w:val="20"/>
                <w:szCs w:val="20"/>
                <w:color w:val="auto"/>
              </w:rPr>
            </w:pPr>
            <w:r>
              <w:rPr>
                <w:rFonts w:ascii="Arial" w:cs="Arial" w:eastAsia="Arial" w:hAnsi="Arial"/>
                <w:sz w:val="18"/>
                <w:szCs w:val="18"/>
                <w:color w:val="auto"/>
                <w:w w:val="98"/>
              </w:rPr>
              <w:t>adjusted net tangible book value by approximately $</w:t>
            </w:r>
          </w:p>
        </w:tc>
        <w:tc>
          <w:tcPr>
            <w:tcW w:w="820" w:type="dxa"/>
            <w:vAlign w:val="bottom"/>
          </w:tcPr>
          <w:p>
            <w:pPr>
              <w:ind w:left="80"/>
              <w:spacing w:after="0"/>
              <w:rPr>
                <w:sz w:val="20"/>
                <w:szCs w:val="20"/>
                <w:color w:val="auto"/>
              </w:rPr>
            </w:pPr>
            <w:r>
              <w:rPr>
                <w:rFonts w:ascii="Arial" w:cs="Arial" w:eastAsia="Arial" w:hAnsi="Arial"/>
                <w:sz w:val="18"/>
                <w:szCs w:val="18"/>
                <w:color w:val="auto"/>
              </w:rPr>
              <w:t>(CHF</w:t>
            </w:r>
          </w:p>
        </w:tc>
        <w:tc>
          <w:tcPr>
            <w:tcW w:w="2260" w:type="dxa"/>
            <w:vAlign w:val="bottom"/>
            <w:gridSpan w:val="4"/>
          </w:tcPr>
          <w:p>
            <w:pPr>
              <w:ind w:left="40"/>
              <w:spacing w:after="0"/>
              <w:rPr>
                <w:sz w:val="20"/>
                <w:szCs w:val="20"/>
                <w:color w:val="auto"/>
              </w:rPr>
            </w:pPr>
            <w:r>
              <w:rPr>
                <w:rFonts w:ascii="Arial" w:cs="Arial" w:eastAsia="Arial" w:hAnsi="Arial"/>
                <w:sz w:val="18"/>
                <w:szCs w:val="18"/>
                <w:color w:val="auto"/>
                <w:w w:val="99"/>
              </w:rPr>
              <w:t>) million, or approximately $</w:t>
            </w:r>
          </w:p>
        </w:tc>
        <w:tc>
          <w:tcPr>
            <w:tcW w:w="22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(CHF</w:t>
            </w:r>
          </w:p>
        </w:tc>
        <w:tc>
          <w:tcPr>
            <w:tcW w:w="3220" w:type="dxa"/>
            <w:vAlign w:val="bottom"/>
            <w:gridSpan w:val="4"/>
          </w:tcPr>
          <w:p>
            <w:pPr>
              <w:ind w:left="20"/>
              <w:spacing w:after="0"/>
              <w:rPr>
                <w:sz w:val="20"/>
                <w:szCs w:val="20"/>
                <w:color w:val="auto"/>
              </w:rPr>
            </w:pPr>
            <w:r>
              <w:rPr>
                <w:rFonts w:ascii="Arial" w:cs="Arial" w:eastAsia="Arial" w:hAnsi="Arial"/>
                <w:sz w:val="18"/>
                <w:szCs w:val="18"/>
                <w:color w:val="auto"/>
                <w:w w:val="99"/>
              </w:rPr>
              <w:t>) per share, and the dilution per share to</w:t>
            </w: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w w:val="92"/>
              </w:rPr>
              <w:t>investors in this offering by approximately $</w:t>
            </w:r>
          </w:p>
        </w:tc>
        <w:tc>
          <w:tcPr>
            <w:tcW w:w="36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(CHF</w:t>
            </w:r>
          </w:p>
        </w:tc>
        <w:tc>
          <w:tcPr>
            <w:tcW w:w="7320" w:type="dxa"/>
            <w:vAlign w:val="bottom"/>
            <w:gridSpan w:val="11"/>
          </w:tcPr>
          <w:p>
            <w:pPr>
              <w:ind w:left="280"/>
              <w:spacing w:after="0"/>
              <w:rPr>
                <w:sz w:val="20"/>
                <w:szCs w:val="20"/>
                <w:color w:val="auto"/>
              </w:rPr>
            </w:pPr>
            <w:r>
              <w:rPr>
                <w:rFonts w:ascii="Arial" w:cs="Arial" w:eastAsia="Arial" w:hAnsi="Arial"/>
                <w:sz w:val="18"/>
                <w:szCs w:val="18"/>
                <w:color w:val="auto"/>
                <w:w w:val="92"/>
              </w:rPr>
              <w:t>) per share, assuming that the number of shares offered by us, as set forth on the cover page of</w:t>
            </w:r>
          </w:p>
        </w:tc>
      </w:tr>
    </w:tbl>
    <w:p>
      <w:pPr>
        <w:ind w:right="280"/>
        <w:spacing w:after="0" w:line="421" w:lineRule="auto"/>
        <w:rPr>
          <w:sz w:val="20"/>
          <w:szCs w:val="20"/>
          <w:color w:val="auto"/>
        </w:rPr>
      </w:pPr>
      <w:r>
        <w:rPr>
          <w:rFonts w:ascii="Arial" w:cs="Arial" w:eastAsia="Arial" w:hAnsi="Arial"/>
          <w:sz w:val="16"/>
          <w:szCs w:val="16"/>
          <w:color w:val="auto"/>
        </w:rPr>
        <w:t>this prospectus, remain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as further adjusted net tangible book value by approximately $ (CHF ) million, or approximately $ (CHF ) per share, and decrease the as adjusted dilution per share to investors in this offering by approximately $ (CHF ) per share, assuming an initial public offering price of $ (CHF ) per share, after deducting the underwriting discount and estimated offering expenses payable by us. The as further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adjusted information discussed above is illustrative only and will be adjusted based on the actual initial public offering price and other terms of this offering determined at pricing.</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as of March 31, 2016 (including the preferred shares acquired by investors as part of the Series E Private Placement Extension and the issuance of 775,750 common shares pursuant to the exercise of options between April 1, 2016 and June 6, 2016)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Existing stockholders before this offering Investors participating in this offering</w:t>
      </w: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4"/>
            <w:vMerge w:val="restart"/>
          </w:tcPr>
          <w:p>
            <w:pPr>
              <w:jc w:val="right"/>
              <w:ind w:right="450"/>
              <w:spacing w:after="0"/>
              <w:rPr>
                <w:sz w:val="20"/>
                <w:szCs w:val="20"/>
                <w:color w:val="auto"/>
              </w:rPr>
            </w:pPr>
            <w:r>
              <w:rPr>
                <w:rFonts w:ascii="Arial" w:cs="Arial" w:eastAsia="Arial" w:hAnsi="Arial"/>
                <w:sz w:val="14"/>
                <w:szCs w:val="14"/>
                <w:b w:val="1"/>
                <w:bCs w:val="1"/>
                <w:color w:val="auto"/>
                <w:w w:val="98"/>
              </w:rPr>
              <w:t>Total Consideration</w:t>
            </w:r>
          </w:p>
        </w:tc>
        <w:tc>
          <w:tcPr>
            <w:tcW w:w="1840" w:type="dxa"/>
            <w:vAlign w:val="bottom"/>
            <w:gridSpan w:val="4"/>
            <w:vMerge w:val="restart"/>
          </w:tcPr>
          <w:p>
            <w:pPr>
              <w:jc w:val="right"/>
              <w:ind w:right="430"/>
              <w:spacing w:after="0"/>
              <w:rPr>
                <w:sz w:val="20"/>
                <w:szCs w:val="20"/>
                <w:color w:val="auto"/>
              </w:rPr>
            </w:pPr>
            <w:r>
              <w:rPr>
                <w:rFonts w:ascii="Arial" w:cs="Arial" w:eastAsia="Arial" w:hAnsi="Arial"/>
                <w:sz w:val="14"/>
                <w:szCs w:val="14"/>
                <w:b w:val="1"/>
                <w:bCs w:val="1"/>
                <w:color w:val="auto"/>
                <w:w w:val="98"/>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gridSpan w:val="4"/>
            <w:vMerge w:val="restart"/>
          </w:tcPr>
          <w:p>
            <w:pPr>
              <w:jc w:val="right"/>
              <w:ind w:right="770"/>
              <w:spacing w:after="0"/>
              <w:rPr>
                <w:sz w:val="20"/>
                <w:szCs w:val="20"/>
                <w:color w:val="auto"/>
              </w:rPr>
            </w:pPr>
            <w:r>
              <w:rPr>
                <w:rFonts w:ascii="Arial" w:cs="Arial" w:eastAsia="Arial" w:hAnsi="Arial"/>
                <w:sz w:val="14"/>
                <w:szCs w:val="14"/>
                <w:b w:val="1"/>
                <w:bCs w:val="1"/>
                <w:color w:val="auto"/>
              </w:rPr>
              <w:t>Total Shares</w:t>
            </w:r>
          </w:p>
        </w:tc>
        <w:tc>
          <w:tcPr>
            <w:tcW w:w="1860" w:type="dxa"/>
            <w:vAlign w:val="bottom"/>
            <w:gridSpan w:val="4"/>
            <w:vMerge w:val="continue"/>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186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(USD ’000)</w:t>
            </w:r>
          </w:p>
        </w:tc>
        <w:tc>
          <w:tcPr>
            <w:tcW w:w="184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(CHF ’000)</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48,580,042</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129,044</w:t>
            </w:r>
          </w:p>
        </w:tc>
        <w:tc>
          <w:tcPr>
            <w:tcW w:w="3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124,296</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w w:val="98"/>
              </w:rPr>
              <w:t>100.0%</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-162560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15" w:lineRule="exact"/>
        <w:rPr>
          <w:sz w:val="20"/>
          <w:szCs w:val="20"/>
          <w:color w:val="auto"/>
        </w:rPr>
      </w:pPr>
    </w:p>
    <w:p>
      <w:pPr>
        <w:ind w:left="460"/>
        <w:spacing w:after="0"/>
        <w:tabs>
          <w:tab w:leader="none" w:pos="10160" w:val="left"/>
          <w:tab w:leader="none" w:pos="11080" w:val="left"/>
        </w:tabs>
        <w:rPr>
          <w:sz w:val="20"/>
          <w:szCs w:val="20"/>
          <w:color w:val="auto"/>
        </w:rPr>
      </w:pPr>
      <w:r>
        <w:rPr>
          <w:rFonts w:ascii="Arial" w:cs="Arial" w:eastAsia="Arial" w:hAnsi="Arial"/>
          <w:sz w:val="18"/>
          <w:szCs w:val="18"/>
          <w:color w:val="auto"/>
        </w:rPr>
        <w:t>Sales by the selling shareholders in this offering will cause the number of shares held by existing shareholders to be reduced to</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5"/>
          <w:szCs w:val="15"/>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of the total number of shares of our common stock outstanding after this offering, and will increase the number of shares held by new investors to</w:t>
      </w:r>
    </w:p>
    <w:p>
      <w:pPr>
        <w:spacing w:after="0" w:line="21"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of the total number of common shares outstanding after this offering.</w:t>
      </w:r>
    </w:p>
    <w:p>
      <w:pPr>
        <w:spacing w:after="0" w:line="211" w:lineRule="exact"/>
        <w:rPr>
          <w:sz w:val="20"/>
          <w:szCs w:val="20"/>
          <w:color w:val="auto"/>
        </w:rPr>
      </w:pPr>
    </w:p>
    <w:p>
      <w:pPr>
        <w:ind w:left="460"/>
        <w:spacing w:after="0"/>
        <w:tabs>
          <w:tab w:leader="none" w:pos="6500" w:val="left"/>
          <w:tab w:leader="none" w:pos="732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would increase (decrease) the total</w:t>
      </w:r>
    </w:p>
    <w:p>
      <w:pPr>
        <w:spacing w:after="0" w:line="23" w:lineRule="exact"/>
        <w:rPr>
          <w:sz w:val="20"/>
          <w:szCs w:val="20"/>
          <w:color w:val="auto"/>
        </w:rPr>
      </w:pPr>
    </w:p>
    <w:p>
      <w:pPr>
        <w:spacing w:after="0"/>
        <w:tabs>
          <w:tab w:leader="none" w:pos="7560" w:val="left"/>
          <w:tab w:leader="none" w:pos="8380" w:val="left"/>
        </w:tabs>
        <w:rPr>
          <w:sz w:val="20"/>
          <w:szCs w:val="20"/>
          <w:color w:val="auto"/>
        </w:rPr>
      </w:pPr>
      <w:r>
        <w:rPr>
          <w:rFonts w:ascii="Arial" w:cs="Arial" w:eastAsia="Arial" w:hAnsi="Arial"/>
          <w:sz w:val="18"/>
          <w:szCs w:val="18"/>
          <w:color w:val="auto"/>
        </w:rPr>
        <w:t>consideration paid to us by new investors and total consideration paid to us by all shareholders by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that the number of</w:t>
      </w:r>
    </w:p>
    <w:p>
      <w:pPr>
        <w:spacing w:after="0" w:line="9"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w:t>
      </w:r>
    </w:p>
    <w:p>
      <w:pPr>
        <w:spacing w:after="0" w:line="1" w:lineRule="exact"/>
        <w:rPr>
          <w:sz w:val="20"/>
          <w:szCs w:val="20"/>
          <w:color w:val="auto"/>
        </w:rPr>
      </w:pPr>
    </w:p>
    <w:p>
      <w:pPr>
        <w:spacing w:after="0"/>
        <w:tabs>
          <w:tab w:leader="none" w:pos="7640" w:val="left"/>
          <w:tab w:leader="none" w:pos="8460" w:val="left"/>
        </w:tabs>
        <w:rPr>
          <w:sz w:val="20"/>
          <w:szCs w:val="20"/>
          <w:color w:val="auto"/>
        </w:rPr>
      </w:pPr>
      <w:r>
        <w:rPr>
          <w:rFonts w:ascii="Arial" w:cs="Arial" w:eastAsia="Arial" w:hAnsi="Arial"/>
          <w:sz w:val="18"/>
          <w:szCs w:val="18"/>
          <w:color w:val="auto"/>
        </w:rPr>
        <w:t>paid to us by new investors and total consideration paid to us by all shareholders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an initial public</w:t>
      </w:r>
    </w:p>
    <w:p>
      <w:pPr>
        <w:spacing w:after="0" w:line="9" w:lineRule="exact"/>
        <w:rPr>
          <w:sz w:val="20"/>
          <w:szCs w:val="20"/>
          <w:color w:val="auto"/>
        </w:rPr>
      </w:pPr>
    </w:p>
    <w:p>
      <w:pPr>
        <w:spacing w:after="0"/>
        <w:tabs>
          <w:tab w:leader="none" w:pos="1700" w:val="left"/>
          <w:tab w:leader="none" w:pos="252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w:t>
      </w:r>
    </w:p>
    <w:p>
      <w:pPr>
        <w:spacing w:after="0" w:line="21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calculations above are based on 48,580,042 shares outstanding as of June 6, 2016 after giving effect to the conversion of all outstanding shares of preferred stock (including the preferred shares issued in the Series E Private Placement Extension) into common shares and the exercise of options between April 1, 2016 and June 6, 2016 into 775,750 common shares and exclude:</w:t>
      </w:r>
    </w:p>
    <w:p>
      <w:pPr>
        <w:spacing w:after="0" w:line="87" w:lineRule="exact"/>
        <w:rPr>
          <w:sz w:val="20"/>
          <w:szCs w:val="20"/>
          <w:color w:val="auto"/>
        </w:rPr>
      </w:pPr>
    </w:p>
    <w:p>
      <w:pPr>
        <w:ind w:left="900" w:right="1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2,679,998 of our common shares issuable upon the exercise of vested and unvested options outstanding under our existing equity incentive plans at an exercise price of CHF 0.14548 per common share; and</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included elsewhere in this prospectus.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After giving effect to the sale of shares in this offering by us and the selling shareholders, if the underwriters exercise in full their option to purchase additional shares from certain of the selling shareholders, our existing shareholders would own approximately % and our new investors would own approximately % of the total number of common shares outstanding after this offering.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20"/>
          </w:cols>
          <w:pgMar w:left="240" w:top="459" w:right="7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June 10, 2016, the exchange rate as reported by the U.S. Federal Reserve Bank was CHF 1.0382 to $1.00. In this prospectus, translations from CHF to U.S. dollars were made at this rate.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2011</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2013</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2015</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December 31, 2015</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0.9951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0.9823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January 29, 2016</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1.0082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February 29, 2016</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0.9920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0.9811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April 30, 2016</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0.9598</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0.9634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May 31, 2016</w:t>
            </w:r>
          </w:p>
        </w:tc>
        <w:tc>
          <w:tcPr>
            <w:tcW w:w="33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0.9916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0.9777</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June 30, 2016 (through June 10, 2016)</w:t>
            </w:r>
          </w:p>
        </w:tc>
        <w:tc>
          <w:tcPr>
            <w:tcW w:w="3340" w:type="dxa"/>
            <w:vAlign w:val="bottom"/>
            <w:gridSpan w:val="2"/>
          </w:tcPr>
          <w:p>
            <w:pPr>
              <w:jc w:val="right"/>
              <w:ind w:right="168"/>
              <w:spacing w:after="0"/>
              <w:rPr>
                <w:sz w:val="20"/>
                <w:szCs w:val="20"/>
                <w:color w:val="auto"/>
              </w:rPr>
            </w:pPr>
            <w:r>
              <w:rPr>
                <w:rFonts w:ascii="Arial" w:cs="Arial" w:eastAsia="Arial" w:hAnsi="Arial"/>
                <w:sz w:val="18"/>
                <w:szCs w:val="18"/>
                <w:color w:val="auto"/>
              </w:rPr>
              <w:t>0.9632</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0.9728</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0.9594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0.9902</w:t>
            </w:r>
          </w:p>
        </w:tc>
        <w:tc>
          <w:tcPr>
            <w:tcW w:w="0" w:type="dxa"/>
            <w:vAlign w:val="bottom"/>
          </w:tcPr>
          <w:p>
            <w:pPr>
              <w:spacing w:after="0"/>
              <w:rPr>
                <w:sz w:val="1"/>
                <w:szCs w:val="1"/>
                <w:color w:val="auto"/>
              </w:rPr>
            </w:pPr>
          </w:p>
        </w:tc>
      </w:tr>
      <w:tr>
        <w:trPr>
          <w:trHeight w:val="350"/>
        </w:trPr>
        <w:tc>
          <w:tcPr>
            <w:tcW w:w="3980" w:type="dxa"/>
            <w:vAlign w:val="bottom"/>
          </w:tcPr>
          <w:p>
            <w:pPr>
              <w:spacing w:after="0"/>
              <w:rPr>
                <w:sz w:val="24"/>
                <w:szCs w:val="24"/>
                <w:color w:val="auto"/>
              </w:rPr>
            </w:pPr>
          </w:p>
        </w:tc>
        <w:tc>
          <w:tcPr>
            <w:tcW w:w="2400" w:type="dxa"/>
            <w:vAlign w:val="bottom"/>
          </w:tcPr>
          <w:p>
            <w:pPr>
              <w:jc w:val="right"/>
              <w:ind w:right="950"/>
              <w:spacing w:after="0"/>
              <w:rPr>
                <w:sz w:val="20"/>
                <w:szCs w:val="20"/>
                <w:color w:val="auto"/>
              </w:rPr>
            </w:pPr>
            <w:r>
              <w:rPr>
                <w:rFonts w:ascii="Arial" w:cs="Arial" w:eastAsia="Arial" w:hAnsi="Arial"/>
                <w:sz w:val="18"/>
                <w:szCs w:val="18"/>
                <w:color w:val="auto"/>
              </w:rPr>
              <w:t>67</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tables summarize our financial data as of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financial data as of March 31, 2016 and for the three months ended March 31, 2016 and 2015 have been derived from our unaudited interim condensed financial statements included elsewhere in this prospectus. The unaudited interim condensed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2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0"/>
                <w:szCs w:val="10"/>
                <w:color w:val="auto"/>
              </w:rPr>
            </w:pPr>
          </w:p>
        </w:tc>
        <w:tc>
          <w:tcPr>
            <w:tcW w:w="2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(5,372)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(2,736)</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result—net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to compute earnings per share basic</w:t>
            </w:r>
            <w:r>
              <w:rPr>
                <w:rFonts w:ascii="Arial" w:cs="Arial" w:eastAsia="Arial" w:hAnsi="Arial"/>
                <w:sz w:val="15"/>
                <w:szCs w:val="15"/>
                <w:color w:val="auto"/>
                <w:w w:val="99"/>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46,402,500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42,709,750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43,412,250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Weighted-average number of shares used to compute earnings per share fully diluted</w:t>
            </w:r>
            <w:r>
              <w:rPr>
                <w:rFonts w:ascii="Arial" w:cs="Arial" w:eastAsia="Arial" w:hAnsi="Arial"/>
                <w:sz w:val="15"/>
                <w:szCs w:val="15"/>
                <w:color w:val="auto"/>
                <w:w w:val="92"/>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46,402,500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42,709,750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46,043,198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October 23, 2015, and these preferred shares will be converted on a one-for-one basis upon the closing of this offering, but does not give effect to (i)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 or (ii) the exercise of options into 775,750 common shares between April 1 and June 6, 2016.</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14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67,860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73,545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(46,702)</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64,679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73,545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Arial" w:cs="Arial" w:eastAsia="Arial" w:hAnsi="Arial"/>
                <w:sz w:val="18"/>
                <w:szCs w:val="18"/>
                <w:color w:val="auto"/>
              </w:rPr>
              <w:t>69</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For example, we incurred net losses of CHF 6.2 million for the three months ended March 31, 2016. In addition, we had accumulated losses of CHF 46.7 million as of March 31,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31 million from Genentech. In addition to milestones, we will be eligible to receive royalties on sales at a percentage rate ranging from the mid-single digits to low double digits.</w:t>
      </w:r>
    </w:p>
    <w:p>
      <w:pPr>
        <w:spacing w:after="0" w:line="17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and a research contribution of CHF 1.5 million. The total future payments that we would be entitled to under the agreement for clinical milestones amounts to CHF 82.0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 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 year period. We recognize revenues from this grant on a straight line basis over the life of the grant.</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5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manufacturing costs related to research and development, by major development program for the periods covered by this “Management’s Discussion and Analysis of Financial Condition and Results of Operations” section. These research and development costs exclude employment costs, regulatory, quality assurance and intellectual property costs. With the exception of ACI-35, research costs that are subject to collaboration agreements (for example, crenezumab for all periods, anti-tau antibodies for the years ended December 31, 2013 and 2014 and the tau PET tracer for the year ended December 31, 2014)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Change</w:t>
            </w:r>
          </w:p>
        </w:tc>
        <w:tc>
          <w:tcPr>
            <w:tcW w:w="17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40" w:type="dxa"/>
            <w:vAlign w:val="bottom"/>
          </w:tcPr>
          <w:p>
            <w:pPr>
              <w:spacing w:after="0"/>
              <w:rPr>
                <w:sz w:val="15"/>
                <w:szCs w:val="15"/>
                <w:color w:val="auto"/>
              </w:rPr>
            </w:pPr>
          </w:p>
        </w:tc>
        <w:tc>
          <w:tcPr>
            <w:tcW w:w="1760" w:type="dxa"/>
            <w:vAlign w:val="bottom"/>
            <w:tcBorders>
              <w:top w:val="single" w:sz="8" w:color="auto"/>
            </w:tcBorders>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760" w:type="dxa"/>
            <w:vAlign w:val="bottom"/>
            <w:tcBorders>
              <w:top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7"/>
              </w:rPr>
              <w:t>(in CHF thousands)</w:t>
            </w:r>
          </w:p>
        </w:tc>
        <w:tc>
          <w:tcPr>
            <w:tcW w:w="4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1,292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ACI-35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446</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1,233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3,611</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1,495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460" w:type="dxa"/>
            <w:vAlign w:val="bottom"/>
          </w:tcPr>
          <w:p>
            <w:pPr>
              <w:jc w:val="right"/>
              <w:spacing w:after="0"/>
              <w:rPr>
                <w:sz w:val="20"/>
                <w:szCs w:val="20"/>
                <w:color w:val="auto"/>
              </w:rPr>
            </w:pPr>
            <w:r>
              <w:rPr>
                <w:rFonts w:ascii="Arial" w:cs="Arial" w:eastAsia="Arial" w:hAnsi="Arial"/>
                <w:sz w:val="18"/>
                <w:szCs w:val="18"/>
                <w:color w:val="auto"/>
              </w:rPr>
              <w:t>207</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1,315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3,420</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1,029</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2,391</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8,470</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8,325</w:t>
            </w:r>
          </w:p>
        </w:tc>
        <w:tc>
          <w:tcPr>
            <w:tcW w:w="4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 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Three Months Ended March 31, 2016 and March 31,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For the Three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7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5"/>
          </w:tcPr>
          <w:p>
            <w:pPr>
              <w:jc w:val="right"/>
              <w:ind w:right="254"/>
              <w:spacing w:after="0" w:line="119" w:lineRule="exact"/>
              <w:rPr>
                <w:sz w:val="20"/>
                <w:szCs w:val="20"/>
                <w:color w:val="auto"/>
              </w:rPr>
            </w:pPr>
            <w:r>
              <w:rPr>
                <w:rFonts w:ascii="Arial" w:cs="Arial" w:eastAsia="Arial" w:hAnsi="Arial"/>
                <w:sz w:val="13"/>
                <w:szCs w:val="13"/>
                <w:b w:val="1"/>
                <w:bCs w:val="1"/>
                <w:color w:val="auto"/>
              </w:rPr>
              <w:t>(all figures in CHF ‘000)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3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187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Grant revenue</w:t>
            </w: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 w:firstLine="456"/>
        <w:spacing w:after="0" w:line="275" w:lineRule="auto"/>
        <w:rPr>
          <w:sz w:val="20"/>
          <w:szCs w:val="20"/>
          <w:color w:val="auto"/>
        </w:rPr>
      </w:pPr>
      <w:r>
        <w:rPr>
          <w:rFonts w:ascii="Arial" w:cs="Arial" w:eastAsia="Arial" w:hAnsi="Arial"/>
          <w:sz w:val="17"/>
          <w:szCs w:val="17"/>
          <w:color w:val="auto"/>
        </w:rPr>
        <w:t>Total revenues rose to CHF 0.5 million for the three months ended March 31, 2016 from CHF 0.2 million for the three months ended March 31, 2015, an increase of CHF 0.3 million. The increase in revenues was principally attributable to an increase in collaboration revenues. Specifically, pursuant to the collaboration agreement for ACI-35 with Janssen, we were entitled to a payment of CHF 1.5 million in January 2016 to cover part of our research costs associated with this program. As there is a performance obligation to the end of the phase 1b clinical study which we expect will be completed in late 2016, we are recognizing the revenues on a straight line basis through December 31, 2016.</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three months ended March 31, 2016 and 2015:</w:t>
      </w:r>
    </w:p>
    <w:tbl>
      <w:tblPr>
        <w:tblLayout w:type="fixed"/>
        <w:tblInd w:w="0" w:type="dxa"/>
        <w:tblCellMar>
          <w:top w:w="0" w:type="dxa"/>
          <w:left w:w="0" w:type="dxa"/>
          <w:bottom w:w="0" w:type="dxa"/>
          <w:right w:w="0" w:type="dxa"/>
        </w:tblCellMar>
      </w:tblPr>
      <w:tr>
        <w:trPr>
          <w:trHeight w:val="149"/>
        </w:trPr>
        <w:tc>
          <w:tcPr>
            <w:tcW w:w="93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For the Three</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30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12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5,372</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2,736</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Research and development expenses increased to CHF 5.4 million for the three months ended March 31, 2016 from CHF 2.7 million for the three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months ended March 31, 2015, an increase of CHF 2.6 million. The significant increase in research and development costs are attributable to four key factors:</w:t>
      </w:r>
    </w:p>
    <w:p>
      <w:pPr>
        <w:spacing w:after="0" w:line="32" w:lineRule="exact"/>
        <w:rPr>
          <w:sz w:val="20"/>
          <w:szCs w:val="20"/>
          <w:color w:val="auto"/>
        </w:rPr>
      </w:pPr>
    </w:p>
    <w:p>
      <w:pPr>
        <w:ind w:firstLine="8"/>
        <w:spacing w:after="0" w:line="269" w:lineRule="auto"/>
        <w:tabs>
          <w:tab w:leader="none" w:pos="2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increased expenditures on ACI-35, (ii) increased expenditures on manufacturing, (iii) greater wages expenses due to additional headcount in our research team, and (iv) enhanced expenditures on the ACI-24 programs. Pursuant to our collaboration agreement with Janssen for ACI-35, we committed to spending a total of CHF 13.8 million over a two year period starting in January 2015 to help bring ACI-35 to the end of the Phase 1b clinical trial. Because the scope of the Phase 1b clinical trial was not agreed to until mid 2015, we spent less than CHF 0.5 million, excluding wages, on research and development activities related to ACI-35 in the first quarter of 2015 on ACI-35. In contrast, in the three months period ended March 31, 2016, research and development expenses totalled CHF 1.7 million, excluding wages. As we are in the process of transitioning from an early stage development company to a more mature company, we are having to make substantial investments to upgrade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improve our manufacturing infrastructure. As a result, in the three month period ended March 31, 2016 we spent over CHF 1.3 million on manufacturing related initiatives, as compared to the CHF 0.2 million we spend in the three months period ended March 31, 2015. We have added one scientist to our research and development team which has resulted in our wages and share based compensation attributable to research and development staff rising to CHF 1.5 million for the first three months of 2016 from CHF 1.3 million for the same period in 2015. Finally, during the first quarter of 2016, we spent CHF 0.8 million on the ACI-24 programs, as compared to CHF 0.2 million for the first three months ended March 31, 2015.</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For the Three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Ended March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5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80" w:type="dxa"/>
            <w:vAlign w:val="bottom"/>
            <w:tcBorders>
              <w:top w:val="single" w:sz="8" w:color="auto"/>
            </w:tcBorders>
            <w:gridSpan w:val="2"/>
          </w:tcPr>
          <w:p>
            <w:pPr>
              <w:jc w:val="center"/>
              <w:ind w:left="280"/>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108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493</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gridSpan w:val="2"/>
          </w:tcPr>
          <w:p>
            <w:pPr>
              <w:jc w:val="right"/>
              <w:ind w:right="608"/>
              <w:spacing w:after="0"/>
              <w:rPr>
                <w:sz w:val="20"/>
                <w:szCs w:val="20"/>
                <w:color w:val="auto"/>
              </w:rPr>
            </w:pPr>
            <w:r>
              <w:rPr>
                <w:rFonts w:ascii="Arial" w:cs="Arial" w:eastAsia="Arial" w:hAnsi="Arial"/>
                <w:sz w:val="18"/>
                <w:szCs w:val="18"/>
                <w:color w:val="auto"/>
              </w:rPr>
              <w:t>406</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344</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108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899</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For the first three months ended March 31, 2016 our general and administrative expenses totaled CHF 0.9 million, up CHF 0.1 million from the CHF 0.8 million we incurred during the three months ended March 31, 2015. The increase is due primarily with increased wage costs and information technology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8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Three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rPr>
                <w:sz w:val="14"/>
                <w:szCs w:val="14"/>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Ended March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1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(391)</w:t>
            </w:r>
          </w:p>
        </w:tc>
        <w:tc>
          <w:tcPr>
            <w:tcW w:w="5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Financial expenses amounted to CHF 0.4 million for the three months period ended March 31, 2016 compared with net financial income of CHF 0.3 million for the three months period ended March 31, 2015. The principal difference in the net financial result is attributable to exchange rate gains and losses on cash balances held by us. Whereas we experienced a CHF 0.4 million loss on foreign currency balances in the first quarter of 2016 due to adverse movements in the US dollar and Euro against the Swiss franc, we incurred a profit of CHF 0.3 million due to the positive impact of exchange rate movements of financial assets and payables owed by us for the three months ended March 31, 2015.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(in CHF thousands)</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16,116</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salaries and related costs, excluding share-based compensation, related to our research and development activities rose by CHF 0.4 million to CHF 6.2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4"/>
          </w:tcPr>
          <w:p>
            <w:pPr>
              <w:jc w:val="right"/>
              <w:ind w:right="380"/>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March 31, 2016, we had cash and cash equivalents of CHF 67.9 million. At March 31, 2016, after giving effect to the Series E Private Placement Extension, we would have had cash and cash equivalents of CHF 80.7 million.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Three Months Ended March 31,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540" w:type="dxa"/>
            <w:vAlign w:val="bottom"/>
            <w:tcBorders>
              <w:top w:val="single" w:sz="8" w:color="auto"/>
            </w:tcBorders>
            <w:gridSpan w:val="5"/>
          </w:tcPr>
          <w:p>
            <w:pPr>
              <w:jc w:val="right"/>
              <w:ind w:right="434"/>
              <w:spacing w:after="0" w:line="119" w:lineRule="exact"/>
              <w:rPr>
                <w:sz w:val="20"/>
                <w:szCs w:val="20"/>
                <w:color w:val="auto"/>
              </w:rPr>
            </w:pPr>
            <w:r>
              <w:rPr>
                <w:rFonts w:ascii="Arial" w:cs="Arial" w:eastAsia="Arial" w:hAnsi="Arial"/>
                <w:sz w:val="13"/>
                <w:szCs w:val="13"/>
                <w:b w:val="1"/>
                <w:bCs w:val="1"/>
                <w:color w:val="auto"/>
              </w:rPr>
              <w:t>(all figures in CHF ‘000)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(7,685)</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20,397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(378)</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(8,273)</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20,317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cash used in operating activities was CHF 7.7 million for the three months ended March 31, 2016 compared with net cash generated in operating activities of CHF 20.4 million for the three months ended March 31, 2015. The significant change in cash used in operating activities in the first three months of 2016 was due to (i) our producing a loss of CHF 6.2 million in the first three months of 2016 compared with a loss of CHF 3.0 million during the same period in 2015, and (ii) the receivables balances which were bolstered in the first quarter of 2015 due to receipt in January 2015 of the CHF 25.9 million upfront payment associated with the collaboration with Janssen on ACI-35.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Net cash used in investing activities rose to CHF 0.2 million for the three months ended March 31, 2016 compared with net cash used in investing activities of CHF 0.1 million in the first three months of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cash used in financing activities was CHF 0.4 million for the three months ended March 31, 2016 compared with net cash from investing activities of CHF 1 thousand for the first three months of 2015. The difference between the first quarter 2016 and the same period in 2015 is principally due to the payment of costs related to the Series E Extension private placement which was concluded in April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Years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(in CHF thousands)</w:t>
            </w: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As of March 31, 2016 we had cash balances totaling CHF 67.9 million. The decrease relative to December 31, 2015 is due to a significant rise in total operating expenses driven by CHF 5.4 million spent on research and development.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and development strategy and expenditures and assuming our receipt of the net proceeds from this offering in the amount of $ (based on the midpoint of the range set forth in the cover of this prospectus), we believe that our existing capital resources (including the proceeds we received from the Series E Private Placement Extension, as described below under “—Subsequent Events—Series E Private Placement Extension”) will be sufficient to meet our projected</w:t>
      </w:r>
    </w:p>
    <w:p>
      <w:pPr>
        <w:spacing w:after="0" w:line="2"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operating requirements through</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preparing our financial statements as of and for the years ended December 31, 2014 and December 31, 2015,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7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estimate the amount of work completed through discussions with our project leaders and external service providers as to the progress or stage of completion of the services and the agreed-upon fee to be paid for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2015, we changed the character of our current option scheme. Historically, we have granted options at the outset of the award period with the options vesting over a four year period. In line with IFRS accounting principles for option awards, we expensed the fair value of the awards on a straight line basis over the four year vesting period of the options. Starting in 2015, we changed the nature of our option awards such that only one quarter of the total options awarded are issued at the end first year, with a further quarter of the options granted issued at the end of year two, three and four. This requires us to change the way we account for our options. Specifically, rather than recognizing as an expense one quarter of the option value each year over four years,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to a split adjusted strike price of CHF 0.14548.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upon completion of this offering.</w:t>
      </w:r>
    </w:p>
    <w:p>
      <w:pPr>
        <w:spacing w:after="0" w:line="17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Pursuant to a board decision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October 13, 2015, if we are successful in completing this offering, the board will accelerate a total of 129,250 options which were granted to directors and executive officers which were tied to the consummation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Private Placement Extension</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On April 15, 2016, we completed an extension of a private placement of Series E preferred shares, each with a nominal value of CHF 0.02 per share (the “Series E Private Placement Extension”). An aggregate of 1,401,792 Series E preferred shares were issued to certain strategic investors, individuals and existing shareholders in the Series E Private Placement for an aggregate subscription amount of approximately $13.5 million. The Series E preferred shares have substantially the same terms as the Series A, B, C and D preferred shares, will be accounted for as equity on our balance sheet and will convert into common shares on a one-for-one basis upon the closing of this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 AG Share Issuance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May 25, 2016, we entered into a subscription agreement, pursuant to which we issued 5,300,000 of our common shares, each with a nominal value of CHF 0.02 per share to Credit Suisse AG, Zurich, or CS AG, at a price share equal to the CHF 0.02 per share nominal value for an aggregate subscription amount of CHF 0.1 million. CS AG will hold these shares as nominee in anticipation of the consummation of this offering and CS AG has agreed not to exercise any voting rights with respect to these shares. Following the effectiveness of the registration statement of which this prospectus is a part, CS AG will transfer these shares back to us for no consideration and, at the closing of this offering, we will transfer these shares to the underwriters pursuant to the terms of the underwriting agreement. Pursuant to the subscription agreement, CS AG has an option to sell the shares back to us at a price of CHF 0.02 per share and we also have an option to acquire the shares at a price of CHF 0.02 per share if this offering is not consummated. The transactions contemplated in the subscription agreement were undertaken to increase our authorized share capital and facilitate the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March 31, 2016 we had cash and cash equivalents of CHF 67.9 million (or CHF 80.7 million after giving effect to the Series E Private Placement Extension),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80"/>
          </w:cols>
          <w:pgMar w:left="24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3"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 protocol amendment for the Phase 1b study of ACI-24 was submitted to the FDA in September 2015. Phase 1 and 2 studies are also currently ongoing in Finland, Sweden and Denmark.</w:t>
      </w:r>
    </w:p>
    <w:p>
      <w:pPr>
        <w:spacing w:after="0" w:line="83" w:lineRule="exact"/>
        <w:rPr>
          <w:rFonts w:ascii="Arial" w:cs="Arial" w:eastAsia="Arial" w:hAnsi="Arial"/>
          <w:sz w:val="17"/>
          <w:szCs w:val="17"/>
          <w:color w:val="auto"/>
        </w:rPr>
      </w:pPr>
    </w:p>
    <w:p>
      <w:pPr>
        <w:ind w:left="900" w:right="40" w:hanging="325"/>
        <w:spacing w:after="0" w:line="297"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166"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642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0573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right="160" w:hanging="446"/>
        <w:spacing w:after="0" w:line="308" w:lineRule="auto"/>
        <w:tabs>
          <w:tab w:leader="none" w:pos="1480"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jc w:val="both"/>
        <w:ind w:left="900" w:right="360" w:hanging="325"/>
        <w:spacing w:after="0" w:line="314"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Expand into other neurodegenerative and neuro-orphan diseases. </w:t>
      </w:r>
      <w:r>
        <w:rPr>
          <w:rFonts w:ascii="Arial" w:cs="Arial" w:eastAsia="Arial" w:hAnsi="Arial"/>
          <w:sz w:val="16"/>
          <w:szCs w:val="16"/>
          <w:color w:val="auto"/>
        </w:rPr>
        <w:t>We intend to leverage our proprietary technology platforms to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that share the same disease targets as misfolded Abeta, tau and alpha-synuclein proteins, which are the key features in the pathology of many neurodegenerative diseases. We plan to pursue selected neuro-orphan indications, such as PSP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83" w:lineRule="exact"/>
        <w:rPr>
          <w:sz w:val="20"/>
          <w:szCs w:val="20"/>
          <w:color w:val="auto"/>
        </w:rPr>
      </w:pPr>
    </w:p>
    <w:p>
      <w:pPr>
        <w:ind w:left="900" w:right="8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64990" cy="1766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6499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130810</wp:posOffset>
            </wp:positionV>
            <wp:extent cx="5145405" cy="18522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607310" cy="1560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731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58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0990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March 31, 2016, the Morphomer library consisted of more than 2,400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3070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6814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University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Abeta1-42 oligomers</w:t>
      </w:r>
      <w:r>
        <w:rPr>
          <w:sz w:val="20"/>
          <w:szCs w:val="20"/>
          <w:color w:val="auto"/>
        </w:rPr>
        <w:tab/>
      </w:r>
      <w:r>
        <w:rPr>
          <w:rFonts w:ascii="Arial" w:cs="Arial" w:eastAsia="Arial" w:hAnsi="Arial"/>
          <w:sz w:val="16"/>
          <w:szCs w:val="16"/>
          <w:b w:val="1"/>
          <w:bCs w:val="1"/>
          <w:color w:val="auto"/>
        </w:rPr>
        <w:t>Reduces Abeta 1-42 oligomer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28690" cy="2023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2869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Abeta 1-42 oligomers + MABT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9840" cy="18954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9840" cy="1895475"/>
                    </a:xfrm>
                    <a:prstGeom prst="rect">
                      <a:avLst/>
                    </a:prstGeom>
                    <a:noFill/>
                  </pic:spPr>
                </pic:pic>
              </a:graphicData>
            </a:graphic>
          </wp:anchor>
        </w:drawing>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Reduces microglia inflammatory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85725</wp:posOffset>
            </wp:positionV>
            <wp:extent cx="2186940" cy="19894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869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340"/>
        <w:spacing w:after="0" w:line="277" w:lineRule="auto"/>
        <w:rPr>
          <w:sz w:val="20"/>
          <w:szCs w:val="20"/>
          <w:color w:val="auto"/>
        </w:rPr>
      </w:pPr>
      <w:r>
        <w:rPr>
          <w:rFonts w:ascii="Arial" w:cs="Arial" w:eastAsia="Arial" w:hAnsi="Arial"/>
          <w:sz w:val="18"/>
          <w:szCs w:val="18"/>
          <w:color w:val="auto"/>
        </w:rPr>
        <w:t>MABT is equivalent to crenezumab, mMABT is the parental murine version of crenezumab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figure above shows that crenezumab promotes Abeta oligomer engulfment by microglia without inflammatory activation.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240" w:top="459" w:right="5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77"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134620</wp:posOffset>
            </wp:positionV>
            <wp:extent cx="4081780" cy="2040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8178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wp:posOffset>
            </wp:positionV>
            <wp:extent cx="5205730" cy="25298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0573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96840" cy="33788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4982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498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An exploratory subanalysis in a non-pre-specified subgroup of patients with milder symptoms (MMSE 22-26) showed a 35.4% reduction in cognitive decline. The sample size of the study was not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402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patients with milder symptoms (MMSE 22-26) showed a 19.6% reduction in global functional decline. Although the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5387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263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387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5901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19723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indications outside of AD and evidence our expansion strategy. Based on the data we have received to date, we believe that our technology platforms can be applied to misfolded proteins across a broad range of indications. The table below lists our four pre-clinical product candidates, the platform from which each candidate stems and the lead indication being pursued: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Lead Indication</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3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Anti-tau antibody</w:t>
            </w:r>
          </w:p>
        </w:tc>
        <w:tc>
          <w:tcPr>
            <w:tcW w:w="900" w:type="dxa"/>
            <w:vAlign w:val="bottom"/>
          </w:tcPr>
          <w:p>
            <w:pPr>
              <w:spacing w:after="0"/>
              <w:rPr>
                <w:sz w:val="16"/>
                <w:szCs w:val="16"/>
                <w:color w:val="auto"/>
              </w:rPr>
            </w:pPr>
          </w:p>
        </w:tc>
        <w:tc>
          <w:tcPr>
            <w:tcW w:w="1840" w:type="dxa"/>
            <w:vAlign w:val="bottom"/>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Genentech</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SupraAntigen</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tau</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tau</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AD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Anti-tau antibody: </w:t>
      </w:r>
      <w:r>
        <w:rPr>
          <w:rFonts w:ascii="Arial" w:cs="Arial" w:eastAsia="Arial" w:hAnsi="Arial"/>
          <w:sz w:val="17"/>
          <w:szCs w:val="17"/>
          <w:color w:val="auto"/>
        </w:rPr>
        <w:t>Our anti-tau monoclonal antibody program uses the SupraAntigen platform to generate humanized monoclonal antibodies for use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 collaboration partner for the anti-tau antibody program, announced that it intends to move this program into Phase 1 clinical studies in late 2016.</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Anti-tau Morphomers are small molecule compounds designed to inhibit tau aggregation with the aim of interacting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Morphomer abeta: </w:t>
      </w:r>
      <w:r>
        <w:rPr>
          <w:rFonts w:ascii="Arial" w:cs="Arial" w:eastAsia="Arial" w:hAnsi="Arial"/>
          <w:sz w:val="17"/>
          <w:szCs w:val="17"/>
          <w:color w:val="auto"/>
        </w:rPr>
        <w:t>Our Morphomer abeta product candidate is a small molecule that inhibits and disrupts Abeta propagation and aggregation,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 This molecule is expected to enter Phase 1 clinical studies in 2017.</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2212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associated with the recent selection of the lead candidate to be taken forward into Phase 1 clinical studies. Genentech recently announced that it intends to commence Phase 1 clinical studies for this product candidate in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received an upfront payment of about CHF 25.9 million and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48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400"/>
        <w:spacing w:after="0" w:line="312" w:lineRule="auto"/>
        <w:rPr>
          <w:sz w:val="20"/>
          <w:szCs w:val="20"/>
          <w:color w:val="auto"/>
        </w:rPr>
      </w:pPr>
      <w:r>
        <w:rPr>
          <w:rFonts w:ascii="Arial" w:cs="Arial" w:eastAsia="Arial" w:hAnsi="Arial"/>
          <w:sz w:val="16"/>
          <w:szCs w:val="16"/>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w:t>
      </w:r>
    </w:p>
    <w:p>
      <w:pPr>
        <w:spacing w:after="0" w:line="52" w:lineRule="exact"/>
        <w:rPr>
          <w:sz w:val="20"/>
          <w:szCs w:val="20"/>
          <w:color w:val="auto"/>
        </w:rPr>
      </w:pPr>
    </w:p>
    <w:p>
      <w:pPr>
        <w:ind w:left="900" w:right="80" w:hanging="325"/>
        <w:spacing w:after="0" w:line="30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in AD: </w:t>
      </w:r>
      <w:r>
        <w:rPr>
          <w:rFonts w:ascii="Arial" w:cs="Arial" w:eastAsia="Arial" w:hAnsi="Arial"/>
          <w:sz w:val="16"/>
          <w:szCs w:val="16"/>
          <w:color w:val="auto"/>
        </w:rPr>
        <w:t>ACI-24, if approved, would compete with other approved anti-Abeta-targeting therapeutic vaccines. Several potential competing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Affitope-AD-02 (AFFiRiS AG / GlaxoSmithKline) and CAD-106 (Novartis International AG), each of which has completed a Phase 2 study.</w:t>
      </w:r>
    </w:p>
    <w:p>
      <w:pPr>
        <w:spacing w:after="0" w:line="59" w:lineRule="exact"/>
        <w:rPr>
          <w:rFonts w:ascii="Arial" w:cs="Arial" w:eastAsia="Arial" w:hAnsi="Arial"/>
          <w:sz w:val="16"/>
          <w:szCs w:val="16"/>
          <w:color w:val="auto"/>
        </w:rPr>
      </w:pPr>
    </w:p>
    <w:p>
      <w:pPr>
        <w:ind w:left="900" w:right="26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May 20, 2016, we owned or co-owned approximately 21 issued U.S. patents and 149 issued patents in other jurisdictions, as well as 19 pending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patent applications and 322 pending foreign patent applications. As of May 20, 2016, we licensed approximately 11 issued U.S. patents and 13 pending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patent applications, as well as 96 issued patents in other jurisdictions and 243 pending foreign patent applications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May 20,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ind w:firstLine="456"/>
        <w:spacing w:after="0" w:line="268"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May 20, 2016, we owned or co-owned approximately 19 patents (not including the patents in the individual countries where the issued European patent was validated) and 37 patent applications in 34 countries in our main patent family directed to the crenezumab antibody and methods of using the crenezumab antibody to treat certain indications, including AD. This patent portfolio includes three issued U.S. patents and one pending U.S. patent application,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21 issued patents and 13 pending patent applications in 30 countries. With respect to the U.S., we own two issued U.S. patents.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patent portfolio for ACI-35 consists of approximately 11 issued patents and 18 pending patent applications in 27 countries. With respect to the U.S., we own one issued U.S. patent.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2016, we employed 54 employees, 9 of whom were part-time employees. 29 of our employees hold Ph.D. degrees and 15 hold M.Sc. degrees. Our 54 employees are from over 21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We believe that our existing facility is sufficient to meet our current needs and that suitable additional space is available as and when needed in the future on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following table presents information about our executive officers, other key employees and directors, including their ages, as of June 17, 2016. The term of each of our directors is one year and, accordingly, will expire at our 2016 annual shareholder meeting to be held in August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51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Non-Executive Directors</w:t>
            </w:r>
          </w:p>
        </w:tc>
        <w:tc>
          <w:tcPr>
            <w:tcW w:w="512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since May 27, 2016.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 broad industry experience embraces biotechnology and medical technology firms including previous Board positions with Cytos Biotechnology and Prionics.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board of directors is composed of six members. Each director is elected for a one-year term. The current members of our board of directors were appointed at a shareholders’ meeting held on April 14, 2015 to serve until the 2016 shareholders’ meeting to be held in August 2016.</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and Peter Bollmann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audit and finance committee, which is expected to consist of Peter Bollmann, Detlev Riesner and Martin Velasco,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Peter Bollmann will serve as Chairman of the committee. The audit and finance committee will consist exclusively of members of our supervisory board who are financially literate, and Peter Bollmann is considered an “audit committee financial expert” as defined by the SEC. Our board of directors has determined that Peter Bollmann, Detlev Riesner and Martin Velasco satisfy the “independence” requirements set forth in Rule 10A-3 under the Exchange Act.</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22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95" w:lineRule="exact"/>
        <w:rPr>
          <w:rFonts w:ascii="Arial" w:cs="Arial" w:eastAsia="Arial" w:hAnsi="Arial"/>
          <w:sz w:val="17"/>
          <w:szCs w:val="17"/>
          <w:color w:val="auto"/>
        </w:rPr>
      </w:pPr>
    </w:p>
    <w:p>
      <w:pPr>
        <w:ind w:left="900" w:right="120" w:hanging="325"/>
        <w:spacing w:after="0" w:line="25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compensation, nomination and governance committee, which is expected to consist of Detlev Riesner (chair) and Martin Velasco,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8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March 31, 2016, there were 340,625 and 3,066,000 common shares underlying outstanding unvested options and vested options granted pursuant to our Prior Plans, respectively.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in the event this offering is completed.</w:t>
      </w:r>
    </w:p>
    <w:p>
      <w:pPr>
        <w:spacing w:after="0" w:line="17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Furthermore, pursuant to a board resolution on October 13, 2015 all options which were granted to directors and executive officers in connection with this offering will be accelerated upon consummation of this offering. This will result in the acceleration of a total of 129,250 unvested options.</w:t>
      </w:r>
    </w:p>
    <w:p>
      <w:pPr>
        <w:spacing w:after="0" w:line="124"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0.14548. The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for options issued under Plan A was CHF 0.93186. However, this exercise price was amended in June 2015 with the approval of our board of directors to be CHF 0.14548. As a result, as of March 31, 2016, all options outstanding under our Prior Plans have an exercise price of CHF 0.14548.</w:t>
      </w:r>
    </w:p>
    <w:p>
      <w:pPr>
        <w:spacing w:after="0" w:line="14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beginning of the last fiscal year ended December 31, 2015, we have granted our executive officers, in the aggregate, the right to acquire 196,750 shares at a price of CHF 0.14548 per share. Contingent upon continued employment and approval of our Board of Directors, such options will vest as follows:</w:t>
      </w:r>
    </w:p>
    <w:p>
      <w:pPr>
        <w:spacing w:after="0" w:line="87" w:lineRule="exact"/>
        <w:rPr>
          <w:sz w:val="20"/>
          <w:szCs w:val="20"/>
          <w:color w:val="auto"/>
        </w:rPr>
      </w:pPr>
    </w:p>
    <w:p>
      <w:pPr>
        <w:ind w:left="900" w:right="60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45,000 shares which became purchasable on July 1, 2015, on a monthly basis over a 24-month period but become fully exerciseable upon completion of the offering at a price of CHF 0.14548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98,500 shares which will become purchasable on July 1, 2016, on a monthly basis over a 48-month period;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53,250 shares which will become purchasable starting on July 1, 2017, on a monthly basis over a 48-month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SHAREHOLDERS</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shares as of June 6, 2016, as if the conversion of our preferred shares into common shares on a one-for-one basis had occurred, by:</w:t>
      </w:r>
    </w:p>
    <w:p>
      <w:pPr>
        <w:spacing w:after="0" w:line="76"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our executive officers and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executive officers and directors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of the selling shareholders.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completion of this offering, all of our outstanding preferred shares, including the preferred shares issued in the Series E Private Placement Extension, will be converted into common shares on a one-for-one basis and we will have only one class of shares issued and outstanding. All holders of our common shares will have the same voting rights upon the completion of this offering.</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June 6,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percentage of outstanding common shares is computed on the basis of 48,580,042 common shares outstanding as of June 6, 2016 (including the additional common shares issuable upon conversion of all of our preferred shares, including the preferred shares issued in the Series E Private Placement Extension, into common shares on a one-for-one basis upon the closing of this offering). Common shares that a person has the right to acquire within 60 days of June 6, 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of June 6, 2016, a total of 2,991,500 of our common shares (including the additional common shares issuable upon conversion of all of our preferred shares, including the preferred shares issued in the Series E Private Placement Extension, into common shares on a one-for-one basis upon the closing of this offering) were held by a total of ten U.S. record 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 June</w:t>
      </w:r>
    </w:p>
    <w:p>
      <w:pPr>
        <w:spacing w:after="0" w:line="46"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6, 2016. The percentage of common shares beneficially owned after this offering is based on common shares that will be issued and outstanding upon the completion of this offering (including the additional common shares issuable upon conversion of all of our preferred shares, including the preferred shares issued in the Series E Private Placement Extension, on a one-for-one basis upon the closing of this offering). For purposes of computing percentage</w:t>
      </w:r>
    </w:p>
    <w:tbl>
      <w:tblPr>
        <w:tblLayout w:type="fixed"/>
        <w:tblInd w:w="0" w:type="dxa"/>
        <w:tblCellMar>
          <w:top w:w="0" w:type="dxa"/>
          <w:left w:w="0" w:type="dxa"/>
          <w:bottom w:w="0" w:type="dxa"/>
          <w:right w:w="0" w:type="dxa"/>
        </w:tblCellMar>
      </w:tblPr>
      <w:tr>
        <w:trPr>
          <w:trHeight w:val="204"/>
        </w:trPr>
        <w:tc>
          <w:tcPr>
            <w:tcW w:w="5900" w:type="dxa"/>
            <w:vAlign w:val="bottom"/>
            <w:gridSpan w:val="4"/>
          </w:tcPr>
          <w:p>
            <w:pPr>
              <w:spacing w:after="0" w:line="204" w:lineRule="exact"/>
              <w:rPr>
                <w:sz w:val="20"/>
                <w:szCs w:val="20"/>
                <w:color w:val="auto"/>
              </w:rPr>
            </w:pPr>
            <w:r>
              <w:rPr>
                <w:rFonts w:ascii="Arial" w:cs="Arial" w:eastAsia="Arial" w:hAnsi="Arial"/>
                <w:sz w:val="18"/>
                <w:szCs w:val="18"/>
                <w:color w:val="auto"/>
                <w:w w:val="94"/>
              </w:rPr>
              <w:t>ownership after this offering, we have assumed the issuance and sale by us of</w:t>
            </w:r>
          </w:p>
        </w:tc>
        <w:tc>
          <w:tcPr>
            <w:tcW w:w="5520" w:type="dxa"/>
            <w:vAlign w:val="bottom"/>
            <w:gridSpan w:val="11"/>
          </w:tcPr>
          <w:p>
            <w:pPr>
              <w:ind w:left="320"/>
              <w:spacing w:after="0" w:line="204" w:lineRule="exact"/>
              <w:rPr>
                <w:sz w:val="20"/>
                <w:szCs w:val="20"/>
                <w:color w:val="auto"/>
              </w:rPr>
            </w:pPr>
            <w:r>
              <w:rPr>
                <w:rFonts w:ascii="Arial" w:cs="Arial" w:eastAsia="Arial" w:hAnsi="Arial"/>
                <w:sz w:val="18"/>
                <w:szCs w:val="18"/>
                <w:color w:val="auto"/>
              </w:rPr>
              <w:t>common shares in this offering and that the underwriters will not</w:t>
            </w:r>
          </w:p>
        </w:tc>
        <w:tc>
          <w:tcPr>
            <w:tcW w:w="0" w:type="dxa"/>
            <w:vAlign w:val="bottom"/>
          </w:tcPr>
          <w:p>
            <w:pPr>
              <w:spacing w:after="0"/>
              <w:rPr>
                <w:sz w:val="1"/>
                <w:szCs w:val="1"/>
                <w:color w:val="auto"/>
              </w:rPr>
            </w:pPr>
          </w:p>
        </w:tc>
      </w:tr>
      <w:tr>
        <w:trPr>
          <w:trHeight w:val="230"/>
        </w:trPr>
        <w:tc>
          <w:tcPr>
            <w:tcW w:w="5900" w:type="dxa"/>
            <w:vAlign w:val="bottom"/>
            <w:gridSpan w:val="4"/>
          </w:tcPr>
          <w:p>
            <w:pPr>
              <w:spacing w:after="0"/>
              <w:rPr>
                <w:sz w:val="20"/>
                <w:szCs w:val="20"/>
                <w:color w:val="auto"/>
              </w:rPr>
            </w:pPr>
            <w:r>
              <w:rPr>
                <w:rFonts w:ascii="Arial" w:cs="Arial" w:eastAsia="Arial" w:hAnsi="Arial"/>
                <w:sz w:val="18"/>
                <w:szCs w:val="18"/>
                <w:color w:val="auto"/>
                <w:w w:val="91"/>
              </w:rPr>
              <w:t>exercise their option to purchase additional shares from the selling shareholders.</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9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1"/>
              </w:rPr>
              <w:t>Shares Beneficially Owned</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940" w:type="dxa"/>
            <w:vAlign w:val="bottom"/>
            <w:gridSpan w:val="4"/>
            <w:vMerge w:val="continue"/>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Before This Offering</w:t>
            </w:r>
          </w:p>
        </w:tc>
        <w:tc>
          <w:tcPr>
            <w:tcW w:w="14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2"/>
              </w:rPr>
              <w:t>Shares Being Offered</w:t>
            </w: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After This Offering</w:t>
            </w:r>
          </w:p>
        </w:tc>
        <w:tc>
          <w:tcPr>
            <w:tcW w:w="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30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940" w:type="dxa"/>
            <w:vAlign w:val="bottom"/>
            <w:gridSpan w:val="4"/>
            <w:vMerge w:val="continue"/>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52"/>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and Selling</w:t>
            </w:r>
          </w:p>
        </w:tc>
        <w:tc>
          <w:tcPr>
            <w:tcW w:w="8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84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14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Number   Percent</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of Underwriters’ Over-</w:t>
            </w:r>
          </w:p>
        </w:tc>
        <w:tc>
          <w:tcPr>
            <w:tcW w:w="0" w:type="dxa"/>
            <w:vAlign w:val="bottom"/>
          </w:tcPr>
          <w:p>
            <w:pPr>
              <w:spacing w:after="0"/>
              <w:rPr>
                <w:sz w:val="1"/>
                <w:szCs w:val="1"/>
                <w:color w:val="auto"/>
              </w:rPr>
            </w:pPr>
          </w:p>
        </w:tc>
      </w:tr>
      <w:tr>
        <w:trPr>
          <w:trHeight w:val="176"/>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Shareholders</w:t>
            </w:r>
          </w:p>
        </w:tc>
        <w:tc>
          <w:tcPr>
            <w:tcW w:w="10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r>
        <w:trPr>
          <w:trHeight w:val="129"/>
        </w:trPr>
        <w:tc>
          <w:tcPr>
            <w:tcW w:w="1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Shareholders</w:t>
            </w:r>
          </w:p>
        </w:tc>
        <w:tc>
          <w:tcPr>
            <w:tcW w:w="35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dievini Hopp BioTech holding GmbH &amp; Co KG(1)</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18,041,000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37.7%</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Varuma AG(2)</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11,400,000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Pfeifer(3)</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3,083,250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Andreas Muhs(4)</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898,500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Pavey(5)</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Jean-Fabien Monin(6)</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327,500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Martin Velasco(7)</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949,750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Mathias Hothum(8)</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51,250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Detlev Riesner(9)</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625,500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Friedrich von Bohlen und Halbach(10)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78,750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Bollmann</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(9 persons)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6,059,500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12.8%</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Selling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94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other selling shareholders(11)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18,041,000 shares held by dievini Hopp BioTech holding CmbH &amp; Co KG. Dietmar Hopp controls the voting and investment decisions of the ultimate parent company of dievini Hopp BioTech holding CmbH &amp; Co KG. The shares registered in the name of dievini Hopp BioTech holding CmbH &amp; Co KG may also be deemed to be beneficially owned by Friedrich von Bohlen und Halbach and Matthias Hothum, each of whom is a managing director of dievini Hopp BioTech holding CmbH &amp; Co KG. The address for dievini Hopp BioTech holding CmbH &amp; Co KG, Friedrich von Bohlen und Halbach and Matthias Hothum is Johann-Jakob-Astor Str. 57, 69190 Walldorf, Germany.</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address for Varuma AG is Aeschenvorstadt 55, CH-4051 Basel, Switzerland. Rudolf Maag controls the voting and investment decisions of Varuma AG.</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2,497,000 of our common shares and options to purchase 586,250 of our common shares exercisable within 60 days of June 6, 2016.</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279,000 of our common shares and options to purchase 619,500 of our common shares exercisable within 60 days of June 6, 2016.</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options to purchase 45,000 of our common shares exercisable within 60 days of March 31, 2016.</w:t>
      </w:r>
    </w:p>
    <w:p>
      <w:pPr>
        <w:ind w:left="46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265,000 of our common shares and options to purchase 62,500 of our common shares exercisable within 60 days of June 6, 2016.</w:t>
      </w:r>
    </w:p>
    <w:p>
      <w:pPr>
        <w:ind w:left="460" w:right="600" w:hanging="452"/>
        <w:spacing w:after="0" w:line="221"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939,500 of our common shares and options to purchase 10,250 of our common shares exercisable within 60 days of June 6, 2016. Includes shares held through an entity controlled by Mr. Velasco and, as such, Mr. Velasco has sole voting and dispositive power over such shares.</w:t>
      </w:r>
    </w:p>
    <w:p>
      <w:pPr>
        <w:ind w:left="460" w:right="40" w:hanging="452"/>
        <w:spacing w:after="0" w:line="237"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Consists of options to purchase 51,250 of our common shares exercisable within 60 days of June 6, 2016, and excludes the 18,041,000 shares registered in the name of dievini Hopp BioTech holding CmbH &amp; Co KG that may also be deemed to be beneficially owned by Friedrich von Bohlen und Halbach. See note (1) above.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620,500 of our common shares and options to purchase 5,000 of our common shares exercisable within 60 days of June 6, 2016.</w:t>
      </w:r>
    </w:p>
    <w:p>
      <w:pPr>
        <w:ind w:left="460" w:right="2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78,750 of our common shares, and excludes the 18,041,000 shares registered in the name of dievini Hopp BioTech holding CmbH &amp; Co KG that may also be beneficially owned by Friedrich von Bohlen und Halbach. See note (1) above.</w:t>
      </w:r>
    </w:p>
    <w:p>
      <w:pPr>
        <w:ind w:left="460" w:hanging="452"/>
        <w:spacing w:after="0" w:line="237"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common shares and options to purchase of our common shares exercisable within 60 days of June 6, 2016 by selling shareholders who in the aggregate beneficially own less than 1% of our issued and outstanding common shares prior to this offering.</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60"/>
          </w:cols>
          <w:pgMar w:left="240" w:top="459"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680" w:firstLine="456"/>
        <w:spacing w:after="0" w:line="291"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certain investors in the Series E Private Placement pursuant to which we granted them certain demand and piggyback registration rights for the resale of the common shares held by them, as</w:t>
      </w:r>
    </w:p>
    <w:p>
      <w:pPr>
        <w:spacing w:after="0"/>
        <w:tabs>
          <w:tab w:leader="none" w:pos="7560" w:val="left"/>
        </w:tabs>
        <w:rPr>
          <w:sz w:val="20"/>
          <w:szCs w:val="20"/>
          <w:color w:val="auto"/>
        </w:rPr>
      </w:pPr>
      <w:r>
        <w:rPr>
          <w:rFonts w:ascii="Arial" w:cs="Arial" w:eastAsia="Arial" w:hAnsi="Arial"/>
          <w:sz w:val="18"/>
          <w:szCs w:val="18"/>
          <w:color w:val="auto"/>
        </w:rPr>
        <w:t>described below. The shareholders party to the registration rights agreement hold an aggregate of</w:t>
      </w:r>
      <w:r>
        <w:rPr>
          <w:sz w:val="20"/>
          <w:szCs w:val="20"/>
          <w:color w:val="auto"/>
        </w:rPr>
        <w:tab/>
      </w:r>
      <w:r>
        <w:rPr>
          <w:rFonts w:ascii="Arial" w:cs="Arial" w:eastAsia="Arial" w:hAnsi="Arial"/>
          <w:sz w:val="16"/>
          <w:szCs w:val="16"/>
          <w:color w:val="auto"/>
        </w:rPr>
        <w:t>of our common shares, representing approximately</w:t>
      </w:r>
    </w:p>
    <w:p>
      <w:pPr>
        <w:spacing w:after="0" w:line="9" w:lineRule="exact"/>
        <w:rPr>
          <w:sz w:val="20"/>
          <w:szCs w:val="20"/>
          <w:color w:val="auto"/>
        </w:rPr>
      </w:pPr>
    </w:p>
    <w:p>
      <w:pPr>
        <w:ind w:right="220" w:firstLine="188"/>
        <w:spacing w:after="0" w:line="271" w:lineRule="auto"/>
        <w:tabs>
          <w:tab w:leader="none" w:pos="375" w:val="left"/>
        </w:tabs>
        <w:numPr>
          <w:ilvl w:val="0"/>
          <w:numId w:val="98"/>
        </w:numPr>
        <w:rPr>
          <w:rFonts w:ascii="Arial" w:cs="Arial" w:eastAsia="Arial" w:hAnsi="Arial"/>
          <w:sz w:val="17"/>
          <w:szCs w:val="17"/>
          <w:color w:val="auto"/>
        </w:rPr>
      </w:pPr>
      <w:r>
        <w:rPr>
          <w:rFonts w:ascii="Arial" w:cs="Arial" w:eastAsia="Arial" w:hAnsi="Arial"/>
          <w:sz w:val="17"/>
          <w:szCs w:val="17"/>
          <w:color w:val="auto"/>
        </w:rPr>
        <w:t>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40"/>
          </w:cols>
          <w:pgMar w:left="240" w:top="460" w:right="7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and (ii) the conversion of our preferred shares into common shares on a one-for-one</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basis, our issued fully paid-in share capital will consist of CHF divided into common shares with a nominal value of CHF 0.02 each and no preferred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9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35" w:lineRule="exact"/>
        <w:rPr>
          <w:rFonts w:ascii="Arial" w:cs="Arial" w:eastAsia="Arial" w:hAnsi="Arial"/>
          <w:sz w:val="18"/>
          <w:szCs w:val="18"/>
          <w:color w:val="auto"/>
        </w:rPr>
      </w:pPr>
    </w:p>
    <w:p>
      <w:pPr>
        <w:ind w:left="900" w:right="20" w:hanging="446"/>
        <w:spacing w:after="0" w:line="334"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35" w:lineRule="exact"/>
        <w:rPr>
          <w:rFonts w:ascii="Arial" w:cs="Arial" w:eastAsia="Arial" w:hAnsi="Arial"/>
          <w:sz w:val="18"/>
          <w:szCs w:val="18"/>
          <w:color w:val="auto"/>
        </w:rPr>
      </w:pPr>
    </w:p>
    <w:p>
      <w:pPr>
        <w:ind w:left="900" w:right="200" w:hanging="446"/>
        <w:spacing w:after="0" w:line="25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following a shareholder or a group of shareholders acting in concert having accumulated shareholdings in excess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55" w:lineRule="exact"/>
        <w:rPr>
          <w:rFonts w:ascii="Arial" w:cs="Arial" w:eastAsia="Arial" w:hAnsi="Arial"/>
          <w:sz w:val="17"/>
          <w:szCs w:val="17"/>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of association, our board of directors is authorized at any time until December 31, 2016 to increase our nominal share capital by a maximum aggregate amount of CHF 426,950 (or CHF 320,950 after giving effect to the CS AG Share Issuance) through the issuance of not more than 21,347,500 shares (or 16,047,500 shares after giving effect to the CS AG Share Issuance), which would have to be fully paid-in, with a nominal value of CHF 0.02 each.</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authorized but unissued share capital will decrease by the amount of CHF (or by a larger amount, to the extent that any over-allotment shares will be issued).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 although in 2016 we expect to hold our ordinary general meeting in August, which we believe is permissible under Swiss law as the investors acquiring shares in this offering will be permitted to participate in such ordinary general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 The board of directors may in special cases approve exceptions to the above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202" w:lineRule="auto"/>
        <w:rPr>
          <w:sz w:val="20"/>
          <w:szCs w:val="20"/>
          <w:color w:val="auto"/>
        </w:rPr>
      </w:pPr>
      <w:r>
        <w:rPr>
          <w:rFonts w:ascii="Arial" w:cs="Arial" w:eastAsia="Arial" w:hAnsi="Arial"/>
          <w:sz w:val="17"/>
          <w:szCs w:val="17"/>
          <w:color w:val="auto"/>
        </w:rPr>
        <w:t>Voting rights may be exercised only after a shareholder has been entered in our share register (</w:t>
      </w:r>
      <w:r>
        <w:rPr>
          <w:rFonts w:ascii="Arial" w:cs="Arial" w:eastAsia="Arial" w:hAnsi="Arial"/>
          <w:sz w:val="17"/>
          <w:szCs w:val="17"/>
          <w:i w:val="1"/>
          <w:iCs w:val="1"/>
          <w:color w:val="auto"/>
        </w:rPr>
        <w:t>registre des actions</w:t>
      </w:r>
      <w:r>
        <w:rPr>
          <w:rFonts w:ascii="Arial" w:cs="Arial" w:eastAsia="Arial" w:hAnsi="Arial"/>
          <w:sz w:val="17"/>
          <w:szCs w:val="17"/>
          <w:color w:val="auto"/>
        </w:rPr>
        <w:t xml:space="preserve">) with his or her name and address (in the case of legal entities, the registered office) as a shareholder with voting rights. Our articles contain provisions that prevent investors from acquiring voting rights exceeding 15% of the outstanding share capital. Specifically, no individual or legal entity may, directly or indirectly, control voting rights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except if such individual or legal entity has submitted a tender offer to all shareholders. In the event that a shareholder should exceed the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ownership threshold,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our share registered as shares without voting rights.</w:t>
      </w: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demerger requires approval of two-thirds of the shares represented at a general meeting of shareholders and the absolute majority of the nominal value of the shares represented.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80"/>
          </w:cols>
          <w:pgMar w:left="24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60" w:right="27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1400"/>
          </w:cols>
          <w:pgMar w:left="240" w:top="460" w:right="25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left="740" w:hanging="381"/>
        <w:spacing w:after="0"/>
        <w:tabs>
          <w:tab w:leader="none" w:pos="7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30"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pacing w:after="0" w:line="104" w:lineRule="exact"/>
        <w:rPr>
          <w:sz w:val="20"/>
          <w:szCs w:val="20"/>
          <w:color w:val="auto"/>
        </w:rPr>
      </w:pPr>
    </w:p>
    <w:p>
      <w:pPr>
        <w:sectPr>
          <w:pgSz w:w="11900" w:h="16838" w:orient="portrait"/>
          <w:cols w:equalWidth="0" w:num="2">
            <w:col w:w="5820" w:space="2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20"/>
          </w:cols>
          <w:pgMar w:left="240" w:top="459" w:right="239" w:bottom="1440" w:gutter="0" w:footer="0" w:header="0"/>
          <w:type w:val="continuous"/>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6" w:lineRule="exact"/>
        <w:rPr>
          <w:sz w:val="20"/>
          <w:szCs w:val="20"/>
          <w:color w:val="auto"/>
        </w:rPr>
      </w:pPr>
    </w:p>
    <w:p>
      <w:pPr>
        <w:ind w:left="720" w:right="180" w:hanging="361"/>
        <w:spacing w:after="0" w:line="312" w:lineRule="auto"/>
        <w:tabs>
          <w:tab w:leader="none" w:pos="7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59"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20"/>
          </w:cols>
          <w:pgMar w:left="240" w:top="459" w:right="23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pacing w:after="0" w:line="104" w:lineRule="exact"/>
        <w:rPr>
          <w:sz w:val="20"/>
          <w:szCs w:val="20"/>
          <w:color w:val="auto"/>
        </w:rPr>
      </w:pPr>
    </w:p>
    <w:p>
      <w:pPr>
        <w:sectPr>
          <w:pgSz w:w="11900" w:h="16838" w:orient="portrait"/>
          <w:cols w:equalWidth="0" w:num="2">
            <w:col w:w="5380" w:space="68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1400"/>
          </w:cols>
          <w:pgMar w:left="240" w:top="460" w:right="25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1420"/>
          </w:cols>
          <w:pgMar w:left="240" w:top="460" w:right="2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Upon completion of this offering, we will have common shares outstanding assuming no exercise of the underwriters’ over-allotment option. Of these shares, common shares, or common shares if the underwriters exercise their option in full to purchase additional common shares, sold in</w:t>
      </w:r>
    </w:p>
    <w:p>
      <w:pPr>
        <w:spacing w:after="0"/>
        <w:rPr>
          <w:sz w:val="20"/>
          <w:szCs w:val="20"/>
          <w:color w:val="auto"/>
        </w:rPr>
      </w:pPr>
      <w:r>
        <w:rPr>
          <w:rFonts w:ascii="Arial" w:cs="Arial" w:eastAsia="Arial" w:hAnsi="Arial"/>
          <w:sz w:val="16"/>
          <w:szCs w:val="16"/>
          <w:color w:val="auto"/>
        </w:rPr>
        <w:t>this offering will be freely transferable without restriction or registration under the Securities Act, except for any common shares purchased by one of our</w:t>
      </w:r>
    </w:p>
    <w:p>
      <w:pPr>
        <w:spacing w:after="0" w:line="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existing “affiliates,” as that term is defined in Rule 144 under the Securities 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ind w:left="460"/>
        <w:spacing w:after="0"/>
        <w:tabs>
          <w:tab w:leader="none" w:pos="3880" w:val="left"/>
        </w:tabs>
        <w:rPr>
          <w:sz w:val="20"/>
          <w:szCs w:val="20"/>
          <w:color w:val="auto"/>
        </w:rPr>
      </w:pPr>
      <w:r>
        <w:rPr>
          <w:rFonts w:ascii="Arial" w:cs="Arial" w:eastAsia="Arial" w:hAnsi="Arial"/>
          <w:sz w:val="18"/>
          <w:szCs w:val="18"/>
          <w:color w:val="auto"/>
        </w:rPr>
        <w:t>Additionally, of the options to purchase</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no exercise of the underwriters’ option to purchase additional shares, options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days after the date of this prospectus.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hanging="308"/>
        <w:spacing w:after="0" w:line="342" w:lineRule="auto"/>
        <w:rPr>
          <w:sz w:val="20"/>
          <w:szCs w:val="20"/>
          <w:color w:val="auto"/>
        </w:rPr>
      </w:pPr>
      <w:r>
        <w:rPr>
          <w:rFonts w:ascii="Arial" w:cs="Arial" w:eastAsia="Arial" w:hAnsi="Arial"/>
          <w:sz w:val="16"/>
          <w:szCs w:val="16"/>
          <w:color w:val="auto"/>
        </w:rPr>
        <w:t>, 2016 and assuming no outstanding options are exercised common shares will be vested and eligible for sale</w:t>
      </w:r>
    </w:p>
    <w:p>
      <w:pPr>
        <w:spacing w:after="0" w:line="329" w:lineRule="exact"/>
        <w:rPr>
          <w:sz w:val="20"/>
          <w:szCs w:val="20"/>
          <w:color w:val="auto"/>
        </w:rPr>
      </w:pPr>
    </w:p>
    <w:p>
      <w:pPr>
        <w:sectPr>
          <w:pgSz w:w="11900" w:h="16838" w:orient="portrait"/>
          <w:cols w:equalWidth="0" w:num="2">
            <w:col w:w="6960" w:space="600"/>
            <w:col w:w="3840"/>
          </w:cols>
          <w:pgMar w:left="240" w:top="459"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00"/>
          </w:cols>
          <w:pgMar w:left="240" w:top="459" w:right="259" w:bottom="1440" w:gutter="0" w:footer="0" w:header="0"/>
          <w:type w:val="continuous"/>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20"/>
          </w:cols>
          <w:pgMar w:left="240" w:top="459" w:right="259" w:bottom="1440" w:gutter="0" w:footer="0" w:header="0"/>
          <w:type w:val="continuous"/>
        </w:sectPr>
      </w:pPr>
    </w:p>
    <w:p>
      <w:pPr>
        <w:ind w:left="900" w:right="28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All of our directors, executive officers and the holders of all of our capital stock (including the selling shareholders)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i w:val="1"/>
          <w:iCs w:val="1"/>
          <w:color w:val="auto"/>
        </w:rPr>
        <w:t>The following summary does not purport to address all tax consequences and does not take into account the specific circumstances of any particular investor. The following discussion is based on the tax laws, regulations and regulatory practices of Switzerland and the U.S. as in effect on the date hereof, which are subject to change (or subject to changes in interpretation), possibly with retroactive effect.</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our common shares (such shares for purposes of this “Taxation” section,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the opinion of Vischer Ltd., the following is a description of the material Swiss income tax consequences of owning and disposing our common shares. This description does not purport to address all tax consequences resulting therefrom nor does it take into account the specific circumstances of any particular investor.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if the Shares held by them as part of a Swiss business have an aggregate market value of at least CHF 1 million.</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bilateral tax treaty between the U.S. and Switzerland is eligible for a partial refund of the amount of the withholding tax in excess of the 15% treaty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such shareholder: (i) qualifies for benefits under this treaty and qualifies as beneficial owner of the Dividends; (ii) holds, directly or indirectly,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10% of the voting stock of the Company; (iii) does not qualify as a pension scheme or retirement arrangement for the purpose of the bilateral treaty; and</w:t>
      </w:r>
    </w:p>
    <w:p>
      <w:pPr>
        <w:spacing w:after="0" w:line="32" w:lineRule="exact"/>
        <w:rPr>
          <w:sz w:val="20"/>
          <w:szCs w:val="20"/>
          <w:color w:val="auto"/>
        </w:rPr>
      </w:pPr>
    </w:p>
    <w:p>
      <w:pPr>
        <w:ind w:right="40" w:firstLine="8"/>
        <w:spacing w:after="0" w:line="254" w:lineRule="auto"/>
        <w:tabs>
          <w:tab w:leader="none" w:pos="3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92"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00"/>
          </w:cols>
          <w:pgMar w:left="240" w:top="459" w:right="3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40" w:firstLine="8"/>
        <w:spacing w:after="0" w:line="261" w:lineRule="auto"/>
        <w:tabs>
          <w:tab w:leader="none" w:pos="2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and the selling shareholders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7180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718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5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of the selling shareholders have granted to the underwriters a 30-day over-allotment option to purchase up to additional common shares from them at the initial public offering price less the underwriting discounts and commissions. The option may be exercised only to cover any over-allotments of common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and the selling shareholders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Proceeds to the selling shareholders, before expenses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0"/>
                <w:szCs w:val="20"/>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estimate the expenses paid or payable by us in connection with this offering, other than the underwriting discounts and commissions referred to above, will be approximately $ .</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officers and directors and all of our shareholders (including the selling shareholders)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 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6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60" w:hanging="446"/>
        <w:spacing w:after="0" w:line="264"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60" w:hanging="446"/>
        <w:spacing w:after="0" w:line="277"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480" w:right="220" w:hanging="446"/>
        <w:spacing w:after="0" w:line="264"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40" w:hanging="446"/>
        <w:spacing w:after="0" w:line="342" w:lineRule="auto"/>
        <w:tabs>
          <w:tab w:leader="none" w:pos="14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and the selling shareholders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52"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 standards for listing prospectuses under art. 27 ff. of the SIX Listing Rules or the listing rules of any other stock exchange or regulated trading facility in Switzerland.</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 document will not be filed with, and the offer of shares will not be supervised by, the Swiss Financial Market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distribution of the common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common shares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120" w:hanging="446"/>
        <w:spacing w:after="0" w:line="34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380"/>
          </w:cols>
          <w:pgMar w:left="240" w:top="459" w:right="2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Arial" w:cs="Arial" w:eastAsia="Arial" w:hAnsi="Arial"/>
                <w:sz w:val="14"/>
                <w:szCs w:val="14"/>
                <w:b w:val="1"/>
                <w:bCs w:val="1"/>
                <w:color w:val="auto"/>
                <w:w w:val="85"/>
              </w:rPr>
              <w:t>Expenses</w:t>
            </w:r>
          </w:p>
        </w:tc>
        <w:tc>
          <w:tcPr>
            <w:tcW w:w="750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5,035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340"/>
          </w:cols>
          <w:pgMar w:left="240" w:top="460" w:right="3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and selling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320"/>
          </w:cols>
          <w:pgMar w:left="240" w:top="459" w:right="3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974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6080" w:type="dxa"/>
            <w:vAlign w:val="bottom"/>
            <w:gridSpan w:val="11"/>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45"/>
        </w:trPr>
        <w:tc>
          <w:tcPr>
            <w:tcW w:w="9740" w:type="dxa"/>
            <w:vAlign w:val="bottom"/>
            <w:gridSpan w:val="13"/>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3"/>
          </w:tcPr>
          <w:p>
            <w:pPr>
              <w:spacing w:after="0" w:line="190" w:lineRule="exact"/>
              <w:rPr>
                <w:rFonts w:ascii="Arial" w:cs="Arial" w:eastAsia="Arial" w:hAnsi="Arial"/>
                <w:sz w:val="18"/>
                <w:szCs w:val="18"/>
                <w:color w:val="0000EE"/>
              </w:rPr>
            </w:pPr>
            <w:hyperlink w:anchor="page204">
              <w:r>
                <w:rPr>
                  <w:rFonts w:ascii="Arial" w:cs="Arial" w:eastAsia="Arial" w:hAnsi="Arial"/>
                  <w:sz w:val="18"/>
                  <w:szCs w:val="18"/>
                  <w:color w:val="0000EE"/>
                </w:rPr>
                <w:t>Balance Sheets as of March 31, 2016 and December 31, 2015</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Income Statements and Statements of Comprehensive Income for the Three Months Ended March 31,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Statements of Changes in Equity for the Three Months Ended March 31, 2016 and 2015</w:t>
              </w:r>
            </w:hyperlink>
          </w:p>
        </w:tc>
        <w:tc>
          <w:tcPr>
            <w:tcW w:w="2100" w:type="dxa"/>
            <w:vAlign w:val="bottom"/>
            <w:tcBorders>
              <w:top w:val="single" w:sz="8" w:color="0000EE"/>
            </w:tcBorders>
            <w:gridSpan w:val="4"/>
          </w:tcPr>
          <w:p>
            <w:pPr>
              <w:spacing w:after="0"/>
              <w:rPr>
                <w:sz w:val="17"/>
                <w:szCs w:val="17"/>
                <w:color w:val="auto"/>
              </w:rPr>
            </w:pPr>
          </w:p>
        </w:tc>
        <w:tc>
          <w:tcPr>
            <w:tcW w:w="128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Statements of Cash Flows for the Three Months Ended March 31,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7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08">
              <w:r>
                <w:rPr>
                  <w:rFonts w:ascii="Arial" w:cs="Arial" w:eastAsia="Arial" w:hAnsi="Arial"/>
                  <w:sz w:val="18"/>
                  <w:szCs w:val="18"/>
                  <w:color w:val="0000EE"/>
                  <w:w w:val="90"/>
                </w:rPr>
                <w:t>Notes to the Interim Condensed Financial Statements for the Three Months Ended March 31, 2016 and 2015</w:t>
              </w:r>
            </w:hyperlink>
          </w:p>
        </w:tc>
        <w:tc>
          <w:tcPr>
            <w:tcW w:w="190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90"/>
        </w:trPr>
        <w:tc>
          <w:tcPr>
            <w:tcW w:w="974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3"/>
          </w:tcPr>
          <w:p>
            <w:pPr>
              <w:spacing w:after="0" w:line="190" w:lineRule="exact"/>
              <w:rPr>
                <w:rFonts w:ascii="Arial" w:cs="Arial" w:eastAsia="Arial" w:hAnsi="Arial"/>
                <w:sz w:val="18"/>
                <w:szCs w:val="18"/>
                <w:color w:val="0000EE"/>
              </w:rPr>
            </w:pPr>
            <w:hyperlink w:anchor="page214">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Balance Sheets as of December 31, 2015 and 2014</w:t>
              </w:r>
            </w:hyperlink>
          </w:p>
        </w:tc>
        <w:tc>
          <w:tcPr>
            <w:tcW w:w="5520" w:type="dxa"/>
            <w:vAlign w:val="bottom"/>
            <w:gridSpan w:val="1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Income Statements and Statements of Comprehensive Income for the fiscal years ended December 31, 2015 and 2014</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Statements of Changes in Equity for the fiscal years ended December 31, 2015 and 2014</w:t>
              </w:r>
            </w:hyperlink>
          </w:p>
        </w:tc>
        <w:tc>
          <w:tcPr>
            <w:tcW w:w="2060" w:type="dxa"/>
            <w:vAlign w:val="bottom"/>
            <w:tcBorders>
              <w:top w:val="single" w:sz="8" w:color="0000EE"/>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59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18">
              <w:r>
                <w:rPr>
                  <w:rFonts w:ascii="Arial" w:cs="Arial" w:eastAsia="Arial" w:hAnsi="Arial"/>
                  <w:sz w:val="18"/>
                  <w:szCs w:val="18"/>
                  <w:color w:val="0000EE"/>
                  <w:w w:val="90"/>
                </w:rPr>
                <w:t>Statements of Cash Flows for the fiscal years ended December 31, 2015 and 2014</w:t>
              </w:r>
            </w:hyperlink>
          </w:p>
        </w:tc>
        <w:tc>
          <w:tcPr>
            <w:tcW w:w="37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65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19">
              <w:r>
                <w:rPr>
                  <w:rFonts w:ascii="Arial" w:cs="Arial" w:eastAsia="Arial" w:hAnsi="Arial"/>
                  <w:sz w:val="18"/>
                  <w:szCs w:val="18"/>
                  <w:color w:val="0000EE"/>
                  <w:w w:val="90"/>
                </w:rPr>
                <w:t>Notes to the Financial Statements for the fiscal years ended December 31, 2015 and 2014</w:t>
              </w:r>
            </w:hyperlink>
          </w:p>
        </w:tc>
        <w:tc>
          <w:tcPr>
            <w:tcW w:w="324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9"/>
          </w:tcPr>
          <w:p>
            <w:pPr>
              <w:jc w:val="center"/>
              <w:ind w:right="2760"/>
              <w:spacing w:after="0"/>
              <w:rPr>
                <w:sz w:val="20"/>
                <w:szCs w:val="20"/>
                <w:color w:val="auto"/>
              </w:rPr>
            </w:pPr>
            <w:r>
              <w:rPr>
                <w:rFonts w:ascii="Arial" w:cs="Arial" w:eastAsia="Arial" w:hAnsi="Arial"/>
                <w:sz w:val="18"/>
                <w:szCs w:val="18"/>
                <w:color w:val="auto"/>
                <w:w w:val="96"/>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2"/>
              </w:rPr>
              <w:t>Notes</w:t>
            </w:r>
          </w:p>
        </w:tc>
        <w:tc>
          <w:tcPr>
            <w:tcW w:w="13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As of March 31,</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74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Financial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732</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3,191</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Accrued income</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72,813</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73,545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110,453</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(46,702)</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64,679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2,991</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Accrued expenses</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3,728</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8,866</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8,888</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73,545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32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9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Notes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Contract revenue</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487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(5,372)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(899)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(6,271)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(3,510)</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(5,784)</w:t>
            </w:r>
          </w:p>
        </w:tc>
        <w:tc>
          <w:tcPr>
            <w:tcW w:w="5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(391)</w:t>
            </w:r>
          </w:p>
        </w:tc>
        <w:tc>
          <w:tcPr>
            <w:tcW w:w="5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(6,175)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Income tax expense</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(6,175)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(2,965)</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w w:val="93"/>
              </w:rPr>
              <w:t>46,402,500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42,709,750</w:t>
            </w:r>
          </w:p>
        </w:tc>
        <w:tc>
          <w:tcPr>
            <w:tcW w:w="0" w:type="dxa"/>
            <w:vAlign w:val="bottom"/>
          </w:tcPr>
          <w:p>
            <w:pPr>
              <w:spacing w:after="0"/>
              <w:rPr>
                <w:sz w:val="1"/>
                <w:szCs w:val="1"/>
                <w:color w:val="auto"/>
              </w:rPr>
            </w:pPr>
          </w:p>
        </w:tc>
      </w:tr>
      <w:tr>
        <w:trPr>
          <w:trHeight w:val="526"/>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For the Three Months Ended</w:t>
            </w:r>
          </w:p>
        </w:tc>
        <w:tc>
          <w:tcPr>
            <w:tcW w:w="0" w:type="dxa"/>
            <w:vAlign w:val="bottom"/>
          </w:tcPr>
          <w:p>
            <w:pPr>
              <w:spacing w:after="0"/>
              <w:rPr>
                <w:sz w:val="1"/>
                <w:szCs w:val="1"/>
                <w:color w:val="auto"/>
              </w:rPr>
            </w:pPr>
          </w:p>
        </w:tc>
      </w:t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(6,175)</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w w:val="92"/>
              </w:rPr>
              <w:t>Other comprehensive income not to be reclassified to income or loss in subsequent periods (net of tax)</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(184)</w:t>
            </w:r>
          </w:p>
        </w:tc>
        <w:tc>
          <w:tcPr>
            <w:tcW w:w="5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net of tax</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(6,359)</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720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(3,216)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83,071</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(63,637)</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928</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(40,381)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71,043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(6,359)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2016</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110,453</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(46,702)</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64,679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For the Three Months</w:t>
            </w:r>
          </w:p>
        </w:tc>
        <w:tc>
          <w:tcPr>
            <w:tcW w:w="0" w:type="dxa"/>
            <w:vAlign w:val="bottom"/>
          </w:tcPr>
          <w:p>
            <w:pPr>
              <w:spacing w:after="0"/>
              <w:rPr>
                <w:sz w:val="1"/>
                <w:szCs w:val="1"/>
                <w:color w:val="auto"/>
              </w:rPr>
            </w:pPr>
          </w:p>
        </w:tc>
      </w:tr>
      <w:tr>
        <w:trPr>
          <w:trHeight w:val="171"/>
        </w:trPr>
        <w:tc>
          <w:tcPr>
            <w:tcW w:w="9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978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(6,175)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loss for the period to net cash flows :</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 provided by operating activities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(7,683)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 provided by operating activities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(7,685)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20,397</w:t>
            </w:r>
          </w:p>
        </w:tc>
        <w:tc>
          <w:tcPr>
            <w:tcW w:w="0" w:type="dxa"/>
            <w:vAlign w:val="bottom"/>
          </w:tcPr>
          <w:p>
            <w:pPr>
              <w:spacing w:after="0"/>
              <w:rPr>
                <w:sz w:val="1"/>
                <w:szCs w:val="1"/>
                <w:color w:val="auto"/>
              </w:rPr>
            </w:pP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8"/>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 provided from financing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(378)</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(8,273)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20,317</w:t>
            </w:r>
          </w:p>
        </w:tc>
        <w:tc>
          <w:tcPr>
            <w:tcW w:w="0" w:type="dxa"/>
            <w:vAlign w:val="bottom"/>
          </w:tcPr>
          <w:p>
            <w:pPr>
              <w:spacing w:after="0"/>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Exchange gain / (loss) on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at March 31</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67,860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(8,273)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Phase 3 clinical studies for crenezumab were commenced in early 2016..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67.9 million as of March 31, 2016 and the additional $13.5 million (CHF 13.2 million) the Company raised in the Series E Extension financing in April 2016.</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the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00" w:firstLine="8"/>
        <w:spacing w:after="0" w:line="323" w:lineRule="auto"/>
        <w:tabs>
          <w:tab w:leader="none" w:pos="21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interim condensed financial statements for the three month period ended March 31,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disclosed in Note 5,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45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2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2060" w:type="dxa"/>
            <w:vAlign w:val="bottom"/>
          </w:tcPr>
          <w:p>
            <w:pPr>
              <w:spacing w:after="0"/>
              <w:rPr>
                <w:sz w:val="24"/>
                <w:szCs w:val="24"/>
                <w:color w:val="auto"/>
              </w:rPr>
            </w:pPr>
          </w:p>
        </w:tc>
        <w:tc>
          <w:tcPr>
            <w:tcW w:w="362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Borders>
              <w:bottom w:val="single" w:sz="8" w:color="CCEEFF"/>
            </w:tcBorders>
            <w:vMerge w:val="continue"/>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2016</w:t>
            </w:r>
          </w:p>
        </w:tc>
        <w:tc>
          <w:tcPr>
            <w:tcW w:w="130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collaboration and license revenue</w:t>
            </w:r>
          </w:p>
        </w:tc>
        <w:tc>
          <w:tcPr>
            <w:tcW w:w="2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 revenue</w:t>
            </w:r>
          </w:p>
        </w:tc>
        <w:tc>
          <w:tcPr>
            <w:tcW w:w="4460" w:type="dxa"/>
            <w:vAlign w:val="bottom"/>
            <w:gridSpan w:val="3"/>
          </w:tcPr>
          <w:p>
            <w:pPr>
              <w:jc w:val="right"/>
              <w:ind w:right="1300"/>
              <w:spacing w:after="0"/>
              <w:rPr>
                <w:sz w:val="20"/>
                <w:szCs w:val="20"/>
                <w:color w:val="auto"/>
              </w:rPr>
            </w:pPr>
            <w:r>
              <w:rPr>
                <w:rFonts w:ascii="Arial" w:cs="Arial" w:eastAsia="Arial" w:hAnsi="Arial"/>
                <w:sz w:val="18"/>
                <w:szCs w:val="18"/>
                <w:color w:val="auto"/>
              </w:rPr>
              <w:t>105</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6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3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60" w:type="dxa"/>
            <w:vAlign w:val="bottom"/>
            <w:gridSpan w:val="3"/>
          </w:tcPr>
          <w:p>
            <w:pPr>
              <w:ind w:left="760"/>
              <w:spacing w:after="0"/>
              <w:rPr>
                <w:sz w:val="20"/>
                <w:szCs w:val="20"/>
                <w:color w:val="auto"/>
              </w:rPr>
            </w:pPr>
            <w:r>
              <w:rPr>
                <w:rFonts w:ascii="Arial" w:cs="Arial" w:eastAsia="Arial" w:hAnsi="Arial"/>
                <w:sz w:val="18"/>
                <w:szCs w:val="18"/>
                <w:color w:val="auto"/>
              </w:rPr>
              <w:t>F-7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right="7700" w:firstLine="8"/>
        <w:spacing w:after="0" w:line="425" w:lineRule="auto"/>
        <w:tabs>
          <w:tab w:leader="none" w:pos="446"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Licensing and collaboration agreements 4.1 Research Collaboration and license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May 2014, AC Immune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December of 2014, the Company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AC Immune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AC Immune received an upfront payment of CHF 25.9 million which we recognized in 2014 and is eligible to receive development, regulatory and commercialization milestone payments for AD and a potential second indication outside of AD. Additionally, AC Immune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January 2016, AC Immune issued an invoice for CHF 1.5 million to Janssen in for pre-payment of research and external research costs we are expected to incur during 2016. AC Immune received the proceeds from this non-refundable payment in April 2016. Pursuant to the terms of the collaboration agreement, there is a performance obligation until the end of the year. As a result, AC Immune is recognizing the proceeds from the milestone payment over a 12 month period on a straight-line basis.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60" w:right="31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2012, AC Immune entered into an exclusive global license agreement and research collaboration with Genentech, Inc. to commercialize AC Immune’s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we will be entitled to receive royalties that are tied to annual sales volumes with different royalty rates applicable in the U.S. and Europe. These percentage rates range from the high single digits to the mid-teens.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To date, we have received payments of $65 million (CHF 70.1 million).</w:t>
      </w:r>
    </w:p>
    <w:p>
      <w:pPr>
        <w:spacing w:after="0" w:line="315"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Consistent with prior years, the Company has not recognized any deferred tax asset relating to tax losses available for offset against future profits as the recognition criteria have not been met at the balance sheet date.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income tax expense recognized for the three month period to March 31, 2016, is based on the best estimate of the weighted average annual income tax rate expected for the full financial year to December 31, 2016. The estimate of the weighted average annual income tax rate 2016 takes into consideration the fact that we were not profitable in Q1 2016 and expect to incur significant losses for the full financial year to December 31, 2016. In accordance with IAS 34, no deferred tax assets have been recognized at the date of the interim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46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vMerge w:val="continue"/>
          </w:tcPr>
          <w:p>
            <w:pPr>
              <w:spacing w:after="0"/>
              <w:rPr>
                <w:sz w:val="12"/>
                <w:szCs w:val="12"/>
                <w:color w:val="auto"/>
              </w:rPr>
            </w:pPr>
          </w:p>
        </w:tc>
        <w:tc>
          <w:tcPr>
            <w:tcW w:w="110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2016</w:t>
            </w:r>
          </w:p>
        </w:tc>
        <w:tc>
          <w:tcPr>
            <w:tcW w:w="11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loss before income tax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(6,175)</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fact that AC Immune reported a loss in the first three months ended March 31, 2016 and 2015, respectively, no tax on income was payable in either of these two quarters.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persons) and the Executive Officers (four persons) compensation is: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2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060" w:type="dxa"/>
            <w:vAlign w:val="bottom"/>
            <w:gridSpan w:val="2"/>
            <w:vMerge w:val="continue"/>
          </w:tcPr>
          <w:p>
            <w:pPr>
              <w:spacing w:after="0"/>
              <w:rPr>
                <w:sz w:val="12"/>
                <w:szCs w:val="12"/>
                <w:color w:val="auto"/>
              </w:rPr>
            </w:pPr>
          </w:p>
        </w:tc>
        <w:tc>
          <w:tcPr>
            <w:tcW w:w="110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2016</w:t>
            </w:r>
          </w:p>
        </w:tc>
        <w:tc>
          <w:tcPr>
            <w:tcW w:w="2420" w:type="dxa"/>
            <w:vAlign w:val="bottom"/>
            <w:tcBorders>
              <w:top w:val="single" w:sz="8" w:color="auto"/>
            </w:tcBorders>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salaries, bonus payments, social security and expenses allowances.</w:t>
      </w:r>
    </w:p>
    <w:p>
      <w:pPr>
        <w:spacing w:after="0" w:line="37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40" w:type="dxa"/>
            <w:vAlign w:val="bottom"/>
            <w:gridSpan w:val="3"/>
          </w:tcPr>
          <w:p>
            <w:pPr>
              <w:ind w:left="560"/>
              <w:spacing w:after="0"/>
              <w:rPr>
                <w:sz w:val="20"/>
                <w:szCs w:val="20"/>
                <w:color w:val="auto"/>
              </w:rPr>
            </w:pPr>
            <w:r>
              <w:rPr>
                <w:rFonts w:ascii="Arial" w:cs="Arial" w:eastAsia="Arial" w:hAnsi="Arial"/>
                <w:sz w:val="14"/>
                <w:szCs w:val="14"/>
                <w:b w:val="1"/>
                <w:bCs w:val="1"/>
                <w:color w:val="auto"/>
                <w:w w:val="96"/>
              </w:rPr>
              <w:t>For the Three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20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Months Ended March 31,</w:t>
            </w:r>
          </w:p>
        </w:tc>
        <w:tc>
          <w:tcPr>
            <w:tcW w:w="0" w:type="dxa"/>
            <w:vAlign w:val="bottom"/>
          </w:tcPr>
          <w:p>
            <w:pPr>
              <w:spacing w:after="0"/>
              <w:rPr>
                <w:sz w:val="1"/>
                <w:szCs w:val="1"/>
                <w:color w:val="auto"/>
              </w:rPr>
            </w:pPr>
          </w:p>
        </w:tc>
      </w:tr>
      <w:tr>
        <w:trPr>
          <w:trHeight w:val="142"/>
        </w:trPr>
        <w:tc>
          <w:tcPr>
            <w:tcW w:w="6600" w:type="dxa"/>
            <w:vAlign w:val="bottom"/>
            <w:gridSpan w:val="4"/>
            <w:vMerge w:val="continue"/>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6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rPr>
              <w:t>67,860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Total financial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69,516</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76,791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5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Trade and other accounts payable</w:t>
            </w:r>
          </w:p>
        </w:tc>
        <w:tc>
          <w:tcPr>
            <w:tcW w:w="660" w:type="dxa"/>
            <w:vAlign w:val="bottom"/>
          </w:tcPr>
          <w:p>
            <w:pPr>
              <w:jc w:val="right"/>
              <w:spacing w:after="0"/>
              <w:rPr>
                <w:sz w:val="20"/>
                <w:szCs w:val="20"/>
                <w:color w:val="auto"/>
              </w:rPr>
            </w:pPr>
            <w:r>
              <w:rPr>
                <w:rFonts w:ascii="Arial" w:cs="Arial" w:eastAsia="Arial" w:hAnsi="Arial"/>
                <w:sz w:val="18"/>
                <w:szCs w:val="18"/>
                <w:color w:val="auto"/>
              </w:rPr>
              <w:t>994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contains assets and liabilities held at amortization cost.</w:t>
      </w:r>
    </w:p>
    <w:p>
      <w:pPr>
        <w:spacing w:after="0" w:line="37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its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 Immune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25, 2016, the Company entered into a subscription agreement, pursuant to which it issued 5,300,000 of its common shares, each with a nominal value of CHF 0.02 per share to Credit Suisse AG, Zurich, or CS AG, at a price share equal to the CHF 0.02 per share nominal value for an aggregate subscription amount of CHF 0.1 million. CS AG will hold these shares as nominee in anticipation of the consummation of this offering and CS AG has agreed not to exercise any voting rights with respect to these shares. Following the effectiveness of the registration statement for the IPO, CS AG will transfer these shares back to the Company for no consideration and, at the closing of the IPO, the Company will transfer these shares to the underwriters pursuant to the terms of the underwriting agreement. Pursuant to the subscription agreement, CS AG has an option to sell the shares back to the Company at a price of CHF 0.02 per share and the Company also has an option to acquire the shares at a price of CHF 0.02 per share if this offering is not consummated. The transactions contemplated in the subscription agreement were undertaken to increase the Company’s authorized share capital and facilitate the offering.</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of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59" w:right="2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59"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of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60" w:right="3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59" w:right="3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Phase 3 clinical studies for crenezumab in the first quarter of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2014 we recognized revenue associated with a research grant given to us by a European Institution in October of 2011 and which had a 3-year duration. We recognized the revenues on a straight line basis over the period of the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60" w:right="3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of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2016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6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0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3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43"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has been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October 23,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0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From January 1, 2013 through June 6, 2016, the registrant issued options to purchase 601,498 shares of its common stock to its employees and directors with an exercise price of CHF 0.14548 per share.</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0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From January 1, 2013 through June 6, 2016, a total of 1,430,250 options were exercised by the registrant’s employees and directors for aggregate consideration of CHF 208,073.</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02" w:lineRule="exact"/>
        <w:rPr>
          <w:rFonts w:ascii="Arial" w:cs="Arial" w:eastAsia="Arial" w:hAnsi="Arial"/>
          <w:sz w:val="16"/>
          <w:szCs w:val="16"/>
          <w:color w:val="auto"/>
        </w:rPr>
      </w:pPr>
    </w:p>
    <w:p>
      <w:pPr>
        <w:ind w:left="1080" w:hanging="177"/>
        <w:spacing w:after="0"/>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On April 15, 2016, the registrant issued 1,401,792 shares of preferred stock for an aggregate subscription amount of $13.5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60" w:firstLine="443"/>
        <w:spacing w:after="0" w:line="277" w:lineRule="auto"/>
        <w:tabs>
          <w:tab w:leader="none" w:pos="10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May 25, 2016, the registrant issued 5,300,000 shares of its common stock to Credit Suisse AG, Zurich for an aggregate subscription amount of CHF 106,000.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Lausanne, Switzerland on June 15,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tbl>
      <w:tblPr>
        <w:tblLayout w:type="fixed"/>
        <w:tblInd w:w="7320" w:type="dxa"/>
        <w:tblCellMar>
          <w:top w:w="0" w:type="dxa"/>
          <w:left w:w="0" w:type="dxa"/>
          <w:bottom w:w="0" w:type="dxa"/>
          <w:right w:w="0" w:type="dxa"/>
        </w:tblCellMar>
      </w:tblPr>
      <w:tr>
        <w:trPr>
          <w:trHeight w:val="209"/>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Andrea Pfeifer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June 15, 2016 in the capacities indicated:</w:t>
      </w:r>
    </w:p>
    <w:p>
      <w:pPr>
        <w:sectPr>
          <w:pgSz w:w="11900" w:h="16838" w:orient="portrait"/>
          <w:cols w:equalWidth="0" w:num="1">
            <w:col w:w="11420"/>
          </w:cols>
          <w:pgMar w:left="240" w:top="460" w:right="23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72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20" w:type="dxa"/>
            <w:vAlign w:val="bottom"/>
          </w:tcPr>
          <w:p>
            <w:pPr>
              <w:spacing w:after="0"/>
              <w:rPr>
                <w:sz w:val="24"/>
                <w:szCs w:val="24"/>
                <w:color w:val="auto"/>
              </w:rPr>
            </w:pPr>
          </w:p>
        </w:tc>
        <w:tc>
          <w:tcPr>
            <w:tcW w:w="4360" w:type="dxa"/>
            <w:vAlign w:val="bottom"/>
            <w:gridSpan w:val="4"/>
            <w:vMerge w:val="restart"/>
          </w:tcPr>
          <w:p>
            <w:pPr>
              <w:jc w:val="center"/>
              <w:ind w:right="72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7"/>
        </w:trPr>
        <w:tc>
          <w:tcPr>
            <w:tcW w:w="7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3"/>
              </w:rPr>
              <w:t>Andrea Pfeifer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360" w:type="dxa"/>
            <w:vAlign w:val="bottom"/>
            <w:gridSpan w:val="4"/>
            <w:vMerge w:val="restart"/>
          </w:tcPr>
          <w:p>
            <w:pPr>
              <w:jc w:val="center"/>
              <w:ind w:right="72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17"/>
        </w:trPr>
        <w:tc>
          <w:tcPr>
            <w:tcW w:w="7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86"/>
              </w:rPr>
              <w:t>George Pavey</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720" w:type="dxa"/>
            <w:vAlign w:val="bottom"/>
          </w:tcPr>
          <w:p>
            <w:pPr>
              <w:spacing w:after="0"/>
              <w:rPr>
                <w:sz w:val="24"/>
                <w:szCs w:val="24"/>
                <w:color w:val="auto"/>
              </w:rPr>
            </w:pPr>
          </w:p>
        </w:tc>
        <w:tc>
          <w:tcPr>
            <w:tcW w:w="4360" w:type="dxa"/>
            <w:vAlign w:val="bottom"/>
            <w:gridSpan w:val="4"/>
            <w:vMerge w:val="restart"/>
          </w:tcPr>
          <w:p>
            <w:pPr>
              <w:jc w:val="center"/>
              <w:ind w:right="720"/>
              <w:spacing w:after="0"/>
              <w:rPr>
                <w:sz w:val="20"/>
                <w:szCs w:val="20"/>
                <w:color w:val="auto"/>
              </w:rPr>
            </w:pPr>
            <w:r>
              <w:rPr>
                <w:rFonts w:ascii="Arial" w:cs="Arial" w:eastAsia="Arial" w:hAnsi="Arial"/>
                <w:sz w:val="18"/>
                <w:szCs w:val="18"/>
                <w:color w:val="auto"/>
                <w:w w:val="89"/>
              </w:rPr>
              <w:t>/s/ Jean-Fabien Monin</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Administrative Officer (principal operating</w:t>
            </w:r>
          </w:p>
        </w:tc>
        <w:tc>
          <w:tcPr>
            <w:tcW w:w="0" w:type="dxa"/>
            <w:vAlign w:val="bottom"/>
          </w:tcPr>
          <w:p>
            <w:pPr>
              <w:spacing w:after="0"/>
              <w:rPr>
                <w:sz w:val="1"/>
                <w:szCs w:val="1"/>
                <w:color w:val="auto"/>
              </w:rPr>
            </w:pPr>
          </w:p>
        </w:tc>
      </w:tr>
      <w:tr>
        <w:trPr>
          <w:trHeight w:val="203"/>
        </w:trPr>
        <w:tc>
          <w:tcPr>
            <w:tcW w:w="72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4"/>
            <w:vMerge w:val="continue"/>
          </w:tcPr>
          <w:p>
            <w:pPr>
              <w:spacing w:after="0"/>
              <w:rPr>
                <w:sz w:val="17"/>
                <w:szCs w:val="17"/>
                <w:color w:val="auto"/>
              </w:rPr>
            </w:pPr>
          </w:p>
        </w:tc>
        <w:tc>
          <w:tcPr>
            <w:tcW w:w="3920" w:type="dxa"/>
            <w:vAlign w:val="bottom"/>
            <w:gridSpan w:val="3"/>
          </w:tcPr>
          <w:p>
            <w:pPr>
              <w:jc w:val="center"/>
              <w:ind w:left="131"/>
              <w:spacing w:after="0" w:line="203" w:lineRule="exact"/>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0"/>
              </w:rPr>
              <w:t>Jean-Fabien Monin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55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1"/>
              </w:rPr>
              <w:t>Chairman and Director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0"/>
              </w:rPr>
              <w:t>Martin Velasco</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55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1"/>
              </w:rPr>
              <w:t>Detlev Riesner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55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1"/>
              </w:rPr>
              <w:t>Peter Bollman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436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ind w:left="1540"/>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2"/>
          </w:tcPr>
          <w:p>
            <w:pPr>
              <w:jc w:val="center"/>
              <w:ind w:right="1640"/>
              <w:spacing w:after="0"/>
              <w:rPr>
                <w:sz w:val="20"/>
                <w:szCs w:val="20"/>
                <w:color w:val="auto"/>
              </w:rPr>
            </w:pPr>
            <w:r>
              <w:rPr>
                <w:rFonts w:ascii="Arial" w:cs="Arial" w:eastAsia="Arial" w:hAnsi="Arial"/>
                <w:sz w:val="18"/>
                <w:szCs w:val="18"/>
                <w:color w:val="auto"/>
                <w:w w:val="86"/>
              </w:rPr>
              <w:t>George Pavey</w:t>
            </w:r>
          </w:p>
        </w:tc>
        <w:tc>
          <w:tcPr>
            <w:tcW w:w="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June 15,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color w:val="auto"/>
        </w:rPr>
        <w:t>June 15, 2016</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June 15,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15,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15,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June 15, 2016</w:t>
      </w:r>
    </w:p>
    <w:p>
      <w:pPr>
        <w:spacing w:after="0" w:line="1406" w:lineRule="exact"/>
        <w:rPr>
          <w:sz w:val="20"/>
          <w:szCs w:val="20"/>
          <w:color w:val="auto"/>
        </w:rPr>
      </w:pPr>
    </w:p>
    <w:p>
      <w:pPr>
        <w:sectPr>
          <w:pgSz w:w="11900" w:h="16838" w:orient="portrait"/>
          <w:cols w:equalWidth="0" w:num="2">
            <w:col w:w="9160" w:space="720"/>
            <w:col w:w="1540"/>
          </w:cols>
          <w:pgMar w:left="240" w:top="460" w:right="239" w:bottom="1440" w:gutter="0" w:footer="0" w:header="0"/>
          <w:type w:val="continuous"/>
        </w:sect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60" w:right="23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3"/>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5"/>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0600" w:type="dxa"/>
            <w:vAlign w:val="bottom"/>
          </w:tcPr>
          <w:p>
            <w:pPr>
              <w:ind w:left="520"/>
              <w:spacing w:after="0"/>
              <w:rPr>
                <w:sz w:val="20"/>
                <w:szCs w:val="20"/>
                <w:color w:val="auto"/>
              </w:rPr>
            </w:pPr>
            <w:r>
              <w:rPr>
                <w:rFonts w:ascii="Arial" w:cs="Arial" w:eastAsia="Arial" w:hAnsi="Arial"/>
                <w:sz w:val="18"/>
                <w:szCs w:val="18"/>
                <w:color w:val="auto"/>
              </w:rPr>
              <w:t>AC Immune SA 2013 Equity Incentive Plan*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Fidelity entities and AC Immune SA, dated October 16, 2015*</w:t>
            </w:r>
          </w:p>
        </w:tc>
      </w:tr>
      <w:tr>
        <w:trPr>
          <w:trHeight w:val="338"/>
        </w:trPr>
        <w:tc>
          <w:tcPr>
            <w:tcW w:w="40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Temasek entities and AC Immune SA, dated October 16, 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Filed in redacted form subject to a Request for Confidential Treatment.</w:t>
      </w:r>
    </w:p>
    <w:p>
      <w:pPr>
        <w:spacing w:after="0" w:line="23" w:lineRule="exact"/>
        <w:rPr>
          <w:sz w:val="20"/>
          <w:szCs w:val="20"/>
          <w:color w:val="auto"/>
        </w:rPr>
      </w:pPr>
    </w:p>
    <w:p>
      <w:pPr>
        <w:ind w:left="5580" w:right="4020" w:hanging="5572"/>
        <w:spacing w:after="0" w:line="433" w:lineRule="auto"/>
        <w:tabs>
          <w:tab w:leader="none" w:pos="4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on Form F-1 as filed on May 31, 2016 II-4</w:t>
      </w:r>
    </w:p>
    <w:p>
      <w:pPr>
        <w:sectPr>
          <w:pgSz w:w="11900" w:h="16838" w:orient="portrait"/>
          <w:cols w:equalWidth="0" w:num="1">
            <w:col w:w="11000"/>
          </w:cols>
          <w:pgMar w:left="240" w:top="459" w:right="65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 nominal value CHF 0.02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right="60" w:firstLine="464"/>
        <w:spacing w:after="0" w:line="291" w:lineRule="auto"/>
        <w:tabs>
          <w:tab w:leader="none" w:pos="636"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Introductory</w:t>
      </w:r>
      <w:r>
        <w:rPr>
          <w:rFonts w:ascii="Arial" w:cs="Arial" w:eastAsia="Arial" w:hAnsi="Arial"/>
          <w:sz w:val="16"/>
          <w:szCs w:val="16"/>
          <w:color w:val="auto"/>
        </w:rPr>
        <w:t>. AC Immune SA, a company established in Switzerland (the “</w:t>
      </w:r>
      <w:r>
        <w:rPr>
          <w:rFonts w:ascii="Arial" w:cs="Arial" w:eastAsia="Arial" w:hAnsi="Arial"/>
          <w:sz w:val="16"/>
          <w:szCs w:val="16"/>
          <w:b w:val="1"/>
          <w:bCs w:val="1"/>
          <w:color w:val="auto"/>
        </w:rPr>
        <w:t>Company</w:t>
      </w:r>
      <w:r>
        <w:rPr>
          <w:rFonts w:ascii="Arial" w:cs="Arial" w:eastAsia="Arial" w:hAnsi="Arial"/>
          <w:sz w:val="16"/>
          <w:szCs w:val="16"/>
          <w:color w:val="auto"/>
        </w:rPr>
        <w:t>”), agrees with the several Underwriters named in Schedule A</w:t>
      </w:r>
      <w:r>
        <w:rPr>
          <w:rFonts w:ascii="Arial" w:cs="Arial" w:eastAsia="Arial" w:hAnsi="Arial"/>
          <w:sz w:val="16"/>
          <w:szCs w:val="16"/>
          <w:i w:val="1"/>
          <w:iCs w:val="1"/>
          <w:color w:val="auto"/>
        </w:rPr>
        <w:t xml:space="preserve"> </w:t>
      </w:r>
      <w:r>
        <w:rPr>
          <w:rFonts w:ascii="Arial" w:cs="Arial" w:eastAsia="Arial" w:hAnsi="Arial"/>
          <w:sz w:val="16"/>
          <w:szCs w:val="16"/>
          <w:color w:val="auto"/>
        </w:rPr>
        <w:t>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Credit Suisse Securities (USA) LLC (“</w:t>
      </w:r>
      <w:r>
        <w:rPr>
          <w:rFonts w:ascii="Arial" w:cs="Arial" w:eastAsia="Arial" w:hAnsi="Arial"/>
          <w:sz w:val="16"/>
          <w:szCs w:val="16"/>
          <w:b w:val="1"/>
          <w:bCs w:val="1"/>
          <w:color w:val="auto"/>
        </w:rPr>
        <w:t>Credit Suisse</w:t>
      </w:r>
      <w:r>
        <w:rPr>
          <w:rFonts w:ascii="Arial" w:cs="Arial" w:eastAsia="Arial" w:hAnsi="Arial"/>
          <w:sz w:val="16"/>
          <w:szCs w:val="16"/>
          <w:color w:val="auto"/>
        </w:rPr>
        <w:t>”), Jefferies LLC (“</w:t>
      </w:r>
      <w:r>
        <w:rPr>
          <w:rFonts w:ascii="Arial" w:cs="Arial" w:eastAsia="Arial" w:hAnsi="Arial"/>
          <w:sz w:val="16"/>
          <w:szCs w:val="16"/>
          <w:b w:val="1"/>
          <w:bCs w:val="1"/>
          <w:color w:val="auto"/>
        </w:rPr>
        <w:t>Jefferies</w:t>
      </w:r>
      <w:r>
        <w:rPr>
          <w:rFonts w:ascii="Arial" w:cs="Arial" w:eastAsia="Arial" w:hAnsi="Arial"/>
          <w:sz w:val="16"/>
          <w:szCs w:val="16"/>
          <w:color w:val="auto"/>
        </w:rPr>
        <w:t>”) and Leerink Partners LLC (“</w:t>
      </w:r>
      <w:r>
        <w:rPr>
          <w:rFonts w:ascii="Arial" w:cs="Arial" w:eastAsia="Arial" w:hAnsi="Arial"/>
          <w:sz w:val="16"/>
          <w:szCs w:val="16"/>
          <w:b w:val="1"/>
          <w:bCs w:val="1"/>
          <w:color w:val="auto"/>
        </w:rPr>
        <w:t>Leerink</w:t>
      </w:r>
      <w:r>
        <w:rPr>
          <w:rFonts w:ascii="Arial" w:cs="Arial" w:eastAsia="Arial" w:hAnsi="Arial"/>
          <w:sz w:val="16"/>
          <w:szCs w:val="16"/>
          <w:color w:val="auto"/>
        </w:rPr>
        <w:t>”) are acting as representatives, to issue and sell to the several Underwriters [●] shares (the “</w:t>
      </w:r>
      <w:r>
        <w:rPr>
          <w:rFonts w:ascii="Arial" w:cs="Arial" w:eastAsia="Arial" w:hAnsi="Arial"/>
          <w:sz w:val="16"/>
          <w:szCs w:val="16"/>
          <w:b w:val="1"/>
          <w:bCs w:val="1"/>
          <w:color w:val="auto"/>
        </w:rPr>
        <w:t>Company Securities</w:t>
      </w:r>
      <w:r>
        <w:rPr>
          <w:rFonts w:ascii="Arial" w:cs="Arial" w:eastAsia="Arial" w:hAnsi="Arial"/>
          <w:sz w:val="16"/>
          <w:szCs w:val="16"/>
          <w:color w:val="auto"/>
        </w:rPr>
        <w:t>”) of its Common Shares, nominal value CHF 0.02 per share (“</w:t>
      </w:r>
      <w:r>
        <w:rPr>
          <w:rFonts w:ascii="Arial" w:cs="Arial" w:eastAsia="Arial" w:hAnsi="Arial"/>
          <w:sz w:val="16"/>
          <w:szCs w:val="16"/>
          <w:b w:val="1"/>
          <w:bCs w:val="1"/>
          <w:color w:val="auto"/>
        </w:rPr>
        <w:t>Securities</w:t>
      </w:r>
      <w:r>
        <w:rPr>
          <w:rFonts w:ascii="Arial" w:cs="Arial" w:eastAsia="Arial" w:hAnsi="Arial"/>
          <w:sz w:val="16"/>
          <w:szCs w:val="16"/>
          <w:color w:val="auto"/>
        </w:rPr>
        <w:t>”) and the shareholders listed on Schedule B hereto (the “</w:t>
      </w:r>
      <w:r>
        <w:rPr>
          <w:rFonts w:ascii="Arial" w:cs="Arial" w:eastAsia="Arial" w:hAnsi="Arial"/>
          <w:sz w:val="16"/>
          <w:szCs w:val="16"/>
          <w:b w:val="1"/>
          <w:bCs w:val="1"/>
          <w:color w:val="auto"/>
        </w:rPr>
        <w:t>Selling Shareholders</w:t>
      </w:r>
      <w:r>
        <w:rPr>
          <w:rFonts w:ascii="Arial" w:cs="Arial" w:eastAsia="Arial" w:hAnsi="Arial"/>
          <w:sz w:val="16"/>
          <w:szCs w:val="16"/>
          <w:color w:val="auto"/>
        </w:rPr>
        <w:t>”) agree severally with the Underwriters to sell to the several Underwriters an aggregate of [●] outstanding shares of the Securities (together with the Company Securities, the “</w:t>
      </w:r>
      <w:r>
        <w:rPr>
          <w:rFonts w:ascii="Arial" w:cs="Arial" w:eastAsia="Arial" w:hAnsi="Arial"/>
          <w:sz w:val="16"/>
          <w:szCs w:val="16"/>
          <w:b w:val="1"/>
          <w:bCs w:val="1"/>
          <w:color w:val="auto"/>
        </w:rPr>
        <w:t>Firm</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The Selling Shareholders also propose to issue and sell to the Underwriters, at the option of the Underwriters, an aggregate of not more than [●]</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shares (the “</w:t>
      </w:r>
      <w:r>
        <w:rPr>
          <w:rFonts w:ascii="Arial" w:cs="Arial" w:eastAsia="Arial" w:hAnsi="Arial"/>
          <w:sz w:val="16"/>
          <w:szCs w:val="16"/>
          <w:b w:val="1"/>
          <w:bCs w:val="1"/>
          <w:color w:val="auto"/>
        </w:rPr>
        <w:t>Optional Securities</w:t>
      </w:r>
      <w:r>
        <w:rPr>
          <w:rFonts w:ascii="Arial" w:cs="Arial" w:eastAsia="Arial" w:hAnsi="Arial"/>
          <w:sz w:val="16"/>
          <w:szCs w:val="16"/>
          <w:color w:val="auto"/>
        </w:rPr>
        <w:t>”) of its Securities as set forth below and in the amount, if any, set forth opposite each such Selling Shareholder’s name in Schedule B hereto. The Company Securities, Firm Securities and the Optional Securities are herein collectively called the “</w:t>
      </w:r>
      <w:r>
        <w:rPr>
          <w:rFonts w:ascii="Arial" w:cs="Arial" w:eastAsia="Arial" w:hAnsi="Arial"/>
          <w:sz w:val="16"/>
          <w:szCs w:val="16"/>
          <w:b w:val="1"/>
          <w:bCs w:val="1"/>
          <w:color w:val="auto"/>
        </w:rPr>
        <w:t>Offered Securities</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640" w:hanging="176"/>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of the Company and the Seller Shareholders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several Underwriters that:</w:t>
      </w:r>
    </w:p>
    <w:p>
      <w:pPr>
        <w:spacing w:after="0" w:line="117" w:lineRule="exact"/>
        <w:rPr>
          <w:rFonts w:ascii="Arial" w:cs="Arial" w:eastAsia="Arial" w:hAnsi="Arial"/>
          <w:sz w:val="18"/>
          <w:szCs w:val="18"/>
          <w:color w:val="auto"/>
        </w:rPr>
      </w:pPr>
    </w:p>
    <w:p>
      <w:pPr>
        <w:ind w:left="920" w:right="40" w:firstLine="421"/>
        <w:spacing w:after="0" w:line="257" w:lineRule="auto"/>
        <w:tabs>
          <w:tab w:leader="none" w:pos="1555" w:val="left"/>
        </w:tabs>
        <w:numPr>
          <w:ilvl w:val="2"/>
          <w:numId w:val="161"/>
        </w:numPr>
        <w:rPr>
          <w:rFonts w:ascii="Arial" w:cs="Arial" w:eastAsia="Arial" w:hAnsi="Arial"/>
          <w:sz w:val="18"/>
          <w:szCs w:val="18"/>
          <w:color w:val="auto"/>
        </w:rPr>
      </w:pPr>
      <w:r>
        <w:rPr>
          <w:rFonts w:ascii="Arial" w:cs="Arial" w:eastAsia="Arial" w:hAnsi="Arial"/>
          <w:sz w:val="18"/>
          <w:szCs w:val="18"/>
          <w:i w:val="1"/>
          <w:iCs w:val="1"/>
          <w:color w:val="auto"/>
        </w:rPr>
        <w:t>Filing and Effectiveness of Registration Statement; Certain Defined Terms</w:t>
      </w:r>
      <w:r>
        <w:rPr>
          <w:rFonts w:ascii="Arial" w:cs="Arial" w:eastAsia="Arial" w:hAnsi="Arial"/>
          <w:sz w:val="18"/>
          <w:szCs w:val="18"/>
          <w:color w:val="auto"/>
        </w:rPr>
        <w:t>. The Company has filed with the Commission a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on Form F-1 (No. 333-[●]) covering the registration of the Offered Securities under the Act, including a related preliminary prospectus or prospectuses. At any particular time, this initial registration statement, in the form then on file with the Commission, including all information contained in the registration statement (if any) pursuant to Rule 462(b) and then deemed to be a part of the initial registration statement, and all 430A Information and all 430C Information, that in any case has not</w:t>
      </w:r>
    </w:p>
    <w:p>
      <w:pPr>
        <w:sectPr>
          <w:pgSz w:w="11900" w:h="16838" w:orient="portrait"/>
          <w:cols w:equalWidth="0" w:num="1">
            <w:col w:w="11420"/>
          </w:cols>
          <w:pgMar w:left="240" w:top="121" w:right="239" w:bottom="1440" w:gutter="0" w:footer="0" w:header="0"/>
        </w:sectPr>
      </w:pPr>
    </w:p>
    <w:bookmarkStart w:id="247" w:name="page248"/>
    <w:bookmarkEnd w:id="247"/>
    <w:p>
      <w:pPr>
        <w:ind w:left="460" w:right="2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been superseded or modified, shall be referred to as the “</w:t>
      </w:r>
      <w:r>
        <w:rPr>
          <w:rFonts w:ascii="Arial" w:cs="Arial" w:eastAsia="Arial" w:hAnsi="Arial"/>
          <w:sz w:val="16"/>
          <w:szCs w:val="16"/>
          <w:b w:val="1"/>
          <w:bCs w:val="1"/>
          <w:color w:val="auto"/>
        </w:rPr>
        <w:t>Initial Registration Statement</w:t>
      </w:r>
      <w:r>
        <w:rPr>
          <w:rFonts w:ascii="Arial" w:cs="Arial" w:eastAsia="Arial" w:hAnsi="Arial"/>
          <w:sz w:val="16"/>
          <w:szCs w:val="16"/>
          <w:color w:val="auto"/>
        </w:rPr>
        <w:t>”. The Company may also have filed, or may file with the Commission, a Rule 462(b) registration statement covering the registration of Offered Securities. At any particular time, this</w:t>
      </w:r>
    </w:p>
    <w:p>
      <w:pPr>
        <w:spacing w:after="0" w:line="1"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Rule 462(b) registration statement, in the form then on file with the Commission, including the contents of the Initial Registration Statement incorporated by reference therein and including all 430A Information and all 430C Information, that in any case has not then been superseded or modified, shall be referred to as the “</w:t>
      </w:r>
      <w:r>
        <w:rPr>
          <w:rFonts w:ascii="Arial" w:cs="Arial" w:eastAsia="Arial" w:hAnsi="Arial"/>
          <w:sz w:val="18"/>
          <w:szCs w:val="18"/>
          <w:b w:val="1"/>
          <w:bCs w:val="1"/>
          <w:color w:val="auto"/>
        </w:rPr>
        <w:t>Additional Registration Statement</w:t>
      </w:r>
      <w:r>
        <w:rPr>
          <w:rFonts w:ascii="Arial" w:cs="Arial" w:eastAsia="Arial" w:hAnsi="Arial"/>
          <w:sz w:val="18"/>
          <w:szCs w:val="18"/>
          <w:color w:val="auto"/>
        </w:rPr>
        <w:t>”.</w:t>
      </w:r>
    </w:p>
    <w:p>
      <w:pPr>
        <w:spacing w:after="0" w:line="82"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As of the time of execution and delivery of this Agreement, the Initial Registration Statement has been declared effective under the Act and is not proposed to be amended. Any Additional Registration Statement has or will become effective upon filing with the Commission pursuant to Rule 462(b) and is not proposed to be amended. The Offered Securities all have been or will be duly registered under the Act pursuant to the Initial Registration Statement and, if applicable, the Additional Registration Statement.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w:t>
      </w:r>
    </w:p>
    <w:p>
      <w:pPr>
        <w:spacing w:after="0" w:line="113" w:lineRule="exact"/>
        <w:rPr>
          <w:sz w:val="20"/>
          <w:szCs w:val="20"/>
          <w:color w:val="auto"/>
        </w:rPr>
      </w:pPr>
    </w:p>
    <w:p>
      <w:pPr>
        <w:ind w:right="28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430A Information</w:t>
      </w:r>
      <w:r>
        <w:rPr>
          <w:rFonts w:ascii="Arial" w:cs="Arial" w:eastAsia="Arial" w:hAnsi="Arial"/>
          <w:sz w:val="18"/>
          <w:szCs w:val="18"/>
          <w:color w:val="auto"/>
        </w:rPr>
        <w:t>”, with respect to any registration statement, means information included in a prospectus and retroactively deemed to be a part of such registration statement pursuant to Rule 430A(b).</w:t>
      </w:r>
    </w:p>
    <w:p>
      <w:pPr>
        <w:spacing w:after="0" w:line="54" w:lineRule="exact"/>
        <w:rPr>
          <w:sz w:val="20"/>
          <w:szCs w:val="20"/>
          <w:color w:val="auto"/>
        </w:rPr>
      </w:pPr>
    </w:p>
    <w:p>
      <w:pPr>
        <w:ind w:right="28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430C Information</w:t>
      </w:r>
      <w:r>
        <w:rPr>
          <w:rFonts w:ascii="Arial" w:cs="Arial" w:eastAsia="Arial" w:hAnsi="Arial"/>
          <w:sz w:val="18"/>
          <w:szCs w:val="18"/>
          <w:color w:val="auto"/>
        </w:rPr>
        <w:t>”, with respect to any registration statement, means information included in a prospectus then deemed to be a part of such registration statement pursuant to Rule 430C.</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[●]:00 [a/p]m (New York time) on the date of this Agreement.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defined in Section 3 hereof.</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right="16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Time</w:t>
      </w:r>
      <w:r>
        <w:rPr>
          <w:rFonts w:ascii="Arial" w:cs="Arial" w:eastAsia="Arial" w:hAnsi="Arial"/>
          <w:sz w:val="16"/>
          <w:szCs w:val="16"/>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Arial" w:cs="Arial" w:eastAsia="Arial" w:hAnsi="Arial"/>
          <w:sz w:val="16"/>
          <w:szCs w:val="16"/>
          <w:b w:val="1"/>
          <w:bCs w:val="1"/>
          <w:color w:val="auto"/>
        </w:rPr>
        <w:t>Effective Time</w:t>
      </w:r>
      <w:r>
        <w:rPr>
          <w:rFonts w:ascii="Arial" w:cs="Arial" w:eastAsia="Arial" w:hAnsi="Arial"/>
          <w:sz w:val="16"/>
          <w:szCs w:val="16"/>
          <w:color w:val="auto"/>
        </w:rPr>
        <w:t>” with respect to such Additional Registration Statement means the date and time as of which such Registration Statement is filed and becomes effective pursuant to Rule 462(b).</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ind w:right="16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Prospectus</w:t>
      </w:r>
      <w:r>
        <w:rPr>
          <w:rFonts w:ascii="Arial" w:cs="Arial" w:eastAsia="Arial" w:hAnsi="Arial"/>
          <w:sz w:val="18"/>
          <w:szCs w:val="18"/>
          <w:color w:val="auto"/>
        </w:rPr>
        <w:t>” means the Statutory Prospectus that discloses the public offering price, other 430A Information and other final terms of the Offered Securities and otherwise satisfies Section 10(a) of the Act.</w:t>
      </w:r>
    </w:p>
    <w:p>
      <w:pPr>
        <w:spacing w:after="0" w:line="54" w:lineRule="exact"/>
        <w:rPr>
          <w:sz w:val="20"/>
          <w:szCs w:val="20"/>
          <w:color w:val="auto"/>
        </w:rPr>
      </w:pPr>
    </w:p>
    <w:p>
      <w:pPr>
        <w:ind w:right="84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Issuer Free Writing Prospectus</w:t>
      </w:r>
      <w:r>
        <w:rPr>
          <w:rFonts w:ascii="Arial" w:cs="Arial" w:eastAsia="Arial" w:hAnsi="Arial"/>
          <w:sz w:val="18"/>
          <w:szCs w:val="18"/>
          <w:color w:val="auto"/>
        </w:rPr>
        <w:t>” means any Issuer Free Writing Prospectus that is intended for general distribution to prospective investors, as evidenced by its being so specified in Schedule C to this Agreement.</w:t>
      </w:r>
    </w:p>
    <w:p>
      <w:pPr>
        <w:spacing w:after="0" w:line="54" w:lineRule="exact"/>
        <w:rPr>
          <w:sz w:val="20"/>
          <w:szCs w:val="20"/>
          <w:color w:val="auto"/>
        </w:rPr>
      </w:pPr>
    </w:p>
    <w:p>
      <w:pPr>
        <w:ind w:right="200" w:firstLine="43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0" w:right="259" w:bottom="1440" w:gutter="0" w:footer="0" w:header="0"/>
        </w:sectPr>
      </w:pPr>
    </w:p>
    <w:bookmarkStart w:id="248" w:name="page249"/>
    <w:bookmarkEnd w:id="248"/>
    <w:p>
      <w:pPr>
        <w:ind w:right="660" w:firstLine="438"/>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Limited Use Issuer Free Writing Prospectus</w:t>
      </w:r>
      <w:r>
        <w:rPr>
          <w:rFonts w:ascii="Arial" w:cs="Arial" w:eastAsia="Arial" w:hAnsi="Arial"/>
          <w:sz w:val="18"/>
          <w:szCs w:val="18"/>
          <w:color w:val="auto"/>
        </w:rPr>
        <w:t>” means any Issuer Free Writing Prospectus that is not a General Use Issuer Free Writing Prospectus.</w:t>
      </w:r>
    </w:p>
    <w:p>
      <w:pPr>
        <w:spacing w:after="0" w:line="54" w:lineRule="exact"/>
        <w:rPr>
          <w:sz w:val="20"/>
          <w:szCs w:val="20"/>
          <w:color w:val="auto"/>
        </w:rPr>
      </w:pPr>
    </w:p>
    <w:p>
      <w:pPr>
        <w:ind w:firstLine="438"/>
        <w:spacing w:after="0" w:line="277" w:lineRule="auto"/>
        <w:rPr>
          <w:sz w:val="20"/>
          <w:szCs w:val="20"/>
          <w:color w:val="auto"/>
        </w:rPr>
      </w:pPr>
      <w:r>
        <w:rPr>
          <w:rFonts w:ascii="Arial" w:cs="Arial" w:eastAsia="Arial" w:hAnsi="Arial"/>
          <w:sz w:val="17"/>
          <w:szCs w:val="17"/>
          <w:color w:val="auto"/>
        </w:rPr>
        <w:t>The Initial Registration Statement and the Additional Registration Statement, if any, are referred to collectively as the “</w:t>
      </w:r>
      <w:r>
        <w:rPr>
          <w:rFonts w:ascii="Arial" w:cs="Arial" w:eastAsia="Arial" w:hAnsi="Arial"/>
          <w:sz w:val="17"/>
          <w:szCs w:val="17"/>
          <w:b w:val="1"/>
          <w:bCs w:val="1"/>
          <w:color w:val="auto"/>
        </w:rPr>
        <w:t>Registration Statements</w:t>
      </w:r>
      <w:r>
        <w:rPr>
          <w:rFonts w:ascii="Arial" w:cs="Arial" w:eastAsia="Arial" w:hAnsi="Arial"/>
          <w:sz w:val="17"/>
          <w:szCs w:val="17"/>
          <w:color w:val="auto"/>
        </w:rPr>
        <w:t>” and individually as a “</w:t>
      </w:r>
      <w:r>
        <w:rPr>
          <w:rFonts w:ascii="Arial" w:cs="Arial" w:eastAsia="Arial" w:hAnsi="Arial"/>
          <w:sz w:val="17"/>
          <w:szCs w:val="17"/>
          <w:b w:val="1"/>
          <w:bCs w:val="1"/>
          <w:color w:val="auto"/>
        </w:rPr>
        <w:t>Registration Statement</w:t>
      </w:r>
      <w:r>
        <w:rPr>
          <w:rFonts w:ascii="Arial" w:cs="Arial" w:eastAsia="Arial" w:hAnsi="Arial"/>
          <w:sz w:val="17"/>
          <w:szCs w:val="17"/>
          <w:color w:val="auto"/>
        </w:rPr>
        <w:t>”. A “</w:t>
      </w:r>
      <w:r>
        <w:rPr>
          <w:rFonts w:ascii="Arial" w:cs="Arial" w:eastAsia="Arial" w:hAnsi="Arial"/>
          <w:sz w:val="17"/>
          <w:szCs w:val="17"/>
          <w:b w:val="1"/>
          <w:bCs w:val="1"/>
          <w:color w:val="auto"/>
        </w:rPr>
        <w:t>Registration Statement</w:t>
      </w:r>
      <w:r>
        <w:rPr>
          <w:rFonts w:ascii="Arial" w:cs="Arial" w:eastAsia="Arial" w:hAnsi="Arial"/>
          <w:sz w:val="17"/>
          <w:szCs w:val="17"/>
          <w:color w:val="auto"/>
        </w:rPr>
        <w:t>” with reference to a particular time means the Initial Registration Statement and any Additional Registration Statement as of such time. A “</w:t>
      </w:r>
      <w:r>
        <w:rPr>
          <w:rFonts w:ascii="Arial" w:cs="Arial" w:eastAsia="Arial" w:hAnsi="Arial"/>
          <w:sz w:val="17"/>
          <w:szCs w:val="17"/>
          <w:b w:val="1"/>
          <w:bCs w:val="1"/>
          <w:color w:val="auto"/>
        </w:rPr>
        <w:t>Registration Statement</w:t>
      </w:r>
      <w:r>
        <w:rPr>
          <w:rFonts w:ascii="Arial" w:cs="Arial" w:eastAsia="Arial" w:hAnsi="Arial"/>
          <w:sz w:val="17"/>
          <w:szCs w:val="17"/>
          <w:color w:val="auto"/>
        </w:rPr>
        <w:t>” without reference to a time means such Registration Statement as of its Effective Time. For purposes of the foregoing definitions, 430A Information with respect to a Registration Statement shall be considered to be included in such Registration Statement as of the time specified in Rule 430A.</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Credit Suisse, Jefferies and Leerink.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the rules and regulations of the Commission.</w:t>
      </w:r>
    </w:p>
    <w:p>
      <w:pPr>
        <w:spacing w:after="0" w:line="117" w:lineRule="exact"/>
        <w:rPr>
          <w:sz w:val="20"/>
          <w:szCs w:val="20"/>
          <w:color w:val="auto"/>
        </w:rPr>
      </w:pPr>
    </w:p>
    <w:p>
      <w:pPr>
        <w:ind w:right="280" w:firstLine="43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Laws</w:t>
      </w:r>
      <w:r>
        <w:rPr>
          <w:rFonts w:ascii="Arial" w:cs="Arial" w:eastAsia="Arial" w:hAnsi="Arial"/>
          <w:sz w:val="16"/>
          <w:szCs w:val="16"/>
          <w:color w:val="auto"/>
        </w:rPr>
        <w:t>” means, collectively, the Sarbanes-Oxley Act of 2002 (“</w:t>
      </w:r>
      <w:r>
        <w:rPr>
          <w:rFonts w:ascii="Arial" w:cs="Arial" w:eastAsia="Arial" w:hAnsi="Arial"/>
          <w:sz w:val="16"/>
          <w:szCs w:val="16"/>
          <w:b w:val="1"/>
          <w:bCs w:val="1"/>
          <w:color w:val="auto"/>
        </w:rPr>
        <w:t>Sarbanes-Oxley</w:t>
      </w:r>
      <w:r>
        <w:rPr>
          <w:rFonts w:ascii="Arial" w:cs="Arial" w:eastAsia="Arial" w:hAnsi="Arial"/>
          <w:sz w:val="16"/>
          <w:szCs w:val="16"/>
          <w:color w:val="auto"/>
        </w:rPr>
        <w:t>”), the Act, the Exchange Act, the Rules and Regulations, the auditing principles, rules, standards and practices applicable to auditors of “issuers” (as defined in Sarbanes-Oxley) promulgated or approved by the Public Company Accounting Oversight Board and the rules of the NASDAQ Global [Select] Market (“</w:t>
      </w:r>
      <w:r>
        <w:rPr>
          <w:rFonts w:ascii="Arial" w:cs="Arial" w:eastAsia="Arial" w:hAnsi="Arial"/>
          <w:sz w:val="16"/>
          <w:szCs w:val="16"/>
          <w:b w:val="1"/>
          <w:bCs w:val="1"/>
          <w:color w:val="auto"/>
        </w:rPr>
        <w:t>Exchange Rules</w:t>
      </w:r>
      <w:r>
        <w:rPr>
          <w:rFonts w:ascii="Arial" w:cs="Arial" w:eastAsia="Arial" w:hAnsi="Arial"/>
          <w:sz w:val="16"/>
          <w:szCs w:val="16"/>
          <w:color w:val="auto"/>
        </w:rPr>
        <w:t>”).</w:t>
      </w:r>
    </w:p>
    <w:p>
      <w:pPr>
        <w:spacing w:after="0" w:line="34" w:lineRule="exact"/>
        <w:rPr>
          <w:sz w:val="20"/>
          <w:szCs w:val="20"/>
          <w:color w:val="auto"/>
        </w:rPr>
      </w:pPr>
    </w:p>
    <w:p>
      <w:pPr>
        <w:ind w:right="40" w:firstLine="43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Prospectus</w:t>
      </w:r>
      <w:r>
        <w:rPr>
          <w:rFonts w:ascii="Arial" w:cs="Arial" w:eastAsia="Arial" w:hAnsi="Arial"/>
          <w:sz w:val="18"/>
          <w:szCs w:val="18"/>
          <w:color w:val="auto"/>
        </w:rPr>
        <w:t>” with reference to a particular time means the prospectus included in a Registration Statement immediately prior to that time, including any 430A Information or 430C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72" w:lineRule="exact"/>
        <w:rPr>
          <w:sz w:val="20"/>
          <w:szCs w:val="20"/>
          <w:color w:val="auto"/>
        </w:rPr>
      </w:pPr>
    </w:p>
    <w:p>
      <w:pPr>
        <w:ind w:right="2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Act.</w:t>
      </w:r>
    </w:p>
    <w:p>
      <w:pPr>
        <w:spacing w:after="0" w:line="54" w:lineRule="exact"/>
        <w:rPr>
          <w:sz w:val="20"/>
          <w:szCs w:val="20"/>
          <w:color w:val="auto"/>
        </w:rPr>
      </w:pPr>
    </w:p>
    <w:p>
      <w:pPr>
        <w:ind w:right="44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 Testing-the-Waters Communication</w:t>
      </w:r>
      <w:r>
        <w:rPr>
          <w:rFonts w:ascii="Arial" w:cs="Arial" w:eastAsia="Arial" w:hAnsi="Arial"/>
          <w:sz w:val="18"/>
          <w:szCs w:val="18"/>
          <w:color w:val="auto"/>
        </w:rPr>
        <w:t>” means any Testing-the-Waters Communication that is a written communication within the meaning of Rule 405 under the Act.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specified, a reference to a “rule” is to the indicated rule under the Act.</w:t>
      </w:r>
    </w:p>
    <w:p>
      <w:pPr>
        <w:spacing w:after="0" w:line="117" w:lineRule="exact"/>
        <w:rPr>
          <w:sz w:val="20"/>
          <w:szCs w:val="20"/>
          <w:color w:val="auto"/>
        </w:rPr>
      </w:pPr>
    </w:p>
    <w:p>
      <w:pPr>
        <w:ind w:left="460" w:right="20" w:firstLine="421"/>
        <w:spacing w:after="0" w:line="269" w:lineRule="auto"/>
        <w:tabs>
          <w:tab w:leader="none" w:pos="1145"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t>Compliance with Act Requirements</w:t>
      </w:r>
      <w:r>
        <w:rPr>
          <w:rFonts w:ascii="Arial" w:cs="Arial" w:eastAsia="Arial" w:hAnsi="Arial"/>
          <w:sz w:val="17"/>
          <w:szCs w:val="17"/>
          <w:color w:val="auto"/>
        </w:rPr>
        <w:t>. (i) (A) At their respective Effective Times, (B) on the date of this Agreement and (C)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each of the Initial Registration Statement and the Additional Registration Statement (if any)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(ii) on its date, at the time of filing of the Final Prospectus pursuant to Rule 424(b) or (if no such filing is required) at the Effective Time of the Additional Registration Statement in which the Final Prospectus is included, and on each Closing Date, the Final Prospectus will conform in all material respects to the requirements of the Act and the Rules and Regulations and will not include any untrue statement of a material fact or omit to state any material fact necessary in order to make the statements, in the light of the circumstances under which they were made, not misleading. Notwithstanding the foregoing, the preceding clauses (i) and (ii) shall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10(c) hereof.</w:t>
      </w:r>
    </w:p>
    <w:p>
      <w:pPr>
        <w:spacing w:after="0" w:line="74" w:lineRule="exact"/>
        <w:rPr>
          <w:rFonts w:ascii="Arial" w:cs="Arial" w:eastAsia="Arial" w:hAnsi="Arial"/>
          <w:sz w:val="17"/>
          <w:szCs w:val="17"/>
          <w:color w:val="auto"/>
        </w:rPr>
      </w:pPr>
    </w:p>
    <w:p>
      <w:pPr>
        <w:ind w:left="460" w:firstLine="421"/>
        <w:spacing w:after="0" w:line="277" w:lineRule="auto"/>
        <w:tabs>
          <w:tab w:leader="none" w:pos="1195"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Ineligible Issuer Status</w:t>
      </w:r>
      <w:r>
        <w:rPr>
          <w:rFonts w:ascii="Arial" w:cs="Arial" w:eastAsia="Arial" w:hAnsi="Arial"/>
          <w:sz w:val="18"/>
          <w:szCs w:val="18"/>
          <w:color w:val="auto"/>
        </w:rPr>
        <w:t>. (i) At the time of the initial filing of the Initial Registration Statement and (ii) at the date of this Agreement,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was not and is not an</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0" w:right="239" w:bottom="1440" w:gutter="0" w:footer="0" w:header="0"/>
        </w:sectPr>
      </w:pPr>
    </w:p>
    <w:bookmarkStart w:id="249" w:name="page250"/>
    <w:bookmarkEnd w:id="249"/>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“ineligible issuer,” as defined in Rule 405, including as a result of (x) the Company in the preceding three years having been convicted of a felony or misdemeanor or having been made the subject of a judicial or administrative decree or order as described in Rule 405, having been the subject of a bankruptcy petition or insolvency or similar proceeding or having had a registration statement be the subject of a proceeding under Section 8 of the Act or (y) the Company having been the subject of a proceeding under Section 8A of the Act in connection with the offering of the Offered Securities, all as described in Rule 405.</w:t>
      </w:r>
    </w:p>
    <w:p>
      <w:pPr>
        <w:spacing w:after="0" w:line="80" w:lineRule="exact"/>
        <w:rPr>
          <w:sz w:val="20"/>
          <w:szCs w:val="20"/>
          <w:color w:val="auto"/>
        </w:rPr>
      </w:pPr>
    </w:p>
    <w:p>
      <w:pPr>
        <w:ind w:right="80" w:firstLine="421"/>
        <w:spacing w:after="0" w:line="269" w:lineRule="auto"/>
        <w:tabs>
          <w:tab w:leader="none" w:pos="725"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General Disclosure Package</w:t>
      </w:r>
      <w:r>
        <w:rPr>
          <w:rFonts w:ascii="Arial" w:cs="Arial" w:eastAsia="Arial" w:hAnsi="Arial"/>
          <w:sz w:val="17"/>
          <w:szCs w:val="17"/>
          <w:color w:val="auto"/>
        </w:rPr>
        <w:t>. As of the Applicable Time, none of (i) the General Use Issuer Free Writing Prospectus(es) issued at or</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Applicable Time, the preliminary prospectus, dated [●], 2016 (which is the most recent Statutory Prospectus distributed to investors generally) and the other information, if any, stated in Schedule C to this Agreement to be included in the General Disclosure Package, all considered together (collectively, the “</w:t>
      </w:r>
      <w:r>
        <w:rPr>
          <w:rFonts w:ascii="Arial" w:cs="Arial" w:eastAsia="Arial" w:hAnsi="Arial"/>
          <w:sz w:val="17"/>
          <w:szCs w:val="17"/>
          <w:b w:val="1"/>
          <w:bCs w:val="1"/>
          <w:color w:val="auto"/>
        </w:rPr>
        <w:t>General Disclosure Package</w:t>
      </w:r>
      <w:r>
        <w:rPr>
          <w:rFonts w:ascii="Arial" w:cs="Arial" w:eastAsia="Arial" w:hAnsi="Arial"/>
          <w:sz w:val="17"/>
          <w:szCs w:val="17"/>
          <w:color w:val="auto"/>
        </w:rPr>
        <w:t>”), (ii) any individual Limited Use Issuer Free Writing Prospectus, when considered together with the General Disclosure Package or (iii) any individual Written Testing-the-Waters Communication that has been approved by the Company,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made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10(c) hereof.</w:t>
      </w:r>
    </w:p>
    <w:p>
      <w:pPr>
        <w:spacing w:after="0" w:line="74" w:lineRule="exact"/>
        <w:rPr>
          <w:rFonts w:ascii="Arial" w:cs="Arial" w:eastAsia="Arial" w:hAnsi="Arial"/>
          <w:sz w:val="17"/>
          <w:szCs w:val="17"/>
          <w:color w:val="auto"/>
        </w:rPr>
      </w:pPr>
    </w:p>
    <w:p>
      <w:pPr>
        <w:ind w:firstLine="421"/>
        <w:spacing w:after="0" w:line="286" w:lineRule="auto"/>
        <w:tabs>
          <w:tab w:leader="none" w:pos="675"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Prospectuses</w:t>
      </w:r>
      <w:r>
        <w:rPr>
          <w:rFonts w:ascii="Arial" w:cs="Arial" w:eastAsia="Arial" w:hAnsi="Arial"/>
          <w:sz w:val="16"/>
          <w:szCs w:val="16"/>
          <w:color w:val="auto"/>
        </w:rPr>
        <w:t>. Each Issuer Free Writing Prospectus, as of its issue date and at all subsequent times through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 (ii) the Company has promptly amended or will promptly amend or supplement such Issuer Free Writing Prospectus to eliminate or correct such conflict, untrue statement or omission. The first sentence of this paragraph does not apply to statements in or omissions from any Issuer Free Writing Prospectus made in reliance upon and in conformity with written information furnished to the Company by any Underwriter through the Representatives specifically for use therein, it being understood and agreed that the only such information consists of the information described as such in Section 10(c) hereof.</w:t>
      </w:r>
    </w:p>
    <w:p>
      <w:pPr>
        <w:spacing w:after="0" w:line="66" w:lineRule="exact"/>
        <w:rPr>
          <w:rFonts w:ascii="Arial" w:cs="Arial" w:eastAsia="Arial" w:hAnsi="Arial"/>
          <w:sz w:val="16"/>
          <w:szCs w:val="16"/>
          <w:color w:val="auto"/>
        </w:rPr>
      </w:pPr>
    </w:p>
    <w:p>
      <w:pPr>
        <w:ind w:right="60" w:firstLine="421"/>
        <w:spacing w:after="0" w:line="264" w:lineRule="auto"/>
        <w:tabs>
          <w:tab w:leader="none" w:pos="725"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Good Standing of the Company</w:t>
      </w:r>
      <w:r>
        <w:rPr>
          <w:rFonts w:ascii="Arial" w:cs="Arial" w:eastAsia="Arial" w:hAnsi="Arial"/>
          <w:sz w:val="18"/>
          <w:szCs w:val="18"/>
          <w:color w:val="auto"/>
        </w:rPr>
        <w:t>. The Company has been duly incorporated and is existing and in good standing under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Switzerland, with power and authority (corporate and other) to own its properties and conduct its business as described in the General Disclosure Package.</w:t>
      </w:r>
    </w:p>
    <w:p>
      <w:pPr>
        <w:spacing w:after="0" w:line="73" w:lineRule="exact"/>
        <w:rPr>
          <w:rFonts w:ascii="Arial" w:cs="Arial" w:eastAsia="Arial" w:hAnsi="Arial"/>
          <w:sz w:val="18"/>
          <w:szCs w:val="18"/>
          <w:color w:val="auto"/>
        </w:rPr>
      </w:pPr>
    </w:p>
    <w:p>
      <w:pPr>
        <w:ind w:right="80" w:firstLine="421"/>
        <w:spacing w:after="0" w:line="259" w:lineRule="auto"/>
        <w:tabs>
          <w:tab w:leader="none" w:pos="775"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Company Securities</w:t>
      </w:r>
      <w:r>
        <w:rPr>
          <w:rFonts w:ascii="Arial" w:cs="Arial" w:eastAsia="Arial" w:hAnsi="Arial"/>
          <w:sz w:val="18"/>
          <w:szCs w:val="18"/>
          <w:color w:val="auto"/>
        </w:rPr>
        <w:t>. The Company Securities and all other outstanding shares of capital stock of the Company will, on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be duly authorized; the authorized equity capitalization of the Company will, on the Closing Date, be as set forth in the General Disclosure Package; all outstanding shares of capital stock of the Company, when the Company Securities have been delivered and paid for in accordance with this Agreement,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-1818005</wp:posOffset>
            </wp:positionV>
            <wp:extent cx="2857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1160" w:top="274" w:right="239" w:bottom="1440" w:gutter="0" w:footer="0" w:header="0"/>
        </w:sectPr>
      </w:pPr>
    </w:p>
    <w:bookmarkStart w:id="250" w:name="page251"/>
    <w:bookmarkEnd w:id="25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validly issued, fully paid and nonassessable, and will conform in all material respects to the information in the General Disclosure Package and to the description of such Offered Securities contained in the Final Prospectus; the shareholders of the Company have no preemptive rights with respect to the Securities; and none of the outstanding shares of capital stock of the Company have been issued in violation of any preemptive or similar rights of any security holder.</w:t>
      </w:r>
    </w:p>
    <w:p>
      <w:pPr>
        <w:spacing w:after="0" w:line="79" w:lineRule="exact"/>
        <w:rPr>
          <w:sz w:val="20"/>
          <w:szCs w:val="20"/>
          <w:color w:val="auto"/>
        </w:rPr>
      </w:pPr>
    </w:p>
    <w:p>
      <w:pPr>
        <w:ind w:right="120" w:firstLine="421"/>
        <w:spacing w:after="0" w:line="264" w:lineRule="auto"/>
        <w:tabs>
          <w:tab w:leader="none" w:pos="825"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No Finder’s Fee</w:t>
      </w:r>
      <w:r>
        <w:rPr>
          <w:rFonts w:ascii="Arial" w:cs="Arial" w:eastAsia="Arial" w:hAnsi="Arial"/>
          <w:sz w:val="18"/>
          <w:szCs w:val="18"/>
          <w:color w:val="auto"/>
        </w:rPr>
        <w:t>. Except as disclosed in the General Disclosure Package and the Final Prospectus, there are no contracts,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understandings between the Company and any person that would give rise to a valid claim against the Company or any Underwriter for a brokerage commission, finder’s fee or other like payment in connection with this offering.</w:t>
      </w:r>
    </w:p>
    <w:p>
      <w:pPr>
        <w:spacing w:after="0" w:line="73" w:lineRule="exact"/>
        <w:rPr>
          <w:rFonts w:ascii="Arial" w:cs="Arial" w:eastAsia="Arial" w:hAnsi="Arial"/>
          <w:sz w:val="18"/>
          <w:szCs w:val="18"/>
          <w:color w:val="auto"/>
        </w:rPr>
      </w:pPr>
    </w:p>
    <w:p>
      <w:pPr>
        <w:ind w:firstLine="421"/>
        <w:spacing w:after="0" w:line="293" w:lineRule="auto"/>
        <w:tabs>
          <w:tab w:leader="none" w:pos="72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Except as disclosed in the General Disclosure Package and the Final Prospectus, there are no contracts,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 (collectively, “registration rights”), and any person to whom the Company has granted registration rights has agreed not to exercise such rights until after the expiration of the Lock-Up Period referred to in Section 7(k) hereof.</w:t>
      </w:r>
    </w:p>
    <w:p>
      <w:pPr>
        <w:spacing w:after="0" w:line="56" w:lineRule="exact"/>
        <w:rPr>
          <w:rFonts w:ascii="Arial" w:cs="Arial" w:eastAsia="Arial" w:hAnsi="Arial"/>
          <w:sz w:val="16"/>
          <w:szCs w:val="16"/>
          <w:color w:val="auto"/>
        </w:rPr>
      </w:pPr>
    </w:p>
    <w:p>
      <w:pPr>
        <w:ind w:left="680" w:hanging="259"/>
        <w:spacing w:after="0"/>
        <w:tabs>
          <w:tab w:leader="none" w:pos="680"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Listing</w:t>
      </w:r>
      <w:r>
        <w:rPr>
          <w:rFonts w:ascii="Arial" w:cs="Arial" w:eastAsia="Arial" w:hAnsi="Arial"/>
          <w:sz w:val="16"/>
          <w:szCs w:val="16"/>
          <w:color w:val="auto"/>
        </w:rPr>
        <w:t>. The Offered Securities have been approved for listing on the NASDAQ Global [Select] Market, subject to notice of issuance.</w:t>
      </w:r>
    </w:p>
    <w:p>
      <w:pPr>
        <w:spacing w:after="0" w:line="140" w:lineRule="exact"/>
        <w:rPr>
          <w:rFonts w:ascii="Arial" w:cs="Arial" w:eastAsia="Arial" w:hAnsi="Arial"/>
          <w:sz w:val="16"/>
          <w:szCs w:val="16"/>
          <w:color w:val="auto"/>
        </w:rPr>
      </w:pPr>
    </w:p>
    <w:p>
      <w:pPr>
        <w:ind w:right="80" w:firstLine="421"/>
        <w:spacing w:after="0" w:line="297" w:lineRule="auto"/>
        <w:tabs>
          <w:tab w:leader="none" w:pos="72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Absence of Further Requirements</w:t>
      </w:r>
      <w:r>
        <w:rPr>
          <w:rFonts w:ascii="Arial" w:cs="Arial" w:eastAsia="Arial" w:hAnsi="Arial"/>
          <w:sz w:val="16"/>
          <w:szCs w:val="16"/>
          <w:color w:val="auto"/>
        </w:rPr>
        <w:t>. No consent, approval, authorization, or order of, or filing or registration with, any person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any governmental agency or body or any court) is required for the consummation of the transactions contemplated by this Agreement in connection with the offering, issuance and sale of the Company Securities, except such as have been obtained or made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right="60" w:firstLine="421"/>
        <w:spacing w:after="0" w:line="276" w:lineRule="auto"/>
        <w:tabs>
          <w:tab w:leader="none" w:pos="775"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The Company does not own any real property. Except as disclosed in the General Disclosure Package and the Final</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the Company has good and marketable title to all other material properties and assets owned by it, in each case free from liens, charges, encumbrances and defects that would reasonably be expected to have a Material Adverse Effect and, except as disclosed in the General Disclosure Package and the Final Prospectus, the Company holds any leased real or personal property under valid and enforceable leases with no terms or provisions that would reasonably be expected to have a Material Adverse Effect.</w:t>
      </w:r>
    </w:p>
    <w:p>
      <w:pPr>
        <w:spacing w:after="0" w:line="64" w:lineRule="exact"/>
        <w:rPr>
          <w:rFonts w:ascii="Arial" w:cs="Arial" w:eastAsia="Arial" w:hAnsi="Arial"/>
          <w:sz w:val="17"/>
          <w:szCs w:val="17"/>
          <w:color w:val="auto"/>
        </w:rPr>
      </w:pPr>
    </w:p>
    <w:p>
      <w:pPr>
        <w:ind w:right="80" w:firstLine="421"/>
        <w:spacing w:after="0" w:line="290" w:lineRule="auto"/>
        <w:tabs>
          <w:tab w:leader="none" w:pos="825"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Transaction</w:t>
      </w:r>
      <w:r>
        <w:rPr>
          <w:rFonts w:ascii="Arial" w:cs="Arial" w:eastAsia="Arial" w:hAnsi="Arial"/>
          <w:sz w:val="16"/>
          <w:szCs w:val="16"/>
          <w:color w:val="auto"/>
        </w:rPr>
        <w:t>. The execution, delivery and performance of this Agreement,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and sale of the Company Securities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or other similar organizational documents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w:t>
      </w:r>
    </w:p>
    <w:p>
      <w:pPr>
        <w:spacing w:after="0" w:line="9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1160" w:top="274" w:right="239" w:bottom="1440" w:gutter="0" w:footer="0" w:header="0"/>
        </w:sectPr>
      </w:pPr>
    </w:p>
    <w:bookmarkStart w:id="251" w:name="page252"/>
    <w:bookmarkEnd w:id="25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73" w:lineRule="exact"/>
        <w:rPr>
          <w:sz w:val="20"/>
          <w:szCs w:val="20"/>
          <w:color w:val="auto"/>
        </w:rPr>
      </w:pPr>
    </w:p>
    <w:p>
      <w:pPr>
        <w:ind w:right="60" w:firstLine="421"/>
        <w:spacing w:after="0" w:line="257" w:lineRule="auto"/>
        <w:tabs>
          <w:tab w:leader="none" w:pos="815"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Absence of Existing Defaults and Conflicts</w:t>
      </w:r>
      <w:r>
        <w:rPr>
          <w:rFonts w:ascii="Arial" w:cs="Arial" w:eastAsia="Arial" w:hAnsi="Arial"/>
          <w:sz w:val="18"/>
          <w:szCs w:val="18"/>
          <w:color w:val="auto"/>
        </w:rPr>
        <w:t>. The Company is not in violation of its articles of association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or in default (or with the giving of notice or lapse of time would be in default) under any existing obligation, agreement, covenant or 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spacing w:after="0" w:line="80" w:lineRule="exact"/>
        <w:rPr>
          <w:rFonts w:ascii="Arial" w:cs="Arial" w:eastAsia="Arial" w:hAnsi="Arial"/>
          <w:sz w:val="18"/>
          <w:szCs w:val="18"/>
          <w:color w:val="auto"/>
        </w:rPr>
      </w:pPr>
    </w:p>
    <w:p>
      <w:pPr>
        <w:ind w:right="680" w:firstLine="421"/>
        <w:spacing w:after="0" w:line="277" w:lineRule="auto"/>
        <w:tabs>
          <w:tab w:leader="none" w:pos="765"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 and no other</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authorizations are required to execute and deliver this Agreement on behalf of the Company.</w:t>
      </w:r>
    </w:p>
    <w:p>
      <w:pPr>
        <w:spacing w:after="0" w:line="62" w:lineRule="exact"/>
        <w:rPr>
          <w:rFonts w:ascii="Arial" w:cs="Arial" w:eastAsia="Arial" w:hAnsi="Arial"/>
          <w:sz w:val="18"/>
          <w:szCs w:val="18"/>
          <w:color w:val="auto"/>
        </w:rPr>
      </w:pPr>
    </w:p>
    <w:p>
      <w:pPr>
        <w:ind w:right="120" w:firstLine="421"/>
        <w:spacing w:after="0" w:line="273" w:lineRule="auto"/>
        <w:tabs>
          <w:tab w:leader="none" w:pos="815"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Possession of Licenses and Permits</w:t>
      </w:r>
      <w:r>
        <w:rPr>
          <w:rFonts w:ascii="Arial" w:cs="Arial" w:eastAsia="Arial" w:hAnsi="Arial"/>
          <w:sz w:val="17"/>
          <w:szCs w:val="17"/>
          <w:color w:val="auto"/>
        </w:rPr>
        <w:t>. The Company possesses, and is in compliance with the terms of, all adequate certificates,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authorizations, franchises, licenses and permits, including, without limitation, from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and equivalent foreign regulatory authorities (“</w:t>
      </w:r>
      <w:r>
        <w:rPr>
          <w:rFonts w:ascii="Arial" w:cs="Arial" w:eastAsia="Arial" w:hAnsi="Arial"/>
          <w:sz w:val="17"/>
          <w:szCs w:val="17"/>
          <w:b w:val="1"/>
          <w:bCs w:val="1"/>
          <w:color w:val="auto"/>
        </w:rPr>
        <w:t>Licenses</w:t>
      </w:r>
      <w:r>
        <w:rPr>
          <w:rFonts w:ascii="Arial" w:cs="Arial" w:eastAsia="Arial" w:hAnsi="Arial"/>
          <w:sz w:val="17"/>
          <w:szCs w:val="17"/>
          <w:color w:val="auto"/>
        </w:rPr>
        <w:t>”) necessary or material to the conduct of the business now conducted or proposed in the General Disclosure Package and Final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spacing w:after="0" w:line="70" w:lineRule="exact"/>
        <w:rPr>
          <w:rFonts w:ascii="Arial" w:cs="Arial" w:eastAsia="Arial" w:hAnsi="Arial"/>
          <w:sz w:val="17"/>
          <w:szCs w:val="17"/>
          <w:color w:val="auto"/>
        </w:rPr>
      </w:pPr>
    </w:p>
    <w:p>
      <w:pPr>
        <w:ind w:right="400" w:firstLine="421"/>
        <w:spacing w:after="0" w:line="277" w:lineRule="auto"/>
        <w:tabs>
          <w:tab w:leader="none" w:pos="865"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exists or, to the knowledge of the Company, is</w:t>
      </w:r>
      <w:r>
        <w:rPr>
          <w:rFonts w:ascii="Arial" w:cs="Arial" w:eastAsia="Arial" w:hAnsi="Arial"/>
          <w:sz w:val="18"/>
          <w:szCs w:val="18"/>
          <w:i w:val="1"/>
          <w:iCs w:val="1"/>
          <w:color w:val="auto"/>
        </w:rPr>
        <w:t xml:space="preserve"> </w:t>
      </w:r>
      <w:r>
        <w:rPr>
          <w:rFonts w:ascii="Arial" w:cs="Arial" w:eastAsia="Arial" w:hAnsi="Arial"/>
          <w:sz w:val="18"/>
          <w:szCs w:val="18"/>
          <w:color w:val="auto"/>
        </w:rPr>
        <w:t>imminent that would reasonably be expected to have a Material Adverse Effect.</w:t>
      </w:r>
    </w:p>
    <w:p>
      <w:pPr>
        <w:spacing w:after="0" w:line="62" w:lineRule="exact"/>
        <w:rPr>
          <w:rFonts w:ascii="Arial" w:cs="Arial" w:eastAsia="Arial" w:hAnsi="Arial"/>
          <w:sz w:val="18"/>
          <w:szCs w:val="18"/>
          <w:color w:val="auto"/>
        </w:rPr>
      </w:pPr>
    </w:p>
    <w:p>
      <w:pPr>
        <w:ind w:firstLine="421"/>
        <w:spacing w:after="0" w:line="286" w:lineRule="auto"/>
        <w:tabs>
          <w:tab w:leader="none" w:pos="915"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Clinical Trials</w:t>
      </w:r>
      <w:r>
        <w:rPr>
          <w:rFonts w:ascii="Arial" w:cs="Arial" w:eastAsia="Arial" w:hAnsi="Arial"/>
          <w:sz w:val="16"/>
          <w:szCs w:val="16"/>
          <w:color w:val="auto"/>
        </w:rPr>
        <w:t>. The preclinical and clinical studies conducted by the Company, and to the knowledge of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preclinical and clinical studies conducted on behalf of or sponsored by the Company, that are described in, or the results of which are referred to in, the General Disclosure Package and the Final Prospectus were and, if still pending, are being conducted in all material respects in accordance with protocols, procedures and controls filed with the appropriate regulatory authorities for each such test or study, as the case may be, and with standard medical and scientific research procedures, except in each case where failure to so conduct would not reasonably be expected to have a Material Adverse Effect; each description of the results of such studies contained in the General Disclosure Package and the Final Prospectus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General Disclosure Package and the Final Prospectus; the Company has not received any notices or other correspondence from the FDA or any committee thereof or from any other U.S. or foreign government or regulatory authority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requiring the termination, suspension or material modification of any preclinical or clinical studies that are described or referred to in the General Disclosure Package and the Final Prospectus, other than ordinary course communications with respect to modifications in connection with the design and implementation of such studies; and the Company has operated and currently is in compliance in all respects with all applicable rules, regulations and policies of the Regulatory Authorities except as would not reasonably be expected to have a Material Adverse Effect.</w:t>
      </w:r>
    </w:p>
    <w:p>
      <w:pPr>
        <w:spacing w:after="0" w:line="63" w:lineRule="exact"/>
        <w:rPr>
          <w:rFonts w:ascii="Arial" w:cs="Arial" w:eastAsia="Arial" w:hAnsi="Arial"/>
          <w:sz w:val="16"/>
          <w:szCs w:val="16"/>
          <w:color w:val="auto"/>
        </w:rPr>
      </w:pPr>
    </w:p>
    <w:p>
      <w:pPr>
        <w:ind w:right="200" w:firstLine="421"/>
        <w:spacing w:after="0" w:line="264" w:lineRule="auto"/>
        <w:tabs>
          <w:tab w:leader="none" w:pos="815" w:val="left"/>
        </w:tabs>
        <w:numPr>
          <w:ilvl w:val="0"/>
          <w:numId w:val="165"/>
        </w:numPr>
        <w:rPr>
          <w:rFonts w:ascii="Arial" w:cs="Arial" w:eastAsia="Arial" w:hAnsi="Arial"/>
          <w:sz w:val="18"/>
          <w:szCs w:val="18"/>
          <w:color w:val="auto"/>
        </w:rPr>
      </w:pPr>
      <w:r>
        <w:rPr>
          <w:rFonts w:ascii="Arial" w:cs="Arial" w:eastAsia="Arial" w:hAnsi="Arial"/>
          <w:sz w:val="18"/>
          <w:szCs w:val="18"/>
          <w:i w:val="1"/>
          <w:iCs w:val="1"/>
          <w:color w:val="auto"/>
        </w:rPr>
        <w:t>Possession of Intellectual Property</w:t>
      </w:r>
      <w:r>
        <w:rPr>
          <w:rFonts w:ascii="Arial" w:cs="Arial" w:eastAsia="Arial" w:hAnsi="Arial"/>
          <w:sz w:val="18"/>
          <w:szCs w:val="18"/>
          <w:color w:val="auto"/>
        </w:rPr>
        <w:t>. The Company owns, possesses or can acquire on reasonable terms all trademarks, trade names,</w:t>
      </w:r>
      <w:r>
        <w:rPr>
          <w:rFonts w:ascii="Arial" w:cs="Arial" w:eastAsia="Arial" w:hAnsi="Arial"/>
          <w:sz w:val="18"/>
          <w:szCs w:val="18"/>
          <w:i w:val="1"/>
          <w:iCs w:val="1"/>
          <w:color w:val="auto"/>
        </w:rPr>
        <w:t xml:space="preserve"> </w:t>
      </w:r>
      <w:r>
        <w:rPr>
          <w:rFonts w:ascii="Arial" w:cs="Arial" w:eastAsia="Arial" w:hAnsi="Arial"/>
          <w:sz w:val="18"/>
          <w:szCs w:val="18"/>
          <w:color w:val="auto"/>
        </w:rPr>
        <w:t>patent rights, copyrights, domain names, licenses, trade secrets, inventions, technology, know-how and other intellectual property and similar proprietary rights, including registrations and applications for registration thereof</w:t>
      </w:r>
    </w:p>
    <w:p>
      <w:pPr>
        <w:spacing w:after="0" w:line="11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1160" w:top="274" w:right="279" w:bottom="1440" w:gutter="0" w:footer="0" w:header="0"/>
        </w:sectPr>
      </w:pPr>
    </w:p>
    <w:bookmarkStart w:id="252" w:name="page253"/>
    <w:bookmarkEnd w:id="25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described in the General Disclosure Package and, to the knowledge of the Company and except as disclosed in the General Disclosure Package and the Final Prospectus, owns all necessary or material to the conduct of the business now conducted or proposed in the General Disclosure Package to be conducted by it. Except as disclosed in the General Disclosure Package and the Final Prospectus,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 (ii) 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 (iii) 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 except in the case of clauses (i)–(iv) as would not, individually or in the aggregate, reasonably be expected to have a Material Adverse Effect.</w:t>
      </w:r>
    </w:p>
    <w:p>
      <w:pPr>
        <w:spacing w:after="0" w:line="68" w:lineRule="exact"/>
        <w:rPr>
          <w:sz w:val="20"/>
          <w:szCs w:val="20"/>
          <w:color w:val="auto"/>
        </w:rPr>
      </w:pPr>
    </w:p>
    <w:p>
      <w:pPr>
        <w:ind w:right="20" w:firstLine="421"/>
        <w:spacing w:after="0" w:line="291" w:lineRule="auto"/>
        <w:tabs>
          <w:tab w:leader="none" w:pos="765"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Environmental Laws</w:t>
      </w:r>
      <w:r>
        <w:rPr>
          <w:rFonts w:ascii="Arial" w:cs="Arial" w:eastAsia="Arial" w:hAnsi="Arial"/>
          <w:sz w:val="16"/>
          <w:szCs w:val="16"/>
          <w:color w:val="auto"/>
        </w:rPr>
        <w:t>. Except as disclosed in the General Disclosure Package and the Final Prospectus, the Company is not in violation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59" w:lineRule="exact"/>
        <w:rPr>
          <w:rFonts w:ascii="Arial" w:cs="Arial" w:eastAsia="Arial" w:hAnsi="Arial"/>
          <w:sz w:val="16"/>
          <w:szCs w:val="16"/>
          <w:color w:val="auto"/>
        </w:rPr>
      </w:pPr>
    </w:p>
    <w:p>
      <w:pPr>
        <w:ind w:right="20" w:firstLine="421"/>
        <w:spacing w:after="0" w:line="302" w:lineRule="auto"/>
        <w:tabs>
          <w:tab w:leader="none" w:pos="815"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Accurate Disclosure</w:t>
      </w:r>
      <w:r>
        <w:rPr>
          <w:rFonts w:ascii="Arial" w:cs="Arial" w:eastAsia="Arial" w:hAnsi="Arial"/>
          <w:sz w:val="16"/>
          <w:szCs w:val="16"/>
          <w:color w:val="auto"/>
        </w:rPr>
        <w:t>. The statements in the General Disclosure Package and the Final Prospectus under the headings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Regulation and Our Regulatory Department”, “Taxation” and “Description of Share Capital and Articles of Association” insofar as such statements summarize legal matters, agreements, documents or proceedings discussed therein, are accurate and fair summaries of such legal matters, agreements, documents or proceedings and present the information required to be shown in all material respects.</w:t>
      </w:r>
    </w:p>
    <w:p>
      <w:pPr>
        <w:spacing w:after="0" w:line="46" w:lineRule="exact"/>
        <w:rPr>
          <w:rFonts w:ascii="Arial" w:cs="Arial" w:eastAsia="Arial" w:hAnsi="Arial"/>
          <w:sz w:val="16"/>
          <w:szCs w:val="16"/>
          <w:color w:val="auto"/>
        </w:rPr>
      </w:pPr>
    </w:p>
    <w:p>
      <w:pPr>
        <w:jc w:val="both"/>
        <w:ind w:right="120" w:firstLine="421"/>
        <w:spacing w:after="0" w:line="264" w:lineRule="auto"/>
        <w:tabs>
          <w:tab w:leader="none" w:pos="865"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has not taken, directly or indirectly, any action that is designed to or that has constituted or</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reasonably be expected to cause or result in the stabilization or manipulation of the price of any security of the Company to facilitate the sale or resale of the Offered Securities.</w:t>
      </w:r>
    </w:p>
    <w:p>
      <w:pPr>
        <w:spacing w:after="0" w:line="73" w:lineRule="exact"/>
        <w:rPr>
          <w:rFonts w:ascii="Arial" w:cs="Arial" w:eastAsia="Arial" w:hAnsi="Arial"/>
          <w:sz w:val="18"/>
          <w:szCs w:val="18"/>
          <w:color w:val="auto"/>
        </w:rPr>
      </w:pPr>
    </w:p>
    <w:p>
      <w:pPr>
        <w:ind w:firstLine="421"/>
        <w:spacing w:after="0" w:line="264" w:lineRule="auto"/>
        <w:tabs>
          <w:tab w:leader="none" w:pos="915"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Statistical and Market-Related Data</w:t>
      </w:r>
      <w:r>
        <w:rPr>
          <w:rFonts w:ascii="Arial" w:cs="Arial" w:eastAsia="Arial" w:hAnsi="Arial"/>
          <w:sz w:val="18"/>
          <w:szCs w:val="18"/>
          <w:color w:val="auto"/>
        </w:rPr>
        <w:t>. Any third-party statistical and market-related data included in a Registration Statement, a</w:t>
      </w:r>
      <w:r>
        <w:rPr>
          <w:rFonts w:ascii="Arial" w:cs="Arial" w:eastAsia="Arial" w:hAnsi="Arial"/>
          <w:sz w:val="18"/>
          <w:szCs w:val="18"/>
          <w:i w:val="1"/>
          <w:iCs w:val="1"/>
          <w:color w:val="auto"/>
        </w:rPr>
        <w:t xml:space="preserve"> </w:t>
      </w:r>
      <w:r>
        <w:rPr>
          <w:rFonts w:ascii="Arial" w:cs="Arial" w:eastAsia="Arial" w:hAnsi="Arial"/>
          <w:sz w:val="18"/>
          <w:szCs w:val="18"/>
          <w:color w:val="auto"/>
        </w:rPr>
        <w:t>Statutory Prospectus, the General Disclosure Package or any Written Testing-the-Waters Communication is based on or derived from sources that the Company believes to be reliable and accurate.</w:t>
      </w:r>
    </w:p>
    <w:p>
      <w:pPr>
        <w:spacing w:after="0" w:line="73" w:lineRule="exact"/>
        <w:rPr>
          <w:rFonts w:ascii="Arial" w:cs="Arial" w:eastAsia="Arial" w:hAnsi="Arial"/>
          <w:sz w:val="18"/>
          <w:szCs w:val="18"/>
          <w:color w:val="auto"/>
        </w:rPr>
      </w:pPr>
    </w:p>
    <w:p>
      <w:pPr>
        <w:ind w:right="260" w:firstLine="421"/>
        <w:spacing w:after="0" w:line="264" w:lineRule="auto"/>
        <w:tabs>
          <w:tab w:leader="none" w:pos="905"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t>Internal Controls and Compliance with Sarbanes-Oxley</w:t>
      </w:r>
      <w:r>
        <w:rPr>
          <w:rFonts w:ascii="Arial" w:cs="Arial" w:eastAsia="Arial" w:hAnsi="Arial"/>
          <w:sz w:val="18"/>
          <w:szCs w:val="18"/>
          <w:color w:val="auto"/>
        </w:rPr>
        <w:t>. Except as set forth in the General Disclosure Package and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the Company and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are in compliance with the applicable provisions of Sarbanes-Oxley and all applicable Exchange Rules. The Company maintains a system of internal</w:t>
      </w:r>
    </w:p>
    <w:p>
      <w:pPr>
        <w:spacing w:after="0" w:line="11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0"/>
          </w:cols>
          <w:pgMar w:left="1160" w:top="270" w:right="259" w:bottom="1440" w:gutter="0" w:footer="0" w:header="0"/>
        </w:sectPr>
      </w:pPr>
    </w:p>
    <w:bookmarkStart w:id="253" w:name="page254"/>
    <w:bookmarkEnd w:id="25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7"/>
          <w:szCs w:val="17"/>
          <w:b w:val="1"/>
          <w:bCs w:val="1"/>
          <w:color w:val="auto"/>
        </w:rPr>
        <w:t>Internal Controls</w:t>
      </w:r>
      <w:r>
        <w:rPr>
          <w:rFonts w:ascii="Arial" w:cs="Arial" w:eastAsia="Arial" w:hAnsi="Arial"/>
          <w:sz w:val="17"/>
          <w:szCs w:val="17"/>
          <w:color w:val="auto"/>
        </w:rPr>
        <w:t>”) that are designed to provide reasonable assurances that (i) transactions are executed in accordance with management’s general or specific authorization, (ii) transactions are recorded as necessary to permit preparation of financial statements in conformity with International Financial Reporting Standards (“</w:t>
      </w:r>
      <w:r>
        <w:rPr>
          <w:rFonts w:ascii="Arial" w:cs="Arial" w:eastAsia="Arial" w:hAnsi="Arial"/>
          <w:sz w:val="17"/>
          <w:szCs w:val="17"/>
          <w:b w:val="1"/>
          <w:bCs w:val="1"/>
          <w:color w:val="auto"/>
        </w:rPr>
        <w:t>IFRS</w:t>
      </w:r>
      <w:r>
        <w:rPr>
          <w:rFonts w:ascii="Arial" w:cs="Arial" w:eastAsia="Arial" w:hAnsi="Arial"/>
          <w:sz w:val="17"/>
          <w:szCs w:val="17"/>
          <w:color w:val="auto"/>
        </w:rPr>
        <w:t>”) as issued by the International Accounting Standards Board (the “</w:t>
      </w:r>
      <w:r>
        <w:rPr>
          <w:rFonts w:ascii="Arial" w:cs="Arial" w:eastAsia="Arial" w:hAnsi="Arial"/>
          <w:sz w:val="17"/>
          <w:szCs w:val="17"/>
          <w:b w:val="1"/>
          <w:bCs w:val="1"/>
          <w:color w:val="auto"/>
        </w:rPr>
        <w:t>IASB</w:t>
      </w:r>
      <w:r>
        <w:rPr>
          <w:rFonts w:ascii="Arial" w:cs="Arial" w:eastAsia="Arial" w:hAnsi="Arial"/>
          <w:sz w:val="17"/>
          <w:szCs w:val="17"/>
          <w:color w:val="auto"/>
        </w:rPr>
        <w:t>”)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Internal Controls are, or upon consummation of the offering of the Offered Securities will be, overseen by the Audit &amp; Finance Committee (the “</w:t>
      </w:r>
      <w:r>
        <w:rPr>
          <w:rFonts w:ascii="Arial" w:cs="Arial" w:eastAsia="Arial" w:hAnsi="Arial"/>
          <w:sz w:val="17"/>
          <w:szCs w:val="17"/>
          <w:b w:val="1"/>
          <w:bCs w:val="1"/>
          <w:color w:val="auto"/>
        </w:rPr>
        <w:t>Audit &amp; Finance Committee</w:t>
      </w:r>
      <w:r>
        <w:rPr>
          <w:rFonts w:ascii="Arial" w:cs="Arial" w:eastAsia="Arial" w:hAnsi="Arial"/>
          <w:sz w:val="17"/>
          <w:szCs w:val="17"/>
          <w:color w:val="auto"/>
        </w:rPr>
        <w:t xml:space="preserve"> ”) of the Board in accordance with Exchange Rules. Except as disclosed in the General Disclosure Package and the Final Prospectus, the 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(each, an “</w:t>
      </w:r>
      <w:r>
        <w:rPr>
          <w:rFonts w:ascii="Arial" w:cs="Arial" w:eastAsia="Arial" w:hAnsi="Arial"/>
          <w:sz w:val="17"/>
          <w:szCs w:val="17"/>
          <w:b w:val="1"/>
          <w:bCs w:val="1"/>
          <w:color w:val="auto"/>
        </w:rPr>
        <w:t>Internal</w:t>
      </w:r>
      <w:r>
        <w:rPr>
          <w:rFonts w:ascii="Arial" w:cs="Arial" w:eastAsia="Arial" w:hAnsi="Arial"/>
          <w:sz w:val="17"/>
          <w:szCs w:val="17"/>
          <w:color w:val="auto"/>
        </w:rPr>
        <w:t xml:space="preserve"> </w:t>
      </w:r>
      <w:r>
        <w:rPr>
          <w:rFonts w:ascii="Arial" w:cs="Arial" w:eastAsia="Arial" w:hAnsi="Arial"/>
          <w:sz w:val="17"/>
          <w:szCs w:val="17"/>
          <w:b w:val="1"/>
          <w:bCs w:val="1"/>
          <w:color w:val="auto"/>
        </w:rPr>
        <w:t>Control Event</w:t>
      </w:r>
      <w:r>
        <w:rPr>
          <w:rFonts w:ascii="Arial" w:cs="Arial" w:eastAsia="Arial" w:hAnsi="Arial"/>
          <w:sz w:val="17"/>
          <w:szCs w:val="17"/>
          <w:color w:val="auto"/>
        </w:rPr>
        <w:t>”), any violation of, or failure to comply with, the Securities Laws, or any matter which, if determined adversely, would have a</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-1544955</wp:posOffset>
            </wp:positionV>
            <wp:extent cx="2857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57" w:lineRule="exact"/>
        <w:rPr>
          <w:sz w:val="20"/>
          <w:szCs w:val="20"/>
          <w:color w:val="auto"/>
        </w:rPr>
      </w:pPr>
    </w:p>
    <w:p>
      <w:pPr>
        <w:ind w:firstLine="421"/>
        <w:spacing w:after="0" w:line="255" w:lineRule="auto"/>
        <w:tabs>
          <w:tab w:leader="none" w:pos="855"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 Except as disclosed in the General Disclosure Package and the Final Prospectus, there are no pending actions, suits or</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Offered Securities; and no such actions, suits or proceedings (including any inquiries or investigations by any court or governmental agency or body, domestic or foreign) are, to the Company’s knowledge, threatened or contemplated.</w:t>
      </w:r>
    </w:p>
    <w:p>
      <w:pPr>
        <w:spacing w:after="0" w:line="81" w:lineRule="exact"/>
        <w:rPr>
          <w:rFonts w:ascii="Arial" w:cs="Arial" w:eastAsia="Arial" w:hAnsi="Arial"/>
          <w:sz w:val="18"/>
          <w:szCs w:val="18"/>
          <w:color w:val="auto"/>
        </w:rPr>
      </w:pPr>
    </w:p>
    <w:p>
      <w:pPr>
        <w:ind w:right="20" w:firstLine="421"/>
        <w:spacing w:after="0" w:line="290" w:lineRule="auto"/>
        <w:tabs>
          <w:tab w:leader="none" w:pos="905"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Independent Accountants</w:t>
      </w:r>
      <w:r>
        <w:rPr>
          <w:rFonts w:ascii="Arial" w:cs="Arial" w:eastAsia="Arial" w:hAnsi="Arial"/>
          <w:sz w:val="16"/>
          <w:szCs w:val="16"/>
          <w:color w:val="auto"/>
        </w:rPr>
        <w:t>. Ernst &amp; Young AG, which has expressed its opinion with respect to the financial statements (which term</w:t>
      </w:r>
      <w:r>
        <w:rPr>
          <w:rFonts w:ascii="Arial" w:cs="Arial" w:eastAsia="Arial" w:hAnsi="Arial"/>
          <w:sz w:val="16"/>
          <w:szCs w:val="16"/>
          <w:i w:val="1"/>
          <w:iCs w:val="1"/>
          <w:color w:val="auto"/>
        </w:rPr>
        <w:t xml:space="preserve"> </w:t>
      </w:r>
      <w:r>
        <w:rPr>
          <w:rFonts w:ascii="Arial" w:cs="Arial" w:eastAsia="Arial" w:hAnsi="Arial"/>
          <w:sz w:val="16"/>
          <w:szCs w:val="16"/>
          <w:color w:val="auto"/>
        </w:rPr>
        <w:t>as used in this Agreement includes the related notes thereto) filed with the Commission as a part of the Registration Statement, the Time of Sale Prospectus and the Prospectus, is (i) an independent registered public accounting firm as required by the Securities Act, Exchange Act, the Rules and Regulations, and the rules of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(ii) in compliance with the applicable requirements relating to the qualification of accountants under Rule 2-01 of Regulation S-X under the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Swiss Code of Obligations (the “</w:t>
      </w:r>
      <w:r>
        <w:rPr>
          <w:rFonts w:ascii="Arial" w:cs="Arial" w:eastAsia="Arial" w:hAnsi="Arial"/>
          <w:sz w:val="16"/>
          <w:szCs w:val="16"/>
          <w:b w:val="1"/>
          <w:bCs w:val="1"/>
          <w:color w:val="auto"/>
        </w:rPr>
        <w:t>CO</w:t>
      </w:r>
      <w:r>
        <w:rPr>
          <w:rFonts w:ascii="Arial" w:cs="Arial" w:eastAsia="Arial" w:hAnsi="Arial"/>
          <w:sz w:val="16"/>
          <w:szCs w:val="16"/>
          <w:color w:val="auto"/>
        </w:rPr>
        <w:t>”), the Swiss Audit Supervision Act (Revisionsaufsichtsgesetz) and any ordinances promulgated thereunder.</w:t>
      </w:r>
    </w:p>
    <w:p>
      <w:pPr>
        <w:spacing w:after="0" w:line="58" w:lineRule="exact"/>
        <w:rPr>
          <w:rFonts w:ascii="Arial" w:cs="Arial" w:eastAsia="Arial" w:hAnsi="Arial"/>
          <w:sz w:val="16"/>
          <w:szCs w:val="16"/>
          <w:color w:val="auto"/>
        </w:rPr>
      </w:pPr>
    </w:p>
    <w:p>
      <w:pPr>
        <w:ind w:firstLine="421"/>
        <w:spacing w:after="0" w:line="257" w:lineRule="auto"/>
        <w:tabs>
          <w:tab w:leader="none" w:pos="955"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financial statements included in each Registration Statement and the General Disclosure Package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fairly in all material respects the financial position of the Company as of the dates shown and its results of operations and cash flows for the periods shown, and such financial statements have been prepared in conformity with IFRS as issued by the IASB applied on a consistent basis and the schedules included in each Registration Statement (if any) present fairly in all material respects the information required to be stated therein.</w:t>
      </w:r>
    </w:p>
    <w:p>
      <w:pPr>
        <w:spacing w:after="0" w:line="80" w:lineRule="exact"/>
        <w:rPr>
          <w:rFonts w:ascii="Arial" w:cs="Arial" w:eastAsia="Arial" w:hAnsi="Arial"/>
          <w:sz w:val="18"/>
          <w:szCs w:val="18"/>
          <w:color w:val="auto"/>
        </w:rPr>
      </w:pPr>
    </w:p>
    <w:p>
      <w:pPr>
        <w:ind w:right="220" w:firstLine="421"/>
        <w:spacing w:after="0" w:line="264" w:lineRule="auto"/>
        <w:tabs>
          <w:tab w:leader="none" w:pos="1005" w:val="left"/>
        </w:tabs>
        <w:numPr>
          <w:ilvl w:val="0"/>
          <w:numId w:val="167"/>
        </w:numPr>
        <w:rPr>
          <w:rFonts w:ascii="Arial" w:cs="Arial" w:eastAsia="Arial" w:hAnsi="Arial"/>
          <w:sz w:val="18"/>
          <w:szCs w:val="18"/>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There are no off balance sheet arrangements (as defined in Regulation S-K Item 303(a)(4)(ii))</w:t>
      </w:r>
      <w:r>
        <w:rPr>
          <w:rFonts w:ascii="Arial" w:cs="Arial" w:eastAsia="Arial" w:hAnsi="Arial"/>
          <w:sz w:val="18"/>
          <w:szCs w:val="18"/>
          <w:i w:val="1"/>
          <w:iCs w:val="1"/>
          <w:color w:val="auto"/>
        </w:rPr>
        <w:t xml:space="preserve"> </w:t>
      </w:r>
      <w:r>
        <w:rPr>
          <w:rFonts w:ascii="Arial" w:cs="Arial" w:eastAsia="Arial" w:hAnsi="Arial"/>
          <w:sz w:val="18"/>
          <w:szCs w:val="18"/>
          <w:color w:val="auto"/>
        </w:rPr>
        <w:t>that would reasonably be expected to have a material current or future effect on the Company’s financial condition, changes in financial condition, results of operations, liquidity, capital expenditures or capital resources.</w:t>
      </w:r>
    </w:p>
    <w:p>
      <w:pPr>
        <w:spacing w:after="0" w:line="11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60"/>
          </w:cols>
          <w:pgMar w:left="1160" w:top="274" w:right="279" w:bottom="1440" w:gutter="0" w:footer="0" w:header="0"/>
        </w:sectPr>
      </w:pPr>
    </w:p>
    <w:bookmarkStart w:id="254" w:name="page255"/>
    <w:bookmarkEnd w:id="254"/>
    <w:p>
      <w:pPr>
        <w:ind w:left="-1" w:right="20" w:firstLine="421"/>
        <w:spacing w:after="0" w:line="288" w:lineRule="auto"/>
        <w:tabs>
          <w:tab w:leader="none" w:pos="904" w:val="left"/>
        </w:tabs>
        <w:numPr>
          <w:ilvl w:val="1"/>
          <w:numId w:val="16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Change in Business</w:t>
      </w:r>
      <w:r>
        <w:rPr>
          <w:rFonts w:ascii="Arial" w:cs="Arial" w:eastAsia="Arial" w:hAnsi="Arial"/>
          <w:sz w:val="16"/>
          <w:szCs w:val="16"/>
          <w:color w:val="auto"/>
        </w:rPr>
        <w:t>. Except as disclosed in the General Disclosure Package and the Final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the period covered by the latest audited financial statements included in the General Disclosure Package, (i) there has been no change in the condition (financial or otherwise), results of operations, business, properties or prospects of the Company that is material and adverse,</w:t>
      </w:r>
    </w:p>
    <w:p>
      <w:pPr>
        <w:jc w:val="both"/>
        <w:ind w:left="-1" w:right="100" w:firstLine="1"/>
        <w:spacing w:after="0" w:line="255" w:lineRule="auto"/>
        <w:tabs>
          <w:tab w:leader="none" w:pos="26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w:t>
      </w:r>
    </w:p>
    <w:p>
      <w:pPr>
        <w:spacing w:after="0" w:line="82" w:lineRule="exact"/>
        <w:rPr>
          <w:rFonts w:ascii="Arial" w:cs="Arial" w:eastAsia="Arial" w:hAnsi="Arial"/>
          <w:sz w:val="18"/>
          <w:szCs w:val="18"/>
          <w:color w:val="auto"/>
        </w:rPr>
      </w:pPr>
    </w:p>
    <w:p>
      <w:pPr>
        <w:ind w:left="-1" w:right="340" w:firstLine="421"/>
        <w:spacing w:after="0" w:line="264" w:lineRule="auto"/>
        <w:tabs>
          <w:tab w:leader="none" w:pos="854"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is not and, after giving effect to the offering and sale of the Company Securities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the proceeds thereof as described in the General Disclosure Package, will not be an “investment company” as defined in the Investment Company Act of 1940, as amended.</w:t>
      </w:r>
    </w:p>
    <w:p>
      <w:pPr>
        <w:spacing w:after="0" w:line="73" w:lineRule="exact"/>
        <w:rPr>
          <w:rFonts w:ascii="Arial" w:cs="Arial" w:eastAsia="Arial" w:hAnsi="Arial"/>
          <w:sz w:val="18"/>
          <w:szCs w:val="18"/>
          <w:color w:val="auto"/>
        </w:rPr>
      </w:pPr>
    </w:p>
    <w:p>
      <w:pPr>
        <w:ind w:left="-1" w:right="320" w:firstLine="421"/>
        <w:spacing w:after="0" w:line="277" w:lineRule="auto"/>
        <w:tabs>
          <w:tab w:leader="none" w:pos="904" w:val="left"/>
        </w:tabs>
        <w:numPr>
          <w:ilvl w:val="1"/>
          <w:numId w:val="169"/>
        </w:numPr>
        <w:rPr>
          <w:rFonts w:ascii="Arial" w:cs="Arial" w:eastAsia="Arial" w:hAnsi="Arial"/>
          <w:sz w:val="18"/>
          <w:szCs w:val="18"/>
          <w:color w:val="auto"/>
        </w:rPr>
      </w:pPr>
      <w:r>
        <w:rPr>
          <w:rFonts w:ascii="Arial" w:cs="Arial" w:eastAsia="Arial" w:hAnsi="Arial"/>
          <w:sz w:val="18"/>
          <w:szCs w:val="18"/>
          <w:i w:val="1"/>
          <w:iCs w:val="1"/>
          <w:color w:val="auto"/>
        </w:rPr>
        <w:t>Ratings</w:t>
      </w:r>
      <w:r>
        <w:rPr>
          <w:rFonts w:ascii="Arial" w:cs="Arial" w:eastAsia="Arial" w:hAnsi="Arial"/>
          <w:sz w:val="18"/>
          <w:szCs w:val="18"/>
          <w:color w:val="auto"/>
        </w:rPr>
        <w:t>. The Company has no debt securities that are rated by any “nationally recognized statistical rating organization”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defined for purposes of Section 3(a)(62) of the Exchange Act.</w:t>
      </w:r>
    </w:p>
    <w:p>
      <w:pPr>
        <w:spacing w:after="0" w:line="58" w:lineRule="exact"/>
        <w:rPr>
          <w:rFonts w:ascii="Arial" w:cs="Arial" w:eastAsia="Arial" w:hAnsi="Arial"/>
          <w:sz w:val="18"/>
          <w:szCs w:val="18"/>
          <w:color w:val="auto"/>
        </w:rPr>
      </w:pPr>
    </w:p>
    <w:p>
      <w:pPr>
        <w:ind w:left="-1" w:firstLine="421"/>
        <w:spacing w:after="0" w:line="314" w:lineRule="auto"/>
        <w:tabs>
          <w:tab w:leader="none" w:pos="954" w:val="left"/>
        </w:tabs>
        <w:numPr>
          <w:ilvl w:val="1"/>
          <w:numId w:val="169"/>
        </w:numPr>
        <w:rPr>
          <w:rFonts w:ascii="Arial" w:cs="Arial" w:eastAsia="Arial" w:hAnsi="Arial"/>
          <w:sz w:val="16"/>
          <w:szCs w:val="16"/>
          <w:color w:val="auto"/>
        </w:rPr>
      </w:pPr>
      <w:r>
        <w:rPr>
          <w:rFonts w:ascii="Arial" w:cs="Arial" w:eastAsia="Arial" w:hAnsi="Arial"/>
          <w:sz w:val="16"/>
          <w:szCs w:val="16"/>
          <w:i w:val="1"/>
          <w:iCs w:val="1"/>
          <w:color w:val="auto"/>
        </w:rPr>
        <w:t>PFIC Status</w:t>
      </w:r>
      <w:r>
        <w:rPr>
          <w:rFonts w:ascii="Arial" w:cs="Arial" w:eastAsia="Arial" w:hAnsi="Arial"/>
          <w:sz w:val="16"/>
          <w:szCs w:val="16"/>
          <w:color w:val="auto"/>
        </w:rPr>
        <w:t>. The Company believes it was not a “passive foreign investment company” (“</w:t>
      </w:r>
      <w:r>
        <w:rPr>
          <w:rFonts w:ascii="Arial" w:cs="Arial" w:eastAsia="Arial" w:hAnsi="Arial"/>
          <w:sz w:val="16"/>
          <w:szCs w:val="16"/>
          <w:b w:val="1"/>
          <w:bCs w:val="1"/>
          <w:color w:val="auto"/>
        </w:rPr>
        <w:t>PFIC</w:t>
      </w:r>
      <w:r>
        <w:rPr>
          <w:rFonts w:ascii="Arial" w:cs="Arial" w:eastAsia="Arial" w:hAnsi="Arial"/>
          <w:sz w:val="16"/>
          <w:szCs w:val="16"/>
          <w:color w:val="auto"/>
        </w:rPr>
        <w:t>”) as defined in Section 1297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Internal Revenue Code of 1986, as amended, for its most recently completed taxable year and, based on the Company’s current projected income, assets and activities, the Company does not expect to be classified as a PFIC in the immediately foreseeable future.</w:t>
      </w:r>
    </w:p>
    <w:p>
      <w:pPr>
        <w:spacing w:after="0" w:line="38" w:lineRule="exact"/>
        <w:rPr>
          <w:rFonts w:ascii="Arial" w:cs="Arial" w:eastAsia="Arial" w:hAnsi="Arial"/>
          <w:sz w:val="16"/>
          <w:szCs w:val="16"/>
          <w:color w:val="auto"/>
        </w:rPr>
      </w:pPr>
    </w:p>
    <w:p>
      <w:pPr>
        <w:ind w:left="999" w:hanging="579"/>
        <w:spacing w:after="0"/>
        <w:tabs>
          <w:tab w:leader="none" w:pos="999" w:val="left"/>
        </w:tabs>
        <w:numPr>
          <w:ilvl w:val="1"/>
          <w:numId w:val="169"/>
        </w:numPr>
        <w:rPr>
          <w:rFonts w:ascii="Arial" w:cs="Arial" w:eastAsia="Arial" w:hAnsi="Arial"/>
          <w:sz w:val="18"/>
          <w:szCs w:val="18"/>
          <w:color w:val="auto"/>
        </w:rPr>
      </w:pPr>
      <w:r>
        <w:rPr>
          <w:rFonts w:ascii="Arial" w:cs="Arial" w:eastAsia="Arial" w:hAnsi="Arial"/>
          <w:sz w:val="18"/>
          <w:szCs w:val="18"/>
          <w:color w:val="auto"/>
        </w:rPr>
        <w:t>Foreign Corrupt Practices Act and Money Laundering Laws.</w:t>
      </w:r>
    </w:p>
    <w:p>
      <w:pPr>
        <w:spacing w:after="0" w:line="117" w:lineRule="exact"/>
        <w:rPr>
          <w:rFonts w:ascii="Arial" w:cs="Arial" w:eastAsia="Arial" w:hAnsi="Arial"/>
          <w:sz w:val="18"/>
          <w:szCs w:val="18"/>
          <w:color w:val="auto"/>
        </w:rPr>
      </w:pPr>
    </w:p>
    <w:p>
      <w:pPr>
        <w:ind w:left="579" w:right="20" w:firstLine="389"/>
        <w:spacing w:after="0" w:line="268" w:lineRule="auto"/>
        <w:tabs>
          <w:tab w:leader="none" w:pos="1271" w:val="left"/>
        </w:tabs>
        <w:numPr>
          <w:ilvl w:val="2"/>
          <w:numId w:val="169"/>
        </w:numPr>
        <w:rPr>
          <w:rFonts w:ascii="Arial" w:cs="Arial" w:eastAsia="Arial" w:hAnsi="Arial"/>
          <w:sz w:val="17"/>
          <w:szCs w:val="17"/>
          <w:color w:val="auto"/>
        </w:rPr>
      </w:pPr>
      <w:r>
        <w:rPr>
          <w:rFonts w:ascii="Arial" w:cs="Arial" w:eastAsia="Arial" w:hAnsi="Arial"/>
          <w:sz w:val="17"/>
          <w:szCs w:val="17"/>
          <w:color w:val="auto"/>
        </w:rPr>
        <w:t>The Company (including its directors or officers, and, to the Company’s knowledge, its employees or agents), has not taken or failed to take any action that would cause it to be in violation of the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any rules or regulations thereunder, or any other applicable anti-corruption or anti-kickback law, including without limitation: (A) the making of any offer or promise to pay, payment of, or authorization of payment of, directly or indirectly, money or anything of value to any Official, for the purpose of influencing an official act or decision, inducing the doing or omission of any act in violation of a lawful duty, or securing an improper advantage; (B) use of any corporate funds for any illegal contributions, gifts, entertainment or other unlawful expenses relating to political activity; (C) establishment or maintenance of any unlawful fund of corporate monies or other properties; and (D) making of any bribe, unlawful rebate, payoff, influence payment, kickback or other unlawful payment of any nature. For purposes of this Agreement, (i) an “</w:t>
      </w:r>
      <w:r>
        <w:rPr>
          <w:rFonts w:ascii="Arial" w:cs="Arial" w:eastAsia="Arial" w:hAnsi="Arial"/>
          <w:sz w:val="17"/>
          <w:szCs w:val="17"/>
          <w:b w:val="1"/>
          <w:bCs w:val="1"/>
          <w:color w:val="auto"/>
        </w:rPr>
        <w:t>Official</w:t>
      </w:r>
      <w:r>
        <w:rPr>
          <w:rFonts w:ascii="Arial" w:cs="Arial" w:eastAsia="Arial" w:hAnsi="Arial"/>
          <w:sz w:val="17"/>
          <w:szCs w:val="17"/>
          <w:color w:val="auto"/>
        </w:rPr>
        <w:t>” shall include any appointed or elected official, any government employee, any political party, party official, or candidate for political office, or any officer, director or employee of any Governmental Authority or employees of state-owned or state-controlled businesses and (ii) a “</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include any transnational, national, federal, state, provincial, county, municipal or local government, foreign or domestic, or the government of any political subdivision of any of the foregoing, or any entity, authority, agency, ministry or other similar body exercising executive, legislative, judicial (including any court), regulatory, or administrative authority or functions of or pertaining to government, including any authority or other quasi-governmental entity established to perform any of such functions.</w:t>
      </w:r>
    </w:p>
    <w:p>
      <w:pPr>
        <w:spacing w:after="0" w:line="75" w:lineRule="exact"/>
        <w:rPr>
          <w:rFonts w:ascii="Arial" w:cs="Arial" w:eastAsia="Arial" w:hAnsi="Arial"/>
          <w:sz w:val="17"/>
          <w:szCs w:val="17"/>
          <w:color w:val="auto"/>
        </w:rPr>
      </w:pPr>
    </w:p>
    <w:p>
      <w:pPr>
        <w:ind w:left="579" w:right="60" w:firstLine="389"/>
        <w:spacing w:after="0" w:line="293" w:lineRule="auto"/>
        <w:tabs>
          <w:tab w:leader="none" w:pos="1261" w:val="left"/>
        </w:tabs>
        <w:numPr>
          <w:ilvl w:val="2"/>
          <w:numId w:val="169"/>
        </w:numPr>
        <w:rPr>
          <w:rFonts w:ascii="Arial" w:cs="Arial" w:eastAsia="Arial" w:hAnsi="Arial"/>
          <w:sz w:val="16"/>
          <w:szCs w:val="16"/>
          <w:color w:val="auto"/>
        </w:rPr>
      </w:pPr>
      <w:r>
        <w:rPr>
          <w:rFonts w:ascii="Arial" w:cs="Arial" w:eastAsia="Arial" w:hAnsi="Arial"/>
          <w:sz w:val="16"/>
          <w:szCs w:val="16"/>
          <w:color w:val="auto"/>
        </w:rPr>
        <w:t>The Company has in place adequate controls and systems designed to ensure compliance with applicable laws pertaining to anti-corruption, including the FCPA, in each of the jurisdictions in which the Company currently does or in the past has done business, either directly or indirectly. The Company has not undergone or is not undergoing, any audit, review, inspection, investigation, survey or examination by a Governmental Authority relating to the FCPA, anti-corruption, or anti-kickback activity. To the knowledge of the Company, there are no threatened claims, nor presently existing facts or circumstances that would constitute a reasonable basis for any future claims, with respect the FCPA, anti-corruption, or anti-kickback activity by the Company.</w:t>
      </w:r>
    </w:p>
    <w:p>
      <w:pPr>
        <w:spacing w:after="0" w:line="97" w:lineRule="exact"/>
        <w:rPr>
          <w:sz w:val="20"/>
          <w:szCs w:val="20"/>
          <w:color w:val="auto"/>
        </w:rPr>
      </w:pPr>
    </w:p>
    <w:p>
      <w:pPr>
        <w:ind w:left="47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459"/>
          </w:cols>
          <w:pgMar w:left="1161" w:top="274" w:right="279" w:bottom="1440" w:gutter="0" w:footer="0" w:header="0"/>
        </w:sectPr>
      </w:pPr>
    </w:p>
    <w:bookmarkStart w:id="255" w:name="page256"/>
    <w:bookmarkEnd w:id="255"/>
    <w:p>
      <w:pPr>
        <w:ind w:left="-1" w:right="280" w:firstLine="421"/>
        <w:spacing w:after="0" w:line="276" w:lineRule="auto"/>
        <w:tabs>
          <w:tab w:leader="none" w:pos="994" w:val="left"/>
        </w:tabs>
        <w:numPr>
          <w:ilvl w:val="1"/>
          <w:numId w:val="17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OFAC</w:t>
      </w:r>
      <w:r>
        <w:rPr>
          <w:rFonts w:ascii="Arial" w:cs="Arial" w:eastAsia="Arial" w:hAnsi="Arial"/>
          <w:sz w:val="17"/>
          <w:szCs w:val="17"/>
          <w:color w:val="auto"/>
        </w:rPr>
        <w:t>. Neither the Company nor any director, officer, nor, to the Company’s knowledge, any affiliate, employee, agent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person acting on behalf of the Company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64" w:lineRule="exact"/>
        <w:rPr>
          <w:rFonts w:ascii="Arial" w:cs="Arial" w:eastAsia="Arial" w:hAnsi="Arial"/>
          <w:sz w:val="17"/>
          <w:szCs w:val="17"/>
          <w:color w:val="auto"/>
        </w:rPr>
      </w:pPr>
    </w:p>
    <w:p>
      <w:pPr>
        <w:ind w:left="-1" w:right="20" w:firstLine="421"/>
        <w:spacing w:after="0" w:line="285" w:lineRule="auto"/>
        <w:tabs>
          <w:tab w:leader="none" w:pos="944" w:val="left"/>
        </w:tabs>
        <w:numPr>
          <w:ilvl w:val="1"/>
          <w:numId w:val="170"/>
        </w:numPr>
        <w:rPr>
          <w:rFonts w:ascii="Arial" w:cs="Arial" w:eastAsia="Arial" w:hAnsi="Arial"/>
          <w:sz w:val="16"/>
          <w:szCs w:val="16"/>
          <w:color w:val="auto"/>
        </w:rPr>
      </w:pPr>
      <w:r>
        <w:rPr>
          <w:rFonts w:ascii="Arial" w:cs="Arial" w:eastAsia="Arial" w:hAnsi="Arial"/>
          <w:sz w:val="16"/>
          <w:szCs w:val="16"/>
          <w:i w:val="1"/>
          <w:iCs w:val="1"/>
          <w:color w:val="auto"/>
        </w:rPr>
        <w:t>Export Controls</w:t>
      </w:r>
      <w:r>
        <w:rPr>
          <w:rFonts w:ascii="Arial" w:cs="Arial" w:eastAsia="Arial" w:hAnsi="Arial"/>
          <w:sz w:val="16"/>
          <w:szCs w:val="16"/>
          <w:color w:val="auto"/>
        </w:rPr>
        <w:t>. Except as disclosed in the General Disclosure Package and the Final Prospectus, neither the Company nor,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any officer, director, affiliate, agent, distributor, or representative of the Company has any reason to believe that the Company or any of the foregoing persons or entities have taken or omitted to take any action in violation of, or which may cause the Company to be in violation of, any applicable U.S. law governing imports into or exports from the United States, reexports from one foreign country to another, disclosures of technology, or other cross-border transactions, including without limitation: the Arms Export Control Act (22 U.S.C.A.</w:t>
      </w:r>
    </w:p>
    <w:p>
      <w:pPr>
        <w:spacing w:after="0" w:line="2" w:lineRule="exact"/>
        <w:rPr>
          <w:rFonts w:ascii="Arial" w:cs="Arial" w:eastAsia="Arial" w:hAnsi="Arial"/>
          <w:sz w:val="16"/>
          <w:szCs w:val="16"/>
          <w:color w:val="auto"/>
        </w:rPr>
      </w:pPr>
    </w:p>
    <w:p>
      <w:pPr>
        <w:ind w:left="-1" w:firstLine="1"/>
        <w:spacing w:after="0" w:line="267" w:lineRule="auto"/>
        <w:tabs>
          <w:tab w:leader="none" w:pos="13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2278), the Export Administration Act (50 U.S.C. App. §§ 2401-2420), the International Traffic in Arms Regulations (22 C.F.R. §§ 120-130), the Export Administration Regulations (15 C.F.R. 730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Customs Laws of the United States (19 U.S.C. § 1 </w:t>
      </w:r>
      <w:r>
        <w:rPr>
          <w:rFonts w:ascii="Arial" w:cs="Arial" w:eastAsia="Arial" w:hAnsi="Arial"/>
          <w:sz w:val="17"/>
          <w:szCs w:val="17"/>
          <w:i w:val="1"/>
          <w:iCs w:val="1"/>
          <w:color w:val="auto"/>
        </w:rPr>
        <w:t>et seq</w:t>
      </w:r>
      <w:r>
        <w:rPr>
          <w:rFonts w:ascii="Arial" w:cs="Arial" w:eastAsia="Arial" w:hAnsi="Arial"/>
          <w:sz w:val="17"/>
          <w:szCs w:val="17"/>
          <w:color w:val="auto"/>
        </w:rPr>
        <w:t>.), the International Emergency Economic Powers Act (50 U.S.C. §§ 1701-1706), the Trading With the Enemy Act (50 U.S.C. App. §§ 5, 16), the Foreign Assets Control Regulations administered by the Office of Foreign Assets Control, any executive orders or regulations issued pursuant to the foregoing or by the agencies listed in Part 730 of the Export Administration Regulations, and any applicable non-U.S. laws of a similar nature. Except as disclosed in the General Disclosure Package and the Final Prospectus, to the Company’s knowledge, there has never been a claim or charge made, investigation undertaken, violation found, or settlement of any enforcement action under any of the laws referred to in this Section 2(a) (xxxv) by any governmental entity with respect to matters arising under such laws against the Company, or against its agents, distributors or representatives in connection with their relationship with the Company. Except as disclosed in the General Disclosure Package and the Final Prospectus, the Company and any predecessors have maintained a compliance program appropriate to the requirements of the aforementioned laws at all times that any such laws applied to the Company’s activities.</w:t>
      </w:r>
    </w:p>
    <w:p>
      <w:pPr>
        <w:spacing w:after="0" w:line="78" w:lineRule="exact"/>
        <w:rPr>
          <w:rFonts w:ascii="Arial" w:cs="Arial" w:eastAsia="Arial" w:hAnsi="Arial"/>
          <w:sz w:val="17"/>
          <w:szCs w:val="17"/>
          <w:color w:val="auto"/>
        </w:rPr>
      </w:pPr>
    </w:p>
    <w:p>
      <w:pPr>
        <w:ind w:left="-1" w:firstLine="421"/>
        <w:spacing w:after="0" w:line="257" w:lineRule="auto"/>
        <w:tabs>
          <w:tab w:leader="none" w:pos="994"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Company has filed all federal, state, local and non-U.S. tax returns that are required to be filed by it or has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extensions thereof (except in any case in which the failure so to file would not have a Material Adverse Effect); and except as disclosed in the General Disclosure Package and the Final Prospectus, the Company has paid all taxes (including any assessments, fines or penalties) required to be paid by it, except for any such taxes, assessments, fines or penalties currently being contested in good faith or as would not, individually or in the aggregate, have a Material Adverse Effect.</w:t>
      </w:r>
    </w:p>
    <w:p>
      <w:pPr>
        <w:spacing w:after="0" w:line="80" w:lineRule="exact"/>
        <w:rPr>
          <w:rFonts w:ascii="Arial" w:cs="Arial" w:eastAsia="Arial" w:hAnsi="Arial"/>
          <w:sz w:val="18"/>
          <w:szCs w:val="18"/>
          <w:color w:val="auto"/>
        </w:rPr>
      </w:pPr>
    </w:p>
    <w:p>
      <w:pPr>
        <w:ind w:left="-1" w:right="20" w:firstLine="421"/>
        <w:spacing w:after="0" w:line="277" w:lineRule="auto"/>
        <w:tabs>
          <w:tab w:leader="none" w:pos="1044"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is insured by insurers with appropriately rated claims paying abilities against such losses and risks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amounts as the Company</w:t>
      </w:r>
    </w:p>
    <w:p>
      <w:pPr>
        <w:spacing w:after="0" w:line="103"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99"/>
          </w:cols>
          <w:pgMar w:left="1161" w:top="274" w:right="239" w:bottom="1440" w:gutter="0" w:footer="0" w:header="0"/>
        </w:sectPr>
      </w:pPr>
    </w:p>
    <w:bookmarkStart w:id="256" w:name="page257"/>
    <w:bookmarkEnd w:id="256"/>
    <w:p>
      <w:pPr>
        <w:ind w:left="17"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General Disclosure Package and the Final Prospectus; and the Company will obtain directors’ and officers’ insurance in such amounts as is customary for an initial public offering.</w:t>
      </w:r>
    </w:p>
    <w:p>
      <w:pPr>
        <w:spacing w:after="0" w:line="74" w:lineRule="exact"/>
        <w:rPr>
          <w:sz w:val="20"/>
          <w:szCs w:val="20"/>
          <w:color w:val="auto"/>
        </w:rPr>
      </w:pPr>
    </w:p>
    <w:p>
      <w:pPr>
        <w:ind w:left="17" w:right="20" w:firstLine="421"/>
        <w:spacing w:after="0" w:line="259" w:lineRule="auto"/>
        <w:tabs>
          <w:tab w:leader="none" w:pos="1112"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From the time of the initial confidential submission of the Registration Statement to the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(or, if earlier, the first date on which the Company engaged directly or through any Person authorized to act on its behalf in any communication in reliance on Section 5(d) of the Act) through the date hereof, the Company has been and is an “emerging growth company,” as defined in Section 2(a) of the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7" w:firstLine="421"/>
        <w:spacing w:after="0" w:line="270" w:lineRule="auto"/>
        <w:tabs>
          <w:tab w:leader="none" w:pos="1012"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Testing-the-Waters</w:t>
      </w:r>
      <w:r>
        <w:rPr>
          <w:rFonts w:ascii="Arial" w:cs="Arial" w:eastAsia="Arial" w:hAnsi="Arial"/>
          <w:sz w:val="17"/>
          <w:szCs w:val="17"/>
          <w:color w:val="auto"/>
        </w:rPr>
        <w:t>. The Company has not (i) alone engaged in communications with potential investors in reliance on Section 5(d)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Act other than communications with the consent of the Representatives with entities that are qualified institutional buyers within the meaning of Rule 144A under the Act or institutions that are accredited investors within the meaning of Rule 501 under the Act and (ii) authorized anyone other than the Underwriters to engage in such communications. The Company reconfirms that the Underwriters have been authorized to act on its behalf in communicating with potential investors in reliance on Section 5(d) of the Act. The Company has not distributed any Testing-the-Waters Communication. As of the Applicable Time,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or includes an untrue statement of a material fact or omitted or omits to state a material fact necessary in order to make the statements therein, in the light of the circumstances under which they were made, not misleading.</w:t>
      </w:r>
    </w:p>
    <w:p>
      <w:pPr>
        <w:spacing w:after="0" w:line="70" w:lineRule="exact"/>
        <w:rPr>
          <w:sz w:val="20"/>
          <w:szCs w:val="20"/>
          <w:color w:val="auto"/>
        </w:rPr>
      </w:pPr>
    </w:p>
    <w:p>
      <w:pPr>
        <w:ind w:left="437"/>
        <w:spacing w:after="0"/>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i w:val="1"/>
          <w:iCs w:val="1"/>
          <w:color w:val="auto"/>
        </w:rPr>
        <w:t>Foreign Private Issuer</w:t>
      </w:r>
      <w:r>
        <w:rPr>
          <w:rFonts w:ascii="Arial" w:cs="Arial" w:eastAsia="Arial" w:hAnsi="Arial"/>
          <w:sz w:val="18"/>
          <w:szCs w:val="18"/>
          <w:color w:val="auto"/>
        </w:rPr>
        <w:t>. The Company is a “foreign private issuer” within the meaning of Rule 405 under the Act.</w:t>
      </w:r>
    </w:p>
    <w:p>
      <w:pPr>
        <w:spacing w:after="0" w:line="117" w:lineRule="exact"/>
        <w:rPr>
          <w:sz w:val="20"/>
          <w:szCs w:val="20"/>
          <w:color w:val="auto"/>
        </w:rPr>
      </w:pPr>
    </w:p>
    <w:p>
      <w:pPr>
        <w:jc w:val="both"/>
        <w:ind w:left="17" w:right="400" w:firstLine="420"/>
        <w:spacing w:after="0" w:line="264"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i w:val="1"/>
          <w:iCs w:val="1"/>
          <w:color w:val="auto"/>
        </w:rPr>
        <w:t>Capital Loss</w:t>
      </w:r>
      <w:r>
        <w:rPr>
          <w:rFonts w:ascii="Arial" w:cs="Arial" w:eastAsia="Arial" w:hAnsi="Arial"/>
          <w:sz w:val="18"/>
          <w:szCs w:val="18"/>
          <w:color w:val="auto"/>
        </w:rPr>
        <w:t>. The Company is not overindebted within the meaning of article 725 para 2 CO. The Company is not suffering from capital loss within the meaning of article 725 para 1 CO assuming that only share premium in excess of 50% of the nominal share capital is included in the calculation of such capital loss.</w:t>
      </w:r>
    </w:p>
    <w:p>
      <w:pPr>
        <w:spacing w:after="0" w:line="73" w:lineRule="exact"/>
        <w:rPr>
          <w:sz w:val="20"/>
          <w:szCs w:val="20"/>
          <w:color w:val="auto"/>
        </w:rPr>
      </w:pPr>
    </w:p>
    <w:p>
      <w:pPr>
        <w:ind w:left="257" w:hanging="257"/>
        <w:spacing w:after="0"/>
        <w:tabs>
          <w:tab w:leader="none" w:pos="25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Selling Shareholder severally represents and warrants to, and agrees with, the Underwriters that:</w:t>
      </w:r>
    </w:p>
    <w:p>
      <w:pPr>
        <w:spacing w:after="0" w:line="117" w:lineRule="exact"/>
        <w:rPr>
          <w:rFonts w:ascii="Arial" w:cs="Arial" w:eastAsia="Arial" w:hAnsi="Arial"/>
          <w:sz w:val="18"/>
          <w:szCs w:val="18"/>
          <w:color w:val="auto"/>
        </w:rPr>
      </w:pPr>
    </w:p>
    <w:p>
      <w:pPr>
        <w:ind w:left="17" w:right="20" w:firstLine="421"/>
        <w:spacing w:after="0" w:line="297" w:lineRule="auto"/>
        <w:tabs>
          <w:tab w:leader="none" w:pos="652" w:val="left"/>
        </w:tabs>
        <w:numPr>
          <w:ilvl w:val="1"/>
          <w:numId w:val="173"/>
        </w:numPr>
        <w:rPr>
          <w:rFonts w:ascii="Arial" w:cs="Arial" w:eastAsia="Arial" w:hAnsi="Arial"/>
          <w:sz w:val="16"/>
          <w:szCs w:val="16"/>
          <w:color w:val="auto"/>
        </w:rPr>
      </w:pPr>
      <w:r>
        <w:rPr>
          <w:rFonts w:ascii="Arial" w:cs="Arial" w:eastAsia="Arial" w:hAnsi="Arial"/>
          <w:sz w:val="16"/>
          <w:szCs w:val="16"/>
          <w:i w:val="1"/>
          <w:iCs w:val="1"/>
          <w:color w:val="auto"/>
        </w:rPr>
        <w:t>Title to Securities</w:t>
      </w:r>
      <w:r>
        <w:rPr>
          <w:rFonts w:ascii="Arial" w:cs="Arial" w:eastAsia="Arial" w:hAnsi="Arial"/>
          <w:sz w:val="16"/>
          <w:szCs w:val="16"/>
          <w:color w:val="auto"/>
        </w:rPr>
        <w:t>. Such Selling Shareholder has and on each Closing Date hereinafter mentioned will have valid and unencumbered title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Offered Securities to be delivered by such Selling Shareholder on such Closing Date and full right, power and authority to enter into this Agreement and to sell, assign, transfer and deliver the Offered Securities to be delivered by such Selling Shareholder on such Closing Date hereunder; and upon the delivery of and payment for such Offered Securities on each Closing Date hereunder the several Underwriters will acquire valid and unencumbered title to the Offered Securities to be delivered by such Selling Shareholder on such Closing Date.</w:t>
      </w:r>
    </w:p>
    <w:p>
      <w:pPr>
        <w:spacing w:after="0" w:line="91"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17"/>
          </w:cols>
          <w:pgMar w:left="1143" w:top="274" w:right="239" w:bottom="1440" w:gutter="0" w:footer="0" w:header="0"/>
        </w:sectPr>
      </w:pPr>
    </w:p>
    <w:bookmarkStart w:id="257" w:name="page258"/>
    <w:bookmarkEnd w:id="257"/>
    <w:p>
      <w:pPr>
        <w:ind w:left="-280" w:right="20" w:firstLine="421"/>
        <w:spacing w:after="0" w:line="257" w:lineRule="auto"/>
        <w:tabs>
          <w:tab w:leader="none" w:pos="405"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Absence of Further Requirements</w:t>
      </w:r>
      <w:r>
        <w:rPr>
          <w:rFonts w:ascii="Arial" w:cs="Arial" w:eastAsia="Arial" w:hAnsi="Arial"/>
          <w:sz w:val="18"/>
          <w:szCs w:val="18"/>
          <w:color w:val="auto"/>
        </w:rPr>
        <w:t>. No consent, approval, authorization or order of, or filing with, any person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agency or body or any court) is required to be obtained or made by such Selling Shareholder for the consummation of the transactions contemplated by the Custody Agreement or this Agreement in connection with the offering and sale of the Offered Securities sold by such Selling Shareholders, except (i) such as have been obtained in connection with the offer and sale of the Offered Securities, (ii) such as have been made under the Act and (iii) such as may be required under state securities laws.</w:t>
      </w:r>
    </w:p>
    <w:p>
      <w:pPr>
        <w:spacing w:after="0" w:line="80" w:lineRule="exact"/>
        <w:rPr>
          <w:rFonts w:ascii="Arial" w:cs="Arial" w:eastAsia="Arial" w:hAnsi="Arial"/>
          <w:sz w:val="18"/>
          <w:szCs w:val="18"/>
          <w:color w:val="auto"/>
        </w:rPr>
      </w:pPr>
    </w:p>
    <w:p>
      <w:pPr>
        <w:ind w:left="-280" w:firstLine="421"/>
        <w:spacing w:after="0" w:line="290" w:lineRule="auto"/>
        <w:tabs>
          <w:tab w:leader="none" w:pos="455"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Transaction</w:t>
      </w:r>
      <w:r>
        <w:rPr>
          <w:rFonts w:ascii="Arial" w:cs="Arial" w:eastAsia="Arial" w:hAnsi="Arial"/>
          <w:sz w:val="16"/>
          <w:szCs w:val="16"/>
          <w:color w:val="auto"/>
        </w:rPr>
        <w:t>. The execution, delivery and performance of the Custody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and the consummation of the transactions therein and herein contemplated will not result in a breach or violation of any of the terms and provisions of, or constitute a default under, or result in the imposition of any lien, charge or encumbrance upon any property or assets of such Selling Shareholder pursuant to, (i) any statute, any rule, regulation or order of any governmental agency or body or any court having jurisdiction over such Selling Shareholder or any of its properties or any agreement or instrument to which such Selling Shareholder is a party or by which such Selling Shareholder is bound or to which any of the properties of such Selling Shareholder is subject, except as would not reasonably be expected to have a Material Adverse Effect, or (ii) the charter or by-laws of any Selling Shareholder that is a corporation or the constituent documents of any Selling Shareholder that is not a natural person or a corporation.</w:t>
      </w:r>
    </w:p>
    <w:p>
      <w:pPr>
        <w:spacing w:after="0" w:line="58" w:lineRule="exact"/>
        <w:rPr>
          <w:rFonts w:ascii="Arial" w:cs="Arial" w:eastAsia="Arial" w:hAnsi="Arial"/>
          <w:sz w:val="16"/>
          <w:szCs w:val="16"/>
          <w:color w:val="auto"/>
        </w:rPr>
      </w:pPr>
    </w:p>
    <w:p>
      <w:pPr>
        <w:ind w:left="-280" w:right="40" w:firstLine="421"/>
        <w:spacing w:after="0" w:line="279" w:lineRule="auto"/>
        <w:tabs>
          <w:tab w:leader="none" w:pos="445"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Custody Agreement</w:t>
      </w:r>
      <w:r>
        <w:rPr>
          <w:rFonts w:ascii="Arial" w:cs="Arial" w:eastAsia="Arial" w:hAnsi="Arial"/>
          <w:sz w:val="17"/>
          <w:szCs w:val="17"/>
          <w:color w:val="auto"/>
        </w:rPr>
        <w:t>. The Power of Attorney and related Custody Agreement with respect to such Selling Shareholder has been duly</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executed and delivered by such Selling Shareholder and constitute valid and legally binding obligations of such Selling Shareholder enforceable in accordance with their terms, subject to bankruptcy, insolvency, fraudulent transfer, reorganization, moratorium and similar laws of general applicability relating to or affecting creditors’ rights and to general equity principles.</w:t>
      </w:r>
    </w:p>
    <w:p>
      <w:pPr>
        <w:spacing w:after="0" w:line="63" w:lineRule="exact"/>
        <w:rPr>
          <w:rFonts w:ascii="Arial" w:cs="Arial" w:eastAsia="Arial" w:hAnsi="Arial"/>
          <w:sz w:val="17"/>
          <w:szCs w:val="17"/>
          <w:color w:val="auto"/>
        </w:rPr>
      </w:pPr>
    </w:p>
    <w:p>
      <w:pPr>
        <w:ind w:left="-280" w:right="40" w:firstLine="421"/>
        <w:spacing w:after="0" w:line="255" w:lineRule="auto"/>
        <w:tabs>
          <w:tab w:leader="none" w:pos="395"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Final Prospectus</w:t>
      </w:r>
      <w:r>
        <w:rPr>
          <w:rFonts w:ascii="Arial" w:cs="Arial" w:eastAsia="Arial" w:hAnsi="Arial"/>
          <w:sz w:val="18"/>
          <w:szCs w:val="18"/>
          <w:color w:val="auto"/>
        </w:rPr>
        <w:t>. On its date, at the time of filing of the Final Prospectus pursuant to Rule 424(b) or (if no such filing is required)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of the Additional Registration Statement in which the Final Prospectus is included, and on each Closing Date, the Final Prospectus will not include any untrue statement of a material fact or omit to state any material fact required to be stated therein or necessary to make the statements therein not misleading. The preceding sentence applies only to written information furnished to the Company by such Selling Shareholder specifically for use in the Final Prospectus, it being understood and agreed that the only such information is that described as such in Section 10(b) hereof.</w:t>
      </w:r>
    </w:p>
    <w:p>
      <w:pPr>
        <w:spacing w:after="0" w:line="85" w:lineRule="exact"/>
        <w:rPr>
          <w:rFonts w:ascii="Arial" w:cs="Arial" w:eastAsia="Arial" w:hAnsi="Arial"/>
          <w:sz w:val="18"/>
          <w:szCs w:val="18"/>
          <w:color w:val="auto"/>
        </w:rPr>
      </w:pPr>
    </w:p>
    <w:p>
      <w:pPr>
        <w:jc w:val="both"/>
        <w:ind w:left="-280" w:right="40" w:firstLine="421"/>
        <w:spacing w:after="0" w:line="264" w:lineRule="auto"/>
        <w:tabs>
          <w:tab w:leader="none" w:pos="445"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No Undisclosed Material Information</w:t>
      </w:r>
      <w:r>
        <w:rPr>
          <w:rFonts w:ascii="Arial" w:cs="Arial" w:eastAsia="Arial" w:hAnsi="Arial"/>
          <w:sz w:val="18"/>
          <w:szCs w:val="18"/>
          <w:color w:val="auto"/>
        </w:rPr>
        <w:t>. The sale of the Offered Securities by such Selling Shareholder pursuant to this Agreement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prompted by any material information concerning the Company or any of its subsidiaries that is not set forth the General Disclosure Package and the Final Prospectus.</w:t>
      </w:r>
    </w:p>
    <w:p>
      <w:pPr>
        <w:spacing w:after="0" w:line="73" w:lineRule="exact"/>
        <w:rPr>
          <w:rFonts w:ascii="Arial" w:cs="Arial" w:eastAsia="Arial" w:hAnsi="Arial"/>
          <w:sz w:val="18"/>
          <w:szCs w:val="18"/>
          <w:color w:val="auto"/>
        </w:rPr>
      </w:pPr>
    </w:p>
    <w:p>
      <w:pPr>
        <w:ind w:left="-280" w:right="100" w:firstLine="421"/>
        <w:spacing w:after="0" w:line="291" w:lineRule="auto"/>
        <w:tabs>
          <w:tab w:leader="none" w:pos="495"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General Disclosure Package</w:t>
      </w:r>
      <w:r>
        <w:rPr>
          <w:rFonts w:ascii="Arial" w:cs="Arial" w:eastAsia="Arial" w:hAnsi="Arial"/>
          <w:sz w:val="16"/>
          <w:szCs w:val="16"/>
          <w:color w:val="auto"/>
        </w:rPr>
        <w:t>. As of the Applicable Time, none of (i) the General Disclosure Package, (ii) any individual Limited Use</w:t>
      </w:r>
      <w:r>
        <w:rPr>
          <w:rFonts w:ascii="Arial" w:cs="Arial" w:eastAsia="Arial" w:hAnsi="Arial"/>
          <w:sz w:val="16"/>
          <w:szCs w:val="16"/>
          <w:i w:val="1"/>
          <w:iCs w:val="1"/>
          <w:color w:val="auto"/>
        </w:rPr>
        <w:t xml:space="preserve"> </w:t>
      </w:r>
      <w:r>
        <w:rPr>
          <w:rFonts w:ascii="Arial" w:cs="Arial" w:eastAsia="Arial" w:hAnsi="Arial"/>
          <w:sz w:val="16"/>
          <w:szCs w:val="16"/>
          <w:color w:val="auto"/>
        </w:rPr>
        <w:t>Issuer Free Writing Prospectus, when considered together with the General Disclosure Package, or (iii) any individual Testing-the-Waters Communication,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applies only to written information furnished to the Company by such Selling Shareholder specifically for use in the General Disclosure Package, any individual Limited Use Issuer Free Writing Prospectus or any Testing-the-Waters Communication, it being understood and agreed that the only such information is that described as such in Section 10(b) hereof.</w:t>
      </w:r>
    </w:p>
    <w:p>
      <w:pPr>
        <w:spacing w:after="0" w:line="59" w:lineRule="exact"/>
        <w:rPr>
          <w:rFonts w:ascii="Arial" w:cs="Arial" w:eastAsia="Arial" w:hAnsi="Arial"/>
          <w:sz w:val="16"/>
          <w:szCs w:val="16"/>
          <w:color w:val="auto"/>
        </w:rPr>
      </w:pPr>
    </w:p>
    <w:p>
      <w:pPr>
        <w:ind w:left="540" w:hanging="399"/>
        <w:spacing w:after="0"/>
        <w:tabs>
          <w:tab w:leader="none" w:pos="540"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Authorization of Agreement</w:t>
      </w:r>
      <w:r>
        <w:rPr>
          <w:rFonts w:ascii="Arial" w:cs="Arial" w:eastAsia="Arial" w:hAnsi="Arial"/>
          <w:sz w:val="17"/>
          <w:szCs w:val="17"/>
          <w:color w:val="auto"/>
        </w:rPr>
        <w:t>. This Agreement has been duly authorized, executed and delivered by such Selling Shareholder.</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440" w:top="274" w:right="239" w:bottom="1440" w:gutter="0" w:footer="0" w:header="0"/>
        </w:sectPr>
      </w:pPr>
    </w:p>
    <w:bookmarkStart w:id="258" w:name="page259"/>
    <w:bookmarkEnd w:id="258"/>
    <w:p>
      <w:pPr>
        <w:ind w:left="920" w:firstLine="421"/>
        <w:spacing w:after="0" w:line="286" w:lineRule="auto"/>
        <w:tabs>
          <w:tab w:leader="none" w:pos="1645"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Finder’s Fee. </w:t>
      </w:r>
      <w:r>
        <w:rPr>
          <w:rFonts w:ascii="Arial" w:cs="Arial" w:eastAsia="Arial" w:hAnsi="Arial"/>
          <w:sz w:val="17"/>
          <w:szCs w:val="17"/>
          <w:color w:val="auto"/>
        </w:rPr>
        <w:t>Except as disclosed in the General Disclosure Package and the Final Prospectus, there are no contracts, agreements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understandings between such Selling Shareholder and any person that would give rise to a valid claim against such Selling Shareholder or any Underwriter for a brokerage commission, finder’s fee or other like payment in connection with this offering.</w:t>
      </w:r>
    </w:p>
    <w:p>
      <w:pPr>
        <w:spacing w:after="0" w:line="57" w:lineRule="exact"/>
        <w:rPr>
          <w:rFonts w:ascii="Arial" w:cs="Arial" w:eastAsia="Arial" w:hAnsi="Arial"/>
          <w:sz w:val="17"/>
          <w:szCs w:val="17"/>
          <w:color w:val="auto"/>
        </w:rPr>
      </w:pPr>
    </w:p>
    <w:p>
      <w:pPr>
        <w:ind w:left="920" w:right="540" w:firstLine="421"/>
        <w:spacing w:after="0" w:line="264" w:lineRule="auto"/>
        <w:tabs>
          <w:tab w:leader="none" w:pos="1595"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Such Selling Shareholder has not taken, directly or indirectly, any action that is designed to or that has</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constituted or that would reasonably be expected to cause or result in the stabilization or manipulation of the price of any security of the Company to facilitate the sale or resale of the Offered Securities.</w:t>
      </w:r>
    </w:p>
    <w:p>
      <w:pPr>
        <w:spacing w:after="0" w:line="73" w:lineRule="exact"/>
        <w:rPr>
          <w:rFonts w:ascii="Arial" w:cs="Arial" w:eastAsia="Arial" w:hAnsi="Arial"/>
          <w:sz w:val="18"/>
          <w:szCs w:val="18"/>
          <w:color w:val="auto"/>
        </w:rPr>
      </w:pPr>
    </w:p>
    <w:p>
      <w:pPr>
        <w:ind w:left="1640" w:hanging="299"/>
        <w:spacing w:after="0"/>
        <w:tabs>
          <w:tab w:leader="none" w:pos="1640"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Communication </w:t>
      </w:r>
      <w:r>
        <w:rPr>
          <w:rFonts w:ascii="Arial" w:cs="Arial" w:eastAsia="Arial" w:hAnsi="Arial"/>
          <w:sz w:val="17"/>
          <w:szCs w:val="17"/>
          <w:color w:val="auto"/>
        </w:rPr>
        <w:t>Such Selling Shareholder has not engaged in any Testing-the-Waters Communication.</w:t>
      </w:r>
    </w:p>
    <w:p>
      <w:pPr>
        <w:spacing w:after="0" w:line="237" w:lineRule="exact"/>
        <w:rPr>
          <w:sz w:val="20"/>
          <w:szCs w:val="20"/>
          <w:color w:val="auto"/>
        </w:rPr>
      </w:pPr>
    </w:p>
    <w:p>
      <w:pPr>
        <w:ind w:right="340" w:firstLine="464"/>
        <w:spacing w:after="0" w:line="302" w:lineRule="auto"/>
        <w:tabs>
          <w:tab w:leader="none" w:pos="636"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Purchase, Sale and Delivery of Offered Securities</w:t>
      </w:r>
      <w:r>
        <w:rPr>
          <w:rFonts w:ascii="Arial" w:cs="Arial" w:eastAsia="Arial" w:hAnsi="Arial"/>
          <w:sz w:val="16"/>
          <w:szCs w:val="16"/>
          <w:color w:val="auto"/>
        </w:rPr>
        <w:t>. On the basis of the representations, warranties and agreements and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and each Selling Shareholder agree, severally and not jointly, to sell to the several Underwriters, and each of the Underwriters agrees, severally and not jointly, to purchase from the Company and each Selling Shareholder, at a purchase price of $[●] per share, the respective number of shares of Firm Securities set forth opposite the names of the Underwriters in Schedule A hereto.</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Book-entry securities for the Offered Securities to be sold by the Selling Shareholders hereunder have been placed in custody, for delivery under this Agreement, under Custody Agreements made with Computershare, as custodian (“</w:t>
      </w:r>
      <w:r>
        <w:rPr>
          <w:rFonts w:ascii="Arial" w:cs="Arial" w:eastAsia="Arial" w:hAnsi="Arial"/>
          <w:sz w:val="17"/>
          <w:szCs w:val="17"/>
          <w:b w:val="1"/>
          <w:bCs w:val="1"/>
          <w:color w:val="auto"/>
        </w:rPr>
        <w:t>Custodian</w:t>
      </w:r>
      <w:r>
        <w:rPr>
          <w:rFonts w:ascii="Arial" w:cs="Arial" w:eastAsia="Arial" w:hAnsi="Arial"/>
          <w:sz w:val="17"/>
          <w:szCs w:val="17"/>
          <w:color w:val="auto"/>
        </w:rPr>
        <w:t>”). Each Selling Shareholder agrees that the shares represented by the book-entry securities held in custody for the Selling Shareholders under such Custody Agreements are subject to the interests of the Underwriters hereunder, that the arrangements made by the Selling Shareholders for such custody are to that extent irrevocable, and that the obligations of the Selling Shareholders hereunder shall not be terminated by operation of law, whether by the death of any individual Selling Shareholder or the occurrence of any other event, or in the case of a trust, by the death of any trustee or trustees or the termination of such trust. If any individual Selling Shareholder or any such trustee or trustees should die, or if any other such event should occur, or if any of such trusts should terminate, before the delivery of the Offered Securities hereunder, book-entry securities for such Offered Securities shall be delivered by the Custodian in accordance with the terms and conditions of this Agreement as if such death or other event or termination had not occurred, regardless of whether or not the Custodian shall have received notice of such death or other event or termination.</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Company and the Custodian will deliver the Firm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the Representatives drawn to the order of the Company at the office of Goodwin Procter LLP, 53 State Street, Boston, MA 02109, at 10:00 A.M., New York time, on [●], 2016, or at such other time not later than seven full business days thereafter as the Representatives and the Company determine, such time being herein referred to as the “</w:t>
      </w:r>
      <w:r>
        <w:rPr>
          <w:rFonts w:ascii="Arial" w:cs="Arial" w:eastAsia="Arial" w:hAnsi="Arial"/>
          <w:sz w:val="17"/>
          <w:szCs w:val="17"/>
          <w:b w:val="1"/>
          <w:bCs w:val="1"/>
          <w:color w:val="auto"/>
        </w:rPr>
        <w:t>First Closing Date</w:t>
      </w:r>
      <w:r>
        <w:rPr>
          <w:rFonts w:ascii="Arial" w:cs="Arial" w:eastAsia="Arial" w:hAnsi="Arial"/>
          <w:sz w:val="17"/>
          <w:szCs w:val="17"/>
          <w:color w:val="auto"/>
        </w:rPr>
        <w:t>”. For purposes of Rule 15c6-1 under the Exchange Act, the First Closing Date (if later than the otherwise applicable settlement date) shall be the settlement date for payment of funds and delivery of securities for all the Offered Securities sold pursuant to the offering. The Firm Securities so to be delivered or evidence of their issuance will be made available for checking at the above office of Goodwin Procter LLP at least 24 hours prior to the First Closing Date.</w:t>
      </w:r>
    </w:p>
    <w:p>
      <w:pPr>
        <w:spacing w:after="0" w:line="179" w:lineRule="exact"/>
        <w:rPr>
          <w:sz w:val="20"/>
          <w:szCs w:val="20"/>
          <w:color w:val="auto"/>
        </w:rPr>
      </w:pPr>
    </w:p>
    <w:p>
      <w:pPr>
        <w:jc w:val="both"/>
        <w:ind w:right="20" w:firstLine="456"/>
        <w:spacing w:after="0" w:line="276" w:lineRule="auto"/>
        <w:rPr>
          <w:sz w:val="20"/>
          <w:szCs w:val="20"/>
          <w:color w:val="auto"/>
        </w:rPr>
      </w:pPr>
      <w:r>
        <w:rPr>
          <w:rFonts w:ascii="Arial" w:cs="Arial" w:eastAsia="Arial" w:hAnsi="Arial"/>
          <w:sz w:val="17"/>
          <w:szCs w:val="17"/>
          <w:color w:val="auto"/>
        </w:rPr>
        <w:t>In addition, upon written notice from the Representatives given to the Selling Shareholders from time to time not more than 30 days subsequent to the date of the Final Prospectus, the Underwriters may purchase all or less than all of the Optional Securities at the purchase price per Security to be paid for the Firm Securities less an amount per share equal to any dividends or distributions declared by the Company and payable on the Firm Securities but not payable on the Optional Securities. The Selling Shareholders agree to sell to the Underwriters the number of shares of Optional Securities specified in such notice and the Underwriters agree, severally and not jointly, to purchase such Optional Securities. Such Optional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59" w:name="page260"/>
    <w:bookmarkEnd w:id="25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shall be purchased for the account of each Underwriter in the same proportion as the number of shares of Firm Securities set forth opposite such Underwriter’s name bears to the total number of shares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the Representatives to the Selling Shareholders.</w:t>
      </w:r>
    </w:p>
    <w:p>
      <w:pPr>
        <w:spacing w:after="0" w:line="174"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Each time for the delivery of and payment for the Optional Securities, being herein referred to as an “</w:t>
      </w:r>
      <w:r>
        <w:rPr>
          <w:rFonts w:ascii="Arial" w:cs="Arial" w:eastAsia="Arial" w:hAnsi="Arial"/>
          <w:sz w:val="17"/>
          <w:szCs w:val="17"/>
          <w:b w:val="1"/>
          <w:bCs w:val="1"/>
          <w:color w:val="auto"/>
        </w:rPr>
        <w:t>Optional Closing Date</w:t>
      </w:r>
      <w:r>
        <w:rPr>
          <w:rFonts w:ascii="Arial" w:cs="Arial" w:eastAsia="Arial" w:hAnsi="Arial"/>
          <w:sz w:val="17"/>
          <w:szCs w:val="17"/>
          <w:color w:val="auto"/>
        </w:rPr>
        <w:t>,” which may be the First Closing Date (the First Closing Date and each Optional Closing Date, if any, being sometimes referred to as a “</w:t>
      </w:r>
      <w:r>
        <w:rPr>
          <w:rFonts w:ascii="Arial" w:cs="Arial" w:eastAsia="Arial" w:hAnsi="Arial"/>
          <w:sz w:val="17"/>
          <w:szCs w:val="17"/>
          <w:b w:val="1"/>
          <w:bCs w:val="1"/>
          <w:color w:val="auto"/>
        </w:rPr>
        <w:t>Closing Date</w:t>
      </w:r>
      <w:r>
        <w:rPr>
          <w:rFonts w:ascii="Arial" w:cs="Arial" w:eastAsia="Arial" w:hAnsi="Arial"/>
          <w:sz w:val="17"/>
          <w:szCs w:val="17"/>
          <w:color w:val="auto"/>
        </w:rPr>
        <w:t>”), shall be determined by the Representatives but except as otherwise mutually agreed between the Selling Shareholders and the Representatives shall be not less than three full business days nor later than five full business days after written notice of election to purchase Optional Securities is given. The Custodian will deliver the Optional Securities being purchased on each Optional Closing Date to or as instructed by the Representatives for the accounts of the several Underwriters in a form reasonably acceptable to the Representatives against payment of the purchase price therefor in Federal (same day) funds by wire transfer to an account at a bank acceptable to the Representatives drawn to the order of the Company, at the above office of Goodwin Procter LLP. The Optional Securities being purchased on each Optional Closing Date or evidence of their issuance will be made available for checking at the above office of Goodwin Procter LLP at a reasonable time in advance of such Optional Closing Date.</w:t>
      </w:r>
    </w:p>
    <w:p>
      <w:pPr>
        <w:spacing w:after="0" w:line="178" w:lineRule="exact"/>
        <w:rPr>
          <w:sz w:val="20"/>
          <w:szCs w:val="20"/>
          <w:color w:val="auto"/>
        </w:rPr>
      </w:pPr>
    </w:p>
    <w:p>
      <w:pPr>
        <w:ind w:left="640" w:hanging="17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Capital Increase and Initial Subscription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Shareholder’s Resolution on Capital Increase</w:t>
      </w:r>
      <w:r>
        <w:rPr>
          <w:rFonts w:ascii="Arial" w:cs="Arial" w:eastAsia="Arial" w:hAnsi="Arial"/>
          <w:sz w:val="18"/>
          <w:szCs w:val="18"/>
          <w:color w:val="auto"/>
        </w:rPr>
        <w:t>. The Company confirms that: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3"/>
          <w:numId w:val="177"/>
        </w:numPr>
        <w:rPr>
          <w:rFonts w:ascii="Arial" w:cs="Arial" w:eastAsia="Arial" w:hAnsi="Arial"/>
          <w:sz w:val="16"/>
          <w:szCs w:val="16"/>
          <w:color w:val="auto"/>
        </w:rPr>
      </w:pPr>
      <w:r>
        <w:rPr>
          <w:rFonts w:ascii="Arial" w:cs="Arial" w:eastAsia="Arial" w:hAnsi="Arial"/>
          <w:sz w:val="16"/>
          <w:szCs w:val="16"/>
          <w:color w:val="auto"/>
        </w:rPr>
        <w:t>pursuant to the articles of association, the Board may effect an increase of the Company’s share capital in a maximum amount of CHF</w:t>
      </w:r>
    </w:p>
    <w:p>
      <w:pPr>
        <w:spacing w:after="0" w:line="46" w:lineRule="exact"/>
        <w:rPr>
          <w:rFonts w:ascii="Arial" w:cs="Arial" w:eastAsia="Arial" w:hAnsi="Arial"/>
          <w:sz w:val="16"/>
          <w:szCs w:val="16"/>
          <w:color w:val="auto"/>
        </w:rPr>
      </w:pPr>
    </w:p>
    <w:p>
      <w:pPr>
        <w:ind w:left="920" w:right="400"/>
        <w:spacing w:after="0" w:line="261" w:lineRule="auto"/>
        <w:rPr>
          <w:rFonts w:ascii="Arial" w:cs="Arial" w:eastAsia="Arial" w:hAnsi="Arial"/>
          <w:sz w:val="16"/>
          <w:szCs w:val="16"/>
          <w:color w:val="auto"/>
        </w:rPr>
      </w:pPr>
      <w:r>
        <w:rPr>
          <w:rFonts w:ascii="Arial" w:cs="Arial" w:eastAsia="Arial" w:hAnsi="Arial"/>
          <w:sz w:val="18"/>
          <w:szCs w:val="18"/>
          <w:color w:val="auto"/>
        </w:rPr>
        <w:t>426,950.00 by issuing up to 21,347,500 Securities out of the Company’s authorized share capital, such authorization having been granted by resolution of the shareholders meeting of October 21, 2015; and</w:t>
      </w:r>
    </w:p>
    <w:p>
      <w:pPr>
        <w:spacing w:after="0" w:line="75" w:lineRule="exact"/>
        <w:rPr>
          <w:rFonts w:ascii="Arial" w:cs="Arial" w:eastAsia="Arial" w:hAnsi="Arial"/>
          <w:sz w:val="16"/>
          <w:szCs w:val="16"/>
          <w:color w:val="auto"/>
        </w:rPr>
      </w:pPr>
    </w:p>
    <w:p>
      <w:pPr>
        <w:ind w:left="920" w:right="440" w:firstLine="421"/>
        <w:spacing w:after="0" w:line="277" w:lineRule="auto"/>
        <w:tabs>
          <w:tab w:leader="none" w:pos="1605" w:val="left"/>
        </w:tabs>
        <w:numPr>
          <w:ilvl w:val="3"/>
          <w:numId w:val="177"/>
        </w:numPr>
        <w:rPr>
          <w:rFonts w:ascii="Arial" w:cs="Arial" w:eastAsia="Arial" w:hAnsi="Arial"/>
          <w:sz w:val="18"/>
          <w:szCs w:val="18"/>
          <w:color w:val="auto"/>
        </w:rPr>
      </w:pPr>
      <w:r>
        <w:rPr>
          <w:rFonts w:ascii="Arial" w:cs="Arial" w:eastAsia="Arial" w:hAnsi="Arial"/>
          <w:sz w:val="18"/>
          <w:szCs w:val="18"/>
          <w:color w:val="auto"/>
        </w:rPr>
        <w:t>all statutory pre-emptive rights to which the existing shareholders of the Company are entitled under Swiss law with respect to the capital increase described in Section 4(a)(i) have been validly set aside or waived.</w:t>
      </w:r>
    </w:p>
    <w:p>
      <w:pPr>
        <w:spacing w:after="0" w:line="62" w:lineRule="exact"/>
        <w:rPr>
          <w:rFonts w:ascii="Arial" w:cs="Arial" w:eastAsia="Arial" w:hAnsi="Arial"/>
          <w:sz w:val="18"/>
          <w:szCs w:val="18"/>
          <w:color w:val="auto"/>
        </w:rPr>
      </w:pPr>
    </w:p>
    <w:p>
      <w:pPr>
        <w:ind w:left="460" w:right="20" w:firstLine="443"/>
        <w:spacing w:after="0" w:line="277" w:lineRule="auto"/>
        <w:tabs>
          <w:tab w:leader="none" w:pos="1153"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Subscription of Firm Capital Increase</w:t>
      </w:r>
      <w:r>
        <w:rPr>
          <w:rFonts w:ascii="Arial" w:cs="Arial" w:eastAsia="Arial" w:hAnsi="Arial"/>
          <w:sz w:val="18"/>
          <w:szCs w:val="18"/>
          <w:color w:val="auto"/>
        </w:rPr>
        <w:t>. The Representatives, acting in their own names but for the accounts of the several Underwriters, agree,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basis of the representations, warranties and agreements herein contained, to:</w:t>
      </w:r>
    </w:p>
    <w:p>
      <w:pPr>
        <w:spacing w:after="0" w:line="58" w:lineRule="exact"/>
        <w:rPr>
          <w:rFonts w:ascii="Arial" w:cs="Arial" w:eastAsia="Arial" w:hAnsi="Arial"/>
          <w:sz w:val="18"/>
          <w:szCs w:val="18"/>
          <w:color w:val="auto"/>
        </w:rPr>
      </w:pPr>
    </w:p>
    <w:p>
      <w:pPr>
        <w:ind w:left="920" w:right="60" w:firstLine="421"/>
        <w:spacing w:after="0" w:line="255" w:lineRule="auto"/>
        <w:tabs>
          <w:tab w:leader="none" w:pos="1555" w:val="left"/>
        </w:tabs>
        <w:numPr>
          <w:ilvl w:val="3"/>
          <w:numId w:val="177"/>
        </w:numPr>
        <w:rPr>
          <w:rFonts w:ascii="Arial" w:cs="Arial" w:eastAsia="Arial" w:hAnsi="Arial"/>
          <w:sz w:val="18"/>
          <w:szCs w:val="18"/>
          <w:color w:val="auto"/>
        </w:rPr>
      </w:pPr>
      <w:r>
        <w:rPr>
          <w:rFonts w:ascii="Arial" w:cs="Arial" w:eastAsia="Arial" w:hAnsi="Arial"/>
          <w:sz w:val="18"/>
          <w:szCs w:val="18"/>
          <w:color w:val="auto"/>
        </w:rPr>
        <w:t>acquire for nominal value from the Company up to 5,300,000 Securities (“</w:t>
      </w:r>
      <w:r>
        <w:rPr>
          <w:rFonts w:ascii="Arial" w:cs="Arial" w:eastAsia="Arial" w:hAnsi="Arial"/>
          <w:sz w:val="18"/>
          <w:szCs w:val="18"/>
          <w:b w:val="1"/>
          <w:bCs w:val="1"/>
          <w:color w:val="auto"/>
        </w:rPr>
        <w:t>Company Shares Tranche I</w:t>
      </w:r>
      <w:r>
        <w:rPr>
          <w:rFonts w:ascii="Arial" w:cs="Arial" w:eastAsia="Arial" w:hAnsi="Arial"/>
          <w:sz w:val="18"/>
          <w:szCs w:val="18"/>
          <w:color w:val="auto"/>
        </w:rPr>
        <w:t>”), and for the difference, if any, between the number of Company Shares Tranche I and the number of Company Securities (such difference being the “</w:t>
      </w:r>
      <w:r>
        <w:rPr>
          <w:rFonts w:ascii="Arial" w:cs="Arial" w:eastAsia="Arial" w:hAnsi="Arial"/>
          <w:sz w:val="18"/>
          <w:szCs w:val="18"/>
          <w:b w:val="1"/>
          <w:bCs w:val="1"/>
          <w:color w:val="auto"/>
        </w:rPr>
        <w:t>Company Shares</w:t>
      </w:r>
      <w:r>
        <w:rPr>
          <w:rFonts w:ascii="Arial" w:cs="Arial" w:eastAsia="Arial" w:hAnsi="Arial"/>
          <w:sz w:val="18"/>
          <w:szCs w:val="18"/>
          <w:color w:val="auto"/>
        </w:rPr>
        <w:t xml:space="preserve"> </w:t>
      </w:r>
      <w:r>
        <w:rPr>
          <w:rFonts w:ascii="Arial" w:cs="Arial" w:eastAsia="Arial" w:hAnsi="Arial"/>
          <w:sz w:val="18"/>
          <w:szCs w:val="18"/>
          <w:b w:val="1"/>
          <w:bCs w:val="1"/>
          <w:color w:val="auto"/>
        </w:rPr>
        <w:t>Tranche II</w:t>
      </w:r>
      <w:r>
        <w:rPr>
          <w:rFonts w:ascii="Arial" w:cs="Arial" w:eastAsia="Arial" w:hAnsi="Arial"/>
          <w:sz w:val="18"/>
          <w:szCs w:val="18"/>
          <w:color w:val="auto"/>
        </w:rPr>
        <w:t>”) subscribe, on or by 6:00 a.m. New York time on the third business day immediately preceding the First Closing Date, or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date as agreed between the Company and Representatives, at the issue price (</w:t>
      </w:r>
      <w:r>
        <w:rPr>
          <w:rFonts w:ascii="Arial" w:cs="Arial" w:eastAsia="Arial" w:hAnsi="Arial"/>
          <w:sz w:val="18"/>
          <w:szCs w:val="18"/>
          <w:i w:val="1"/>
          <w:iCs w:val="1"/>
          <w:color w:val="auto"/>
        </w:rPr>
        <w:t>Ausgabebetrag</w:t>
      </w:r>
      <w:r>
        <w:rPr>
          <w:rFonts w:ascii="Arial" w:cs="Arial" w:eastAsia="Arial" w:hAnsi="Arial"/>
          <w:sz w:val="18"/>
          <w:szCs w:val="18"/>
          <w:color w:val="auto"/>
        </w:rPr>
        <w:t>) of CHF 0.02 per Company Shares Tranche II corresponding to the nominal value for each Company Security and to deliver the corresponding subscription form (</w:t>
      </w:r>
      <w:r>
        <w:rPr>
          <w:rFonts w:ascii="Arial" w:cs="Arial" w:eastAsia="Arial" w:hAnsi="Arial"/>
          <w:sz w:val="18"/>
          <w:szCs w:val="18"/>
          <w:i w:val="1"/>
          <w:iCs w:val="1"/>
          <w:color w:val="auto"/>
        </w:rPr>
        <w:t>Zeichnungsschein</w:t>
      </w:r>
      <w:r>
        <w:rPr>
          <w:rFonts w:ascii="Arial" w:cs="Arial" w:eastAsia="Arial" w:hAnsi="Arial"/>
          <w:sz w:val="18"/>
          <w:szCs w:val="18"/>
          <w:color w:val="auto"/>
        </w:rPr>
        <w:t xml:space="preserve">) to the Company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by not later than 6:00 a.m. New York time on the third business day immediately preceding the Closing Date; and</w:t>
      </w:r>
    </w:p>
    <w:p>
      <w:pPr>
        <w:spacing w:after="0" w:line="85" w:lineRule="exact"/>
        <w:rPr>
          <w:rFonts w:ascii="Arial" w:cs="Arial" w:eastAsia="Arial" w:hAnsi="Arial"/>
          <w:sz w:val="18"/>
          <w:szCs w:val="18"/>
          <w:color w:val="auto"/>
        </w:rPr>
      </w:pPr>
    </w:p>
    <w:p>
      <w:pPr>
        <w:ind w:left="920" w:right="100" w:firstLine="421"/>
        <w:spacing w:after="0" w:line="291" w:lineRule="auto"/>
        <w:tabs>
          <w:tab w:leader="none" w:pos="1605" w:val="left"/>
        </w:tabs>
        <w:numPr>
          <w:ilvl w:val="3"/>
          <w:numId w:val="177"/>
        </w:numPr>
        <w:rPr>
          <w:rFonts w:ascii="Arial" w:cs="Arial" w:eastAsia="Arial" w:hAnsi="Arial"/>
          <w:sz w:val="16"/>
          <w:szCs w:val="16"/>
          <w:color w:val="auto"/>
        </w:rPr>
      </w:pPr>
      <w:r>
        <w:rPr>
          <w:rFonts w:ascii="Arial" w:cs="Arial" w:eastAsia="Arial" w:hAnsi="Arial"/>
          <w:sz w:val="16"/>
          <w:szCs w:val="16"/>
          <w:color w:val="auto"/>
        </w:rPr>
        <w:t>deposit or cause to be deposited, not later than 7:30 a.m. New York time on the second business day immediately preceding the First Closing Date, or such other time and date as agreed between the Company and Representatives, same-day funds for value in the amount of CHF</w:t>
      </w:r>
    </w:p>
    <w:p>
      <w:pPr>
        <w:ind w:left="920" w:right="220" w:firstLine="1"/>
        <w:spacing w:after="0" w:line="261" w:lineRule="auto"/>
        <w:tabs>
          <w:tab w:leader="none" w:pos="1194" w:val="left"/>
        </w:tabs>
        <w:numPr>
          <w:ilvl w:val="2"/>
          <w:numId w:val="177"/>
        </w:numPr>
        <w:rPr>
          <w:rFonts w:ascii="Arial" w:cs="Arial" w:eastAsia="Arial" w:hAnsi="Arial"/>
          <w:sz w:val="18"/>
          <w:szCs w:val="18"/>
          <w:color w:val="auto"/>
        </w:rPr>
      </w:pPr>
      <w:r>
        <w:rPr>
          <w:rFonts w:ascii="Arial" w:cs="Arial" w:eastAsia="Arial" w:hAnsi="Arial"/>
          <w:sz w:val="18"/>
          <w:szCs w:val="18"/>
          <w:color w:val="auto"/>
        </w:rPr>
        <w:t>(corresponding to the aggregate nominal value of the Company Shares Tranche II) (the “</w:t>
      </w:r>
      <w:r>
        <w:rPr>
          <w:rFonts w:ascii="Arial" w:cs="Arial" w:eastAsia="Arial" w:hAnsi="Arial"/>
          <w:sz w:val="18"/>
          <w:szCs w:val="18"/>
          <w:b w:val="1"/>
          <w:bCs w:val="1"/>
          <w:color w:val="auto"/>
        </w:rPr>
        <w:t>Firm Capital Increase Amount</w:t>
      </w:r>
      <w:r>
        <w:rPr>
          <w:rFonts w:ascii="Arial" w:cs="Arial" w:eastAsia="Arial" w:hAnsi="Arial"/>
          <w:sz w:val="18"/>
          <w:szCs w:val="18"/>
          <w:color w:val="auto"/>
        </w:rPr>
        <w:t>”) with UBS AG, Basel, Switzerland, SWIFT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60" w:name="page261"/>
    <w:bookmarkEnd w:id="26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(BIC): UBSWCHZH80A, bank clearing No: 243 (the “</w:t>
      </w:r>
      <w:r>
        <w:rPr>
          <w:rFonts w:ascii="Arial" w:cs="Arial" w:eastAsia="Arial" w:hAnsi="Arial"/>
          <w:sz w:val="18"/>
          <w:szCs w:val="18"/>
          <w:b w:val="1"/>
          <w:bCs w:val="1"/>
          <w:color w:val="auto"/>
        </w:rPr>
        <w:t>Capital Increase Bank</w:t>
      </w:r>
      <w:r>
        <w:rPr>
          <w:rFonts w:ascii="Arial" w:cs="Arial" w:eastAsia="Arial" w:hAnsi="Arial"/>
          <w:sz w:val="18"/>
          <w:szCs w:val="18"/>
          <w:color w:val="auto"/>
        </w:rPr>
        <w:t>”), in a blocked account for such capital increase</w:t>
      </w:r>
    </w:p>
    <w:p>
      <w:pPr>
        <w:spacing w:after="0" w:line="27" w:lineRule="exact"/>
        <w:rPr>
          <w:sz w:val="20"/>
          <w:szCs w:val="20"/>
          <w:color w:val="auto"/>
        </w:rPr>
      </w:pPr>
    </w:p>
    <w:p>
      <w:pPr>
        <w:ind w:left="920" w:right="22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Kapitaleinzahlungskonto</w:t>
      </w:r>
      <w:r>
        <w:rPr>
          <w:rFonts w:ascii="Arial" w:cs="Arial" w:eastAsia="Arial" w:hAnsi="Arial"/>
          <w:sz w:val="16"/>
          <w:szCs w:val="16"/>
          <w:color w:val="auto"/>
        </w:rPr>
        <w:t>), account number 0243 00179630.D7C, made out to the Company’s name (the “</w:t>
      </w:r>
      <w:r>
        <w:rPr>
          <w:rFonts w:ascii="Arial" w:cs="Arial" w:eastAsia="Arial" w:hAnsi="Arial"/>
          <w:sz w:val="16"/>
          <w:szCs w:val="16"/>
          <w:b w:val="1"/>
          <w:bCs w:val="1"/>
          <w:color w:val="auto"/>
        </w:rPr>
        <w:t>Firm Capital Increase Account</w:t>
      </w:r>
      <w:r>
        <w:rPr>
          <w:rFonts w:ascii="Arial" w:cs="Arial" w:eastAsia="Arial" w:hAnsi="Arial"/>
          <w:sz w:val="16"/>
          <w:szCs w:val="16"/>
          <w:color w:val="auto"/>
        </w:rPr>
        <w:t>”), and to cause the Capital Increase Bank to issue and deliver to VISCHER AG, Aeschenvorstadt 4, CHF 4010 Basel a written original confirmation of payment of the Firm Capital Increase Amount to the Company no later than 12:00 p.m. New York time on the second business day immediately preceding the First Closing Date (or such other time and date as agreed between the Company and the Representatives).</w:t>
      </w:r>
    </w:p>
    <w:p>
      <w:pPr>
        <w:spacing w:after="0" w:line="53" w:lineRule="exact"/>
        <w:rPr>
          <w:sz w:val="20"/>
          <w:szCs w:val="20"/>
          <w:color w:val="auto"/>
        </w:rPr>
      </w:pPr>
    </w:p>
    <w:p>
      <w:pPr>
        <w:ind w:left="460" w:right="20" w:firstLine="443"/>
        <w:spacing w:after="0" w:line="264" w:lineRule="auto"/>
        <w:tabs>
          <w:tab w:leader="none" w:pos="1143"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Board Resolution and Registration of Firm Capital Increase</w:t>
      </w:r>
      <w:r>
        <w:rPr>
          <w:rFonts w:ascii="Arial" w:cs="Arial" w:eastAsia="Arial" w:hAnsi="Arial"/>
          <w:sz w:val="18"/>
          <w:szCs w:val="18"/>
          <w:color w:val="auto"/>
        </w:rPr>
        <w:t>. Upon receipt of the documents referred to in Section 4(b) and before 2:30 a.m.</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time on the first business day immediately preceding the First Closing Date, or such other time and date as agreed between the Company and the Representatives, the Board (or a committee or a Board member duly authorized by the Board) will:</w:t>
      </w:r>
    </w:p>
    <w:p>
      <w:pPr>
        <w:spacing w:after="0" w:line="73" w:lineRule="exact"/>
        <w:rPr>
          <w:rFonts w:ascii="Arial" w:cs="Arial" w:eastAsia="Arial" w:hAnsi="Arial"/>
          <w:sz w:val="18"/>
          <w:szCs w:val="18"/>
          <w:color w:val="auto"/>
        </w:rPr>
      </w:pPr>
    </w:p>
    <w:p>
      <w:pPr>
        <w:ind w:left="920" w:right="620" w:firstLine="421"/>
        <w:spacing w:after="0" w:line="277" w:lineRule="auto"/>
        <w:tabs>
          <w:tab w:leader="none" w:pos="155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pass a capital increase resolution (</w:t>
      </w:r>
      <w:r>
        <w:rPr>
          <w:rFonts w:ascii="Arial" w:cs="Arial" w:eastAsia="Arial" w:hAnsi="Arial"/>
          <w:sz w:val="18"/>
          <w:szCs w:val="18"/>
          <w:i w:val="1"/>
          <w:iCs w:val="1"/>
          <w:color w:val="auto"/>
        </w:rPr>
        <w:t>Erhöhungsbeschluss</w:t>
      </w:r>
      <w:r>
        <w:rPr>
          <w:rFonts w:ascii="Arial" w:cs="Arial" w:eastAsia="Arial" w:hAnsi="Arial"/>
          <w:sz w:val="18"/>
          <w:szCs w:val="18"/>
          <w:color w:val="auto"/>
        </w:rPr>
        <w:t>) regarding the issuance of the Company Shares Tranche II subscribed for pursuant to Section 4(b)(i) (the “</w:t>
      </w:r>
      <w:r>
        <w:rPr>
          <w:rFonts w:ascii="Arial" w:cs="Arial" w:eastAsia="Arial" w:hAnsi="Arial"/>
          <w:sz w:val="18"/>
          <w:szCs w:val="18"/>
          <w:b w:val="1"/>
          <w:bCs w:val="1"/>
          <w:color w:val="auto"/>
        </w:rPr>
        <w:t>Firm Capital Increase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20" w:firstLine="421"/>
        <w:spacing w:after="0" w:line="277" w:lineRule="auto"/>
        <w:tabs>
          <w:tab w:leader="none" w:pos="16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adopt a report on the Firm Capital Increase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and take note of the auditors’ report (</w:t>
      </w:r>
      <w:r>
        <w:rPr>
          <w:rFonts w:ascii="Arial" w:cs="Arial" w:eastAsia="Arial" w:hAnsi="Arial"/>
          <w:sz w:val="18"/>
          <w:szCs w:val="18"/>
          <w:i w:val="1"/>
          <w:iCs w:val="1"/>
          <w:color w:val="auto"/>
        </w:rPr>
        <w:t>Prüfungsbestätigung</w:t>
      </w:r>
      <w:r>
        <w:rPr>
          <w:rFonts w:ascii="Arial" w:cs="Arial" w:eastAsia="Arial" w:hAnsi="Arial"/>
          <w:sz w:val="18"/>
          <w:szCs w:val="18"/>
          <w:color w:val="auto"/>
        </w:rPr>
        <w:t>), all in accordance with Swiss statutory law;</w:t>
      </w:r>
    </w:p>
    <w:p>
      <w:pPr>
        <w:spacing w:after="0" w:line="62" w:lineRule="exact"/>
        <w:rPr>
          <w:rFonts w:ascii="Arial" w:cs="Arial" w:eastAsia="Arial" w:hAnsi="Arial"/>
          <w:sz w:val="18"/>
          <w:szCs w:val="18"/>
          <w:color w:val="auto"/>
        </w:rPr>
      </w:pPr>
    </w:p>
    <w:p>
      <w:pPr>
        <w:ind w:left="920" w:right="60" w:firstLine="421"/>
        <w:spacing w:after="0" w:line="277" w:lineRule="auto"/>
        <w:tabs>
          <w:tab w:leader="none" w:pos="165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resolve on the Firm Capital Increase and making all amendments to the articles of association of the Company necessary in connection with the Firm Capital Increase (</w:t>
      </w:r>
      <w:r>
        <w:rPr>
          <w:rFonts w:ascii="Arial" w:cs="Arial" w:eastAsia="Arial" w:hAnsi="Arial"/>
          <w:sz w:val="18"/>
          <w:szCs w:val="18"/>
          <w:i w:val="1"/>
          <w:iCs w:val="1"/>
          <w:color w:val="auto"/>
        </w:rPr>
        <w:t>Feststellungs- und Statutenänderungsbeschluss</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920" w:right="80" w:firstLine="421"/>
        <w:spacing w:after="0" w:line="308" w:lineRule="auto"/>
        <w:tabs>
          <w:tab w:leader="none" w:pos="1645" w:val="left"/>
        </w:tabs>
        <w:numPr>
          <w:ilvl w:val="1"/>
          <w:numId w:val="178"/>
        </w:numPr>
        <w:rPr>
          <w:rFonts w:ascii="Arial" w:cs="Arial" w:eastAsia="Arial" w:hAnsi="Arial"/>
          <w:sz w:val="17"/>
          <w:szCs w:val="17"/>
          <w:color w:val="auto"/>
        </w:rPr>
      </w:pPr>
      <w:r>
        <w:rPr>
          <w:rFonts w:ascii="Arial" w:cs="Arial" w:eastAsia="Arial" w:hAnsi="Arial"/>
          <w:sz w:val="17"/>
          <w:szCs w:val="17"/>
          <w:color w:val="auto"/>
        </w:rPr>
        <w:t>promptly thereafter, no later than 6:00 a.m. New York time on the first business day immediately preceding the First Closing Date, file the documents necessary for the registration of the Firm Capital Increase with the Commercial Register of the Canton of Vaud;</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this Agreement is terminated pursuant to Section 12 prior to the Company filing the relevant resolutions with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of the Canton of Vaud, (A) the Company undertakes not to resolve on the Firm Capital Increase (if it has not already done so) or to file the relevant resolutions with the Commercial Register of the Canton of Vaud, and (B) the Company shall immediately cause the Capital Increase Bank to release the Firm Capital Increase Amount in full to the Representatives, acting for the accounts of the several Underwriters, as soon as practicable; and the Underwriters understand that the Capital Increase Bank may require confirmation, including from the Underwriters, to release the Firm Capital Increase Amount and the Underwriters agree to deliver such confirmation.</w:t>
      </w:r>
    </w:p>
    <w:p>
      <w:pPr>
        <w:spacing w:after="0" w:line="85" w:lineRule="exact"/>
        <w:rPr>
          <w:sz w:val="20"/>
          <w:szCs w:val="20"/>
          <w:color w:val="auto"/>
        </w:rPr>
      </w:pPr>
    </w:p>
    <w:p>
      <w:pPr>
        <w:ind w:left="460" w:right="60" w:firstLine="443"/>
        <w:spacing w:after="0" w:line="264" w:lineRule="auto"/>
        <w:tabs>
          <w:tab w:leader="none" w:pos="1153"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Issue of Company Securities</w:t>
      </w:r>
      <w:r>
        <w:rPr>
          <w:rFonts w:ascii="Arial" w:cs="Arial" w:eastAsia="Arial" w:hAnsi="Arial"/>
          <w:sz w:val="18"/>
          <w:szCs w:val="18"/>
          <w:color w:val="auto"/>
        </w:rPr>
        <w:t>. Immediately after the registration of the Company Capital Increase in the Commercial Register of the Canton of</w:t>
      </w:r>
      <w:r>
        <w:rPr>
          <w:rFonts w:ascii="Arial" w:cs="Arial" w:eastAsia="Arial" w:hAnsi="Arial"/>
          <w:sz w:val="18"/>
          <w:szCs w:val="18"/>
          <w:i w:val="1"/>
          <w:iCs w:val="1"/>
          <w:color w:val="auto"/>
        </w:rPr>
        <w:t xml:space="preserve"> </w:t>
      </w:r>
      <w:r>
        <w:rPr>
          <w:rFonts w:ascii="Arial" w:cs="Arial" w:eastAsia="Arial" w:hAnsi="Arial"/>
          <w:sz w:val="18"/>
          <w:szCs w:val="18"/>
          <w:color w:val="auto"/>
        </w:rPr>
        <w:t>Vaud pursuant to Section 4(c), but in no event later than 3:00 p.m. New York time on the business day prior to the First Closing Date, the Company will:</w:t>
      </w:r>
    </w:p>
    <w:p>
      <w:pPr>
        <w:spacing w:after="0" w:line="73" w:lineRule="exact"/>
        <w:rPr>
          <w:rFonts w:ascii="Arial" w:cs="Arial" w:eastAsia="Arial" w:hAnsi="Arial"/>
          <w:sz w:val="18"/>
          <w:szCs w:val="18"/>
          <w:color w:val="auto"/>
        </w:rPr>
      </w:pPr>
    </w:p>
    <w:p>
      <w:pPr>
        <w:ind w:left="920" w:right="120" w:firstLine="421"/>
        <w:spacing w:after="0" w:line="273" w:lineRule="auto"/>
        <w:tabs>
          <w:tab w:leader="none" w:pos="1555" w:val="left"/>
        </w:tabs>
        <w:numPr>
          <w:ilvl w:val="1"/>
          <w:numId w:val="179"/>
        </w:numPr>
        <w:rPr>
          <w:rFonts w:ascii="Arial" w:cs="Arial" w:eastAsia="Arial" w:hAnsi="Arial"/>
          <w:sz w:val="17"/>
          <w:szCs w:val="17"/>
          <w:color w:val="auto"/>
        </w:rPr>
      </w:pPr>
      <w:r>
        <w:rPr>
          <w:rFonts w:ascii="Arial" w:cs="Arial" w:eastAsia="Arial" w:hAnsi="Arial"/>
          <w:sz w:val="17"/>
          <w:szCs w:val="17"/>
          <w:color w:val="auto"/>
        </w:rPr>
        <w:t>deliver to each of the Representatives and the Capital Increase Bank, (A) a copy of the certified excerpt of the journal entry (</w:t>
      </w:r>
      <w:r>
        <w:rPr>
          <w:rFonts w:ascii="Arial" w:cs="Arial" w:eastAsia="Arial" w:hAnsi="Arial"/>
          <w:sz w:val="17"/>
          <w:szCs w:val="17"/>
          <w:i w:val="1"/>
          <w:iCs w:val="1"/>
          <w:color w:val="auto"/>
        </w:rPr>
        <w:t>Tagebuch</w:t>
      </w:r>
      <w:r>
        <w:rPr>
          <w:rFonts w:ascii="Arial" w:cs="Arial" w:eastAsia="Arial" w:hAnsi="Arial"/>
          <w:sz w:val="17"/>
          <w:szCs w:val="17"/>
          <w:color w:val="auto"/>
        </w:rPr>
        <w:t>) or a copy of the certified excerpt from the Commercial Register of the Canton of Vaud evidencing the issuance of all Company Securities, including the Firm Capital Increase, (B) a copy of the certified updated articles of association of the Company evidencing all Firm Securities, including the shares issued in the Firm Capital Increase, (C) a copy of the Company’s book of uncertificated securities (</w:t>
      </w:r>
      <w:r>
        <w:rPr>
          <w:rFonts w:ascii="Arial" w:cs="Arial" w:eastAsia="Arial" w:hAnsi="Arial"/>
          <w:sz w:val="17"/>
          <w:szCs w:val="17"/>
          <w:i w:val="1"/>
          <w:iCs w:val="1"/>
          <w:color w:val="auto"/>
        </w:rPr>
        <w:t>Wertrechtebuch</w:t>
      </w:r>
      <w:r>
        <w:rPr>
          <w:rFonts w:ascii="Arial" w:cs="Arial" w:eastAsia="Arial" w:hAnsi="Arial"/>
          <w:sz w:val="17"/>
          <w:szCs w:val="17"/>
          <w:color w:val="auto"/>
        </w:rPr>
        <w:t>) evidencing the Underwriters as first holders of the Company Securities, and (D) a copy of the share register (</w:t>
      </w:r>
      <w:r>
        <w:rPr>
          <w:rFonts w:ascii="Arial" w:cs="Arial" w:eastAsia="Arial" w:hAnsi="Arial"/>
          <w:sz w:val="17"/>
          <w:szCs w:val="17"/>
          <w:i w:val="1"/>
          <w:iCs w:val="1"/>
          <w:color w:val="auto"/>
        </w:rPr>
        <w:t>Aktienbuch</w:t>
      </w:r>
      <w:r>
        <w:rPr>
          <w:rFonts w:ascii="Arial" w:cs="Arial" w:eastAsia="Arial" w:hAnsi="Arial"/>
          <w:sz w:val="17"/>
          <w:szCs w:val="17"/>
          <w:color w:val="auto"/>
        </w:rPr>
        <w:t>) of the Company evidencing the Underwriters as shareholders with respect to the Company Securities; and</w:t>
      </w:r>
    </w:p>
    <w:p>
      <w:pPr>
        <w:spacing w:after="0" w:line="70" w:lineRule="exact"/>
        <w:rPr>
          <w:rFonts w:ascii="Arial" w:cs="Arial" w:eastAsia="Arial" w:hAnsi="Arial"/>
          <w:sz w:val="17"/>
          <w:szCs w:val="17"/>
          <w:color w:val="auto"/>
        </w:rPr>
      </w:pPr>
    </w:p>
    <w:p>
      <w:pPr>
        <w:ind w:left="920" w:right="160" w:firstLine="421"/>
        <w:spacing w:after="0" w:line="264" w:lineRule="auto"/>
        <w:tabs>
          <w:tab w:leader="none" w:pos="16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take all steps necessary to ensure that the Company Securities will be (A) duly recorded in an account of the Underwriters at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on the First Closing Date; and (B) freely transferable (subject to any applicable restrictions set forth in the articles of association of the Company) on the First Closing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261" w:name="page262"/>
    <w:bookmarkEnd w:id="261"/>
    <w:p>
      <w:pPr>
        <w:jc w:val="both"/>
        <w:ind w:left="460" w:right="100" w:firstLine="443"/>
        <w:spacing w:after="0" w:line="264" w:lineRule="auto"/>
        <w:tabs>
          <w:tab w:leader="none" w:pos="1143"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Firm Capital Increase Amount</w:t>
      </w:r>
      <w:r>
        <w:rPr>
          <w:rFonts w:ascii="Arial" w:cs="Arial" w:eastAsia="Arial" w:hAnsi="Arial"/>
          <w:sz w:val="18"/>
          <w:szCs w:val="18"/>
          <w:color w:val="auto"/>
        </w:rPr>
        <w:t>. The funds deposited in the Firm Capital Increase Account shall, upon registration of the Firm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pursuant to Section 4(c) and upon request by the Company, be transferred to a separate account of the Company with the Representatives and shall, in such case, remain so deposited for the account of the Company until the earlier of:</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issuance of the Company Securities to the Underwriters as set forth in Section 4(d) on the First Closing Date; and</w:t>
      </w:r>
    </w:p>
    <w:p>
      <w:pPr>
        <w:spacing w:after="0" w:line="117" w:lineRule="exact"/>
        <w:rPr>
          <w:rFonts w:ascii="Arial" w:cs="Arial" w:eastAsia="Arial" w:hAnsi="Arial"/>
          <w:sz w:val="18"/>
          <w:szCs w:val="18"/>
          <w:color w:val="auto"/>
        </w:rPr>
      </w:pPr>
    </w:p>
    <w:p>
      <w:pPr>
        <w:ind w:left="920" w:right="640" w:firstLine="421"/>
        <w:spacing w:after="0" w:line="342" w:lineRule="auto"/>
        <w:tabs>
          <w:tab w:leader="none" w:pos="1605" w:val="left"/>
        </w:tabs>
        <w:numPr>
          <w:ilvl w:val="1"/>
          <w:numId w:val="180"/>
        </w:numPr>
        <w:rPr>
          <w:rFonts w:ascii="Arial" w:cs="Arial" w:eastAsia="Arial" w:hAnsi="Arial"/>
          <w:sz w:val="16"/>
          <w:szCs w:val="16"/>
          <w:color w:val="auto"/>
        </w:rPr>
      </w:pPr>
      <w:r>
        <w:rPr>
          <w:rFonts w:ascii="Arial" w:cs="Arial" w:eastAsia="Arial" w:hAnsi="Arial"/>
          <w:sz w:val="16"/>
          <w:szCs w:val="16"/>
          <w:color w:val="auto"/>
        </w:rPr>
        <w:t>the date of receipt by the Representatives on behalf of the several Underwriters of the proceeds of (A) the sale of the Company Securities as set forth in Sections 14(b), 14(c) or 14(e) or (B) the Capital Reduction as set forth in Section 14(d), as the case may be.</w:t>
      </w:r>
    </w:p>
    <w:p>
      <w:pPr>
        <w:spacing w:after="0" w:line="16" w:lineRule="exact"/>
        <w:rPr>
          <w:sz w:val="20"/>
          <w:szCs w:val="20"/>
          <w:color w:val="auto"/>
        </w:rPr>
      </w:pPr>
    </w:p>
    <w:p>
      <w:pPr>
        <w:ind w:left="460" w:right="480" w:firstLine="438"/>
        <w:spacing w:after="0" w:line="277" w:lineRule="auto"/>
        <w:rPr>
          <w:sz w:val="20"/>
          <w:szCs w:val="20"/>
          <w:color w:val="auto"/>
        </w:rPr>
      </w:pPr>
      <w:r>
        <w:rPr>
          <w:rFonts w:ascii="Arial" w:cs="Arial" w:eastAsia="Arial" w:hAnsi="Arial"/>
          <w:sz w:val="18"/>
          <w:szCs w:val="18"/>
          <w:color w:val="auto"/>
        </w:rPr>
        <w:t>Any fees payable to the Capital Increase Bank for any transfer of the funds deposited in the Firm Capital Increase Account pursuant to this Section 4(c) shall be payable directly to the Capital Increase Bank by the Company.</w:t>
      </w:r>
    </w:p>
    <w:p>
      <w:pPr>
        <w:spacing w:after="0" w:line="170" w:lineRule="exact"/>
        <w:rPr>
          <w:sz w:val="20"/>
          <w:szCs w:val="20"/>
          <w:color w:val="auto"/>
        </w:rPr>
      </w:pPr>
    </w:p>
    <w:p>
      <w:pPr>
        <w:ind w:left="640" w:hanging="176"/>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225" w:lineRule="exact"/>
        <w:rPr>
          <w:rFonts w:ascii="Arial" w:cs="Arial" w:eastAsia="Arial" w:hAnsi="Arial"/>
          <w:sz w:val="18"/>
          <w:szCs w:val="18"/>
          <w:color w:val="auto"/>
        </w:rPr>
      </w:pPr>
    </w:p>
    <w:p>
      <w:pPr>
        <w:ind w:right="200" w:firstLine="464"/>
        <w:spacing w:after="0" w:line="277" w:lineRule="auto"/>
        <w:tabs>
          <w:tab w:leader="none" w:pos="636"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Offered Securities for sale to the public as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Final Prospectus.</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Certain Agreements of the Company and the Selling Shareholder</w:t>
      </w:r>
      <w:r>
        <w:rPr>
          <w:rFonts w:ascii="Arial" w:cs="Arial" w:eastAsia="Arial" w:hAnsi="Arial"/>
          <w:sz w:val="16"/>
          <w:szCs w:val="16"/>
          <w:color w:val="auto"/>
        </w:rPr>
        <w:t>. The Company agrees with the several Underwriters and the Selling Shareholders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02" w:lineRule="exact"/>
        <w:rPr>
          <w:rFonts w:ascii="Arial" w:cs="Arial" w:eastAsia="Arial" w:hAnsi="Arial"/>
          <w:sz w:val="16"/>
          <w:szCs w:val="16"/>
          <w:color w:val="auto"/>
        </w:rPr>
      </w:pPr>
    </w:p>
    <w:p>
      <w:pPr>
        <w:ind w:left="460" w:firstLine="443"/>
        <w:spacing w:after="0" w:line="288" w:lineRule="auto"/>
        <w:tabs>
          <w:tab w:leader="none" w:pos="1143"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Additional Filings</w:t>
      </w:r>
      <w:r>
        <w:rPr>
          <w:rFonts w:ascii="Arial" w:cs="Arial" w:eastAsia="Arial" w:hAnsi="Arial"/>
          <w:sz w:val="16"/>
          <w:szCs w:val="16"/>
          <w:color w:val="auto"/>
        </w:rPr>
        <w:t>. Unless filed pursuant to Rule 462(c) as part of the Additional Registration Statement in accordance with the next sentence,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will file the Final Prospectus, in a form approved by the Representatives,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 Effective Time of the Initial Registration Statement. The Company will advise the Representatives promptly of any such filing pursuant to Rule 424(b) and provide satisfactory evidence to the Representatives of such timely filing.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61" w:lineRule="exact"/>
        <w:rPr>
          <w:rFonts w:ascii="Arial" w:cs="Arial" w:eastAsia="Arial" w:hAnsi="Arial"/>
          <w:sz w:val="16"/>
          <w:szCs w:val="16"/>
          <w:color w:val="auto"/>
        </w:rPr>
      </w:pPr>
    </w:p>
    <w:p>
      <w:pPr>
        <w:ind w:left="460" w:firstLine="443"/>
        <w:spacing w:after="0" w:line="273" w:lineRule="auto"/>
        <w:tabs>
          <w:tab w:leader="none" w:pos="1153" w:val="left"/>
        </w:tabs>
        <w:numPr>
          <w:ilvl w:val="1"/>
          <w:numId w:val="181"/>
        </w:numPr>
        <w:rPr>
          <w:rFonts w:ascii="Arial" w:cs="Arial" w:eastAsia="Arial" w:hAnsi="Arial"/>
          <w:sz w:val="17"/>
          <w:szCs w:val="17"/>
          <w:color w:val="auto"/>
        </w:rPr>
      </w:pPr>
      <w:r>
        <w:rPr>
          <w:rFonts w:ascii="Arial" w:cs="Arial" w:eastAsia="Arial" w:hAnsi="Arial"/>
          <w:sz w:val="17"/>
          <w:szCs w:val="17"/>
          <w:i w:val="1"/>
          <w:iCs w:val="1"/>
          <w:color w:val="auto"/>
        </w:rPr>
        <w:t>Filing of Amendments; Response to Commission Requests</w:t>
      </w:r>
      <w:r>
        <w:rPr>
          <w:rFonts w:ascii="Arial" w:cs="Arial" w:eastAsia="Arial" w:hAnsi="Arial"/>
          <w:sz w:val="17"/>
          <w:szCs w:val="17"/>
          <w:color w:val="auto"/>
        </w:rPr>
        <w:t>. The Company will promptly advise the Representatives of any proposal to amend</w:t>
      </w:r>
      <w:r>
        <w:rPr>
          <w:rFonts w:ascii="Arial" w:cs="Arial" w:eastAsia="Arial" w:hAnsi="Arial"/>
          <w:sz w:val="17"/>
          <w:szCs w:val="17"/>
          <w:i w:val="1"/>
          <w:iCs w:val="1"/>
          <w:color w:val="auto"/>
        </w:rPr>
        <w:t xml:space="preserve"> </w:t>
      </w:r>
      <w:r>
        <w:rPr>
          <w:rFonts w:ascii="Arial" w:cs="Arial" w:eastAsia="Arial" w:hAnsi="Arial"/>
          <w:sz w:val="17"/>
          <w:szCs w:val="17"/>
          <w:color w:val="auto"/>
        </w:rPr>
        <w:t>or supplement at any time the Initial Registration Statement, any Additional Registration Statement or any Statutory Prospectus and will not effect such amendment or supplementation without the Representatives’ consent;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62" w:name="page263"/>
    <w:bookmarkEnd w:id="26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(iv) the institution by the Commission of any stop order proceedings in respect of a Registration Statement or the threatening of any proceeding for that purpose, and (v) the receipt by the Company of any notification with respect to the suspension of the qualification of the Offered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 If, at any time prior to the filing of the Final Prospectus pursuant to Rule 424(b), any event occurs as a result of which the General Disclosure Package would include any untrue statement of a material fact or omit to state any material fact necessary to make the statements therein in the light of the circumstances under which they were made at such time not misleading, the Company will (x) promptly notify the Representatives so that any use of the General Disclosure Package may cease until it is amended or supplemented; (y) amend or supplement the General Disclosure Package to correct such statement or omission; and (z) supply any amendment or supplement to the Representatives in such quantities as the Representatives may reasonably request.</w:t>
      </w:r>
    </w:p>
    <w:p>
      <w:pPr>
        <w:spacing w:after="0" w:line="70" w:lineRule="exact"/>
        <w:rPr>
          <w:sz w:val="20"/>
          <w:szCs w:val="20"/>
          <w:color w:val="auto"/>
        </w:rPr>
      </w:pPr>
    </w:p>
    <w:p>
      <w:pPr>
        <w:ind w:firstLine="443"/>
        <w:spacing w:after="0" w:line="270" w:lineRule="auto"/>
        <w:tabs>
          <w:tab w:leader="none" w:pos="683"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If, at any time when a prospectus relating to the Offered Securities is (or but for the exemption</w:t>
      </w:r>
      <w:r>
        <w:rPr>
          <w:rFonts w:ascii="Arial" w:cs="Arial" w:eastAsia="Arial" w:hAnsi="Arial"/>
          <w:sz w:val="17"/>
          <w:szCs w:val="17"/>
          <w:i w:val="1"/>
          <w:iCs w:val="1"/>
          <w:color w:val="auto"/>
        </w:rPr>
        <w:t xml:space="preserve"> </w:t>
      </w:r>
      <w:r>
        <w:rPr>
          <w:rFonts w:ascii="Arial" w:cs="Arial" w:eastAsia="Arial" w:hAnsi="Arial"/>
          <w:sz w:val="17"/>
          <w:szCs w:val="17"/>
          <w:color w:val="auto"/>
        </w:rPr>
        <w:t>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8 hereof.</w:t>
      </w:r>
    </w:p>
    <w:p>
      <w:pPr>
        <w:spacing w:after="0" w:line="73" w:lineRule="exact"/>
        <w:rPr>
          <w:rFonts w:ascii="Arial" w:cs="Arial" w:eastAsia="Arial" w:hAnsi="Arial"/>
          <w:sz w:val="17"/>
          <w:szCs w:val="17"/>
          <w:color w:val="auto"/>
        </w:rPr>
      </w:pPr>
    </w:p>
    <w:p>
      <w:pPr>
        <w:ind w:right="360" w:firstLine="443"/>
        <w:spacing w:after="0" w:line="308" w:lineRule="auto"/>
        <w:tabs>
          <w:tab w:leader="none" w:pos="693"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As soon as practicable, the Company will make generally available to its security holders and to the Representatives an earning</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or statements of the Company which will satisfy the provisions of Section 11(a) of the Act and Rule 158.</w:t>
      </w:r>
    </w:p>
    <w:p>
      <w:pPr>
        <w:spacing w:after="0" w:line="38" w:lineRule="exact"/>
        <w:rPr>
          <w:rFonts w:ascii="Arial" w:cs="Arial" w:eastAsia="Arial" w:hAnsi="Arial"/>
          <w:sz w:val="17"/>
          <w:szCs w:val="17"/>
          <w:color w:val="auto"/>
        </w:rPr>
      </w:pPr>
    </w:p>
    <w:p>
      <w:pPr>
        <w:jc w:val="both"/>
        <w:ind w:right="160" w:firstLine="443"/>
        <w:spacing w:after="0" w:line="286" w:lineRule="auto"/>
        <w:tabs>
          <w:tab w:leader="none" w:pos="683"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Furnishing of Prospectuses</w:t>
      </w:r>
      <w:r>
        <w:rPr>
          <w:rFonts w:ascii="Arial" w:cs="Arial" w:eastAsia="Arial" w:hAnsi="Arial"/>
          <w:sz w:val="16"/>
          <w:szCs w:val="16"/>
          <w:color w:val="auto"/>
        </w:rPr>
        <w:t>. The Company will furnish to the Representatives copies of each Registration Statement (three (3) of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signed and will include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reasonably request. The Final Prospectus shall be so furnished on or prior to</w:t>
      </w:r>
    </w:p>
    <w:p>
      <w:pPr>
        <w:spacing w:after="0" w:line="1" w:lineRule="exact"/>
        <w:rPr>
          <w:rFonts w:ascii="Arial" w:cs="Arial" w:eastAsia="Arial" w:hAnsi="Arial"/>
          <w:sz w:val="16"/>
          <w:szCs w:val="16"/>
          <w:color w:val="auto"/>
        </w:rPr>
      </w:pPr>
    </w:p>
    <w:p>
      <w:pPr>
        <w:ind w:right="240"/>
        <w:spacing w:after="0" w:line="290" w:lineRule="auto"/>
        <w:rPr>
          <w:rFonts w:ascii="Arial" w:cs="Arial" w:eastAsia="Arial" w:hAnsi="Arial"/>
          <w:sz w:val="16"/>
          <w:szCs w:val="16"/>
          <w:color w:val="auto"/>
        </w:rPr>
      </w:pPr>
      <w:r>
        <w:rPr>
          <w:rFonts w:ascii="Arial" w:cs="Arial" w:eastAsia="Arial" w:hAnsi="Arial"/>
          <w:sz w:val="17"/>
          <w:szCs w:val="17"/>
          <w:color w:val="auto"/>
        </w:rPr>
        <w:t>3:00 p.m., New York time, on the business day following the execution and delivery of this Agreement. All other documents shall be so furnished as soon as available. The Company will pay the expenses of printing and distributing to the Underwriters all such documents.</w:t>
      </w:r>
    </w:p>
    <w:p>
      <w:pPr>
        <w:spacing w:after="0" w:line="53" w:lineRule="exact"/>
        <w:rPr>
          <w:rFonts w:ascii="Arial" w:cs="Arial" w:eastAsia="Arial" w:hAnsi="Arial"/>
          <w:sz w:val="16"/>
          <w:szCs w:val="16"/>
          <w:color w:val="auto"/>
        </w:rPr>
      </w:pPr>
    </w:p>
    <w:p>
      <w:pPr>
        <w:jc w:val="both"/>
        <w:ind w:right="80" w:firstLine="443"/>
        <w:spacing w:after="0" w:line="302" w:lineRule="auto"/>
        <w:tabs>
          <w:tab w:leader="none" w:pos="663"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arrange for the qualification of the Offered Securities for sale under the laws of such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Representatives designate and will continue such qualifications in effect so long as required for the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required to qualify as a foreign corporation in any jurisdiction in which it is not so qualified or to file a general consent to service of process in any such jurisdiction or to take any action that would subject it to taxation in any such jurisdiction where it is not then so subject.</w:t>
      </w:r>
    </w:p>
    <w:p>
      <w:pPr>
        <w:spacing w:after="0" w:line="46" w:lineRule="exact"/>
        <w:rPr>
          <w:rFonts w:ascii="Arial" w:cs="Arial" w:eastAsia="Arial" w:hAnsi="Arial"/>
          <w:sz w:val="16"/>
          <w:szCs w:val="16"/>
          <w:color w:val="auto"/>
        </w:rPr>
      </w:pPr>
    </w:p>
    <w:p>
      <w:pPr>
        <w:ind w:right="40" w:firstLine="443"/>
        <w:spacing w:after="0" w:line="308" w:lineRule="auto"/>
        <w:tabs>
          <w:tab w:leader="none" w:pos="693"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Reporting Requirements</w:t>
      </w:r>
      <w:r>
        <w:rPr>
          <w:rFonts w:ascii="Arial" w:cs="Arial" w:eastAsia="Arial" w:hAnsi="Arial"/>
          <w:sz w:val="17"/>
          <w:szCs w:val="17"/>
          <w:color w:val="auto"/>
        </w:rPr>
        <w:t>. During the period of three (3) years hereafter, the Company will furnish to the Representatives and, upon request,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other Underwriters, as soon as practicable after the end of each fiscal year, a copy of its annual report to shareholders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4" w:right="259" w:bottom="1440" w:gutter="0" w:footer="0" w:header="0"/>
        </w:sectPr>
      </w:pPr>
    </w:p>
    <w:bookmarkStart w:id="263" w:name="page264"/>
    <w:bookmarkEnd w:id="263"/>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such year; and the Company will furnish to the Representatives (i) as soon as available, a copy of each report and any definitive proxy statement of the Company filed with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w:t>
      </w:r>
      <w:r>
        <w:rPr>
          <w:rFonts w:ascii="Arial" w:cs="Arial" w:eastAsia="Arial" w:hAnsi="Arial"/>
          <w:sz w:val="16"/>
          <w:szCs w:val="16"/>
          <w:b w:val="1"/>
          <w:bCs w:val="1"/>
          <w:color w:val="auto"/>
        </w:rPr>
        <w:t>EDGAR</w:t>
      </w:r>
      <w:r>
        <w:rPr>
          <w:rFonts w:ascii="Arial" w:cs="Arial" w:eastAsia="Arial" w:hAnsi="Arial"/>
          <w:sz w:val="16"/>
          <w:szCs w:val="16"/>
          <w:color w:val="auto"/>
        </w:rPr>
        <w:t>”), it is not required to furnish such reports or statements to the Underwriters.</w:t>
      </w:r>
    </w:p>
    <w:p>
      <w:pPr>
        <w:spacing w:after="0" w:line="50" w:lineRule="exact"/>
        <w:rPr>
          <w:sz w:val="20"/>
          <w:szCs w:val="20"/>
          <w:color w:val="auto"/>
        </w:rPr>
      </w:pPr>
    </w:p>
    <w:p>
      <w:pPr>
        <w:ind w:firstLine="443"/>
        <w:spacing w:after="0" w:line="283" w:lineRule="auto"/>
        <w:tabs>
          <w:tab w:leader="none" w:pos="693"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Payment of Expenses</w:t>
      </w:r>
      <w:r>
        <w:rPr>
          <w:rFonts w:ascii="Arial" w:cs="Arial" w:eastAsia="Arial" w:hAnsi="Arial"/>
          <w:sz w:val="16"/>
          <w:szCs w:val="16"/>
          <w:color w:val="auto"/>
        </w:rPr>
        <w:t>. The Company agrees with the several Underwriters that the Company will pay all expenses incident to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obligations of the Company and such Selling Shareholder, as the case may be, under this Agreement, including but not limited to any filing fees and other expenses (including fees and disbursements of counsel to the Underwriters) incurred in connection with qualification of the Offered Securities for sale under the laws of such jurisdictions as the Representatives designate and the preparation and printing of memoranda relating thereto in an amount not to exceed $10,000, costs and expenses related to the review by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of the Offered Securities (including filing fees and the fees and expenses of counsel for the Underwriters relating to such review in an amount not to exceed $30,000), costs and expenses relating to investor presentations or any “road show” in connection with the offering and sale of the Offered Securities including, without limitation, any travel expenses of the Company’s officers and employees and any other expenses of the Company including one-half of the cost of the chartering of airplanes in connection with any “roadshow,” fees and expenses incident to listing the Offered Securities on the</w:t>
      </w:r>
    </w:p>
    <w:p>
      <w:pPr>
        <w:spacing w:after="0" w:line="6"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New York Stock Exchange, American Stock Exchange, NASDAQ Global [Select] Market and other national and foreign exchanges, fees and expenses in connection with the registration of the Offered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Notwithstanding the foregoing, each of the several Underwriters will pay its own costs and expenses relating to any investor presentations or roadshow and one-half the costs and expenses of chartering of airplanes in connection with any roadshow.</w:t>
      </w:r>
    </w:p>
    <w:p>
      <w:pPr>
        <w:spacing w:after="0" w:line="86" w:lineRule="exact"/>
        <w:rPr>
          <w:rFonts w:ascii="Arial" w:cs="Arial" w:eastAsia="Arial" w:hAnsi="Arial"/>
          <w:sz w:val="16"/>
          <w:szCs w:val="16"/>
          <w:color w:val="auto"/>
        </w:rPr>
      </w:pPr>
    </w:p>
    <w:p>
      <w:pPr>
        <w:ind w:firstLine="443"/>
        <w:spacing w:after="0" w:line="259" w:lineRule="auto"/>
        <w:tabs>
          <w:tab w:leader="none" w:pos="653"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in connection with this offering in the manner described in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section of the General Disclosure Package and, except as disclosed in the General Disclosure Package and the Final Prospectus, the Company does not intend to use any of the proceeds from the sale of the Offered Securities hereunder to repay any outstanding debt owed to any Underwriter or affiliate of any Underwriter.</w:t>
      </w:r>
    </w:p>
    <w:p>
      <w:pPr>
        <w:spacing w:after="0" w:line="78" w:lineRule="exact"/>
        <w:rPr>
          <w:rFonts w:ascii="Arial" w:cs="Arial" w:eastAsia="Arial" w:hAnsi="Arial"/>
          <w:sz w:val="18"/>
          <w:szCs w:val="18"/>
          <w:color w:val="auto"/>
        </w:rPr>
      </w:pPr>
    </w:p>
    <w:p>
      <w:pPr>
        <w:ind w:right="20" w:firstLine="443"/>
        <w:spacing w:after="0" w:line="312" w:lineRule="auto"/>
        <w:tabs>
          <w:tab w:leader="none" w:pos="653"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Absence of Manipulation</w:t>
      </w:r>
      <w:r>
        <w:rPr>
          <w:rFonts w:ascii="Arial" w:cs="Arial" w:eastAsia="Arial" w:hAnsi="Arial"/>
          <w:sz w:val="16"/>
          <w:szCs w:val="16"/>
          <w:color w:val="auto"/>
        </w:rPr>
        <w:t>. The Company and the Selling Shareholders will not take, directly or indirectly, any action designed to or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constitute or that might reasonably be expected to cause or result in, stabilization or manipulation of the price of any securities of the Company to facilitate the sale or resale of the Offered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is made in this Section with respect to the Underwriters.</w:t>
      </w:r>
    </w:p>
    <w:p>
      <w:pPr>
        <w:spacing w:after="0" w:line="34" w:lineRule="exact"/>
        <w:rPr>
          <w:rFonts w:ascii="Arial" w:cs="Arial" w:eastAsia="Arial" w:hAnsi="Arial"/>
          <w:sz w:val="16"/>
          <w:szCs w:val="16"/>
          <w:color w:val="auto"/>
        </w:rPr>
      </w:pPr>
    </w:p>
    <w:p>
      <w:pPr>
        <w:ind w:firstLine="443"/>
        <w:spacing w:after="0" w:line="255" w:lineRule="auto"/>
        <w:tabs>
          <w:tab w:leader="none" w:pos="693"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Restriction on Sale of Securities by the Company</w:t>
      </w:r>
      <w:r>
        <w:rPr>
          <w:rFonts w:ascii="Arial" w:cs="Arial" w:eastAsia="Arial" w:hAnsi="Arial"/>
          <w:sz w:val="18"/>
          <w:szCs w:val="18"/>
          <w:color w:val="auto"/>
        </w:rPr>
        <w:t>. For the period specified below (the “</w:t>
      </w:r>
      <w:r>
        <w:rPr>
          <w:rFonts w:ascii="Arial" w:cs="Arial" w:eastAsia="Arial" w:hAnsi="Arial"/>
          <w:sz w:val="18"/>
          <w:szCs w:val="18"/>
          <w:b w:val="1"/>
          <w:bCs w:val="1"/>
          <w:color w:val="auto"/>
        </w:rPr>
        <w:t>Lock-Up Period</w:t>
      </w:r>
      <w:r>
        <w:rPr>
          <w:rFonts w:ascii="Arial" w:cs="Arial" w:eastAsia="Arial" w:hAnsi="Arial"/>
          <w:sz w:val="18"/>
          <w:szCs w:val="18"/>
          <w:color w:val="auto"/>
        </w:rPr>
        <w:t>”), the Company will not,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take any of the following actions with respect to its Securities or any securities convertible into or exchangeable or exercisable for any of its Securities (“</w:t>
      </w:r>
      <w:r>
        <w:rPr>
          <w:rFonts w:ascii="Arial" w:cs="Arial" w:eastAsia="Arial" w:hAnsi="Arial"/>
          <w:sz w:val="18"/>
          <w:szCs w:val="18"/>
          <w:b w:val="1"/>
          <w:bCs w:val="1"/>
          <w:color w:val="auto"/>
        </w:rPr>
        <w:t>Lock-Up Securities</w:t>
      </w:r>
      <w:r>
        <w:rPr>
          <w:rFonts w:ascii="Arial" w:cs="Arial" w:eastAsia="Arial" w:hAnsi="Arial"/>
          <w:sz w:val="18"/>
          <w:szCs w:val="18"/>
          <w:color w:val="auto"/>
        </w:rPr>
        <w:t>”):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74" w:right="279" w:bottom="1440" w:gutter="0" w:footer="0" w:header="0"/>
        </w:sectPr>
      </w:pPr>
    </w:p>
    <w:bookmarkStart w:id="264" w:name="page265"/>
    <w:bookmarkEnd w:id="264"/>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under the Act relating to Lock-Up Securities, or publicly disclose the intention to take any such action, without the prior written consent of Credit Suisse. The Lock-Up Period will commence on the date hereof and continue for one hundred eighty (180) days after the date hereof or such earlier date that Credit Suisse consents to in writing.</w:t>
      </w:r>
    </w:p>
    <w:p>
      <w:pPr>
        <w:spacing w:after="0" w:line="73"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 xml:space="preserve">The restrictions contained in the preceding paragraph shall not apply to (a) the Company Securities to be issued or sold hereunder; (b) the issuance by the Company of Common Shares upon the exercise of an option or warrant or the conversion of a security outstanding on the date hereof or described in the General Disclosure Package and the Final Prospectus; (c) the issuance by the Company of any options or warrants pursuant to any employee equity incentive plan or share ownership plan existing on the date hereof or described in the General Disclosure Package and the Final Prospectus; (d) the filing by the Company of a registration statement with the Commission on Form S-8 in respect of any shares issued under or the grant of any award pursuant to an employee equity incentive plan or share ownership plan existing on the date hereof or described in the General Disclosure Package and the Final Prospectus; (e) the transfer of Common Shares or any securities convertible into or exchangeable for Common Shares pursuant to a bona fide third-party tender offer, merger, consolidation or other similar transaction that is approved by the board of directors of the Company, made to all holders of Common Shares, involving a Change of Control (as defined below) after the completion of the offering of the Offered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Shares or any securities convertible into or exchangeable for Common Shares shall remain subject to the restrictions contained in the preceding paragraph; or (f) the sale or issuance of or entry into an agreement to sell or issue Common Shares or securities convertible into or exercisable for Common Shares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w:t>
      </w:r>
    </w:p>
    <w:p>
      <w:pPr>
        <w:spacing w:after="0" w:line="2" w:lineRule="exact"/>
        <w:rPr>
          <w:sz w:val="20"/>
          <w:szCs w:val="20"/>
          <w:color w:val="auto"/>
        </w:rPr>
      </w:pPr>
    </w:p>
    <w:p>
      <w:pPr>
        <w:ind w:firstLine="4"/>
        <w:spacing w:after="0" w:line="269" w:lineRule="auto"/>
        <w:tabs>
          <w:tab w:leader="none" w:pos="30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the filing of a Registration Statement with respect to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Common Shares or securities convertible into or exercisable for Common Shares (on an as-converted or as-exercised basis, as the case may be) that the Company may sell or issue or agree to sell or issue pursuant to this clause (f) shall not exceed 10% of the total number of Common Shares issued and outstanding immediately following the completion of the transactions contemplated by this Agreement (determined on a fully-diluted basis and as adjusted for share splits, share dividends and other similar events after the date hereof);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each recipient of Common Shares or securities convertible into or exercisable for Common Stock pursuant to this clause (f) shall, on or prior to such issuance, execute a lock-up letter in substantially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hereto with respect to the remaining portion of the Lock-Up Period.</w:t>
      </w:r>
    </w:p>
    <w:p>
      <w:pPr>
        <w:spacing w:after="0" w:line="69" w:lineRule="exact"/>
        <w:rPr>
          <w:sz w:val="20"/>
          <w:szCs w:val="20"/>
          <w:color w:val="auto"/>
        </w:rPr>
      </w:pPr>
    </w:p>
    <w:p>
      <w:pPr>
        <w:ind w:right="100" w:firstLine="438"/>
        <w:spacing w:after="0" w:line="281" w:lineRule="auto"/>
        <w:rPr>
          <w:sz w:val="20"/>
          <w:szCs w:val="20"/>
          <w:color w:val="auto"/>
        </w:rPr>
      </w:pPr>
      <w:r>
        <w:rPr>
          <w:rFonts w:ascii="Arial" w:cs="Arial" w:eastAsia="Arial" w:hAnsi="Arial"/>
          <w:sz w:val="17"/>
          <w:szCs w:val="17"/>
          <w:color w:val="auto"/>
        </w:rPr>
        <w:t>For purposes of the foregoing paragraph,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the transfer (whether by tender offer, merger, consolidation or other similar transaction), in one transaction or a series of related transactions, to a person or group of affiliated persons (other than an Underwriter pursuant to the public offering contemplated by this Agreement), of the Company’s voting securities if, after such transfer, such person or group of affiliated persons would hold more than 50% of the outstanding voting securities of the Company (or the surviving entity).</w:t>
      </w:r>
    </w:p>
    <w:p>
      <w:pPr>
        <w:spacing w:after="0" w:line="61" w:lineRule="exact"/>
        <w:rPr>
          <w:sz w:val="20"/>
          <w:szCs w:val="20"/>
          <w:color w:val="auto"/>
        </w:rPr>
      </w:pPr>
    </w:p>
    <w:p>
      <w:pPr>
        <w:ind w:right="340" w:firstLine="438"/>
        <w:spacing w:after="0" w:line="342" w:lineRule="auto"/>
        <w:rPr>
          <w:sz w:val="20"/>
          <w:szCs w:val="20"/>
          <w:color w:val="auto"/>
        </w:rPr>
      </w:pPr>
      <w:r>
        <w:rPr>
          <w:rFonts w:ascii="Arial" w:cs="Arial" w:eastAsia="Arial" w:hAnsi="Arial"/>
          <w:sz w:val="16"/>
          <w:szCs w:val="16"/>
          <w:color w:val="auto"/>
        </w:rPr>
        <w:t>In addition, during the Lock-Up Period, the Company will enforce its shareholders’ obligations to comply with any and all restrictions on the sale, pledge or transfer of the Company’s Securities pursuant to any shareholder’s agreement by and among the Company and its shareholders.</w:t>
      </w:r>
    </w:p>
    <w:p>
      <w:pPr>
        <w:spacing w:after="0" w:line="16" w:lineRule="exact"/>
        <w:rPr>
          <w:sz w:val="20"/>
          <w:szCs w:val="20"/>
          <w:color w:val="auto"/>
        </w:rPr>
      </w:pPr>
    </w:p>
    <w:p>
      <w:pPr>
        <w:ind w:right="260" w:firstLine="443"/>
        <w:spacing w:after="0" w:line="264" w:lineRule="auto"/>
        <w:tabs>
          <w:tab w:leader="none" w:pos="653"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(a) completion of the distribution of the Securities within the meaning of the Act and (b) completion of the 180-day restricted period referred to in Section 7(k) hereof.</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265" w:name="page266"/>
    <w:bookmarkEnd w:id="265"/>
    <w:p>
      <w:pPr>
        <w:ind w:left="460" w:right="40" w:firstLine="443"/>
        <w:spacing w:after="0" w:line="276" w:lineRule="auto"/>
        <w:tabs>
          <w:tab w:leader="none" w:pos="1203" w:val="left"/>
        </w:tabs>
        <w:numPr>
          <w:ilvl w:val="1"/>
          <w:numId w:val="18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Testing-the-Waters</w:t>
      </w:r>
      <w:r>
        <w:rPr>
          <w:rFonts w:ascii="Arial" w:cs="Arial" w:eastAsia="Arial" w:hAnsi="Arial"/>
          <w:sz w:val="17"/>
          <w:szCs w:val="17"/>
          <w:color w:val="auto"/>
        </w:rPr>
        <w:t>. If at any time following the distribution of any Written Testing-the-Waters Communication there occurred or occurs an</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64" w:lineRule="exact"/>
        <w:rPr>
          <w:rFonts w:ascii="Arial" w:cs="Arial" w:eastAsia="Arial" w:hAnsi="Arial"/>
          <w:sz w:val="17"/>
          <w:szCs w:val="17"/>
          <w:color w:val="auto"/>
        </w:rPr>
      </w:pPr>
    </w:p>
    <w:p>
      <w:pPr>
        <w:ind w:left="460" w:firstLine="443"/>
        <w:spacing w:after="0" w:line="257" w:lineRule="auto"/>
        <w:tabs>
          <w:tab w:leader="none" w:pos="1153" w:val="left"/>
        </w:tabs>
        <w:numPr>
          <w:ilvl w:val="1"/>
          <w:numId w:val="186"/>
        </w:numPr>
        <w:rPr>
          <w:rFonts w:ascii="Arial" w:cs="Arial" w:eastAsia="Arial" w:hAnsi="Arial"/>
          <w:sz w:val="18"/>
          <w:szCs w:val="18"/>
          <w:color w:val="auto"/>
        </w:rPr>
      </w:pPr>
      <w:r>
        <w:rPr>
          <w:rFonts w:ascii="Arial" w:cs="Arial" w:eastAsia="Arial" w:hAnsi="Arial"/>
          <w:sz w:val="18"/>
          <w:szCs w:val="18"/>
          <w:i w:val="1"/>
          <w:iCs w:val="1"/>
          <w:color w:val="auto"/>
        </w:rPr>
        <w:t>Agreement to Announce Lock-up Waiver</w:t>
      </w:r>
      <w:r>
        <w:rPr>
          <w:rFonts w:ascii="Arial" w:cs="Arial" w:eastAsia="Arial" w:hAnsi="Arial"/>
          <w:sz w:val="18"/>
          <w:szCs w:val="18"/>
          <w:color w:val="auto"/>
        </w:rPr>
        <w:t>. If Credit Suisse, in its sole discretion, agrees to release or waive the restrictions set forth in a lock-up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letter described in Section 7(k)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through a major news service at least two business days before the effective date of the release or waiver.</w:t>
      </w:r>
    </w:p>
    <w:p>
      <w:pPr>
        <w:spacing w:after="0" w:line="188" w:lineRule="exact"/>
        <w:rPr>
          <w:rFonts w:ascii="Arial" w:cs="Arial" w:eastAsia="Arial" w:hAnsi="Arial"/>
          <w:sz w:val="18"/>
          <w:szCs w:val="18"/>
          <w:color w:val="auto"/>
        </w:rPr>
      </w:pPr>
    </w:p>
    <w:p>
      <w:pPr>
        <w:ind w:left="640" w:hanging="176"/>
        <w:spacing w:after="0"/>
        <w:tabs>
          <w:tab w:leader="none" w:pos="640"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Free Writing Prospectuses</w:t>
      </w:r>
      <w:r>
        <w:rPr>
          <w:rFonts w:ascii="Arial" w:cs="Arial" w:eastAsia="Arial" w:hAnsi="Arial"/>
          <w:sz w:val="17"/>
          <w:szCs w:val="17"/>
          <w:color w:val="auto"/>
        </w:rPr>
        <w:t>. The Company and the Selling Shareholders represent and agrees that, unless they obtain the prior consent of the</w:t>
      </w:r>
    </w:p>
    <w:p>
      <w:pPr>
        <w:spacing w:after="0" w:line="34" w:lineRule="exact"/>
        <w:rPr>
          <w:rFonts w:ascii="Arial" w:cs="Arial" w:eastAsia="Arial" w:hAnsi="Arial"/>
          <w:sz w:val="17"/>
          <w:szCs w:val="17"/>
          <w:color w:val="auto"/>
        </w:rPr>
      </w:pPr>
    </w:p>
    <w:p>
      <w:pPr>
        <w:ind w:right="80"/>
        <w:spacing w:after="0" w:line="268" w:lineRule="auto"/>
        <w:rPr>
          <w:rFonts w:ascii="Arial" w:cs="Arial" w:eastAsia="Arial" w:hAnsi="Arial"/>
          <w:sz w:val="17"/>
          <w:szCs w:val="17"/>
          <w:color w:val="auto"/>
        </w:rPr>
      </w:pPr>
      <w:r>
        <w:rPr>
          <w:rFonts w:ascii="Arial" w:cs="Arial" w:eastAsia="Arial" w:hAnsi="Arial"/>
          <w:sz w:val="17"/>
          <w:szCs w:val="17"/>
          <w:color w:val="auto"/>
        </w:rPr>
        <w:t>Representatives, and each Underwriter 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7"/>
          <w:szCs w:val="17"/>
          <w:b w:val="1"/>
          <w:bCs w:val="1"/>
          <w:color w:val="auto"/>
        </w:rPr>
        <w:t>Permitted Free Writing Prospectus</w:t>
      </w:r>
      <w:r>
        <w:rPr>
          <w:rFonts w:ascii="Arial" w:cs="Arial" w:eastAsia="Arial" w:hAnsi="Arial"/>
          <w:sz w:val="17"/>
          <w:szCs w:val="17"/>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84" w:lineRule="exact"/>
        <w:rPr>
          <w:rFonts w:ascii="Arial" w:cs="Arial" w:eastAsia="Arial" w:hAnsi="Arial"/>
          <w:sz w:val="17"/>
          <w:szCs w:val="17"/>
          <w:color w:val="auto"/>
        </w:rPr>
      </w:pPr>
    </w:p>
    <w:p>
      <w:pPr>
        <w:ind w:right="280" w:firstLine="464"/>
        <w:spacing w:after="0" w:line="257" w:lineRule="auto"/>
        <w:tabs>
          <w:tab w:leader="none" w:pos="636"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Conditions of the Obligations of the Underwriters</w:t>
      </w:r>
      <w:r>
        <w:rPr>
          <w:rFonts w:ascii="Arial" w:cs="Arial" w:eastAsia="Arial" w:hAnsi="Arial"/>
          <w:sz w:val="18"/>
          <w:szCs w:val="18"/>
          <w:color w:val="auto"/>
        </w:rPr>
        <w:t>. The obligations of the several Underwriters to purchase and pay for the Firm Securities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Closing Date and the Optional Securities to be purchased on each Optional Closing Date will be subject to the accuracy of the representations and warranties of the Company and the Selling Shareholders herein (as though made on such Closing Date), to the accuracy of the statements of Company officers made pursuant to the provisions hereof, to the performance by the Company and the Selling Shareholders of their obligations hereunder and to the following additional conditions precedent:</w:t>
      </w:r>
    </w:p>
    <w:p>
      <w:pPr>
        <w:spacing w:after="0" w:line="80" w:lineRule="exact"/>
        <w:rPr>
          <w:rFonts w:ascii="Arial" w:cs="Arial" w:eastAsia="Arial" w:hAnsi="Arial"/>
          <w:sz w:val="18"/>
          <w:szCs w:val="18"/>
          <w:color w:val="auto"/>
        </w:rPr>
      </w:pPr>
    </w:p>
    <w:p>
      <w:pPr>
        <w:ind w:left="460" w:right="240" w:firstLine="443"/>
        <w:spacing w:after="0" w:line="259" w:lineRule="auto"/>
        <w:tabs>
          <w:tab w:leader="none" w:pos="1143" w:val="left"/>
        </w:tabs>
        <w:numPr>
          <w:ilvl w:val="1"/>
          <w:numId w:val="187"/>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The Representatives shall have received letters, dated, respectively, the date hereof and each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Ernst &amp; Young AG confirming that they are a registered public accounting firm and independent public accountants within the meaning of the Securities Laws and substantially in the form of Schedule D hereto (except that, in any letter dated a Closing Date, the specified date referred to in Schedule D hereto shall be a date no more than three business days prior to such Closing Date).</w:t>
      </w:r>
    </w:p>
    <w:p>
      <w:pPr>
        <w:spacing w:after="0" w:line="78" w:lineRule="exact"/>
        <w:rPr>
          <w:rFonts w:ascii="Arial" w:cs="Arial" w:eastAsia="Arial" w:hAnsi="Arial"/>
          <w:sz w:val="18"/>
          <w:szCs w:val="18"/>
          <w:color w:val="auto"/>
        </w:rPr>
      </w:pPr>
    </w:p>
    <w:p>
      <w:pPr>
        <w:ind w:left="460" w:right="20" w:firstLine="443"/>
        <w:spacing w:after="0" w:line="255" w:lineRule="auto"/>
        <w:tabs>
          <w:tab w:leader="none" w:pos="1153" w:val="left"/>
        </w:tabs>
        <w:numPr>
          <w:ilvl w:val="1"/>
          <w:numId w:val="187"/>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w:t>
      </w:r>
      <w:r>
        <w:rPr>
          <w:rFonts w:ascii="Arial" w:cs="Arial" w:eastAsia="Arial" w:hAnsi="Arial"/>
          <w:sz w:val="18"/>
          <w:szCs w:val="18"/>
          <w:color w:val="auto"/>
        </w:rPr>
        <w:t>. If the Effective Time of the Additional Registration Statement (if any) is not prior to the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this Agreement, such Effective Time shall have occurred not later than 10:00 p.m., New York time,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Section 7(a) hereof. Prior to such Closing Date, no stop order suspending the effectiveness of a Registration Statement shall have been issued and no proceedings for that purpose shall have been instituted or, to the knowledge of any Selling Shareholder, the Company or the Representatives, shall be contemplated by the Commission.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66" w:name="page267"/>
    <w:bookmarkEnd w:id="266"/>
    <w:p>
      <w:pPr>
        <w:ind w:left="452" w:right="20" w:firstLine="443"/>
        <w:spacing w:after="0" w:line="268" w:lineRule="auto"/>
        <w:tabs>
          <w:tab w:leader="none" w:pos="1135"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Material Adverse Change</w:t>
      </w:r>
      <w:r>
        <w:rPr>
          <w:rFonts w:ascii="Arial" w:cs="Arial" w:eastAsia="Arial" w:hAnsi="Arial"/>
          <w:sz w:val="17"/>
          <w:szCs w:val="17"/>
          <w:color w:val="auto"/>
        </w:rPr>
        <w:t>. Subsequent to the execution and delivery of this Agreement, there shall not have occurred (i) any change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(financial or otherwise), results of operations, business or properties or prospects of the Company which, in the judgment of the Representatives, is material and adverse and makes it impractical or inadvisable to market the Offered Securities; (ii) any change in U.S. or international financial, political or economic conditions or currency exchange rates or exchange controls the effect of which is such as to make it, in the judgment of the Representatives, impractical to market or to enforce contracts for the sale of the Offered Securities, whether in the primary market or in respect of dealings in the secondary market; (iii) any suspension or material limitation of trading in securities generally on the New York Stock Exchange or NASDAQ Global [Select] Market, or any setting of minimum or maximum prices for trading on such exchange; (iv) any banking moratorium declared by any U.S. federal, New York or Swiss authorities; (v) any suspension of trading of any securities of the Company on any exchange or in the over-the-counter market; (vi) any major disruption of settlements of securities, payment, or clearance services in the United States or any other country where such securities are listed or (vii)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Securities or to enforce contracts for the sale of the Offered Securities.</w:t>
      </w:r>
    </w:p>
    <w:p>
      <w:pPr>
        <w:spacing w:after="0" w:line="79" w:lineRule="exact"/>
        <w:rPr>
          <w:rFonts w:ascii="Arial" w:cs="Arial" w:eastAsia="Arial" w:hAnsi="Arial"/>
          <w:sz w:val="17"/>
          <w:szCs w:val="17"/>
          <w:color w:val="auto"/>
        </w:rPr>
      </w:pPr>
    </w:p>
    <w:p>
      <w:pPr>
        <w:ind w:left="452" w:right="620" w:firstLine="443"/>
        <w:spacing w:after="0" w:line="277" w:lineRule="auto"/>
        <w:tabs>
          <w:tab w:leader="none" w:pos="114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Opinion of U.S. Counsel for Company</w:t>
      </w:r>
      <w:r>
        <w:rPr>
          <w:rFonts w:ascii="Arial" w:cs="Arial" w:eastAsia="Arial" w:hAnsi="Arial"/>
          <w:sz w:val="18"/>
          <w:szCs w:val="18"/>
          <w:color w:val="auto"/>
        </w:rPr>
        <w:t>. The Representatives shall have received an opinion, dated such Closing Date, of Davis Polk &amp;</w:t>
      </w:r>
      <w:r>
        <w:rPr>
          <w:rFonts w:ascii="Arial" w:cs="Arial" w:eastAsia="Arial" w:hAnsi="Arial"/>
          <w:sz w:val="18"/>
          <w:szCs w:val="18"/>
          <w:i w:val="1"/>
          <w:iCs w:val="1"/>
          <w:color w:val="auto"/>
        </w:rPr>
        <w:t xml:space="preserve"> </w:t>
      </w:r>
      <w:r>
        <w:rPr>
          <w:rFonts w:ascii="Arial" w:cs="Arial" w:eastAsia="Arial" w:hAnsi="Arial"/>
          <w:sz w:val="18"/>
          <w:szCs w:val="18"/>
          <w:color w:val="auto"/>
        </w:rPr>
        <w:t>Wardwell LLP, U.S. counsel for the Company, in form and substance satisfactory to the Representatives.</w:t>
      </w:r>
    </w:p>
    <w:p>
      <w:pPr>
        <w:spacing w:after="0" w:line="62" w:lineRule="exact"/>
        <w:rPr>
          <w:rFonts w:ascii="Arial" w:cs="Arial" w:eastAsia="Arial" w:hAnsi="Arial"/>
          <w:sz w:val="18"/>
          <w:szCs w:val="18"/>
          <w:color w:val="auto"/>
        </w:rPr>
      </w:pPr>
    </w:p>
    <w:p>
      <w:pPr>
        <w:ind w:left="452" w:right="340" w:firstLine="443"/>
        <w:spacing w:after="0" w:line="277" w:lineRule="auto"/>
        <w:tabs>
          <w:tab w:leader="none" w:pos="113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Opinion of Swiss Counsel for the Company</w:t>
      </w:r>
      <w:r>
        <w:rPr>
          <w:rFonts w:ascii="Arial" w:cs="Arial" w:eastAsia="Arial" w:hAnsi="Arial"/>
          <w:sz w:val="18"/>
          <w:szCs w:val="18"/>
          <w:color w:val="auto"/>
        </w:rPr>
        <w:t>. The Representatives shall have received an opinion, dated such Closing Date, of Vischer AG,</w:t>
      </w:r>
      <w:r>
        <w:rPr>
          <w:rFonts w:ascii="Arial" w:cs="Arial" w:eastAsia="Arial" w:hAnsi="Arial"/>
          <w:sz w:val="18"/>
          <w:szCs w:val="18"/>
          <w:i w:val="1"/>
          <w:iCs w:val="1"/>
          <w:color w:val="auto"/>
        </w:rPr>
        <w:t xml:space="preserve"> </w:t>
      </w:r>
      <w:r>
        <w:rPr>
          <w:rFonts w:ascii="Arial" w:cs="Arial" w:eastAsia="Arial" w:hAnsi="Arial"/>
          <w:sz w:val="18"/>
          <w:szCs w:val="18"/>
          <w:color w:val="auto"/>
        </w:rPr>
        <w:t>Swiss counsel for the Company, in form and substance satisfactory to the Representatives.</w:t>
      </w:r>
    </w:p>
    <w:p>
      <w:pPr>
        <w:spacing w:after="0" w:line="62" w:lineRule="exact"/>
        <w:rPr>
          <w:rFonts w:ascii="Arial" w:cs="Arial" w:eastAsia="Arial" w:hAnsi="Arial"/>
          <w:sz w:val="18"/>
          <w:szCs w:val="18"/>
          <w:color w:val="auto"/>
        </w:rPr>
      </w:pPr>
    </w:p>
    <w:p>
      <w:pPr>
        <w:ind w:left="452" w:right="280" w:firstLine="443"/>
        <w:spacing w:after="0" w:line="264" w:lineRule="auto"/>
        <w:tabs>
          <w:tab w:leader="none" w:pos="111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Opinions of Intellectual Property Counsel for the Company</w:t>
      </w:r>
      <w:r>
        <w:rPr>
          <w:rFonts w:ascii="Arial" w:cs="Arial" w:eastAsia="Arial" w:hAnsi="Arial"/>
          <w:sz w:val="18"/>
          <w:szCs w:val="18"/>
          <w:color w:val="auto"/>
        </w:rPr>
        <w:t>. The Representatives shall have received opinions, dated such Closing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Johnson, Marcou &amp; Isaacs LLP, Vossius &amp; Partner and Jones Day LLP, each intellectual property counsel for the Company, in form and substance satisfactory to the Representatives.</w:t>
      </w:r>
    </w:p>
    <w:p>
      <w:pPr>
        <w:spacing w:after="0" w:line="73" w:lineRule="exact"/>
        <w:rPr>
          <w:rFonts w:ascii="Arial" w:cs="Arial" w:eastAsia="Arial" w:hAnsi="Arial"/>
          <w:sz w:val="18"/>
          <w:szCs w:val="18"/>
          <w:color w:val="auto"/>
        </w:rPr>
      </w:pPr>
    </w:p>
    <w:p>
      <w:pPr>
        <w:ind w:left="452" w:firstLine="443"/>
        <w:spacing w:after="0" w:line="277" w:lineRule="auto"/>
        <w:tabs>
          <w:tab w:leader="none" w:pos="114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Opinion of Counsel for the Selling Shareholders</w:t>
      </w:r>
      <w:r>
        <w:rPr>
          <w:rFonts w:ascii="Arial" w:cs="Arial" w:eastAsia="Arial" w:hAnsi="Arial"/>
          <w:sz w:val="18"/>
          <w:szCs w:val="18"/>
          <w:color w:val="auto"/>
        </w:rPr>
        <w:t>. The Representatives shall have received an opinion, dated such Closing Date, of [●],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Selling Shareholders, in form and substance satisfactory to the Representatives.</w:t>
      </w:r>
      <w:r>
        <w:rPr>
          <w:rFonts w:ascii="Arial" w:cs="Arial" w:eastAsia="Arial" w:hAnsi="Arial"/>
          <w:sz w:val="15"/>
          <w:szCs w:val="15"/>
          <w:color w:val="auto"/>
        </w:rPr>
        <w:t>1</w:t>
      </w:r>
    </w:p>
    <w:p>
      <w:pPr>
        <w:spacing w:after="0" w:line="62" w:lineRule="exact"/>
        <w:rPr>
          <w:rFonts w:ascii="Arial" w:cs="Arial" w:eastAsia="Arial" w:hAnsi="Arial"/>
          <w:sz w:val="18"/>
          <w:szCs w:val="18"/>
          <w:color w:val="auto"/>
        </w:rPr>
      </w:pPr>
    </w:p>
    <w:p>
      <w:pPr>
        <w:ind w:left="452" w:right="280" w:firstLine="443"/>
        <w:spacing w:after="0" w:line="312" w:lineRule="auto"/>
        <w:tabs>
          <w:tab w:leader="none" w:pos="1145"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Opinion of U.S. Counsel for Underwriters</w:t>
      </w:r>
      <w:r>
        <w:rPr>
          <w:rFonts w:ascii="Arial" w:cs="Arial" w:eastAsia="Arial" w:hAnsi="Arial"/>
          <w:sz w:val="16"/>
          <w:szCs w:val="16"/>
          <w:color w:val="auto"/>
        </w:rPr>
        <w:t>. The Representatives shall have received from Goodwin Procter LLP, U.S.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p>
      <w:pPr>
        <w:spacing w:after="0" w:line="38" w:lineRule="exact"/>
        <w:rPr>
          <w:rFonts w:ascii="Arial" w:cs="Arial" w:eastAsia="Arial" w:hAnsi="Arial"/>
          <w:sz w:val="16"/>
          <w:szCs w:val="16"/>
          <w:color w:val="auto"/>
        </w:rPr>
      </w:pPr>
    </w:p>
    <w:p>
      <w:pPr>
        <w:ind w:left="452" w:right="280" w:firstLine="443"/>
        <w:spacing w:after="0" w:line="312" w:lineRule="auto"/>
        <w:tabs>
          <w:tab w:leader="none" w:pos="1105"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Opinion of Swiss Counsel for Underwriters</w:t>
      </w:r>
      <w:r>
        <w:rPr>
          <w:rFonts w:ascii="Arial" w:cs="Arial" w:eastAsia="Arial" w:hAnsi="Arial"/>
          <w:sz w:val="16"/>
          <w:szCs w:val="16"/>
          <w:color w:val="auto"/>
        </w:rPr>
        <w:t>. The Representatives shall have received from Homburger AG, Swiss counsel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such opinion or opinions, dated such Closing Date, with respect to such matters as the Representatives may require, and the Company shall have furnished to such counsel such documents as they reasonably request for the purpose of enabling them to pass upon such matters.</w:t>
      </w:r>
    </w:p>
    <w:p>
      <w:pPr>
        <w:spacing w:after="0" w:line="38" w:lineRule="exact"/>
        <w:rPr>
          <w:rFonts w:ascii="Arial" w:cs="Arial" w:eastAsia="Arial" w:hAnsi="Arial"/>
          <w:sz w:val="16"/>
          <w:szCs w:val="16"/>
          <w:color w:val="auto"/>
        </w:rPr>
      </w:pPr>
    </w:p>
    <w:p>
      <w:pPr>
        <w:ind w:left="452" w:right="40" w:firstLine="443"/>
        <w:spacing w:after="0" w:line="259" w:lineRule="auto"/>
        <w:tabs>
          <w:tab w:leader="none" w:pos="110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The Representatives shall have received a certificate, dated such Closing Date, of an executive officer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289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1" w:lineRule="exact"/>
        <w:rPr>
          <w:sz w:val="20"/>
          <w:szCs w:val="20"/>
          <w:color w:val="auto"/>
        </w:rPr>
      </w:pPr>
    </w:p>
    <w:p>
      <w:pPr>
        <w:ind w:left="212" w:hanging="212"/>
        <w:spacing w:after="0"/>
        <w:tabs>
          <w:tab w:leader="none" w:pos="212" w:val="left"/>
        </w:tabs>
        <w:numPr>
          <w:ilvl w:val="0"/>
          <w:numId w:val="189"/>
        </w:numPr>
        <w:rPr>
          <w:rFonts w:ascii="Arial" w:cs="Arial" w:eastAsia="Arial" w:hAnsi="Arial"/>
          <w:sz w:val="15"/>
          <w:szCs w:val="15"/>
          <w:color w:val="auto"/>
        </w:rPr>
      </w:pPr>
      <w:r>
        <w:rPr>
          <w:rFonts w:ascii="Arial" w:cs="Arial" w:eastAsia="Arial" w:hAnsi="Arial"/>
          <w:sz w:val="18"/>
          <w:szCs w:val="18"/>
          <w:color w:val="auto"/>
        </w:rPr>
        <w:t>NTD: To discuss once Selling Shareholders have been identified.</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12"/>
          </w:cols>
          <w:pgMar w:left="248" w:top="274" w:right="239" w:bottom="1440" w:gutter="0" w:footer="0" w:header="0"/>
        </w:sectPr>
      </w:pPr>
    </w:p>
    <w:bookmarkStart w:id="267" w:name="page268"/>
    <w:bookmarkEnd w:id="267"/>
    <w:p>
      <w:pPr>
        <w:ind w:left="460"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prior to such Closing Date; no stop order suspending the effectiveness of any Registration Statement has been issued and no proceedings for that purpose have been instituted or, to the best of their knowledge and after reasonable investigation, are contemplated by the Commission; the Additional Registration Statement (if any) satisfying the requirements of subparagraphs (1) and (3) of Rule 462(b) was timely filed pursuant to Rule 462(b), including payment of the applicable filing fee in accordance with Rule 111(a) or (b) of Regulation S-T of the Commission; and, subsequent to the date of the most recent financial statements in the General Disclosure Package, there has been no material adverse change in the condition (financial or otherwise), results of operations, business, properties or prospects of the Company except as set forth in the General Disclosure Package and the Final Prospectus or as described in such certificate.</w:t>
      </w:r>
    </w:p>
    <w:p>
      <w:pPr>
        <w:spacing w:after="0" w:line="70" w:lineRule="exact"/>
        <w:rPr>
          <w:sz w:val="20"/>
          <w:szCs w:val="20"/>
          <w:color w:val="auto"/>
        </w:rPr>
      </w:pPr>
    </w:p>
    <w:p>
      <w:pPr>
        <w:ind w:left="460" w:right="160" w:firstLine="443"/>
        <w:spacing w:after="0" w:line="264" w:lineRule="auto"/>
        <w:tabs>
          <w:tab w:leader="none" w:pos="1153"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On or prior to the date hereof, the Representatives shall have received lockup letters each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from (i) each of the executive officers and directors of the Company, and (ii) all shareholders, option holders and other equityholders of the Company.</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3"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1099. </w:t>
      </w:r>
      <w:r>
        <w:rPr>
          <w:rFonts w:ascii="Arial" w:cs="Arial" w:eastAsia="Arial" w:hAnsi="Arial"/>
          <w:sz w:val="18"/>
          <w:szCs w:val="18"/>
          <w:color w:val="auto"/>
        </w:rPr>
        <w:t>The Custodian will to deliver to the Representatives a letter stating that they will deliver to each Selling Shareholder a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Department Form 1099 (or other applicable form or statement specified by the United States Treasury Department regulations in lieu thereof) on or before January 31 of the year following the date of this Agreement.</w:t>
      </w:r>
    </w:p>
    <w:p>
      <w:pPr>
        <w:spacing w:after="0" w:line="18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Selling Shareholder and 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166" w:lineRule="exact"/>
        <w:rPr>
          <w:sz w:val="20"/>
          <w:szCs w:val="20"/>
          <w:color w:val="auto"/>
        </w:rPr>
      </w:pPr>
    </w:p>
    <w:p>
      <w:pPr>
        <w:ind w:left="740" w:hanging="276"/>
        <w:spacing w:after="0"/>
        <w:tabs>
          <w:tab w:leader="none" w:pos="740"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 by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68" w:lineRule="auto"/>
        <w:tabs>
          <w:tab w:leader="none" w:pos="1143" w:val="left"/>
        </w:tabs>
        <w:numPr>
          <w:ilvl w:val="1"/>
          <w:numId w:val="191"/>
        </w:numPr>
        <w:rPr>
          <w:rFonts w:ascii="Arial" w:cs="Arial" w:eastAsia="Arial" w:hAnsi="Arial"/>
          <w:sz w:val="17"/>
          <w:szCs w:val="17"/>
          <w:color w:val="auto"/>
        </w:rPr>
      </w:pPr>
      <w:r>
        <w:rPr>
          <w:rFonts w:ascii="Arial" w:cs="Arial" w:eastAsia="Arial" w:hAnsi="Arial"/>
          <w:sz w:val="17"/>
          <w:szCs w:val="17"/>
          <w:i w:val="1"/>
          <w:iCs w:val="1"/>
          <w:color w:val="auto"/>
        </w:rPr>
        <w:t>Indemnification of Underwriters</w:t>
      </w:r>
      <w:r>
        <w:rPr>
          <w:rFonts w:ascii="Arial" w:cs="Arial" w:eastAsia="Arial" w:hAnsi="Arial"/>
          <w:sz w:val="17"/>
          <w:szCs w:val="17"/>
          <w:color w:val="auto"/>
        </w:rPr>
        <w:t>. The Company will indemnify and hold harmless each Underwriter, its partners, members,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agents, affiliates and each person, if any, who controls such Underwriter within the meaning of Section 15 of the Act or Section 20 of the Exchange Act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Written Testing-the-Waters Communication at any time, any Statutory Prospectus as of any time, the Final Prospectus or any Issuer Free Writing Prospectus,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will not be liable in any such case to the extent that any such loss, claim, damage or liability arises out of or is based upon an untrue statement or alleged untrue statement in or omission or alleged omission from any of such documents made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72" w:lineRule="exact"/>
        <w:rPr>
          <w:rFonts w:ascii="Arial" w:cs="Arial" w:eastAsia="Arial" w:hAnsi="Arial"/>
          <w:sz w:val="17"/>
          <w:szCs w:val="17"/>
          <w:color w:val="auto"/>
        </w:rPr>
      </w:pPr>
    </w:p>
    <w:p>
      <w:pPr>
        <w:ind w:left="460" w:right="200" w:firstLine="443"/>
        <w:spacing w:after="0" w:line="277" w:lineRule="auto"/>
        <w:tabs>
          <w:tab w:leader="none" w:pos="1153"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 by Selling Shareholders</w:t>
      </w:r>
      <w:r>
        <w:rPr>
          <w:rFonts w:ascii="Arial" w:cs="Arial" w:eastAsia="Arial" w:hAnsi="Arial"/>
          <w:sz w:val="18"/>
          <w:szCs w:val="18"/>
          <w:color w:val="auto"/>
        </w:rPr>
        <w:t>. The Selling Shareholders, jointly and severally, will indemnify and hold harmless</w:t>
      </w:r>
      <w:r>
        <w:rPr>
          <w:rFonts w:ascii="Arial" w:cs="Arial" w:eastAsia="Arial" w:hAnsi="Arial"/>
          <w:sz w:val="18"/>
          <w:szCs w:val="18"/>
          <w:i w:val="1"/>
          <w:iCs w:val="1"/>
          <w:color w:val="auto"/>
        </w:rPr>
        <w:t xml:space="preserve"> </w:t>
      </w:r>
      <w:r>
        <w:rPr>
          <w:rFonts w:ascii="Arial" w:cs="Arial" w:eastAsia="Arial" w:hAnsi="Arial"/>
          <w:sz w:val="18"/>
          <w:szCs w:val="18"/>
          <w:color w:val="auto"/>
        </w:rPr>
        <w:t>each Underwriter, its partners, members, directors, officers, employees, agents, affiliates and each person, if any, who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8" w:name="page269"/>
    <w:bookmarkEnd w:id="26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controls such Underwriter within the meaning of Section 15 of the Act or Section 20 of the Exchange Act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any Written Testing-the-Waters Communication or any Issuer Free Writing Prospectus,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the above as such expenses are incurred; provided, however, that any Selling Shareholder will only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such Selling Shareholder specifically for use therein, it being understood and agreed that the only such information furnished by any Selling Shareholder consists of the following information: each Selling Shareholder’s name and corresponding share amounts set forth in the table of Principal and Selling Shareholders in the Registration Statement and Final Prospectus under the heading “Principal and Selling Shareholders” and such Selling Shareholder’s address.</w:t>
      </w:r>
    </w:p>
    <w:p>
      <w:pPr>
        <w:spacing w:after="0" w:line="77" w:lineRule="exact"/>
        <w:rPr>
          <w:sz w:val="20"/>
          <w:szCs w:val="20"/>
          <w:color w:val="auto"/>
        </w:rPr>
      </w:pPr>
    </w:p>
    <w:p>
      <w:pPr>
        <w:ind w:firstLine="443"/>
        <w:spacing w:after="0" w:line="285" w:lineRule="auto"/>
        <w:tabs>
          <w:tab w:leader="none" w:pos="683" w:val="left"/>
        </w:tabs>
        <w:numPr>
          <w:ilvl w:val="0"/>
          <w:numId w:val="192"/>
        </w:numPr>
        <w:rPr>
          <w:rFonts w:ascii="Arial" w:cs="Arial" w:eastAsia="Arial" w:hAnsi="Arial"/>
          <w:sz w:val="16"/>
          <w:szCs w:val="16"/>
          <w:color w:val="auto"/>
        </w:rPr>
      </w:pPr>
      <w:r>
        <w:rPr>
          <w:rFonts w:ascii="Arial" w:cs="Arial" w:eastAsia="Arial" w:hAnsi="Arial"/>
          <w:sz w:val="16"/>
          <w:szCs w:val="16"/>
          <w:i w:val="1"/>
          <w:iCs w:val="1"/>
          <w:color w:val="auto"/>
        </w:rPr>
        <w:t>Indemnification of Company and Selling Shareholders</w:t>
      </w:r>
      <w:r>
        <w:rPr>
          <w:rFonts w:ascii="Arial" w:cs="Arial" w:eastAsia="Arial" w:hAnsi="Arial"/>
          <w:sz w:val="16"/>
          <w:szCs w:val="16"/>
          <w:color w:val="auto"/>
        </w:rPr>
        <w:t>. Each Underwriter will severally and not jointly indemnify and hold harmless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each of its directors and each of its officers who signs a Registration Statement and each person, if any, who controls the Company within the meaning of Section 15 of the Act or Section 20 of the Exchange Act and each Selling Shareholder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any Statutory Prospectus as of any time, the Final Prospectus, or any Issuer Free Writing Prospectus or any Written Testing-the-Waters Communication,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fourth paragraph under the caption “Underwriting” and the information relating to stabilizing transactions, over-allotment transactions, syndicate covering transactions and penalty bids contained in the paragraphs under the caption “Underwriting—Price Stabilization, Short Positions and Penalty Bids.”</w:t>
      </w:r>
    </w:p>
    <w:p>
      <w:pPr>
        <w:spacing w:after="0" w:line="283" w:lineRule="exact"/>
        <w:rPr>
          <w:rFonts w:ascii="Arial" w:cs="Arial" w:eastAsia="Arial" w:hAnsi="Arial"/>
          <w:sz w:val="16"/>
          <w:szCs w:val="16"/>
          <w:color w:val="auto"/>
        </w:rPr>
      </w:pPr>
    </w:p>
    <w:p>
      <w:pPr>
        <w:ind w:right="80" w:firstLine="443"/>
        <w:spacing w:after="0" w:line="277" w:lineRule="auto"/>
        <w:tabs>
          <w:tab w:leader="none" w:pos="693"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Actions against Parties; Notification</w:t>
      </w:r>
      <w:r>
        <w:rPr>
          <w:rFonts w:ascii="Arial" w:cs="Arial" w:eastAsia="Arial" w:hAnsi="Arial"/>
          <w:sz w:val="18"/>
          <w:szCs w:val="18"/>
          <w:color w:val="auto"/>
        </w:rPr>
        <w:t>. Promptly after receipt by an indemnified party under this Section 10 of notice of the commencement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such indemnified party</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0" w:right="259" w:bottom="1440" w:gutter="0" w:footer="0" w:header="0"/>
        </w:sectPr>
      </w:pPr>
    </w:p>
    <w:bookmarkStart w:id="269" w:name="page270"/>
    <w:bookmarkEnd w:id="269"/>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the failure to notify the indemnifying party shall not relieve it from any liability that it may have to an indemnified party otherwise than</w:t>
      </w:r>
      <w:r>
        <w:rPr>
          <w:rFonts w:ascii="Arial" w:cs="Arial" w:eastAsia="Arial" w:hAnsi="Arial"/>
          <w:sz w:val="16"/>
          <w:szCs w:val="16"/>
          <w:i w:val="1"/>
          <w:iCs w:val="1"/>
          <w:color w:val="auto"/>
        </w:rPr>
        <w:t xml:space="preserve"> </w:t>
      </w:r>
      <w:r>
        <w:rPr>
          <w:rFonts w:ascii="Arial" w:cs="Arial" w:eastAsia="Arial" w:hAnsi="Arial"/>
          <w:sz w:val="16"/>
          <w:szCs w:val="16"/>
          <w:color w:val="auto"/>
        </w:rPr>
        <w:t>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10 for any legal or other expenses subsequently incurred by such indemnified party in connection with the defense thereof other than reasonable costs of investigation.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w:t>
      </w:r>
    </w:p>
    <w:p>
      <w:pPr>
        <w:spacing w:after="0" w:line="12" w:lineRule="exact"/>
        <w:rPr>
          <w:sz w:val="20"/>
          <w:szCs w:val="20"/>
          <w:color w:val="auto"/>
        </w:rPr>
      </w:pPr>
    </w:p>
    <w:p>
      <w:pPr>
        <w:ind w:left="260" w:hanging="256"/>
        <w:spacing w:after="0"/>
        <w:tabs>
          <w:tab w:leader="none" w:pos="2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does not include a statement as to, or an admission of, fault, culpability or a failure to act by or on behalf of an indemnified party.</w:t>
      </w:r>
    </w:p>
    <w:p>
      <w:pPr>
        <w:spacing w:after="0" w:line="102" w:lineRule="exact"/>
        <w:rPr>
          <w:rFonts w:ascii="Arial" w:cs="Arial" w:eastAsia="Arial" w:hAnsi="Arial"/>
          <w:sz w:val="18"/>
          <w:szCs w:val="18"/>
          <w:color w:val="auto"/>
        </w:rPr>
      </w:pPr>
    </w:p>
    <w:p>
      <w:pPr>
        <w:ind w:right="20" w:firstLine="443"/>
        <w:spacing w:after="0" w:line="286" w:lineRule="auto"/>
        <w:tabs>
          <w:tab w:leader="none" w:pos="683" w:val="left"/>
        </w:tabs>
        <w:numPr>
          <w:ilvl w:val="1"/>
          <w:numId w:val="193"/>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subsection (a), (b) or (c) 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and the Selling Shareholders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Selling Shareholders on the one hand and the Underwriters on the other in connection with the statements or omissions which resulted in such losses, claims, damages or liabilities as well as any other relevant equitable considerations. The relative benefits received by the Company and the Selling Shareholders on the one hand and the Underwriters on the other shall be deemed to be in the same proportion as the total net proceeds from the offering (before deducting expenses) received by the Company and the Selling Shareholders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the Selling Shareholders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74" w:right="239" w:bottom="1440" w:gutter="0" w:footer="0" w:header="0"/>
        </w:sectPr>
      </w:pPr>
    </w:p>
    <w:bookmarkStart w:id="270" w:name="page271"/>
    <w:bookmarkEnd w:id="270"/>
    <w:p>
      <w:pPr>
        <w:ind w:left="44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subsection (e) shall be deemed to include any legal or other expenses reasonably incurred by such indemnified party in connection with investigating or defending any action or claim which is the subject of this subsection (e). Notwithstanding the provisions of this subsection (e), no Underwriter shall be required to contribute any amount in excess of the amount by which the underwriting discount or commission applicable to the Securities purchased by such Underwriter hereunder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(e) to contribute are several in proportion to their respective underwriting obligations and not joint. The Company, the Selling Shareholders and the Underwriters agree that it would not be just and equitable if contribution pursuant to this Section 10(e) were determined by pro rata allocation (even if the Underwriters were treated as one entity for such purpose) or by any other method of allocation which does not take account of the equitable considerations referred to in this Section 10(e).</w:t>
      </w:r>
    </w:p>
    <w:p>
      <w:pPr>
        <w:spacing w:after="0" w:line="178" w:lineRule="exact"/>
        <w:rPr>
          <w:sz w:val="20"/>
          <w:szCs w:val="20"/>
          <w:color w:val="auto"/>
        </w:rPr>
      </w:pPr>
    </w:p>
    <w:p>
      <w:pPr>
        <w:ind w:left="-20" w:firstLine="464"/>
        <w:spacing w:after="0" w:line="268" w:lineRule="auto"/>
        <w:tabs>
          <w:tab w:leader="none" w:pos="700"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Default of Underwriters</w:t>
      </w:r>
      <w:r>
        <w:rPr>
          <w:rFonts w:ascii="Arial" w:cs="Arial" w:eastAsia="Arial" w:hAnsi="Arial"/>
          <w:sz w:val="17"/>
          <w:szCs w:val="17"/>
          <w:color w:val="auto"/>
        </w:rPr>
        <w:t>. If any Underwriter or Underwriters default in their obligations to purchase Offered Securities hereunder on either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and the Selling Shareholders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the Company and the Selling Shareholders for the purchase of such Offered Securities by other persons are not made within 36 hours after such default, this Agreement will terminate without liability on the part of any non-defaulting Underwriter, the Company, or the Selling Shareholders except as provided in Section 13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85" w:lineRule="exact"/>
        <w:rPr>
          <w:rFonts w:ascii="Arial" w:cs="Arial" w:eastAsia="Arial" w:hAnsi="Arial"/>
          <w:sz w:val="17"/>
          <w:szCs w:val="17"/>
          <w:color w:val="auto"/>
        </w:rPr>
      </w:pPr>
    </w:p>
    <w:p>
      <w:pPr>
        <w:ind w:left="-20" w:firstLine="464"/>
        <w:spacing w:after="0" w:line="286" w:lineRule="auto"/>
        <w:tabs>
          <w:tab w:leader="none" w:pos="706"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Termination of this Agreement</w:t>
      </w:r>
      <w:r>
        <w:rPr>
          <w:rFonts w:ascii="Arial" w:cs="Arial" w:eastAsia="Arial" w:hAnsi="Arial"/>
          <w:sz w:val="16"/>
          <w:szCs w:val="16"/>
          <w:color w:val="auto"/>
        </w:rPr>
        <w:t>. Prior to the purchase of the Firm Securities by the Underwriters on the First Closing Date, this Agreement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of federal, New York or Swiss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Securities in the manner and on the terms described in a Statutory Prospectus or to enforce contracts for the sale of securities; or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60" w:top="274" w:right="239" w:bottom="1440" w:gutter="0" w:footer="0" w:header="0"/>
        </w:sectPr>
      </w:pPr>
    </w:p>
    <w:bookmarkStart w:id="271" w:name="page272"/>
    <w:bookmarkEnd w:id="271"/>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pursuant to Section 7(h) hereof if the purchase of the Offered Securities by the Underwriters is not consummated for any reason other than solely because of the termination of this Agreement pursuant to Section 11 hereof or (b) any Underwriter to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provisions of Section 10 shall at all times be effective and shall survive such termination.</w:t>
      </w:r>
    </w:p>
    <w:p>
      <w:pPr>
        <w:spacing w:after="0" w:line="181" w:lineRule="exact"/>
        <w:rPr>
          <w:sz w:val="20"/>
          <w:szCs w:val="20"/>
          <w:color w:val="auto"/>
        </w:rPr>
      </w:pPr>
    </w:p>
    <w:p>
      <w:pPr>
        <w:ind w:right="40" w:firstLine="464"/>
        <w:spacing w:after="0" w:line="270" w:lineRule="auto"/>
        <w:tabs>
          <w:tab w:leader="none" w:pos="726"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Survival of Certain Representations and Obligations</w:t>
      </w:r>
      <w:r>
        <w:rPr>
          <w:rFonts w:ascii="Arial" w:cs="Arial" w:eastAsia="Arial" w:hAnsi="Arial"/>
          <w:sz w:val="17"/>
          <w:szCs w:val="17"/>
          <w:color w:val="auto"/>
        </w:rPr>
        <w:t>. The respective indemnities, agreements, representations, warranties and other statements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Selling Shareholders, of the Company or its officers and of the several Underwriters set forth in or made pursuant to this Agreement will remain in full force and effect, regardless of any investigation, or statement as to the results thereof, made by or on behalf of any Underwriter, any Selling Shareholder, the Company or any of their respective representatives, officers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Section 11 hereof, the Company will reimburse the Underwriters for all out-of-pocket expenses (including fees and disbursements of counsel) reasonably incurred by them in connection with the offering of the Offered Securities, and the respective obligations of the Company and the Underwriters pursuant to Section 10 hereof shall remain in effect. In addition, if any Offered Securities have been purchased hereunder, the representations and warranties in Section 2 and all obligations under Section 7 shall also remain in effect.</w:t>
      </w:r>
    </w:p>
    <w:p>
      <w:pPr>
        <w:spacing w:after="0" w:line="181" w:lineRule="exact"/>
        <w:rPr>
          <w:rFonts w:ascii="Arial" w:cs="Arial" w:eastAsia="Arial" w:hAnsi="Arial"/>
          <w:sz w:val="17"/>
          <w:szCs w:val="17"/>
          <w:color w:val="auto"/>
        </w:rPr>
      </w:pPr>
    </w:p>
    <w:p>
      <w:pPr>
        <w:ind w:left="740" w:hanging="276"/>
        <w:spacing w:after="0"/>
        <w:tabs>
          <w:tab w:leader="none" w:pos="74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Effects of Termination on Offered Shares</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57" w:lineRule="auto"/>
        <w:tabs>
          <w:tab w:leader="none" w:pos="114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after application and registration of the Firm Capital Increase with the Commercial Register of the Canton of Vaud pursuant to Section 4(c), prior to the First Closing Date, as the case may be, this Agreement is terminated pursuant to Section 12, or if the delivery of the Firm Securities to the Representatives for the account of the several Underwriters is not completed on the First Closing Date (an “</w:t>
      </w:r>
      <w:r>
        <w:rPr>
          <w:rFonts w:ascii="Arial" w:cs="Arial" w:eastAsia="Arial" w:hAnsi="Arial"/>
          <w:sz w:val="18"/>
          <w:szCs w:val="18"/>
          <w:b w:val="1"/>
          <w:bCs w:val="1"/>
          <w:color w:val="auto"/>
        </w:rPr>
        <w:t>Event of Non-Completion</w:t>
      </w:r>
      <w:r>
        <w:rPr>
          <w:rFonts w:ascii="Arial" w:cs="Arial" w:eastAsia="Arial" w:hAnsi="Arial"/>
          <w:sz w:val="18"/>
          <w:szCs w:val="18"/>
          <w:color w:val="auto"/>
        </w:rPr>
        <w:t>”), and unless the Company and the Representatives, acting on behalf of the several Underwriters, otherwise agree within ten calendar days</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Event of Non-Completion, then:</w:t>
      </w:r>
    </w:p>
    <w:p>
      <w:pPr>
        <w:spacing w:after="0" w:line="80" w:lineRule="exact"/>
        <w:rPr>
          <w:rFonts w:ascii="Arial" w:cs="Arial" w:eastAsia="Arial" w:hAnsi="Arial"/>
          <w:sz w:val="18"/>
          <w:szCs w:val="18"/>
          <w:color w:val="auto"/>
        </w:rPr>
      </w:pPr>
    </w:p>
    <w:p>
      <w:pPr>
        <w:ind w:left="1560" w:hanging="219"/>
        <w:spacing w:after="0"/>
        <w:tabs>
          <w:tab w:leader="none" w:pos="15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Company shall have a call option against the Underwriters pursuant to Section 14(b);</w:t>
      </w:r>
    </w:p>
    <w:p>
      <w:pPr>
        <w:spacing w:after="0" w:line="117" w:lineRule="exact"/>
        <w:rPr>
          <w:rFonts w:ascii="Arial" w:cs="Arial" w:eastAsia="Arial" w:hAnsi="Arial"/>
          <w:sz w:val="18"/>
          <w:szCs w:val="18"/>
          <w:color w:val="auto"/>
        </w:rPr>
      </w:pPr>
    </w:p>
    <w:p>
      <w:pPr>
        <w:ind w:left="920" w:right="260" w:firstLine="421"/>
        <w:spacing w:after="0" w:line="277" w:lineRule="auto"/>
        <w:tabs>
          <w:tab w:leader="none" w:pos="160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the call option is not exercised, the Representatives acting on behalf of the several Underwriters shall have a put option against the Company pursuant to Section 14(c);</w:t>
      </w:r>
    </w:p>
    <w:p>
      <w:pPr>
        <w:spacing w:after="0" w:line="62" w:lineRule="exact"/>
        <w:rPr>
          <w:rFonts w:ascii="Arial" w:cs="Arial" w:eastAsia="Arial" w:hAnsi="Arial"/>
          <w:sz w:val="18"/>
          <w:szCs w:val="18"/>
          <w:color w:val="auto"/>
        </w:rPr>
      </w:pPr>
    </w:p>
    <w:p>
      <w:pPr>
        <w:ind w:left="920" w:right="520" w:firstLine="421"/>
        <w:spacing w:after="0" w:line="342" w:lineRule="auto"/>
        <w:tabs>
          <w:tab w:leader="none" w:pos="1655"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if the put option is not possible for legal reasons or insufficient to dispose of the Company Securities, or if such put option is not exercised within the deadline set forth in Section 14(c), the Company shall effect a capital reduction pursuant to Section 14(d); and</w:t>
      </w:r>
    </w:p>
    <w:p>
      <w:pPr>
        <w:spacing w:after="0" w:line="15" w:lineRule="exact"/>
        <w:rPr>
          <w:rFonts w:ascii="Arial" w:cs="Arial" w:eastAsia="Arial" w:hAnsi="Arial"/>
          <w:sz w:val="16"/>
          <w:szCs w:val="16"/>
          <w:color w:val="auto"/>
        </w:rPr>
      </w:pPr>
    </w:p>
    <w:p>
      <w:pPr>
        <w:ind w:left="920" w:right="460" w:firstLine="421"/>
        <w:spacing w:after="0" w:line="277" w:lineRule="auto"/>
        <w:tabs>
          <w:tab w:leader="none" w:pos="164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the capital reduction is not effected in accordance with Section 14(d), the Underwriters may sell the Company Securities, in the market as provided in Section 14(e).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Call Option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left="920" w:right="220" w:firstLine="421"/>
        <w:spacing w:after="0" w:line="303" w:lineRule="auto"/>
        <w:tabs>
          <w:tab w:leader="none" w:pos="1555"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Company, acting on its own behalf or on behalf of third parties, shall have the right (the “</w:t>
      </w:r>
      <w:r>
        <w:rPr>
          <w:rFonts w:ascii="Arial" w:cs="Arial" w:eastAsia="Arial" w:hAnsi="Arial"/>
          <w:sz w:val="16"/>
          <w:szCs w:val="16"/>
          <w:b w:val="1"/>
          <w:bCs w:val="1"/>
          <w:color w:val="auto"/>
        </w:rPr>
        <w:t>Call Option</w:t>
      </w:r>
      <w:r>
        <w:rPr>
          <w:rFonts w:ascii="Arial" w:cs="Arial" w:eastAsia="Arial" w:hAnsi="Arial"/>
          <w:sz w:val="16"/>
          <w:szCs w:val="16"/>
          <w:color w:val="auto"/>
        </w:rPr>
        <w:t>”) to request in writing that the Representatives, acting on behalf of the several Underwriters, deliver the Company Securities, as applicable, to an account specified by the Company against payment of an amount representing the aggregate nominal value of the respective Company Securities plus expenses of the Representatives as set out in Section 14(f). The Call Option shall expire on the tenth calendar day after the Event of Non-Completion.</w:t>
      </w:r>
    </w:p>
    <w:p>
      <w:pPr>
        <w:spacing w:after="0" w:line="47" w:lineRule="exact"/>
        <w:rPr>
          <w:rFonts w:ascii="Arial" w:cs="Arial" w:eastAsia="Arial" w:hAnsi="Arial"/>
          <w:sz w:val="16"/>
          <w:szCs w:val="16"/>
          <w:color w:val="auto"/>
        </w:rPr>
      </w:pPr>
    </w:p>
    <w:p>
      <w:pPr>
        <w:ind w:left="920" w:firstLine="421"/>
        <w:spacing w:after="0" w:line="264" w:lineRule="auto"/>
        <w:tabs>
          <w:tab w:leader="none" w:pos="160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 acquisition of the Company Securities by the Company for its own account shall only be permitted if the Company has delivered evidence to the Representatives reasonably satisfactory to the Representatives that the Company has sufficient freely available reserves to acquire the Company Securities under this Section 14(b) or, alternatively, that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72" w:name="page273"/>
    <w:bookmarkEnd w:id="272"/>
    <w:p>
      <w:pPr>
        <w:ind w:left="17"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has entered into arrangements with a third party ensuring for the immediate re-sale of the Company Securities to such third party, at no less than their nominal value, on the date of acquisition of the Company Securities by the Company.</w:t>
      </w:r>
    </w:p>
    <w:p>
      <w:pPr>
        <w:spacing w:after="0" w:line="62" w:lineRule="exact"/>
        <w:rPr>
          <w:sz w:val="20"/>
          <w:szCs w:val="20"/>
          <w:color w:val="auto"/>
        </w:rPr>
      </w:pPr>
    </w:p>
    <w:p>
      <w:pPr>
        <w:ind w:left="237" w:hanging="237"/>
        <w:spacing w:after="0"/>
        <w:tabs>
          <w:tab w:leader="none" w:pos="237"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Put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7" w:right="220" w:firstLine="421"/>
        <w:spacing w:after="0" w:line="297" w:lineRule="auto"/>
        <w:tabs>
          <w:tab w:leader="none" w:pos="65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Following the expiry of the Call Option pursuant to Section 14(b), the Representatives, acting on behalf of the several Underwriters, shall have an option (the “</w:t>
      </w:r>
      <w:r>
        <w:rPr>
          <w:rFonts w:ascii="Arial" w:cs="Arial" w:eastAsia="Arial" w:hAnsi="Arial"/>
          <w:sz w:val="16"/>
          <w:szCs w:val="16"/>
          <w:b w:val="1"/>
          <w:bCs w:val="1"/>
          <w:color w:val="auto"/>
        </w:rPr>
        <w:t>Put Option</w:t>
      </w:r>
      <w:r>
        <w:rPr>
          <w:rFonts w:ascii="Arial" w:cs="Arial" w:eastAsia="Arial" w:hAnsi="Arial"/>
          <w:sz w:val="16"/>
          <w:szCs w:val="16"/>
          <w:color w:val="auto"/>
        </w:rPr>
        <w:t>”) to require the Company, subject to article 659 CO, to purchase all Company Securities entered in the Commercial Register of the Canton of Vaud at their nominal value, plus expenses of the Representatives as set out in Section 14(f), within ten calendar days after receipt of a notice in writing addressed to the Company from the Representatives, stating that the Representatives exercises the Put Option. The Put Option shall expire on the twentieth calendar day after the Event of Non-Completion.</w:t>
      </w:r>
    </w:p>
    <w:p>
      <w:pPr>
        <w:spacing w:after="0" w:line="50" w:lineRule="exact"/>
        <w:rPr>
          <w:rFonts w:ascii="Arial" w:cs="Arial" w:eastAsia="Arial" w:hAnsi="Arial"/>
          <w:sz w:val="16"/>
          <w:szCs w:val="16"/>
          <w:color w:val="auto"/>
        </w:rPr>
      </w:pPr>
    </w:p>
    <w:p>
      <w:pPr>
        <w:ind w:left="17" w:right="40" w:firstLine="421"/>
        <w:spacing w:after="0" w:line="259" w:lineRule="auto"/>
        <w:tabs>
          <w:tab w:leader="none" w:pos="70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notice in which the Representatives, acting on behalf of the several Underwriters, exercises the Put Option shall specify the date on which the Representatives will deliver the Company Securities to the Company against direct payment therefore, and shall contain detailed instructions regarding payment, delivery of the Company Securities and amount payable (including satisfactory details regarding the costs claimed according to Section 14(f)).</w:t>
      </w:r>
    </w:p>
    <w:p>
      <w:pPr>
        <w:spacing w:after="0" w:line="78" w:lineRule="exact"/>
        <w:rPr>
          <w:rFonts w:ascii="Arial" w:cs="Arial" w:eastAsia="Arial" w:hAnsi="Arial"/>
          <w:sz w:val="18"/>
          <w:szCs w:val="18"/>
          <w:color w:val="auto"/>
        </w:rPr>
      </w:pPr>
    </w:p>
    <w:p>
      <w:pPr>
        <w:ind w:left="257" w:hanging="257"/>
        <w:spacing w:after="0"/>
        <w:tabs>
          <w:tab w:leader="none" w:pos="257"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Capital Reduction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 w:firstLine="421"/>
        <w:spacing w:after="0" w:line="288" w:lineRule="auto"/>
        <w:tabs>
          <w:tab w:leader="none" w:pos="65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If the Put Option is not exercised within the deadline set forth in Section 14(c) or it is not possible for legal reasons or insufficient to dispose of the Company Securities , including due to non-availability of sufficient freely disposable reserves, the Company shall immediately call a shareholders’ meeting and table the reduction of the share capital. Such shareholders’ meeting shall take place no later than seventy days after the Event of Non-Completion. The Representatives acting on behalf of the several Underwriters, will vote in favor of a reduction of the issued and outstanding share capital of the Company (the “</w:t>
      </w:r>
      <w:r>
        <w:rPr>
          <w:rFonts w:ascii="Arial" w:cs="Arial" w:eastAsia="Arial" w:hAnsi="Arial"/>
          <w:sz w:val="16"/>
          <w:szCs w:val="16"/>
          <w:b w:val="1"/>
          <w:bCs w:val="1"/>
          <w:color w:val="auto"/>
        </w:rPr>
        <w:t>Capital Reduction</w:t>
      </w:r>
      <w:r>
        <w:rPr>
          <w:rFonts w:ascii="Arial" w:cs="Arial" w:eastAsia="Arial" w:hAnsi="Arial"/>
          <w:sz w:val="16"/>
          <w:szCs w:val="16"/>
          <w:color w:val="auto"/>
        </w:rPr>
        <w:t xml:space="preserve">”) by cancellation of the Company Securities entered in the Commercial Register of the Canton of Vaud against repayment of the aggregate nominal value of such securities to the Representatives, acting on behalf of the several Underwriters. Prior to such shareholders’ meeting, the Company shall use its reasonable best efforts to cause its auditors to confirm in writing, pursuant to article 732 para. 2 CO, that the claims of the Company’s creditors are fully covered notwithstanding the Capital Reduction,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such confirmation is not made by the auditors prior to such meeting, the meeting shall be cancelled. The Company shall use its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best efforts to cause its shareholders to vote in favor of the Capital Reduction.</w:t>
      </w:r>
    </w:p>
    <w:p>
      <w:pPr>
        <w:spacing w:after="0" w:line="61" w:lineRule="exact"/>
        <w:rPr>
          <w:rFonts w:ascii="Arial" w:cs="Arial" w:eastAsia="Arial" w:hAnsi="Arial"/>
          <w:sz w:val="16"/>
          <w:szCs w:val="16"/>
          <w:color w:val="auto"/>
        </w:rPr>
      </w:pPr>
    </w:p>
    <w:p>
      <w:pPr>
        <w:ind w:left="17" w:right="160" w:firstLine="421"/>
        <w:spacing w:after="0" w:line="259" w:lineRule="auto"/>
        <w:tabs>
          <w:tab w:leader="none" w:pos="70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At the earliest possible date, and subject to statutory law, the Capital Reduction shall be consummated by registration in the Commercial Register of the Canton of Vaud. The proceeds of the Capital Reduction, being an amount representing the aggregate nominal value of the Company Securities shall be paid (for value on the date of the entry in the Commercial Register of the Canton of Vaud) in cash to the Representatives, acting on behalf of the several Underwriters.</w:t>
      </w:r>
    </w:p>
    <w:p>
      <w:pPr>
        <w:spacing w:after="0" w:line="78" w:lineRule="exact"/>
        <w:rPr>
          <w:rFonts w:ascii="Arial" w:cs="Arial" w:eastAsia="Arial" w:hAnsi="Arial"/>
          <w:sz w:val="18"/>
          <w:szCs w:val="18"/>
          <w:color w:val="auto"/>
        </w:rPr>
      </w:pPr>
    </w:p>
    <w:p>
      <w:pPr>
        <w:ind w:left="17" w:right="460" w:firstLine="421"/>
        <w:spacing w:after="0" w:line="342" w:lineRule="auto"/>
        <w:tabs>
          <w:tab w:leader="none" w:pos="75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Upon consummation of the Capital Reduction, the Company shall deregister the Company Securities in its book of uncertificated securities (</w:t>
      </w:r>
      <w:r>
        <w:rPr>
          <w:rFonts w:ascii="Arial" w:cs="Arial" w:eastAsia="Arial" w:hAnsi="Arial"/>
          <w:sz w:val="16"/>
          <w:szCs w:val="16"/>
          <w:i w:val="1"/>
          <w:iCs w:val="1"/>
          <w:color w:val="auto"/>
        </w:rPr>
        <w:t>Wertrechtebuch</w:t>
      </w:r>
      <w:r>
        <w:rPr>
          <w:rFonts w:ascii="Arial" w:cs="Arial" w:eastAsia="Arial" w:hAnsi="Arial"/>
          <w:sz w:val="16"/>
          <w:szCs w:val="16"/>
          <w:color w:val="auto"/>
        </w:rPr>
        <w:t>) to reflect the number of Shares registered with the Commercial Register of the Canton of Vaud.</w:t>
      </w:r>
    </w:p>
    <w:p>
      <w:pPr>
        <w:spacing w:after="0" w:line="15" w:lineRule="exact"/>
        <w:rPr>
          <w:rFonts w:ascii="Arial" w:cs="Arial" w:eastAsia="Arial" w:hAnsi="Arial"/>
          <w:sz w:val="16"/>
          <w:szCs w:val="16"/>
          <w:color w:val="auto"/>
        </w:rPr>
      </w:pPr>
    </w:p>
    <w:p>
      <w:pPr>
        <w:ind w:left="237" w:hanging="237"/>
        <w:spacing w:after="0"/>
        <w:tabs>
          <w:tab w:leader="none" w:pos="237"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Sale of Company Securities</w:t>
      </w:r>
      <w:r>
        <w:rPr>
          <w:rFonts w:ascii="Arial" w:cs="Arial" w:eastAsia="Arial" w:hAnsi="Arial"/>
          <w:sz w:val="18"/>
          <w:szCs w:val="18"/>
          <w:color w:val="auto"/>
        </w:rPr>
        <w:t>. In addition, if an Event of Non-Completion occurs and,</w:t>
      </w:r>
    </w:p>
    <w:p>
      <w:pPr>
        <w:spacing w:after="0" w:line="117" w:lineRule="exact"/>
        <w:rPr>
          <w:rFonts w:ascii="Arial" w:cs="Arial" w:eastAsia="Arial" w:hAnsi="Arial"/>
          <w:sz w:val="18"/>
          <w:szCs w:val="18"/>
          <w:color w:val="auto"/>
        </w:rPr>
      </w:pPr>
    </w:p>
    <w:p>
      <w:pPr>
        <w:ind w:left="17" w:right="240" w:firstLine="421"/>
        <w:spacing w:after="0" w:line="277" w:lineRule="auto"/>
        <w:tabs>
          <w:tab w:leader="none" w:pos="65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Company fails to acquire or cause a third party to acquire the Company Securities accordance with Section 14(b) at any time after the Event of Non-Completion; and</w:t>
      </w:r>
    </w:p>
    <w:p>
      <w:pPr>
        <w:spacing w:after="0" w:line="103"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17"/>
          </w:cols>
          <w:pgMar w:left="1143" w:top="274" w:right="239" w:bottom="1440" w:gutter="0" w:footer="0" w:header="0"/>
        </w:sectPr>
      </w:pPr>
    </w:p>
    <w:bookmarkStart w:id="273" w:name="page274"/>
    <w:bookmarkEnd w:id="273"/>
    <w:p>
      <w:pPr>
        <w:ind w:left="900" w:right="900" w:firstLine="421"/>
        <w:spacing w:after="0" w:line="264" w:lineRule="auto"/>
        <w:tabs>
          <w:tab w:leader="none" w:pos="1585" w:val="left"/>
        </w:tabs>
        <w:numPr>
          <w:ilvl w:val="2"/>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and to the extent the Put Option is not possible for legal reasons or insufficient to dispose of the Company Securities including due to insufficient freely disposable reserves, or if the Put Option is not exercised within the deadline set forth in Section 14(c); and</w:t>
      </w:r>
    </w:p>
    <w:p>
      <w:pPr>
        <w:spacing w:after="0" w:line="73" w:lineRule="exact"/>
        <w:rPr>
          <w:rFonts w:ascii="Arial" w:cs="Arial" w:eastAsia="Arial" w:hAnsi="Arial"/>
          <w:sz w:val="18"/>
          <w:szCs w:val="18"/>
          <w:color w:val="auto"/>
        </w:rPr>
      </w:pPr>
    </w:p>
    <w:p>
      <w:pPr>
        <w:ind w:left="900" w:right="40" w:firstLine="421"/>
        <w:spacing w:after="0" w:line="257" w:lineRule="auto"/>
        <w:tabs>
          <w:tab w:leader="none" w:pos="1635"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the Capital Reduction has not been resolved by the shareholders’ meeting of the Company within seventy days after the Event of Non-Completion, the Representatives, acting on behalf of the several Underwriters, are entitled to sell any or all Company Securities on terms which the Representatives deem fit under the circumstances. The difference between the proceeds of such sale and the nominal amount of such Company Securities sold, less the costs and expenses pursuant to Section 14(f) reasonably incurred by the Representatives in connection with the sale, if any, shall be transferred to the Company.</w:t>
      </w:r>
    </w:p>
    <w:p>
      <w:pPr>
        <w:spacing w:after="0" w:line="80" w:lineRule="exact"/>
        <w:rPr>
          <w:rFonts w:ascii="Arial" w:cs="Arial" w:eastAsia="Arial" w:hAnsi="Arial"/>
          <w:sz w:val="18"/>
          <w:szCs w:val="18"/>
          <w:color w:val="auto"/>
        </w:rPr>
      </w:pPr>
    </w:p>
    <w:p>
      <w:pPr>
        <w:ind w:left="1100" w:hanging="217"/>
        <w:spacing w:after="0"/>
        <w:tabs>
          <w:tab w:leader="none" w:pos="1100" w:val="left"/>
        </w:tabs>
        <w:numPr>
          <w:ilvl w:val="1"/>
          <w:numId w:val="199"/>
        </w:numPr>
        <w:rPr>
          <w:rFonts w:ascii="Arial" w:cs="Arial" w:eastAsia="Arial" w:hAnsi="Arial"/>
          <w:sz w:val="18"/>
          <w:szCs w:val="18"/>
          <w:color w:val="auto"/>
        </w:rPr>
      </w:pPr>
      <w:r>
        <w:rPr>
          <w:rFonts w:ascii="Arial" w:cs="Arial" w:eastAsia="Arial" w:hAnsi="Arial"/>
          <w:sz w:val="18"/>
          <w:szCs w:val="18"/>
          <w:i w:val="1"/>
          <w:iCs w:val="1"/>
          <w:color w:val="auto"/>
        </w:rPr>
        <w:t>Costs; Indemnity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20" w:firstLine="421"/>
        <w:spacing w:after="0" w:line="255" w:lineRule="auto"/>
        <w:tabs>
          <w:tab w:leader="none" w:pos="1535"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Company shall bear (A) all costs directly incidental to the Capital Reduction, including but not limited to notarization costs, costs of the Commercial Register and costs of publication of the Capital Reduction and (B) the costs of the Representatives reasonably incurred in connection with the Call Option, the Put Option or the Capital Reduction, as applicable (including but not limited to (x) taxes, (y) interest at a rate of the higher of zero or the 3-month CHF LIBOR, calculated on a 30/360 basis, following the Event of Non-Completion until the payment of proceeds to the Representatives, acting on behalf of the several Underwriters, and (z) reasonable out of pocket expenses of the Representatives and their counsel).</w:t>
      </w:r>
    </w:p>
    <w:p>
      <w:pPr>
        <w:spacing w:after="0" w:line="85" w:lineRule="exact"/>
        <w:rPr>
          <w:rFonts w:ascii="Arial" w:cs="Arial" w:eastAsia="Arial" w:hAnsi="Arial"/>
          <w:sz w:val="18"/>
          <w:szCs w:val="18"/>
          <w:color w:val="auto"/>
        </w:rPr>
      </w:pPr>
    </w:p>
    <w:p>
      <w:pPr>
        <w:ind w:left="900" w:right="40" w:firstLine="421"/>
        <w:spacing w:after="0" w:line="264" w:lineRule="auto"/>
        <w:tabs>
          <w:tab w:leader="none" w:pos="1585"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Company further undertakes to indemnify the Representatives for, and to hold the Representatives harmless from, any reasonable costs, expenses, third party claims and liabilities, actual or contingent, that may be incurred by or made against the Representatives in connection with the Capital Reduction.</w:t>
      </w:r>
    </w:p>
    <w:p>
      <w:pPr>
        <w:spacing w:after="0" w:line="181" w:lineRule="exact"/>
        <w:rPr>
          <w:rFonts w:ascii="Arial" w:cs="Arial" w:eastAsia="Arial" w:hAnsi="Arial"/>
          <w:sz w:val="18"/>
          <w:szCs w:val="18"/>
          <w:color w:val="auto"/>
        </w:rPr>
      </w:pPr>
    </w:p>
    <w:p>
      <w:pPr>
        <w:ind w:left="-20" w:firstLine="464"/>
        <w:spacing w:after="0" w:line="255" w:lineRule="auto"/>
        <w:tabs>
          <w:tab w:leader="none" w:pos="706"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will be in writing and, if sent to the Underwriters, will be mailed by registered mail, or delivered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at Credit Suisse Securities (USA) LLC, Eleven Madison Avenue, New York, N.Y. 10010-3629, Attention: LCD-IBD, or, if sent to the Company, will be mailed by registered mail or at AC Immune SA, EPFL Innovation Park Building B, 1050 Lausanne, Switzerland, Attention: Chief Financial Officer with copies (which shall not constitute notice) to Vischer AG, attn. Dr. Matthias Staehelin, Aeschenvorstadt 4, CH 4051 Basel, Switzerland, and Davis Polk &amp; Wardwell LLP, attn. Richard D. Truesdell, Jr., 450 Lexington Avenue, New York, NY 10017, or, if sent to the Selling Shareholders or any of them, will be mailed by registered mail to [●] at [●];</w:t>
      </w:r>
    </w:p>
    <w:p>
      <w:pPr>
        <w:spacing w:after="0" w:line="193" w:lineRule="exact"/>
        <w:rPr>
          <w:rFonts w:ascii="Arial" w:cs="Arial" w:eastAsia="Arial" w:hAnsi="Arial"/>
          <w:sz w:val="18"/>
          <w:szCs w:val="18"/>
          <w:color w:val="auto"/>
        </w:rPr>
      </w:pPr>
    </w:p>
    <w:p>
      <w:pPr>
        <w:ind w:left="-20" w:right="360" w:firstLine="464"/>
        <w:spacing w:after="0" w:line="277" w:lineRule="auto"/>
        <w:tabs>
          <w:tab w:leader="none" w:pos="706"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This Agreement will inure to the benefit of and be binding upon the parties hereto and their respective personal representatives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the officers and directors, and no other person will have any right or obligation hereunder.</w:t>
      </w:r>
    </w:p>
    <w:p>
      <w:pPr>
        <w:spacing w:after="0" w:line="170" w:lineRule="exact"/>
        <w:rPr>
          <w:rFonts w:ascii="Arial" w:cs="Arial" w:eastAsia="Arial" w:hAnsi="Arial"/>
          <w:sz w:val="18"/>
          <w:szCs w:val="18"/>
          <w:color w:val="auto"/>
        </w:rPr>
      </w:pPr>
    </w:p>
    <w:p>
      <w:pPr>
        <w:ind w:left="-20" w:right="200" w:firstLine="464"/>
        <w:spacing w:after="0" w:line="286" w:lineRule="auto"/>
        <w:tabs>
          <w:tab w:leader="none" w:pos="706" w:val="left"/>
        </w:tabs>
        <w:numPr>
          <w:ilvl w:val="0"/>
          <w:numId w:val="200"/>
        </w:numPr>
        <w:rPr>
          <w:rFonts w:ascii="Arial" w:cs="Arial" w:eastAsia="Arial" w:hAnsi="Arial"/>
          <w:sz w:val="17"/>
          <w:szCs w:val="17"/>
          <w:color w:val="auto"/>
        </w:rPr>
      </w:pPr>
      <w:r>
        <w:rPr>
          <w:rFonts w:ascii="Arial" w:cs="Arial" w:eastAsia="Arial" w:hAnsi="Arial"/>
          <w:sz w:val="17"/>
          <w:szCs w:val="17"/>
          <w:i w:val="1"/>
          <w:iCs w:val="1"/>
          <w:color w:val="auto"/>
        </w:rPr>
        <w:t>Representation of Underwriters</w:t>
      </w:r>
      <w:r>
        <w:rPr>
          <w:rFonts w:ascii="Arial" w:cs="Arial" w:eastAsia="Arial" w:hAnsi="Arial"/>
          <w:sz w:val="17"/>
          <w:szCs w:val="17"/>
          <w:color w:val="auto"/>
        </w:rPr>
        <w:t>. The Representatives will act for the several Underwriters in connection with this financing, and any action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taken by the Representatives will be binding upon all the Underwriters. [●] will act for the Selling Shareholders in connection with such transactions, and any action under or in respect of this Agreement taken by [●] will be binding upon all of the Selling Shareholders.</w:t>
      </w:r>
    </w:p>
    <w:p>
      <w:pPr>
        <w:spacing w:after="0" w:line="165" w:lineRule="exact"/>
        <w:rPr>
          <w:rFonts w:ascii="Arial" w:cs="Arial" w:eastAsia="Arial" w:hAnsi="Arial"/>
          <w:sz w:val="17"/>
          <w:szCs w:val="17"/>
          <w:color w:val="auto"/>
        </w:rPr>
      </w:pPr>
    </w:p>
    <w:p>
      <w:pPr>
        <w:ind w:left="-20" w:right="560" w:firstLine="464"/>
        <w:spacing w:after="0" w:line="277" w:lineRule="auto"/>
        <w:tabs>
          <w:tab w:leader="none" w:pos="706"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60" w:top="274" w:right="239" w:bottom="1440" w:gutter="0" w:footer="0" w:header="0"/>
        </w:sectPr>
      </w:pPr>
    </w:p>
    <w:bookmarkStart w:id="274" w:name="page275"/>
    <w:bookmarkEnd w:id="274"/>
    <w:p>
      <w:pPr>
        <w:ind w:left="740" w:hanging="276"/>
        <w:spacing w:after="0"/>
        <w:tabs>
          <w:tab w:leader="none" w:pos="740"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Absence of Fiduciary Relationship</w:t>
      </w:r>
      <w:r>
        <w:rPr>
          <w:rFonts w:ascii="Arial" w:cs="Arial" w:eastAsia="Arial" w:hAnsi="Arial"/>
          <w:sz w:val="18"/>
          <w:szCs w:val="18"/>
          <w:color w:val="auto"/>
        </w:rPr>
        <w:t>. The Company and the Selling Shareholders acknowledge and agrees that:</w:t>
      </w:r>
    </w:p>
    <w:p>
      <w:pPr>
        <w:spacing w:after="0" w:line="117" w:lineRule="exact"/>
        <w:rPr>
          <w:rFonts w:ascii="Arial" w:cs="Arial" w:eastAsia="Arial" w:hAnsi="Arial"/>
          <w:sz w:val="18"/>
          <w:szCs w:val="18"/>
          <w:color w:val="auto"/>
        </w:rPr>
      </w:pPr>
    </w:p>
    <w:p>
      <w:pPr>
        <w:ind w:left="460" w:right="20" w:firstLine="443"/>
        <w:spacing w:after="0" w:line="279" w:lineRule="auto"/>
        <w:tabs>
          <w:tab w:leader="none" w:pos="1143" w:val="left"/>
        </w:tabs>
        <w:numPr>
          <w:ilvl w:val="1"/>
          <w:numId w:val="201"/>
        </w:numPr>
        <w:rPr>
          <w:rFonts w:ascii="Arial" w:cs="Arial" w:eastAsia="Arial" w:hAnsi="Arial"/>
          <w:sz w:val="17"/>
          <w:szCs w:val="17"/>
          <w:color w:val="auto"/>
        </w:rPr>
      </w:pPr>
      <w:r>
        <w:rPr>
          <w:rFonts w:ascii="Arial" w:cs="Arial" w:eastAsia="Arial" w:hAnsi="Arial"/>
          <w:sz w:val="17"/>
          <w:szCs w:val="17"/>
          <w:i w:val="1"/>
          <w:iCs w:val="1"/>
          <w:color w:val="auto"/>
        </w:rPr>
        <w:t>No Other Relationship</w:t>
      </w:r>
      <w:r>
        <w:rPr>
          <w:rFonts w:ascii="Arial" w:cs="Arial" w:eastAsia="Arial" w:hAnsi="Arial"/>
          <w:sz w:val="17"/>
          <w:szCs w:val="17"/>
          <w:color w:val="auto"/>
        </w:rPr>
        <w:t>. The Representatives have been retained solely to act as an underwriter in connection with the sale of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that no fiduciary, advisory or agency relationship between the Company or the Selling Shareholders, on the one hand, and the Representatives on the other, has been created in respect of any of the transactions contemplated by this Agreement or the Final Prospectus, irrespective of whether the Representatives have advised or are advising the Company or the Selling Shareholders on other matters;</w:t>
      </w:r>
    </w:p>
    <w:p>
      <w:pPr>
        <w:spacing w:after="0" w:line="63" w:lineRule="exact"/>
        <w:rPr>
          <w:rFonts w:ascii="Arial" w:cs="Arial" w:eastAsia="Arial" w:hAnsi="Arial"/>
          <w:sz w:val="17"/>
          <w:szCs w:val="17"/>
          <w:color w:val="auto"/>
        </w:rPr>
      </w:pPr>
    </w:p>
    <w:p>
      <w:pPr>
        <w:jc w:val="both"/>
        <w:ind w:left="460" w:right="180" w:firstLine="443"/>
        <w:spacing w:after="0" w:line="312" w:lineRule="auto"/>
        <w:tabs>
          <w:tab w:leader="none" w:pos="1153" w:val="left"/>
        </w:tabs>
        <w:numPr>
          <w:ilvl w:val="1"/>
          <w:numId w:val="201"/>
        </w:numPr>
        <w:rPr>
          <w:rFonts w:ascii="Arial" w:cs="Arial" w:eastAsia="Arial" w:hAnsi="Arial"/>
          <w:sz w:val="16"/>
          <w:szCs w:val="16"/>
          <w:color w:val="auto"/>
        </w:rPr>
      </w:pPr>
      <w:r>
        <w:rPr>
          <w:rFonts w:ascii="Arial" w:cs="Arial" w:eastAsia="Arial" w:hAnsi="Arial"/>
          <w:sz w:val="16"/>
          <w:szCs w:val="16"/>
          <w:i w:val="1"/>
          <w:iCs w:val="1"/>
          <w:color w:val="auto"/>
        </w:rPr>
        <w:t>Arms’ Length Negotiations</w:t>
      </w:r>
      <w:r>
        <w:rPr>
          <w:rFonts w:ascii="Arial" w:cs="Arial" w:eastAsia="Arial" w:hAnsi="Arial"/>
          <w:sz w:val="16"/>
          <w:szCs w:val="16"/>
          <w:color w:val="auto"/>
        </w:rPr>
        <w:t>. The price of the Offered Securities set forth in this Agreement was established by the Company and the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following discussions and arms-length negotiations with the Representatives and the Company and the Selling Shareholders are capable of evaluating and understanding and understands and accepts the terms, risks and conditions of the transactions contemplated by this Agreement;</w:t>
      </w:r>
    </w:p>
    <w:p>
      <w:pPr>
        <w:spacing w:after="0" w:line="38" w:lineRule="exact"/>
        <w:rPr>
          <w:rFonts w:ascii="Arial" w:cs="Arial" w:eastAsia="Arial" w:hAnsi="Arial"/>
          <w:sz w:val="16"/>
          <w:szCs w:val="16"/>
          <w:color w:val="auto"/>
        </w:rPr>
      </w:pPr>
    </w:p>
    <w:p>
      <w:pPr>
        <w:ind w:left="460" w:right="20" w:firstLine="443"/>
        <w:spacing w:after="0" w:line="259" w:lineRule="auto"/>
        <w:tabs>
          <w:tab w:leader="none" w:pos="1143" w:val="left"/>
        </w:tabs>
        <w:numPr>
          <w:ilvl w:val="1"/>
          <w:numId w:val="201"/>
        </w:numPr>
        <w:rPr>
          <w:rFonts w:ascii="Arial" w:cs="Arial" w:eastAsia="Arial" w:hAnsi="Arial"/>
          <w:sz w:val="18"/>
          <w:szCs w:val="18"/>
          <w:color w:val="auto"/>
        </w:rPr>
      </w:pPr>
      <w:r>
        <w:rPr>
          <w:rFonts w:ascii="Arial" w:cs="Arial" w:eastAsia="Arial" w:hAnsi="Arial"/>
          <w:sz w:val="18"/>
          <w:szCs w:val="18"/>
          <w:i w:val="1"/>
          <w:iCs w:val="1"/>
          <w:color w:val="auto"/>
        </w:rPr>
        <w:t>Absence of Obligation to Disclose</w:t>
      </w:r>
      <w:r>
        <w:rPr>
          <w:rFonts w:ascii="Arial" w:cs="Arial" w:eastAsia="Arial" w:hAnsi="Arial"/>
          <w:sz w:val="18"/>
          <w:szCs w:val="18"/>
          <w:color w:val="auto"/>
        </w:rPr>
        <w:t>. The Company and the Selling Shareholders have been advised that the Representatives and their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are engaged in a broad range of transactions which may involve interests that differ from those of the Company and the Selling Shareholders and that the Representatives have no obligation to disclose such interests and transactions to the Company or the Selling Shareholders by virtue of any fiduciary, advisory or agency relationship; and</w:t>
      </w:r>
    </w:p>
    <w:p>
      <w:pPr>
        <w:spacing w:after="0" w:line="78" w:lineRule="exact"/>
        <w:rPr>
          <w:rFonts w:ascii="Arial" w:cs="Arial" w:eastAsia="Arial" w:hAnsi="Arial"/>
          <w:sz w:val="18"/>
          <w:szCs w:val="18"/>
          <w:color w:val="auto"/>
        </w:rPr>
      </w:pPr>
    </w:p>
    <w:p>
      <w:pPr>
        <w:ind w:left="460" w:firstLine="443"/>
        <w:spacing w:after="0" w:line="279" w:lineRule="auto"/>
        <w:tabs>
          <w:tab w:leader="none" w:pos="1153" w:val="left"/>
        </w:tabs>
        <w:numPr>
          <w:ilvl w:val="1"/>
          <w:numId w:val="201"/>
        </w:numPr>
        <w:rPr>
          <w:rFonts w:ascii="Arial" w:cs="Arial" w:eastAsia="Arial" w:hAnsi="Arial"/>
          <w:sz w:val="17"/>
          <w:szCs w:val="17"/>
          <w:color w:val="auto"/>
        </w:rPr>
      </w:pPr>
      <w:r>
        <w:rPr>
          <w:rFonts w:ascii="Arial" w:cs="Arial" w:eastAsia="Arial" w:hAnsi="Arial"/>
          <w:sz w:val="17"/>
          <w:szCs w:val="17"/>
          <w:i w:val="1"/>
          <w:iCs w:val="1"/>
          <w:color w:val="auto"/>
        </w:rPr>
        <w:t>Waiver</w:t>
      </w:r>
      <w:r>
        <w:rPr>
          <w:rFonts w:ascii="Arial" w:cs="Arial" w:eastAsia="Arial" w:hAnsi="Arial"/>
          <w:sz w:val="17"/>
          <w:szCs w:val="17"/>
          <w:color w:val="auto"/>
        </w:rPr>
        <w:t>. The Company and the Selling Shareholders waive, to the fullest extent permitted by law, any claims they may have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for breach of fiduciary duty or alleged breach of fiduciary duty and agree that the Representatives shall have no liability (whether direct or indirect) to the Company or the Selling Shareholders in respect of such a fiduciary duty claim or to any person asserting a fiduciary duty claim on behalf of or in right of the Company, including shareholders, employees or creditors of the Company.</w:t>
      </w:r>
    </w:p>
    <w:p>
      <w:pPr>
        <w:spacing w:after="0" w:line="171" w:lineRule="exact"/>
        <w:rPr>
          <w:rFonts w:ascii="Arial" w:cs="Arial" w:eastAsia="Arial" w:hAnsi="Arial"/>
          <w:sz w:val="17"/>
          <w:szCs w:val="17"/>
          <w:color w:val="auto"/>
        </w:rPr>
      </w:pPr>
    </w:p>
    <w:p>
      <w:pPr>
        <w:ind w:right="20" w:firstLine="464"/>
        <w:spacing w:after="0" w:line="285" w:lineRule="auto"/>
        <w:tabs>
          <w:tab w:leader="none" w:pos="726" w:val="left"/>
        </w:tabs>
        <w:numPr>
          <w:ilvl w:val="0"/>
          <w:numId w:val="201"/>
        </w:numPr>
        <w:rPr>
          <w:rFonts w:ascii="Arial" w:cs="Arial" w:eastAsia="Arial" w:hAnsi="Arial"/>
          <w:sz w:val="16"/>
          <w:szCs w:val="16"/>
          <w:color w:val="auto"/>
        </w:rPr>
      </w:pPr>
      <w:r>
        <w:rPr>
          <w:rFonts w:ascii="Arial" w:cs="Arial" w:eastAsia="Arial" w:hAnsi="Arial"/>
          <w:sz w:val="16"/>
          <w:szCs w:val="16"/>
          <w:i w:val="1"/>
          <w:iCs w:val="1"/>
          <w:color w:val="auto"/>
        </w:rPr>
        <w:t>Applicable Law</w:t>
      </w:r>
      <w:r>
        <w:rPr>
          <w:rFonts w:ascii="Arial" w:cs="Arial" w:eastAsia="Arial" w:hAnsi="Arial"/>
          <w:sz w:val="16"/>
          <w:szCs w:val="16"/>
          <w:color w:val="auto"/>
        </w:rPr>
        <w:t>. This Agreement shall be governed by, and construed in accordance with, the laws of the State of New York. The Company hereby</w:t>
      </w:r>
      <w:r>
        <w:rPr>
          <w:rFonts w:ascii="Arial" w:cs="Arial" w:eastAsia="Arial" w:hAnsi="Arial"/>
          <w:sz w:val="16"/>
          <w:szCs w:val="16"/>
          <w:i w:val="1"/>
          <w:iCs w:val="1"/>
          <w:color w:val="auto"/>
        </w:rPr>
        <w:t xml:space="preserve"> </w:t>
      </w:r>
      <w:r>
        <w:rPr>
          <w:rFonts w:ascii="Arial" w:cs="Arial" w:eastAsia="Arial" w:hAnsi="Arial"/>
          <w:sz w:val="16"/>
          <w:szCs w:val="16"/>
          <w:color w:val="auto"/>
        </w:rPr>
        <w:t>agrees that the U.S. federal and New York state courts in the Borough of Manhattan in The City of New York shall have sole and exclusive jurisdiction over any suit or proceeding against the Underwriters arising out of or relating to this Agreement or the transactions contemplated hereby. The Company and each of the Selling Shareholders irrevocably and unconditionally waive any objection to the laying of venue of any suit or proceeding arising out of or relating to this Agreement or the transactions contemplated hereby in Federal and state courts in the Borough of Manhattan in The City of New York and irrevocably and unconditionally waive and agrees not to plead or claim in any such court that any such suit or proceeding in any such court has been brought in an inconvenient forum. The Company has appointed National Corporate Research, Ltd. 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whom process may be served in any suit, action or proceeding arising out of or based upon this Agreement or the transactions contemplated herein which may be instituted in any New York state or United States federal court, by any Underwriter, the directors, officers, employees and agents of any Underwriter, or by any person who controls any Underwriter, and expressly accepts the exclusive jurisdiction of any such court in respect of any such suit, action or proceeding. The Company hereby represents and warrants that the Authorized Agent has accepted such appointment and has agreed to act as said agent for service of process, and the Company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 Notwithstanding the foregoing, any action arising out of or based upon this Agreement may be instituted by any Underwriter, the directors, officers, employees and agents of any Underwriter, or by any person who controls any Underwriter, in any court of competent jurisdiction in France. The provisions of this paragraph shall survive any termination of this Agreement.</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To the extent that the Company has or hereafter may acquire any immunity (sovereign or otherwise) from any legal action, suit or proceeding, from jurisdiction of any court or from set-off or any legal process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75" w:name="page276"/>
    <w:bookmarkEnd w:id="275"/>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service or notice, attachment in aid or otherwise) with respect to itself or any of its property, the Company hereby irrevocably waives and agrees not to plead or claim such immunity in respect of its obligations under this Agreement.</w:t>
      </w:r>
    </w:p>
    <w:p>
      <w:pPr>
        <w:spacing w:after="0" w:line="170" w:lineRule="exact"/>
        <w:rPr>
          <w:sz w:val="20"/>
          <w:szCs w:val="20"/>
          <w:color w:val="auto"/>
        </w:rPr>
      </w:pPr>
    </w:p>
    <w:p>
      <w:pPr>
        <w:ind w:firstLine="464"/>
        <w:spacing w:after="0" w:line="342" w:lineRule="auto"/>
        <w:tabs>
          <w:tab w:leader="none" w:pos="726"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Waiver of Jury Trial</w:t>
      </w:r>
      <w:r>
        <w:rPr>
          <w:rFonts w:ascii="Arial" w:cs="Arial" w:eastAsia="Arial" w:hAnsi="Arial"/>
          <w:sz w:val="16"/>
          <w:szCs w:val="16"/>
          <w:color w:val="auto"/>
        </w:rPr>
        <w:t>. Each of the Company, the Selling Shareholders and the Underwriters hereby irrevocably waive, to the fullest extent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by applicable law, any and all right to trial by jury in any legal proceeding arising out of or relating to this Agreement or the transactions contemplated hereby.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the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76" w:name="page277"/>
    <w:bookmarkEnd w:id="276"/>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the Representatives’ understanding of our agreement, kindly sign and return to the Company one of the counterparts hereof, whereupon it will become a binding agreement among the Selling Shareholders, the Company and the several Underwriters in accordance with its terms.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26155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837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[Signature Page to Underwriting Agreement]</w:t>
      </w:r>
    </w:p>
    <w:p>
      <w:pPr>
        <w:sectPr>
          <w:pgSz w:w="11900" w:h="16838" w:orient="portrait"/>
          <w:cols w:equalWidth="0" w:num="1">
            <w:col w:w="10640"/>
          </w:cols>
          <w:pgMar w:left="240" w:top="274" w:right="101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LEERINK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837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274" w:right="1440"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Firm 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880" w:type="dxa"/>
            <w:vAlign w:val="bottom"/>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324"/>
        </w:trPr>
        <w:tc>
          <w:tcPr>
            <w:tcW w:w="9660" w:type="dxa"/>
            <w:vAlign w:val="bottom"/>
            <w:gridSpan w:val="3"/>
          </w:tcPr>
          <w:p>
            <w:pPr>
              <w:spacing w:after="0"/>
              <w:rPr>
                <w:sz w:val="20"/>
                <w:szCs w:val="20"/>
                <w:color w:val="auto"/>
              </w:rPr>
            </w:pPr>
            <w:r>
              <w:rPr>
                <w:rFonts w:ascii="Arial" w:cs="Arial" w:eastAsia="Arial" w:hAnsi="Arial"/>
                <w:sz w:val="18"/>
                <w:szCs w:val="18"/>
                <w:color w:val="auto"/>
              </w:rPr>
              <w:t>Jefferies LLC</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60" w:type="dxa"/>
            <w:vAlign w:val="bottom"/>
          </w:tcPr>
          <w:p>
            <w:pPr>
              <w:spacing w:after="0"/>
              <w:rPr>
                <w:sz w:val="9"/>
                <w:szCs w:val="9"/>
                <w:color w:val="auto"/>
              </w:rPr>
            </w:pPr>
          </w:p>
        </w:tc>
        <w:tc>
          <w:tcPr>
            <w:tcW w:w="88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Leerink Partners LLC</w:t>
            </w:r>
          </w:p>
        </w:tc>
        <w:tc>
          <w:tcPr>
            <w:tcW w:w="16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324"/>
        </w:trPr>
        <w:tc>
          <w:tcPr>
            <w:tcW w:w="9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48" w:lineRule="exact"/>
        <w:rPr>
          <w:sz w:val="20"/>
          <w:szCs w:val="20"/>
          <w:color w:val="auto"/>
        </w:rPr>
      </w:pPr>
    </w:p>
    <w:p>
      <w:pPr>
        <w:spacing w:after="0"/>
        <w:tabs>
          <w:tab w:leader="none" w:pos="5960" w:val="left"/>
          <w:tab w:leader="none" w:pos="9300" w:val="left"/>
        </w:tabs>
        <w:rPr>
          <w:sz w:val="20"/>
          <w:szCs w:val="20"/>
          <w:color w:val="auto"/>
        </w:rPr>
      </w:pPr>
      <w:r>
        <w:rPr>
          <w:rFonts w:ascii="Arial" w:cs="Arial" w:eastAsia="Arial" w:hAnsi="Arial"/>
          <w:sz w:val="14"/>
          <w:szCs w:val="14"/>
          <w:b w:val="1"/>
          <w:bCs w:val="1"/>
          <w:u w:val="single" w:color="auto"/>
          <w:color w:val="auto"/>
        </w:rPr>
        <w:t>Selling Shareholder</w:t>
      </w:r>
      <w:r>
        <w:rPr>
          <w:sz w:val="20"/>
          <w:szCs w:val="20"/>
          <w:color w:val="auto"/>
        </w:rPr>
        <w:tab/>
      </w:r>
      <w:r>
        <w:rPr>
          <w:rFonts w:ascii="Arial" w:cs="Arial" w:eastAsia="Arial" w:hAnsi="Arial"/>
          <w:sz w:val="14"/>
          <w:szCs w:val="14"/>
          <w:b w:val="1"/>
          <w:bCs w:val="1"/>
          <w:u w:val="single" w:color="auto"/>
          <w:color w:val="auto"/>
        </w:rPr>
        <w:t># of Firm Securities to be Sold</w:t>
      </w:r>
      <w:r>
        <w:rPr>
          <w:sz w:val="20"/>
          <w:szCs w:val="20"/>
          <w:color w:val="auto"/>
        </w:rPr>
        <w:tab/>
      </w:r>
      <w:r>
        <w:rPr>
          <w:rFonts w:ascii="Arial" w:cs="Arial" w:eastAsia="Arial" w:hAnsi="Arial"/>
          <w:sz w:val="12"/>
          <w:szCs w:val="12"/>
          <w:b w:val="1"/>
          <w:bCs w:val="1"/>
          <w:u w:val="single" w:color="auto"/>
          <w:color w:val="auto"/>
        </w:rPr>
        <w:t># of Optional Securities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80" w:name="page281"/>
    <w:bookmarkEnd w:id="280"/>
    <w:p>
      <w:pPr>
        <w:ind w:left="51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52" w:lineRule="exact"/>
        <w:rPr>
          <w:sz w:val="20"/>
          <w:szCs w:val="20"/>
          <w:color w:val="auto"/>
        </w:rPr>
      </w:pPr>
    </w:p>
    <w:p>
      <w:pPr>
        <w:ind w:left="452" w:right="3259" w:hanging="452"/>
        <w:spacing w:after="0" w:line="425" w:lineRule="auto"/>
        <w:tabs>
          <w:tab w:leader="none" w:pos="441"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Use Free Writing Prospectuses (included in the General Disclosure Package) </w:t>
      </w:r>
      <w:r>
        <w:rPr>
          <w:rFonts w:ascii="Arial" w:cs="Arial" w:eastAsia="Arial" w:hAnsi="Arial"/>
          <w:sz w:val="16"/>
          <w:szCs w:val="16"/>
          <w:color w:val="auto"/>
        </w:rPr>
        <w:t>“General Use Issuer Free Writing Prospectus” includes each of the following documents:</w:t>
      </w:r>
    </w:p>
    <w:p>
      <w:pPr>
        <w:ind w:left="632" w:hanging="176"/>
        <w:spacing w:after="0"/>
        <w:tabs>
          <w:tab w:leader="none" w:pos="63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 Included in the General Disclosure Package</w:t>
      </w:r>
    </w:p>
    <w:p>
      <w:pPr>
        <w:spacing w:after="0" w:line="121" w:lineRule="exact"/>
        <w:rPr>
          <w:rFonts w:ascii="Arial" w:cs="Arial" w:eastAsia="Arial" w:hAnsi="Arial"/>
          <w:sz w:val="18"/>
          <w:szCs w:val="18"/>
          <w:b w:val="1"/>
          <w:bCs w:val="1"/>
          <w:color w:val="auto"/>
        </w:rPr>
      </w:pPr>
    </w:p>
    <w:p>
      <w:pPr>
        <w:ind w:left="452" w:right="4099"/>
        <w:spacing w:after="0" w:line="375" w:lineRule="auto"/>
        <w:rPr>
          <w:rFonts w:ascii="Arial" w:cs="Arial" w:eastAsia="Arial" w:hAnsi="Arial"/>
          <w:sz w:val="18"/>
          <w:szCs w:val="18"/>
          <w:b w:val="1"/>
          <w:bCs w:val="1"/>
          <w:color w:val="auto"/>
        </w:rPr>
      </w:pPr>
      <w:r>
        <w:rPr>
          <w:rFonts w:ascii="Arial" w:cs="Arial" w:eastAsia="Arial" w:hAnsi="Arial"/>
          <w:sz w:val="18"/>
          <w:szCs w:val="18"/>
          <w:color w:val="auto"/>
        </w:rPr>
        <w:t>The following information is also included in the General Disclosure Package: [1. The initial price to the public of the Offered Securities.</w:t>
      </w:r>
    </w:p>
    <w:p>
      <w:pPr>
        <w:spacing w:after="0" w:line="1" w:lineRule="exact"/>
        <w:rPr>
          <w:rFonts w:ascii="Arial" w:cs="Arial" w:eastAsia="Arial" w:hAnsi="Arial"/>
          <w:sz w:val="18"/>
          <w:szCs w:val="18"/>
          <w:b w:val="1"/>
          <w:bCs w:val="1"/>
          <w:color w:val="auto"/>
        </w:rPr>
      </w:pPr>
    </w:p>
    <w:p>
      <w:pPr>
        <w:ind w:left="632" w:hanging="176"/>
        <w:spacing w:after="0"/>
        <w:tabs>
          <w:tab w:leader="none" w:pos="63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1"/>
          </w:cols>
          <w:pgMar w:left="248" w:top="270" w:right="1440"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Comfort Letter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come]</w:t>
      </w:r>
    </w:p>
    <w:p>
      <w:pPr>
        <w:sectPr>
          <w:pgSz w:w="11900" w:h="16838" w:orient="portrait"/>
          <w:cols w:equalWidth="0" w:num="1">
            <w:col w:w="9019"/>
          </w:cols>
          <w:pgMar w:left="1440" w:top="270" w:right="1440"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Subscription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come]</w:t>
      </w:r>
    </w:p>
    <w:p>
      <w:pPr>
        <w:sectPr>
          <w:pgSz w:w="11900" w:h="16838" w:orient="portrait"/>
          <w:cols w:equalWidth="0" w:num="1">
            <w:col w:w="11420"/>
          </w:cols>
          <w:pgMar w:left="240" w:top="270"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1050 Lausanne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Credit Suisse Securities (USA)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As an inducement to the Underwriters to execute the Underwriting Agreement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pursuant to which an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will be made that is intended to result in the establishment of a public market in the United States for common shares, nominal value CHF 0.02 per share (the “</w:t>
      </w:r>
      <w:r>
        <w:rPr>
          <w:rFonts w:ascii="Arial" w:cs="Arial" w:eastAsia="Arial" w:hAnsi="Arial"/>
          <w:sz w:val="16"/>
          <w:szCs w:val="16"/>
          <w:b w:val="1"/>
          <w:bCs w:val="1"/>
          <w:color w:val="auto"/>
        </w:rPr>
        <w:t>Securities</w:t>
      </w:r>
      <w:r>
        <w:rPr>
          <w:rFonts w:ascii="Arial" w:cs="Arial" w:eastAsia="Arial" w:hAnsi="Arial"/>
          <w:sz w:val="16"/>
          <w:szCs w:val="16"/>
          <w:color w:val="auto"/>
        </w:rPr>
        <w:t>”) of AC Immune SA, and any successor (by merger or otherwise) thereto (the “</w:t>
      </w:r>
      <w:r>
        <w:rPr>
          <w:rFonts w:ascii="Arial" w:cs="Arial" w:eastAsia="Arial" w:hAnsi="Arial"/>
          <w:sz w:val="16"/>
          <w:szCs w:val="16"/>
          <w:b w:val="1"/>
          <w:bCs w:val="1"/>
          <w:color w:val="auto"/>
        </w:rPr>
        <w:t>Company</w:t>
      </w:r>
      <w:r>
        <w:rPr>
          <w:rFonts w:ascii="Arial" w:cs="Arial" w:eastAsia="Arial" w:hAnsi="Arial"/>
          <w:sz w:val="16"/>
          <w:szCs w:val="16"/>
          <w:color w:val="auto"/>
        </w:rPr>
        <w:t>”), the undersigned hereby agrees that during the period specified in the following paragraph (the “</w:t>
      </w:r>
      <w:r>
        <w:rPr>
          <w:rFonts w:ascii="Arial" w:cs="Arial" w:eastAsia="Arial" w:hAnsi="Arial"/>
          <w:sz w:val="16"/>
          <w:szCs w:val="16"/>
          <w:b w:val="1"/>
          <w:bCs w:val="1"/>
          <w:color w:val="auto"/>
        </w:rPr>
        <w:t>Lock-Up Period</w:t>
      </w:r>
      <w:r>
        <w:rPr>
          <w:rFonts w:ascii="Arial" w:cs="Arial" w:eastAsia="Arial" w:hAnsi="Arial"/>
          <w:sz w:val="16"/>
          <w:szCs w:val="16"/>
          <w:color w:val="auto"/>
        </w:rPr>
        <w:t>”), the undersigned will not offer, sell, contract to sell, pledge or otherwise dispose of, directly or indirectly, any Securities or securities convertible into or exchangeable or exercisable for any Securities, enter into a transaction which would have the same effect, or enter into any swap, hedge or other arrangement that transfers, in whole or in part, any of the economic consequences of ownership of the Securities, whether any such aforementioned transaction is to be settled by delivery of the Securities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w:t>
      </w:r>
      <w:r>
        <w:rPr>
          <w:rFonts w:ascii="Arial" w:cs="Arial" w:eastAsia="Arial" w:hAnsi="Arial"/>
          <w:sz w:val="16"/>
          <w:szCs w:val="16"/>
          <w:b w:val="1"/>
          <w:bCs w:val="1"/>
          <w:color w:val="auto"/>
        </w:rPr>
        <w:t>Credit Suisse</w:t>
      </w:r>
      <w:r>
        <w:rPr>
          <w:rFonts w:ascii="Arial" w:cs="Arial" w:eastAsia="Arial" w:hAnsi="Arial"/>
          <w:sz w:val="16"/>
          <w:szCs w:val="16"/>
          <w:color w:val="auto"/>
        </w:rPr>
        <w:t>”). In addition, the undersigned agrees that, without the prior written consent of Credit Suisse, it will not, during the Lock-Up Period, make any demand for or exercise any right with respect to, the registration of any Securities or any security convertible into or exercisable or exchangeable for the Securities.</w:t>
      </w:r>
    </w:p>
    <w:p>
      <w:pPr>
        <w:spacing w:after="0" w:line="168"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The Lock-Up Period will commence on the filing of a preliminary prospectus by the Company which contains a bona fide price range and will continue and include the date 180 days after the public offering date set forth on the final prospectus used to sell the Securities (the “</w:t>
      </w:r>
      <w:r>
        <w:rPr>
          <w:rFonts w:ascii="Arial" w:cs="Arial" w:eastAsia="Arial" w:hAnsi="Arial"/>
          <w:sz w:val="16"/>
          <w:szCs w:val="16"/>
          <w:b w:val="1"/>
          <w:bCs w:val="1"/>
          <w:color w:val="auto"/>
        </w:rPr>
        <w:t>Public Offering Date</w:t>
      </w:r>
      <w:r>
        <w:rPr>
          <w:rFonts w:ascii="Arial" w:cs="Arial" w:eastAsia="Arial" w:hAnsi="Arial"/>
          <w:sz w:val="16"/>
          <w:szCs w:val="16"/>
          <w:color w:val="auto"/>
        </w:rPr>
        <w:t>”).</w:t>
      </w:r>
    </w:p>
    <w:p>
      <w:pPr>
        <w:spacing w:after="0" w:line="124"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Any Securities received upon exercise of options granted to the undersigned will also be subject to this Lock-Up Agreement. Notwithstanding anything contained herein to the contrary, the restrictions described in this Lock-Up Agreement shall not apply to:</w:t>
      </w:r>
    </w:p>
    <w:p>
      <w:pPr>
        <w:spacing w:after="0" w:line="76" w:lineRule="exact"/>
        <w:rPr>
          <w:sz w:val="20"/>
          <w:szCs w:val="20"/>
          <w:color w:val="auto"/>
        </w:rPr>
      </w:pPr>
    </w:p>
    <w:p>
      <w:pPr>
        <w:ind w:left="900" w:hanging="446"/>
        <w:spacing w:after="0"/>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transactions relating to Securities or other securities acquired by the undersigned in the Public Offering or in open market transactions;</w:t>
      </w:r>
    </w:p>
    <w:p>
      <w:pPr>
        <w:sectPr>
          <w:pgSz w:w="11900" w:h="16838" w:orient="portrait"/>
          <w:cols w:equalWidth="0" w:num="1">
            <w:col w:w="11420"/>
          </w:cols>
          <w:pgMar w:left="240" w:top="270" w:right="239" w:bottom="1440" w:gutter="0" w:footer="0" w:header="0"/>
        </w:sectPr>
      </w:pPr>
    </w:p>
    <w:bookmarkStart w:id="284" w:name="page285"/>
    <w:bookmarkEnd w:id="284"/>
    <w:p>
      <w:pPr>
        <w:ind w:left="446" w:right="40" w:hanging="446"/>
        <w:spacing w:after="0" w:line="270" w:lineRule="auto"/>
        <w:tabs>
          <w:tab w:leader="none" w:pos="446" w:val="left"/>
        </w:tabs>
        <w:numPr>
          <w:ilvl w:val="0"/>
          <w:numId w:val="2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the exercise of stock options or other similar awards granted pursuant to the Company’s equity incentive plans or the vesting or settlement of awards granted pursuant to the Company’s equity incentive plans (including the delivery and receipt of Securities, other awards or any securities convertible into or exercisable or exchangeable for Securities in connection with such vesting or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 the foregoing restrictions shall apply to any of the undersigned’s Securities issued upon such exercise, vesting or settlement; or (ii) the transfer of Securities or any securities convertible into or exercisable or exchangeable for Securities from the undersigned to the Company (or the purchase and cancellation of same by the Company) upon a vesting event of the Company’s securities or upon the exercise of options to purchase Securities by the undersigned, in each case on a “cashless” or “net exercise” basis, or to cover income or withholding and other tax obligations of the undersigned in connection with such vesting or exercise in 2015 and 2016 of options for Securities of the Company, whether by means of a “net settlement” or otherwise;</w:t>
      </w:r>
    </w:p>
    <w:p>
      <w:pPr>
        <w:spacing w:after="0" w:line="87" w:lineRule="exact"/>
        <w:rPr>
          <w:rFonts w:ascii="Arial" w:cs="Arial" w:eastAsia="Arial" w:hAnsi="Arial"/>
          <w:sz w:val="17"/>
          <w:szCs w:val="17"/>
          <w:color w:val="auto"/>
        </w:rPr>
      </w:pPr>
    </w:p>
    <w:p>
      <w:pPr>
        <w:ind w:left="446" w:hanging="446"/>
        <w:spacing w:after="0"/>
        <w:tabs>
          <w:tab w:leader="none" w:pos="44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transfers of Securities or any security convertible into or exercisable or exchangeable for Securities:</w:t>
      </w:r>
    </w:p>
    <w:p>
      <w:pPr>
        <w:spacing w:after="0" w:line="130" w:lineRule="exact"/>
        <w:rPr>
          <w:rFonts w:ascii="Arial" w:cs="Arial" w:eastAsia="Arial" w:hAnsi="Arial"/>
          <w:sz w:val="18"/>
          <w:szCs w:val="18"/>
          <w:color w:val="auto"/>
        </w:rPr>
      </w:pPr>
    </w:p>
    <w:p>
      <w:pPr>
        <w:ind w:left="1026" w:right="420" w:hanging="567"/>
        <w:spacing w:after="0" w:line="277" w:lineRule="auto"/>
        <w:tabs>
          <w:tab w:leader="none" w:pos="10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026" w:right="40" w:hanging="567"/>
        <w:spacing w:after="0" w:line="264" w:lineRule="auto"/>
        <w:tabs>
          <w:tab w:leader="none" w:pos="10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the undersigned is a natural person, to a member of the immediate family of the undersigned (for purposes of this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026" w:right="40" w:hanging="567"/>
        <w:spacing w:after="0" w:line="277" w:lineRule="auto"/>
        <w:tabs>
          <w:tab w:leader="none" w:pos="10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the undersigned is a natural person, to any trust or other like entity for the direct or indirect benefit of the undersigned or the immediate family of the undersigned;</w:t>
      </w:r>
    </w:p>
    <w:p>
      <w:pPr>
        <w:spacing w:after="0" w:line="75" w:lineRule="exact"/>
        <w:rPr>
          <w:rFonts w:ascii="Arial" w:cs="Arial" w:eastAsia="Arial" w:hAnsi="Arial"/>
          <w:sz w:val="18"/>
          <w:szCs w:val="18"/>
          <w:color w:val="auto"/>
        </w:rPr>
      </w:pPr>
    </w:p>
    <w:p>
      <w:pPr>
        <w:ind w:left="1026" w:right="700" w:hanging="567"/>
        <w:spacing w:after="0" w:line="277" w:lineRule="auto"/>
        <w:tabs>
          <w:tab w:leader="none" w:pos="10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the undersigned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026" w:hanging="567"/>
        <w:spacing w:after="0" w:line="264" w:lineRule="auto"/>
        <w:tabs>
          <w:tab w:leader="none" w:pos="10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the undersigned is a natural person, to a corporation, partnership, limited liability company or other entity of which the undersigned and the immediate family of the undersigned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jc w:val="both"/>
        <w:ind w:left="1026" w:right="120" w:hanging="567"/>
        <w:spacing w:after="0" w:line="342" w:lineRule="auto"/>
        <w:tabs>
          <w:tab w:leader="none" w:pos="1026" w:val="left"/>
        </w:tabs>
        <w:numPr>
          <w:ilvl w:val="1"/>
          <w:numId w:val="206"/>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or other entity, to any trust or other like entity for the direct or indirect benefit of the undersigned or any affiliate, wholly-owned subsidiary, limited partner, member or stockholder of the undersigned;</w:t>
      </w:r>
    </w:p>
    <w:p>
      <w:pPr>
        <w:spacing w:after="0" w:line="29" w:lineRule="exact"/>
        <w:rPr>
          <w:rFonts w:ascii="Arial" w:cs="Arial" w:eastAsia="Arial" w:hAnsi="Arial"/>
          <w:sz w:val="16"/>
          <w:szCs w:val="16"/>
          <w:color w:val="auto"/>
        </w:rPr>
      </w:pPr>
    </w:p>
    <w:p>
      <w:pPr>
        <w:ind w:left="1026" w:hanging="567"/>
        <w:spacing w:after="0"/>
        <w:tabs>
          <w:tab w:leader="none" w:pos="10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026" w:right="20" w:hanging="567"/>
        <w:spacing w:after="0" w:line="277" w:lineRule="auto"/>
        <w:tabs>
          <w:tab w:leader="none" w:pos="10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investment fund or other entity controlled or managed by the undersigned; or</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the undersigned;</w:t>
      </w:r>
    </w:p>
    <w:p>
      <w:pPr>
        <w:spacing w:after="0" w:line="117" w:lineRule="exact"/>
        <w:rPr>
          <w:sz w:val="20"/>
          <w:szCs w:val="20"/>
          <w:color w:val="auto"/>
        </w:rPr>
      </w:pPr>
    </w:p>
    <w:p>
      <w:pPr>
        <w:ind w:left="466" w:right="42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clause (c)(i)-(ix) above, each donee, distributee or transferee agrees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bound in writing by the terms of this Lock-Up</w:t>
      </w:r>
    </w:p>
    <w:p>
      <w:pPr>
        <w:sectPr>
          <w:pgSz w:w="11900" w:h="16838" w:orient="portrait"/>
          <w:cols w:equalWidth="0" w:num="1">
            <w:col w:w="10966"/>
          </w:cols>
          <w:pgMar w:left="694" w:top="274" w:right="239" w:bottom="1440" w:gutter="0" w:footer="0" w:header="0"/>
        </w:sectPr>
      </w:pPr>
    </w:p>
    <w:bookmarkStart w:id="285" w:name="page286"/>
    <w:bookmarkEnd w:id="285"/>
    <w:p>
      <w:pPr>
        <w:jc w:val="both"/>
        <w:ind w:left="920"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prior to such transfer, such transfer shall not involve a disposition for value and no filing by any party (donor, donee, transferor or transferee) under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shall be required or shall be voluntarily made in connection with such transfer;</w:t>
      </w:r>
    </w:p>
    <w:p>
      <w:pPr>
        <w:spacing w:after="0" w:line="87" w:lineRule="exact"/>
        <w:rPr>
          <w:sz w:val="20"/>
          <w:szCs w:val="20"/>
          <w:color w:val="auto"/>
        </w:rPr>
      </w:pPr>
    </w:p>
    <w:p>
      <w:pPr>
        <w:ind w:left="1480" w:hanging="567"/>
        <w:spacing w:after="0" w:line="273" w:lineRule="auto"/>
        <w:tabs>
          <w:tab w:leader="none" w:pos="14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the establishment or modification of any contract, instruction or trading plan intended to comply with Rule 10b5-1 under the Exchange Act for the transfer of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Securities during the Lock-Up Period, (ii) the establishment of such plan shall not be voluntarily publicly announced or filed under the Exchange Act and (iii) to the extent a public announcement or filing under the Exchange Act, if any, is required by or on behalf of the undersigned or the Company regarding the establishment or modification of such plan, such announcement or filing shall include a statement to the effect that no transfer of Securities may be made under such plan during the Lock-Up Period;</w:t>
      </w:r>
    </w:p>
    <w:p>
      <w:pPr>
        <w:spacing w:after="0" w:line="83" w:lineRule="exact"/>
        <w:rPr>
          <w:rFonts w:ascii="Arial" w:cs="Arial" w:eastAsia="Arial" w:hAnsi="Arial"/>
          <w:sz w:val="17"/>
          <w:szCs w:val="17"/>
          <w:color w:val="auto"/>
        </w:rPr>
      </w:pPr>
    </w:p>
    <w:p>
      <w:pPr>
        <w:ind w:left="1480" w:right="140" w:hanging="567"/>
        <w:spacing w:after="0" w:line="259" w:lineRule="auto"/>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transfer of Securities or any security convertible into or exercisable or exchangeable for Securities to the Company, pursuant to agreements or rights in existence on the Public Offering Date under which the Company has the option to repurchase such shares or a right of first refusal with respect to transfers of such shares or in connection with the termination of the undersigned’s employment with the Company;</w:t>
      </w:r>
    </w:p>
    <w:p>
      <w:pPr>
        <w:spacing w:after="0" w:line="92" w:lineRule="exact"/>
        <w:rPr>
          <w:rFonts w:ascii="Arial" w:cs="Arial" w:eastAsia="Arial" w:hAnsi="Arial"/>
          <w:sz w:val="18"/>
          <w:szCs w:val="18"/>
          <w:color w:val="auto"/>
        </w:rPr>
      </w:pPr>
    </w:p>
    <w:p>
      <w:pPr>
        <w:ind w:left="1480" w:right="600" w:hanging="567"/>
        <w:spacing w:after="0" w:line="277" w:lineRule="auto"/>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transfer of Securities or any security convertible into or exercisable or exchangeable for Securities that occurs by any order or settlement resulting from any legal proceeding;</w:t>
      </w:r>
    </w:p>
    <w:p>
      <w:pPr>
        <w:spacing w:after="0" w:line="75" w:lineRule="exact"/>
        <w:rPr>
          <w:rFonts w:ascii="Arial" w:cs="Arial" w:eastAsia="Arial" w:hAnsi="Arial"/>
          <w:sz w:val="18"/>
          <w:szCs w:val="18"/>
          <w:color w:val="auto"/>
        </w:rPr>
      </w:pPr>
    </w:p>
    <w:p>
      <w:pPr>
        <w:jc w:val="both"/>
        <w:ind w:left="1480" w:right="80" w:hanging="567"/>
        <w:spacing w:after="0" w:line="302" w:lineRule="auto"/>
        <w:tabs>
          <w:tab w:leader="none" w:pos="14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the transfer of Securities or any security convertible into or exercisable or exchangeable for Securities pursuant to a bona fide third-party tender offer, merger, amalgamation, consolidation or other similar transaction made to all holders of the Securities involving a change of control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Securities owned by the undersigned shall remain subject to the restrictions contained in this Lock-Up Agreement; or</w:t>
      </w:r>
    </w:p>
    <w:p>
      <w:pPr>
        <w:spacing w:after="0" w:line="59" w:lineRule="exact"/>
        <w:rPr>
          <w:rFonts w:ascii="Arial" w:cs="Arial" w:eastAsia="Arial" w:hAnsi="Arial"/>
          <w:sz w:val="16"/>
          <w:szCs w:val="16"/>
          <w:color w:val="auto"/>
        </w:rPr>
      </w:pPr>
    </w:p>
    <w:p>
      <w:pPr>
        <w:ind w:left="1480" w:right="160" w:hanging="567"/>
        <w:spacing w:after="0" w:line="259" w:lineRule="auto"/>
        <w:tabs>
          <w:tab w:leader="none" w:pos="14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the Company of Securities or any securities convertible into or exercisable or exchangeable for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the undersigned’s Securities proposed to be registered pursuant to the exercise of such rights under this clause (h) shall occur, and no registration statement shall be filed, during the Lock-Up Period.</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In furtherance of the foregoing, the Company and its transfer agent and registrar are hereby authorized to decline to make any transfer of shares of Securities if such transfer would constitute a violation or breach of this Lock-Up Agreement.</w:t>
      </w:r>
    </w:p>
    <w:p>
      <w:pPr>
        <w:spacing w:after="0" w:line="170"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Furthermore, the undersigned instructs the Escrow Agent Vischer AG to release the shares in the Company held by the undersigned and to deliver such shares to the Transfer Agent designated by the Company and agrees that the corresponding share certificates shall be cancelled by the Secretary of the Board and such shares shall become intermediated securities. The undersigned also grants power of attorney to represent the undersigned towards such Transfer Agent including meeting all formalities required so that the undersigned can after the expiry of the lock-up dispose of such shares.</w:t>
      </w:r>
    </w:p>
    <w:p>
      <w:pPr>
        <w:spacing w:after="0" w:line="154"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If the undersigned is an officer or director of the Company, (i) Credit Suisse agrees that, at least three business days before the effective date of any release or waiver of the foregoing restrictions in connection with a transfer of Securities, Credit Suisse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Credit Suisse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ectPr>
          <w:pgSz w:w="11900" w:h="16838" w:orient="portrait"/>
          <w:cols w:equalWidth="0" w:num="1">
            <w:col w:w="11400"/>
          </w:cols>
          <w:pgMar w:left="240" w:top="274" w:right="259" w:bottom="1440" w:gutter="0" w:footer="0" w:header="0"/>
        </w:sectPr>
      </w:pPr>
    </w:p>
    <w:bookmarkStart w:id="286" w:name="page287"/>
    <w:bookmarkEnd w:id="286"/>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Lock-Up Agreement shall be binding on the undersigned and the successors, heirs, personal representatives and assigns of the undersigned. This Lock-Up Agreement shall automatically terminate, and the undersigned will, in each case, be released from its obligations under this Lock-Up Agreement, upon the earliest to occur, if any, of (a) the date that the Company advises Credit Suisse that it does not intend to proceed with the Public Offering, (b) the date of termination of the Underwriting Agreement (if executed) if prior to the closing of the Public Offering, (c) December 31, 2016 if the Underwriting Agreement has not been entered into by such date, or (d) the date on which the Company files an application with the Securities and Exchange Commission to withdraw the registration statement relating to the Public Offering. </w:t>
      </w:r>
      <w:r>
        <w:rPr>
          <w:rFonts w:ascii="Arial" w:cs="Arial" w:eastAsia="Arial" w:hAnsi="Arial"/>
          <w:sz w:val="18"/>
          <w:szCs w:val="18"/>
          <w:b w:val="1"/>
          <w:bCs w:val="1"/>
          <w:color w:val="auto"/>
        </w:rPr>
        <w:t>This Lock-Up Agreement shall be governed by, and construed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the laws of the State of New York.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announced today that Credit Suisse Securities (USA) LLC, a lead book-running manager in the Company’s recent public sale of [●] shares of the Company’s common stock, is [waiving] [releasing] a lock-up restriction with respect to [●] shares of the Company’s common shares held by [certain officers or directors] [an officer or director] of the Company. The [waiver] [release] will take effect on [●], 20[●] , and the shares may be sold on or after such date.</w:t>
      </w:r>
    </w:p>
    <w:p>
      <w:pPr>
        <w:spacing w:after="0" w:line="180"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420"/>
          </w:cols>
          <w:pgMar w:left="240" w:top="270" w:right="239" w:bottom="1440" w:gutter="0" w:footer="0" w:header="0"/>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VISCHER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CH-4010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33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33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Zurich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Schützengasse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CH-8021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34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34 10</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Civil Law Notaries in 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1015 Lausanne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Basel, June 15,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 – Amendment No. 1 to the Registration Statement on Form F-1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opinion is being rendered at the request of the Company in connection with Amendment No. 1 to the Registration Statement on Form F-1 filed with the U.S. Securities and Exchange Commission on June 15, 2016, File No. 333-211714 (the “Registration Statement”, which term does not include any other document or agreement whether or not specifically referred to therein or attached as an exhibit or schedule thereto). As such counsel, we have been requested to render an opinion as to certain matters of Swiss law.</w:t>
      </w:r>
    </w:p>
    <w:p>
      <w:pPr>
        <w:spacing w:after="0" w:line="333" w:lineRule="exact"/>
        <w:rPr>
          <w:sz w:val="20"/>
          <w:szCs w:val="20"/>
          <w:color w:val="auto"/>
        </w:rPr>
      </w:pPr>
    </w:p>
    <w:p>
      <w:pPr>
        <w:ind w:left="380" w:hanging="374"/>
        <w:spacing w:after="0"/>
        <w:tabs>
          <w:tab w:leader="none" w:pos="3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the Swiss courts. In the absence of statutory or established case law, we base our opinion on our independent professional judgement.</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giving this opinion, we have only examined a pdf copy of the Registration Statement.</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ectPr>
          <w:pgSz w:w="11900" w:h="16838" w:orient="portrait"/>
          <w:cols w:equalWidth="0" w:num="2">
            <w:col w:w="2020" w:space="720"/>
            <w:col w:w="8560"/>
          </w:cols>
          <w:pgMar w:left="240" w:top="175" w:right="359" w:bottom="1440" w:gutter="0" w:footer="0" w:header="0"/>
        </w:sectPr>
      </w:pPr>
    </w:p>
    <w:bookmarkStart w:id="289" w:name="page290"/>
    <w:bookmarkEnd w:id="289"/>
    <w:tbl>
      <w:tblPr>
        <w:tblLayout w:type="fixed"/>
        <w:tblInd w:w="156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June 15, 2016</w:t>
            </w:r>
          </w:p>
        </w:tc>
        <w:tc>
          <w:tcPr>
            <w:tcW w:w="38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540"/>
        <w:spacing w:after="0"/>
        <w:tabs>
          <w:tab w:leader="none" w:pos="190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ASSUMPTIONS</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 rendering the opinion below, we have assumed:</w:t>
      </w:r>
    </w:p>
    <w:p>
      <w:pPr>
        <w:spacing w:after="0" w:line="131" w:lineRule="exact"/>
        <w:rPr>
          <w:sz w:val="20"/>
          <w:szCs w:val="20"/>
          <w:color w:val="auto"/>
        </w:rPr>
      </w:pPr>
    </w:p>
    <w:p>
      <w:pPr>
        <w:ind w:left="1920" w:right="20" w:hanging="374"/>
        <w:spacing w:after="0" w:line="277" w:lineRule="auto"/>
        <w:tabs>
          <w:tab w:leader="none" w:pos="19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offering and sale of the shares being registered by the Registration Statement will be conducted in the manner as described in the Registration Statement;</w:t>
      </w:r>
    </w:p>
    <w:p>
      <w:pPr>
        <w:spacing w:after="0" w:line="75" w:lineRule="exact"/>
        <w:rPr>
          <w:rFonts w:ascii="Arial" w:cs="Arial" w:eastAsia="Arial" w:hAnsi="Arial"/>
          <w:sz w:val="18"/>
          <w:szCs w:val="18"/>
          <w:color w:val="auto"/>
        </w:rPr>
      </w:pPr>
    </w:p>
    <w:p>
      <w:pPr>
        <w:ind w:left="1920" w:right="440" w:hanging="374"/>
        <w:spacing w:after="0" w:line="277" w:lineRule="auto"/>
        <w:tabs>
          <w:tab w:leader="none" w:pos="19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Registration Statement has been duly submitted by the Company with the U.S. Securities and Exchange Commission; and</w:t>
      </w:r>
    </w:p>
    <w:p>
      <w:pPr>
        <w:spacing w:after="0" w:line="75" w:lineRule="exact"/>
        <w:rPr>
          <w:rFonts w:ascii="Arial" w:cs="Arial" w:eastAsia="Arial" w:hAnsi="Arial"/>
          <w:sz w:val="18"/>
          <w:szCs w:val="18"/>
          <w:color w:val="auto"/>
        </w:rPr>
      </w:pPr>
    </w:p>
    <w:p>
      <w:pPr>
        <w:ind w:left="1920" w:right="340" w:hanging="374"/>
        <w:spacing w:after="0" w:line="277" w:lineRule="auto"/>
        <w:tabs>
          <w:tab w:leader="none" w:pos="19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Registration Statement are true, complete and accurate.</w:t>
      </w:r>
    </w:p>
    <w:p>
      <w:pPr>
        <w:spacing w:after="0" w:line="31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III. OPINION</w:t>
      </w:r>
    </w:p>
    <w:p>
      <w:pPr>
        <w:spacing w:after="0" w:line="121" w:lineRule="exact"/>
        <w:rPr>
          <w:sz w:val="20"/>
          <w:szCs w:val="20"/>
          <w:color w:val="auto"/>
        </w:rPr>
      </w:pPr>
    </w:p>
    <w:p>
      <w:pPr>
        <w:ind w:left="1540" w:right="40"/>
        <w:spacing w:after="0" w:line="259" w:lineRule="auto"/>
        <w:rPr>
          <w:sz w:val="20"/>
          <w:szCs w:val="20"/>
          <w:color w:val="auto"/>
        </w:rPr>
      </w:pPr>
      <w:r>
        <w:rPr>
          <w:rFonts w:ascii="Arial" w:cs="Arial" w:eastAsia="Arial" w:hAnsi="Arial"/>
          <w:sz w:val="18"/>
          <w:szCs w:val="18"/>
          <w:color w:val="auto"/>
        </w:rPr>
        <w:t>Based upon the foregoing and subject to the qualifications set out below, we hereby confirm that as of the date hereof the discussion in the Registration Statement contained under the heading “Taxation—Swiss Tax Considerations” insofar as it addresses matters of Swiss tax law or considerations, represents our opinion with respect to and limited to the matters referred to therein.</w:t>
      </w:r>
    </w:p>
    <w:p>
      <w:pPr>
        <w:spacing w:after="0" w:line="331"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IV.  QUALIFICATIONS</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1920" w:right="80" w:hanging="374"/>
        <w:spacing w:after="0" w:line="264" w:lineRule="auto"/>
        <w:tabs>
          <w:tab w:leader="none" w:pos="19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86" w:lineRule="exact"/>
        <w:rPr>
          <w:rFonts w:ascii="Arial" w:cs="Arial" w:eastAsia="Arial" w:hAnsi="Arial"/>
          <w:sz w:val="18"/>
          <w:szCs w:val="18"/>
          <w:color w:val="auto"/>
        </w:rPr>
      </w:pPr>
    </w:p>
    <w:p>
      <w:pPr>
        <w:ind w:left="1920" w:right="540" w:hanging="374"/>
        <w:spacing w:after="0" w:line="277" w:lineRule="auto"/>
        <w:tabs>
          <w:tab w:leader="none" w:pos="19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w:t>
      </w:r>
    </w:p>
    <w:p>
      <w:pPr>
        <w:spacing w:after="0" w:line="75" w:lineRule="exact"/>
        <w:rPr>
          <w:rFonts w:ascii="Arial" w:cs="Arial" w:eastAsia="Arial" w:hAnsi="Arial"/>
          <w:sz w:val="18"/>
          <w:szCs w:val="18"/>
          <w:color w:val="auto"/>
        </w:rPr>
      </w:pPr>
    </w:p>
    <w:p>
      <w:pPr>
        <w:ind w:left="1920" w:right="120" w:hanging="374"/>
        <w:spacing w:after="0" w:line="277" w:lineRule="auto"/>
        <w:tabs>
          <w:tab w:leader="none" w:pos="19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Except as expressly stated herein, we express no opinion as to any other legal matters. We express no opinion as to any non-legal matters.</w:t>
      </w:r>
    </w:p>
    <w:p>
      <w:pPr>
        <w:spacing w:after="0" w:line="170" w:lineRule="exact"/>
        <w:rPr>
          <w:sz w:val="20"/>
          <w:szCs w:val="20"/>
          <w:color w:val="auto"/>
        </w:rPr>
      </w:pPr>
    </w:p>
    <w:p>
      <w:pPr>
        <w:ind w:left="1540" w:right="220"/>
        <w:spacing w:after="0" w:line="277"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70" w:lineRule="exact"/>
        <w:rPr>
          <w:sz w:val="20"/>
          <w:szCs w:val="20"/>
          <w:color w:val="auto"/>
        </w:rPr>
      </w:pPr>
    </w:p>
    <w:p>
      <w:pPr>
        <w:ind w:left="1540" w:right="180"/>
        <w:spacing w:after="0" w:line="273" w:lineRule="auto"/>
        <w:rPr>
          <w:sz w:val="20"/>
          <w:szCs w:val="20"/>
          <w:color w:val="auto"/>
        </w:rPr>
      </w:pPr>
      <w:r>
        <w:rPr>
          <w:rFonts w:ascii="Arial" w:cs="Arial" w:eastAsia="Arial" w:hAnsi="Arial"/>
          <w:sz w:val="17"/>
          <w:szCs w:val="17"/>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78" w:lineRule="exact"/>
        <w:rPr>
          <w:sz w:val="20"/>
          <w:szCs w:val="20"/>
          <w:color w:val="auto"/>
        </w:rPr>
      </w:pPr>
    </w:p>
    <w:p>
      <w:pPr>
        <w:ind w:left="1540" w:right="160"/>
        <w:spacing w:after="0" w:line="302" w:lineRule="auto"/>
        <w:rPr>
          <w:sz w:val="20"/>
          <w:szCs w:val="20"/>
          <w:color w:val="auto"/>
        </w:rPr>
      </w:pPr>
      <w:r>
        <w:rPr>
          <w:rFonts w:ascii="Arial" w:cs="Arial" w:eastAsia="Arial" w:hAnsi="Arial"/>
          <w:sz w:val="16"/>
          <w:szCs w:val="16"/>
          <w:color w:val="auto"/>
        </w:rPr>
        <w:t>This opinion is an exhibit to the Registration Statement and may be relied upon for the purpose of the registration pursuant to the Registration Statement. It may not be supplied, and its contents or existence may not be disclosed, to any person other than as an Exhibit to (and therefore together with) the Registration Statement and may not be relied upon for any purpose other than the registration pursuant to the Registration Statement.</w:t>
      </w:r>
    </w:p>
    <w:p>
      <w:pPr>
        <w:sectPr>
          <w:pgSz w:w="11900" w:h="16838" w:orient="portrait"/>
          <w:cols w:equalWidth="0" w:num="1">
            <w:col w:w="10100"/>
          </w:cols>
          <w:pgMar w:left="1440" w:top="328" w:right="359" w:bottom="1440" w:gutter="0" w:footer="0" w:header="0"/>
        </w:sectPr>
      </w:pPr>
    </w:p>
    <w:bookmarkStart w:id="290" w:name="page291"/>
    <w:bookmarkEnd w:id="290"/>
    <w:tbl>
      <w:tblPr>
        <w:tblLayout w:type="fixed"/>
        <w:tblInd w:w="156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June 15, 2016</w:t>
            </w:r>
          </w:p>
        </w:tc>
        <w:tc>
          <w:tcPr>
            <w:tcW w:w="38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540" w:right="80"/>
        <w:spacing w:after="0" w:line="31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14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VISCHER AG</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Nadia Tarolli</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Nadia Tarolli</w:t>
      </w:r>
    </w:p>
    <w:p>
      <w:pPr>
        <w:sectPr>
          <w:pgSz w:w="11900" w:h="16838" w:orient="portrait"/>
          <w:cols w:equalWidth="0" w:num="1">
            <w:col w:w="10100"/>
          </w:cols>
          <w:pgMar w:left="1440" w:top="328" w:right="35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21, 2016, in Amendment No. 1 to the Registration Statement (Form F-1 No. 333-211714) and related Prospectus of AC Immune SA for the registration of its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2016</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1)"/>
      <w:numFmt w:val="decimal"/>
      <w:start w:val="1"/>
    </w:lvl>
  </w:abstractNum>
  <w:abstractNum w:abstractNumId="1">
    <w:nsid w:val="1FBFE8E0"/>
    <w:multiLevelType w:val="hybridMultilevel"/>
    <w:lvl w:ilvl="0">
      <w:lvlJc w:val="left"/>
      <w:lvlText w:val="•"/>
      <w:numFmt w:val="bullet"/>
      <w:start w:val="1"/>
    </w:lvl>
    <w:lvl w:ilvl="1">
      <w:lvlJc w:val="left"/>
      <w:lvlText w:val="•"/>
      <w:numFmt w:val="bullet"/>
      <w:start w:val="1"/>
    </w:lvl>
  </w:abstractNum>
  <w:abstractNum w:abstractNumId="2">
    <w:nsid w:val="5092CA79"/>
    <w:multiLevelType w:val="hybridMultilevel"/>
    <w:lvl w:ilvl="0">
      <w:lvlJc w:val="left"/>
      <w:lvlText w:val="•"/>
      <w:numFmt w:val="bullet"/>
      <w:start w:val="1"/>
    </w:lvl>
    <w:lvl w:ilvl="1">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1)"/>
      <w:numFmt w:val="lowerRoman"/>
      <w:start w:val="1"/>
    </w:lvl>
  </w:abstractNum>
  <w:abstractNum w:abstractNumId="10">
    <w:nsid w:val="1CA0C5FA"/>
    <w:multiLevelType w:val="hybridMultilevel"/>
    <w:lvl w:ilvl="0">
      <w:lvlJc w:val="left"/>
      <w:lvlText w:val="(%1)"/>
      <w:numFmt w:val="lowerRoman"/>
      <w:start w:val="3"/>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1)"/>
      <w:numFmt w:val="decimal"/>
      <w:start w:val="1"/>
    </w:lvl>
  </w:abstractNum>
  <w:abstractNum w:abstractNumId="15">
    <w:nsid w:val="45E6D486"/>
    <w:multiLevelType w:val="hybridMultilevel"/>
    <w:lvl w:ilvl="0">
      <w:lvlJc w:val="left"/>
      <w:lvlText w:val="(%1)"/>
      <w:numFmt w:val="decimal"/>
      <w:start w:val="1"/>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
      <w:numFmt w:val="bullet"/>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
      <w:numFmt w:val="bullet"/>
      <w:start w:val="1"/>
    </w:lvl>
  </w:abstractNum>
  <w:abstractNum w:abstractNumId="33">
    <w:nsid w:val="2708C9AF"/>
    <w:multiLevelType w:val="hybridMultilevel"/>
    <w:lvl w:ilvl="0">
      <w:lvlJc w:val="left"/>
      <w:lvlText w:val="•"/>
      <w:numFmt w:val="bullet"/>
      <w:start w:val="1"/>
    </w:lvl>
  </w:abstractNum>
  <w:abstractNum w:abstractNumId="34">
    <w:nsid w:val="5B25ACE2"/>
    <w:multiLevelType w:val="hybridMultilevel"/>
    <w:lvl w:ilvl="0">
      <w:lvlJc w:val="left"/>
      <w:lvlText w:val="•"/>
      <w:numFmt w:val="bullet"/>
      <w:start w:val="1"/>
    </w:lvl>
  </w:abstractNum>
  <w:abstractNum w:abstractNumId="35">
    <w:nsid w:val="175DFCF0"/>
    <w:multiLevelType w:val="hybridMultilevel"/>
    <w:lvl w:ilvl="0">
      <w:lvlJc w:val="left"/>
      <w:lvlText w:val="•"/>
      <w:numFmt w:val="bullet"/>
      <w:start w:val="1"/>
    </w:lvl>
  </w:abstractNum>
  <w:abstractNum w:abstractNumId="36">
    <w:nsid w:val="4F97E3E4"/>
    <w:multiLevelType w:val="hybridMultilevel"/>
    <w:lvl w:ilvl="0">
      <w:lvlJc w:val="left"/>
      <w:lvlText w:val="$"/>
      <w:numFmt w:val="bullet"/>
      <w:start w:val="1"/>
    </w:lvl>
  </w:abstractNum>
  <w:abstractNum w:abstractNumId="37">
    <w:nsid w:val="53B0A9E"/>
    <w:multiLevelType w:val="hybridMultilevel"/>
    <w:lvl w:ilvl="0">
      <w:lvlJc w:val="left"/>
      <w:lvlText w:val="•"/>
      <w:numFmt w:val="bullet"/>
      <w:start w:val="1"/>
    </w:lvl>
  </w:abstractNum>
  <w:abstractNum w:abstractNumId="38">
    <w:nsid w:val="34FD6B4F"/>
    <w:multiLevelType w:val="hybridMultilevel"/>
    <w:lvl w:ilvl="0">
      <w:lvlJc w:val="left"/>
      <w:lvlText w:val="(%1)"/>
      <w:numFmt w:val="lowerRoman"/>
      <w:start w:val="3"/>
    </w:lvl>
  </w:abstractNum>
  <w:abstractNum w:abstractNumId="39">
    <w:nsid w:val="5915FF32"/>
    <w:multiLevelType w:val="hybridMultilevel"/>
    <w:lvl w:ilvl="0">
      <w:lvlJc w:val="left"/>
      <w:lvlText w:val="•"/>
      <w:numFmt w:val="bullet"/>
      <w:start w:val="1"/>
    </w:lvl>
  </w:abstractNum>
  <w:abstractNum w:abstractNumId="40">
    <w:nsid w:val="56438D15"/>
    <w:multiLevelType w:val="hybridMultilevel"/>
    <w:lvl w:ilvl="0">
      <w:lvlJc w:val="left"/>
      <w:lvlText w:val="$"/>
      <w:numFmt w:val="bullet"/>
      <w:start w:val="1"/>
    </w:lvl>
  </w:abstractNum>
  <w:abstractNum w:abstractNumId="41">
    <w:nsid w:val="519E3149"/>
    <w:multiLevelType w:val="hybridMultilevel"/>
    <w:lvl w:ilvl="0">
      <w:lvlJc w:val="left"/>
      <w:lvlText w:val="•"/>
      <w:numFmt w:val="bullet"/>
      <w:start w:val="1"/>
    </w:lvl>
  </w:abstractNum>
  <w:abstractNum w:abstractNumId="42">
    <w:nsid w:val="2C6E4AFD"/>
    <w:multiLevelType w:val="hybridMultilevel"/>
    <w:lvl w:ilvl="0">
      <w:lvlJc w:val="left"/>
      <w:lvlText w:val="•"/>
      <w:numFmt w:val="bullet"/>
      <w:start w:val="1"/>
    </w:lvl>
  </w:abstractNum>
  <w:abstractNum w:abstractNumId="43">
    <w:nsid w:val="17A1B582"/>
    <w:multiLevelType w:val="hybridMultilevel"/>
    <w:lvl w:ilvl="0">
      <w:lvlJc w:val="left"/>
      <w:lvlText w:val="•"/>
      <w:numFmt w:val="bullet"/>
      <w:start w:val="1"/>
    </w:lvl>
    <w:lvl w:ilvl="1">
      <w:lvlJc w:val="left"/>
      <w:lvlText w:val="(%2)"/>
      <w:numFmt w:val="lowerRoman"/>
      <w:start w:val="1"/>
    </w:lvl>
  </w:abstractNum>
  <w:abstractNum w:abstractNumId="44">
    <w:nsid w:val="4DF72E4E"/>
    <w:multiLevelType w:val="hybridMultilevel"/>
    <w:lvl w:ilvl="0">
      <w:lvlJc w:val="left"/>
      <w:lvlText w:val="•"/>
      <w:numFmt w:val="bullet"/>
      <w:start w:val="1"/>
    </w:lvl>
  </w:abstractNum>
  <w:abstractNum w:abstractNumId="45">
    <w:nsid w:val="5046B5A9"/>
    <w:multiLevelType w:val="hybridMultilevel"/>
    <w:lvl w:ilvl="0">
      <w:lvlJc w:val="left"/>
      <w:lvlText w:val="•"/>
      <w:numFmt w:val="bullet"/>
      <w:start w:val="1"/>
    </w:lvl>
  </w:abstractNum>
  <w:abstractNum w:abstractNumId="46">
    <w:nsid w:val="5D888A08"/>
    <w:multiLevelType w:val="hybridMultilevel"/>
    <w:lvl w:ilvl="0">
      <w:lvlJc w:val="left"/>
      <w:lvlText w:val="(%1)"/>
      <w:numFmt w:val="decimal"/>
      <w:start w:val="1"/>
    </w:lvl>
  </w:abstractNum>
  <w:abstractNum w:abstractNumId="47">
    <w:nsid w:val="2A082C70"/>
    <w:multiLevelType w:val="hybridMultilevel"/>
    <w:lvl w:ilvl="0">
      <w:lvlJc w:val="left"/>
      <w:lvlText w:val="•"/>
      <w:numFmt w:val="bullet"/>
      <w:start w:val="1"/>
    </w:lvl>
  </w:abstractNum>
  <w:abstractNum w:abstractNumId="48">
    <w:nsid w:val="5EC6AFD4"/>
    <w:multiLevelType w:val="hybridMultilevel"/>
    <w:lvl w:ilvl="0">
      <w:lvlJc w:val="left"/>
      <w:lvlText w:val="•"/>
      <w:numFmt w:val="bullet"/>
      <w:start w:val="1"/>
    </w:lvl>
  </w:abstractNum>
  <w:abstractNum w:abstractNumId="49">
    <w:nsid w:val="19E21BB2"/>
    <w:multiLevelType w:val="hybridMultilevel"/>
    <w:lvl w:ilvl="0">
      <w:lvlJc w:val="left"/>
      <w:lvlText w:val="•"/>
      <w:numFmt w:val="bullet"/>
      <w:start w:val="1"/>
    </w:lvl>
  </w:abstractNum>
  <w:abstractNum w:abstractNumId="50">
    <w:nsid w:val="75E0858A"/>
    <w:multiLevelType w:val="hybridMultilevel"/>
    <w:lvl w:ilvl="0">
      <w:lvlJc w:val="left"/>
      <w:lvlText w:val="(%1)"/>
      <w:numFmt w:val="lowerRoman"/>
      <w:start w:val="1"/>
    </w:lvl>
  </w:abstractNum>
  <w:abstractNum w:abstractNumId="51">
    <w:nsid w:val="57A61A29"/>
    <w:multiLevelType w:val="hybridMultilevel"/>
    <w:lvl w:ilvl="0">
      <w:lvlJc w:val="left"/>
      <w:lvlText w:val="(%1)"/>
      <w:numFmt w:val="decimal"/>
      <w:start w:val="1"/>
    </w:lvl>
  </w:abstractNum>
  <w:abstractNum w:abstractNumId="52">
    <w:nsid w:val="5399C654"/>
    <w:multiLevelType w:val="hybridMultilevel"/>
    <w:lvl w:ilvl="0">
      <w:lvlJc w:val="left"/>
      <w:lvlText w:val="(%1)"/>
      <w:numFmt w:val="decimal"/>
      <w:start w:val="1"/>
    </w:lvl>
  </w:abstractNum>
  <w:abstractNum w:abstractNumId="53">
    <w:nsid w:val="20EE1348"/>
    <w:multiLevelType w:val="hybridMultilevel"/>
    <w:lvl w:ilvl="0">
      <w:lvlJc w:val="left"/>
      <w:lvlText w:val="(%1)"/>
      <w:numFmt w:val="lowerRoman"/>
      <w:start w:val="1"/>
    </w:lvl>
  </w:abstractNum>
  <w:abstractNum w:abstractNumId="54">
    <w:nsid w:val="4427069A"/>
    <w:multiLevelType w:val="hybridMultilevel"/>
    <w:lvl w:ilvl="0">
      <w:lvlJc w:val="left"/>
      <w:lvlText w:val="(%1)"/>
      <w:numFmt w:val="decimal"/>
      <w:start w:val="1"/>
    </w:lvl>
  </w:abstractNum>
  <w:abstractNum w:abstractNumId="55">
    <w:nsid w:val="B37E80A"/>
    <w:multiLevelType w:val="hybridMultilevel"/>
    <w:lvl w:ilvl="0">
      <w:lvlJc w:val="left"/>
      <w:lvlText w:val="•"/>
      <w:numFmt w:val="bullet"/>
      <w:start w:val="1"/>
    </w:lvl>
  </w:abstractNum>
  <w:abstractNum w:abstractNumId="56">
    <w:nsid w:val="2157F6BC"/>
    <w:multiLevelType w:val="hybridMultilevel"/>
    <w:lvl w:ilvl="0">
      <w:lvlJc w:val="left"/>
      <w:lvlText w:val="•"/>
      <w:numFmt w:val="bullet"/>
      <w:start w:val="1"/>
    </w:lvl>
  </w:abstractNum>
  <w:abstractNum w:abstractNumId="57">
    <w:nsid w:val="704E1DD5"/>
    <w:multiLevelType w:val="hybridMultilevel"/>
    <w:lvl w:ilvl="0">
      <w:lvlJc w:val="left"/>
      <w:lvlText w:val="•"/>
      <w:numFmt w:val="bullet"/>
      <w:start w:val="1"/>
    </w:lvl>
    <w:lvl w:ilvl="1">
      <w:lvlJc w:val="left"/>
      <w:lvlText w:val="•"/>
      <w:numFmt w:val="bullet"/>
      <w:start w:val="1"/>
    </w:lvl>
  </w:abstractNum>
  <w:abstractNum w:abstractNumId="58">
    <w:nsid w:val="57D2F10E"/>
    <w:multiLevelType w:val="hybridMultilevel"/>
    <w:lvl w:ilvl="0">
      <w:lvlJc w:val="left"/>
      <w:lvlText w:val="•"/>
      <w:numFmt w:val="bullet"/>
      <w:start w:val="1"/>
    </w:lvl>
    <w:lvl w:ilvl="1">
      <w:lvlJc w:val="left"/>
      <w:lvlText w:val="•"/>
      <w:numFmt w:val="bullet"/>
      <w:start w:val="1"/>
    </w:lvl>
  </w:abstractNum>
  <w:abstractNum w:abstractNumId="59">
    <w:nsid w:val="BFFAE18"/>
    <w:multiLevelType w:val="hybridMultilevel"/>
    <w:lvl w:ilvl="0">
      <w:lvlJc w:val="left"/>
      <w:lvlText w:val="•"/>
      <w:numFmt w:val="bullet"/>
      <w:start w:val="1"/>
    </w:lvl>
  </w:abstractNum>
  <w:abstractNum w:abstractNumId="60">
    <w:nsid w:val="E3E47A8"/>
    <w:multiLevelType w:val="hybridMultilevel"/>
    <w:lvl w:ilvl="0">
      <w:lvlJc w:val="left"/>
      <w:lvlText w:val="•"/>
      <w:numFmt w:val="bullet"/>
      <w:start w:val="1"/>
    </w:lvl>
  </w:abstractNum>
  <w:abstractNum w:abstractNumId="61">
    <w:nsid w:val="2E48F044"/>
    <w:multiLevelType w:val="hybridMultilevel"/>
    <w:lvl w:ilvl="0">
      <w:lvlJc w:val="left"/>
      <w:lvlText w:val="•"/>
      <w:numFmt w:val="bullet"/>
      <w:start w:val="1"/>
    </w:lvl>
  </w:abstractNum>
  <w:abstractNum w:abstractNumId="62">
    <w:nsid w:val="49D0FEAC"/>
    <w:multiLevelType w:val="hybridMultilevel"/>
    <w:lvl w:ilvl="0">
      <w:lvlJc w:val="left"/>
      <w:lvlText w:val="•"/>
      <w:numFmt w:val="bullet"/>
      <w:start w:val="1"/>
    </w:lvl>
  </w:abstractNum>
  <w:abstractNum w:abstractNumId="63">
    <w:nsid w:val="4BEE5A5B"/>
    <w:multiLevelType w:val="hybridMultilevel"/>
    <w:lvl w:ilvl="0">
      <w:lvlJc w:val="left"/>
      <w:lvlText w:val="•"/>
      <w:numFmt w:val="bullet"/>
      <w:start w:val="1"/>
    </w:lvl>
    <w:lvl w:ilvl="1">
      <w:lvlJc w:val="left"/>
      <w:lvlText w:val="•"/>
      <w:numFmt w:val="bullet"/>
      <w:start w:val="1"/>
    </w:lvl>
  </w:abstractNum>
  <w:abstractNum w:abstractNumId="64">
    <w:nsid w:val="5551B9F3"/>
    <w:multiLevelType w:val="hybridMultilevel"/>
    <w:lvl w:ilvl="0">
      <w:lvlJc w:val="left"/>
      <w:lvlText w:val="•"/>
      <w:numFmt w:val="bullet"/>
      <w:start w:val="1"/>
    </w:lvl>
  </w:abstractNum>
  <w:abstractNum w:abstractNumId="65">
    <w:nsid w:val="24F6AB8E"/>
    <w:multiLevelType w:val="hybridMultilevel"/>
    <w:lvl w:ilvl="0">
      <w:lvlJc w:val="left"/>
      <w:lvlText w:val="•"/>
      <w:numFmt w:val="bullet"/>
      <w:start w:val="1"/>
    </w:lvl>
  </w:abstractNum>
  <w:abstractNum w:abstractNumId="66">
    <w:nsid w:val="634C574C"/>
    <w:multiLevelType w:val="hybridMultilevel"/>
    <w:lvl w:ilvl="0">
      <w:lvlJc w:val="left"/>
      <w:lvlText w:val="•"/>
      <w:numFmt w:val="bullet"/>
      <w:start w:val="1"/>
    </w:lvl>
  </w:abstractNum>
  <w:abstractNum w:abstractNumId="67">
    <w:nsid w:val="24E99DD7"/>
    <w:multiLevelType w:val="hybridMultilevel"/>
    <w:lvl w:ilvl="0">
      <w:lvlJc w:val="left"/>
      <w:lvlText w:val="•"/>
      <w:numFmt w:val="bullet"/>
      <w:start w:val="1"/>
    </w:lvl>
    <w:lvl w:ilvl="1">
      <w:lvlJc w:val="left"/>
      <w:lvlText w:val="•"/>
      <w:numFmt w:val="bullet"/>
      <w:start w:val="1"/>
    </w:lvl>
  </w:abstractNum>
  <w:abstractNum w:abstractNumId="68">
    <w:nsid w:val="2A31B62D"/>
    <w:multiLevelType w:val="hybridMultilevel"/>
    <w:lvl w:ilvl="0">
      <w:lvlJc w:val="left"/>
      <w:lvlText w:val="•"/>
      <w:numFmt w:val="bullet"/>
      <w:start w:val="1"/>
    </w:lvl>
  </w:abstractNum>
  <w:abstractNum w:abstractNumId="69">
    <w:nsid w:val="1849C29B"/>
    <w:multiLevelType w:val="hybridMultilevel"/>
    <w:lvl w:ilvl="0">
      <w:lvlJc w:val="left"/>
      <w:lvlText w:val="•"/>
      <w:numFmt w:val="bullet"/>
      <w:start w:val="1"/>
    </w:lvl>
    <w:lvl w:ilvl="1">
      <w:lvlJc w:val="left"/>
      <w:lvlText w:val="•"/>
      <w:numFmt w:val="bullet"/>
      <w:start w:val="1"/>
    </w:lvl>
  </w:abstractNum>
  <w:abstractNum w:abstractNumId="70">
    <w:nsid w:val="7DFF9D09"/>
    <w:multiLevelType w:val="hybridMultilevel"/>
    <w:lvl w:ilvl="0">
      <w:lvlJc w:val="left"/>
      <w:lvlText w:val="•"/>
      <w:numFmt w:val="bullet"/>
      <w:start w:val="1"/>
    </w:lvl>
  </w:abstractNum>
  <w:abstractNum w:abstractNumId="71">
    <w:nsid w:val="754342"/>
    <w:multiLevelType w:val="hybridMultilevel"/>
    <w:lvl w:ilvl="0">
      <w:lvlJc w:val="left"/>
      <w:lvlText w:val="•"/>
      <w:numFmt w:val="bullet"/>
      <w:start w:val="1"/>
    </w:lvl>
  </w:abstractNum>
  <w:abstractNum w:abstractNumId="72">
    <w:nsid w:val="69E7F3E5"/>
    <w:multiLevelType w:val="hybridMultilevel"/>
    <w:lvl w:ilvl="0">
      <w:lvlJc w:val="left"/>
      <w:lvlText w:val="•"/>
      <w:numFmt w:val="bullet"/>
      <w:start w:val="1"/>
    </w:lvl>
  </w:abstractNum>
  <w:abstractNum w:abstractNumId="73">
    <w:nsid w:val="2A6DE806"/>
    <w:multiLevelType w:val="hybridMultilevel"/>
    <w:lvl w:ilvl="0">
      <w:lvlJc w:val="left"/>
      <w:lvlText w:val="•"/>
      <w:numFmt w:val="bullet"/>
      <w:start w:val="1"/>
    </w:lvl>
  </w:abstractNum>
  <w:abstractNum w:abstractNumId="74">
    <w:nsid w:val="1816F8C4"/>
    <w:multiLevelType w:val="hybridMultilevel"/>
    <w:lvl w:ilvl="0">
      <w:lvlJc w:val="left"/>
      <w:lvlText w:val="•"/>
      <w:numFmt w:val="bullet"/>
      <w:start w:val="1"/>
    </w:lvl>
  </w:abstractNum>
  <w:abstractNum w:abstractNumId="75">
    <w:nsid w:val="37DF2233"/>
    <w:multiLevelType w:val="hybridMultilevel"/>
    <w:lvl w:ilvl="0">
      <w:lvlJc w:val="left"/>
      <w:lvlText w:val="•"/>
      <w:numFmt w:val="bullet"/>
      <w:start w:val="1"/>
    </w:lvl>
  </w:abstractNum>
  <w:abstractNum w:abstractNumId="76">
    <w:nsid w:val="7AB49DAF"/>
    <w:multiLevelType w:val="hybridMultilevel"/>
    <w:lvl w:ilvl="0">
      <w:lvlJc w:val="left"/>
      <w:lvlText w:val="•"/>
      <w:numFmt w:val="bullet"/>
      <w:start w:val="1"/>
    </w:lvl>
  </w:abstractNum>
  <w:abstractNum w:abstractNumId="77">
    <w:nsid w:val="759F82CD"/>
    <w:multiLevelType w:val="hybridMultilevel"/>
    <w:lvl w:ilvl="0">
      <w:lvlJc w:val="left"/>
      <w:lvlText w:val="•"/>
      <w:numFmt w:val="bullet"/>
      <w:start w:val="1"/>
    </w:lvl>
  </w:abstractNum>
  <w:abstractNum w:abstractNumId="78">
    <w:nsid w:val="61E74EA3"/>
    <w:multiLevelType w:val="hybridMultilevel"/>
    <w:lvl w:ilvl="0">
      <w:lvlJc w:val="left"/>
      <w:lvlText w:val="•"/>
      <w:numFmt w:val="bullet"/>
      <w:start w:val="1"/>
    </w:lvl>
  </w:abstractNum>
  <w:abstractNum w:abstractNumId="79">
    <w:nsid w:val="597B4D84"/>
    <w:multiLevelType w:val="hybridMultilevel"/>
    <w:lvl w:ilvl="0">
      <w:lvlJc w:val="left"/>
      <w:lvlText w:val="•"/>
      <w:numFmt w:val="bullet"/>
      <w:start w:val="1"/>
    </w:lvl>
  </w:abstractNum>
  <w:abstractNum w:abstractNumId="80">
    <w:nsid w:val="F819E7F"/>
    <w:multiLevelType w:val="hybridMultilevel"/>
    <w:lvl w:ilvl="0">
      <w:lvlJc w:val="left"/>
      <w:lvlText w:val="•"/>
      <w:numFmt w:val="bullet"/>
      <w:start w:val="1"/>
    </w:lvl>
  </w:abstractNum>
  <w:abstractNum w:abstractNumId="81">
    <w:nsid w:val="57C7D42D"/>
    <w:multiLevelType w:val="hybridMultilevel"/>
    <w:lvl w:ilvl="0">
      <w:lvlJc w:val="left"/>
      <w:lvlText w:val="&amp;"/>
      <w:numFmt w:val="bullet"/>
      <w:start w:val="1"/>
    </w:lvl>
  </w:abstractNum>
  <w:abstractNum w:abstractNumId="82">
    <w:nsid w:val="312167AD"/>
    <w:multiLevelType w:val="hybridMultilevel"/>
    <w:lvl w:ilvl="0">
      <w:lvlJc w:val="left"/>
      <w:lvlText w:val="•"/>
      <w:numFmt w:val="bullet"/>
      <w:start w:val="1"/>
    </w:lvl>
  </w:abstractNum>
  <w:abstractNum w:abstractNumId="83">
    <w:nsid w:val="631B64D4"/>
    <w:multiLevelType w:val="hybridMultilevel"/>
    <w:lvl w:ilvl="0">
      <w:lvlJc w:val="left"/>
      <w:lvlText w:val="•"/>
      <w:numFmt w:val="bullet"/>
      <w:start w:val="1"/>
    </w:lvl>
  </w:abstractNum>
  <w:abstractNum w:abstractNumId="84">
    <w:nsid w:val="78B5E776"/>
    <w:multiLevelType w:val="hybridMultilevel"/>
    <w:lvl w:ilvl="0">
      <w:lvlJc w:val="left"/>
      <w:lvlText w:val="•"/>
      <w:numFmt w:val="bullet"/>
      <w:start w:val="1"/>
    </w:lvl>
  </w:abstractNum>
  <w:abstractNum w:abstractNumId="85">
    <w:nsid w:val="75486E47"/>
    <w:multiLevelType w:val="hybridMultilevel"/>
    <w:lvl w:ilvl="0">
      <w:lvlJc w:val="left"/>
      <w:lvlText w:val="•"/>
      <w:numFmt w:val="bullet"/>
      <w:start w:val="1"/>
    </w:lvl>
  </w:abstractNum>
  <w:abstractNum w:abstractNumId="86">
    <w:nsid w:val="6E534CDE"/>
    <w:multiLevelType w:val="hybridMultilevel"/>
    <w:lvl w:ilvl="0">
      <w:lvlJc w:val="left"/>
      <w:lvlText w:val="•"/>
      <w:numFmt w:val="bullet"/>
      <w:start w:val="1"/>
    </w:lvl>
  </w:abstractNum>
  <w:abstractNum w:abstractNumId="87">
    <w:nsid w:val="1A0DDE32"/>
    <w:multiLevelType w:val="hybridMultilevel"/>
    <w:lvl w:ilvl="0">
      <w:lvlJc w:val="left"/>
      <w:lvlText w:val="•"/>
      <w:numFmt w:val="bullet"/>
      <w:start w:val="1"/>
    </w:lvl>
  </w:abstractNum>
  <w:abstractNum w:abstractNumId="88">
    <w:nsid w:val="65968C1C"/>
    <w:multiLevelType w:val="hybridMultilevel"/>
    <w:lvl w:ilvl="0">
      <w:lvlJc w:val="left"/>
      <w:lvlText w:val="•"/>
      <w:numFmt w:val="bullet"/>
      <w:start w:val="1"/>
    </w:lvl>
  </w:abstractNum>
  <w:abstractNum w:abstractNumId="89">
    <w:nsid w:val="46263DEC"/>
    <w:multiLevelType w:val="hybridMultilevel"/>
    <w:lvl w:ilvl="0">
      <w:lvlJc w:val="left"/>
      <w:lvlText w:val="•"/>
      <w:numFmt w:val="bullet"/>
      <w:start w:val="1"/>
    </w:lvl>
  </w:abstractNum>
  <w:abstractNum w:abstractNumId="90">
    <w:nsid w:val="260D8C4A"/>
    <w:multiLevelType w:val="hybridMultilevel"/>
    <w:lvl w:ilvl="0">
      <w:lvlJc w:val="left"/>
      <w:lvlText w:val="•"/>
      <w:numFmt w:val="bullet"/>
      <w:start w:val="1"/>
    </w:lvl>
  </w:abstractNum>
  <w:abstractNum w:abstractNumId="91">
    <w:nsid w:val="73D4D3C4"/>
    <w:multiLevelType w:val="hybridMultilevel"/>
    <w:lvl w:ilvl="0">
      <w:lvlJc w:val="left"/>
      <w:lvlText w:val="•"/>
      <w:numFmt w:val="bullet"/>
      <w:start w:val="1"/>
    </w:lvl>
  </w:abstractNum>
  <w:abstractNum w:abstractNumId="92">
    <w:nsid w:val="746F2E30"/>
    <w:multiLevelType w:val="hybridMultilevel"/>
    <w:lvl w:ilvl="0">
      <w:lvlJc w:val="left"/>
      <w:lvlText w:val="•"/>
      <w:numFmt w:val="bullet"/>
      <w:start w:val="1"/>
    </w:lvl>
  </w:abstractNum>
  <w:abstractNum w:abstractNumId="93">
    <w:nsid w:val="6FDE8AF6"/>
    <w:multiLevelType w:val="hybridMultilevel"/>
    <w:lvl w:ilvl="0">
      <w:lvlJc w:val="left"/>
      <w:lvlText w:val="*"/>
      <w:numFmt w:val="bullet"/>
      <w:start w:val="1"/>
    </w:lvl>
  </w:abstractNum>
  <w:abstractNum w:abstractNumId="94">
    <w:nsid w:val="3FC32E20"/>
    <w:multiLevelType w:val="hybridMultilevel"/>
    <w:lvl w:ilvl="0">
      <w:lvlJc w:val="left"/>
      <w:lvlText w:val="(%1)"/>
      <w:numFmt w:val="decimal"/>
      <w:start w:val="1"/>
    </w:lvl>
  </w:abstractNum>
  <w:abstractNum w:abstractNumId="95">
    <w:nsid w:val="49C0E823"/>
    <w:multiLevelType w:val="hybridMultilevel"/>
    <w:lvl w:ilvl="0">
      <w:lvlJc w:val="left"/>
      <w:lvlText w:val="(%1)"/>
      <w:numFmt w:val="decimal"/>
      <w:start w:val="9"/>
    </w:lvl>
  </w:abstractNum>
  <w:abstractNum w:abstractNumId="96">
    <w:nsid w:val="14D53685"/>
    <w:multiLevelType w:val="hybridMultilevel"/>
    <w:lvl w:ilvl="0">
      <w:lvlJc w:val="left"/>
      <w:lvlText w:val="(%1)"/>
      <w:numFmt w:val="decimal"/>
      <w:start w:val="1"/>
    </w:lvl>
  </w:abstractNum>
  <w:abstractNum w:abstractNumId="97">
    <w:nsid w:val="230F856C"/>
    <w:multiLevelType w:val="hybridMultilevel"/>
    <w:lvl w:ilvl="0">
      <w:lvlJc w:val="left"/>
      <w:lvlText w:val="%"/>
      <w:numFmt w:val="bullet"/>
      <w:start w:val="1"/>
    </w:lvl>
  </w:abstractNum>
  <w:abstractNum w:abstractNumId="98">
    <w:nsid w:val="6EAA85FB"/>
    <w:multiLevelType w:val="hybridMultilevel"/>
    <w:lvl w:ilvl="0">
      <w:lvlJc w:val="left"/>
      <w:lvlText w:val="•"/>
      <w:numFmt w:val="bullet"/>
      <w:start w:val="1"/>
    </w:lvl>
  </w:abstractNum>
  <w:abstractNum w:abstractNumId="99">
    <w:nsid w:val="3F06ECB2"/>
    <w:multiLevelType w:val="hybridMultilevel"/>
    <w:lvl w:ilvl="0">
      <w:lvlJc w:val="left"/>
      <w:lvlText w:val="•"/>
      <w:numFmt w:val="bullet"/>
      <w:start w:val="1"/>
    </w:lvl>
  </w:abstractNum>
  <w:abstractNum w:abstractNumId="100">
    <w:nsid w:val="3B594807"/>
    <w:multiLevelType w:val="hybridMultilevel"/>
    <w:lvl w:ilvl="0">
      <w:lvlJc w:val="left"/>
      <w:lvlText w:val="•"/>
      <w:numFmt w:val="bullet"/>
      <w:start w:val="1"/>
    </w:lvl>
  </w:abstractNum>
  <w:abstractNum w:abstractNumId="101">
    <w:nsid w:val="6CAA2304"/>
    <w:multiLevelType w:val="hybridMultilevel"/>
    <w:lvl w:ilvl="0">
      <w:lvlJc w:val="left"/>
      <w:lvlText w:val="•"/>
      <w:numFmt w:val="bullet"/>
      <w:start w:val="1"/>
    </w:lvl>
  </w:abstractNum>
  <w:abstractNum w:abstractNumId="102">
    <w:nsid w:val="3F7C2FF4"/>
    <w:multiLevelType w:val="hybridMultilevel"/>
    <w:lvl w:ilvl="0">
      <w:lvlJc w:val="left"/>
      <w:lvlText w:val="•"/>
      <w:numFmt w:val="bullet"/>
      <w:start w:val="1"/>
    </w:lvl>
  </w:abstractNum>
  <w:abstractNum w:abstractNumId="103">
    <w:nsid w:val="25413BEC"/>
    <w:multiLevelType w:val="hybridMultilevel"/>
    <w:lvl w:ilvl="0">
      <w:lvlJc w:val="left"/>
      <w:lvlText w:val="•"/>
      <w:numFmt w:val="bullet"/>
      <w:start w:val="1"/>
    </w:lvl>
  </w:abstractNum>
  <w:abstractNum w:abstractNumId="104">
    <w:nsid w:val="17180B0B"/>
    <w:multiLevelType w:val="hybridMultilevel"/>
    <w:lvl w:ilvl="0">
      <w:lvlJc w:val="left"/>
      <w:lvlText w:val="•"/>
      <w:numFmt w:val="bullet"/>
      <w:start w:val="1"/>
    </w:lvl>
  </w:abstractNum>
  <w:abstractNum w:abstractNumId="105">
    <w:nsid w:val="579328B9"/>
    <w:multiLevelType w:val="hybridMultilevel"/>
    <w:lvl w:ilvl="0">
      <w:lvlJc w:val="left"/>
      <w:lvlText w:val="•"/>
      <w:numFmt w:val="bullet"/>
      <w:start w:val="1"/>
    </w:lvl>
  </w:abstractNum>
  <w:abstractNum w:abstractNumId="106">
    <w:nsid w:val="5D205E20"/>
    <w:multiLevelType w:val="hybridMultilevel"/>
    <w:lvl w:ilvl="0">
      <w:lvlJc w:val="left"/>
      <w:lvlText w:val="•"/>
      <w:numFmt w:val="bullet"/>
      <w:start w:val="1"/>
    </w:lvl>
  </w:abstractNum>
  <w:abstractNum w:abstractNumId="107">
    <w:nsid w:val="11CCA8BA"/>
    <w:multiLevelType w:val="hybridMultilevel"/>
    <w:lvl w:ilvl="0">
      <w:lvlJc w:val="left"/>
      <w:lvlText w:val="•"/>
      <w:numFmt w:val="bullet"/>
      <w:start w:val="1"/>
    </w:lvl>
  </w:abstractNum>
  <w:abstractNum w:abstractNumId="108">
    <w:nsid w:val="4D32AB86"/>
    <w:multiLevelType w:val="hybridMultilevel"/>
    <w:lvl w:ilvl="0">
      <w:lvlJc w:val="left"/>
      <w:lvlText w:val="•"/>
      <w:numFmt w:val="bullet"/>
      <w:start w:val="1"/>
    </w:lvl>
  </w:abstractNum>
  <w:abstractNum w:abstractNumId="109">
    <w:nsid w:val="3F07ACC3"/>
    <w:multiLevelType w:val="hybridMultilevel"/>
    <w:lvl w:ilvl="0">
      <w:lvlJc w:val="left"/>
      <w:lvlText w:val="•"/>
      <w:numFmt w:val="bullet"/>
      <w:start w:val="1"/>
    </w:lvl>
  </w:abstractNum>
  <w:abstractNum w:abstractNumId="110">
    <w:nsid w:val="6B47F63E"/>
    <w:multiLevelType w:val="hybridMultilevel"/>
    <w:lvl w:ilvl="0">
      <w:lvlJc w:val="left"/>
      <w:lvlText w:val="•"/>
      <w:numFmt w:val="bullet"/>
      <w:start w:val="1"/>
    </w:lvl>
  </w:abstractNum>
  <w:abstractNum w:abstractNumId="111">
    <w:nsid w:val="5CB44A05"/>
    <w:multiLevelType w:val="hybridMultilevel"/>
    <w:lvl w:ilvl="0">
      <w:lvlJc w:val="left"/>
      <w:lvlText w:val="•"/>
      <w:numFmt w:val="bullet"/>
      <w:start w:val="1"/>
    </w:lvl>
  </w:abstractNum>
  <w:abstractNum w:abstractNumId="112">
    <w:nsid w:val="16CF80F1"/>
    <w:multiLevelType w:val="hybridMultilevel"/>
    <w:lvl w:ilvl="0">
      <w:lvlJc w:val="left"/>
      <w:lvlText w:val="•"/>
      <w:numFmt w:val="bullet"/>
      <w:start w:val="1"/>
    </w:lvl>
  </w:abstractNum>
  <w:abstractNum w:abstractNumId="113">
    <w:nsid w:val="1C695DEC"/>
    <w:multiLevelType w:val="hybridMultilevel"/>
    <w:lvl w:ilvl="0">
      <w:lvlJc w:val="left"/>
      <w:lvlText w:val="•"/>
      <w:numFmt w:val="bullet"/>
      <w:start w:val="1"/>
    </w:lvl>
  </w:abstractNum>
  <w:abstractNum w:abstractNumId="114">
    <w:nsid w:val="3FCFAED9"/>
    <w:multiLevelType w:val="hybridMultilevel"/>
    <w:lvl w:ilvl="0">
      <w:lvlJc w:val="left"/>
      <w:lvlText w:val="•"/>
      <w:numFmt w:val="bullet"/>
      <w:start w:val="1"/>
    </w:lvl>
  </w:abstractNum>
  <w:abstractNum w:abstractNumId="115">
    <w:nsid w:val="F856867"/>
    <w:multiLevelType w:val="hybridMultilevel"/>
    <w:lvl w:ilvl="0">
      <w:lvlJc w:val="left"/>
      <w:lvlText w:val="•"/>
      <w:numFmt w:val="bullet"/>
      <w:start w:val="1"/>
    </w:lvl>
  </w:abstractNum>
  <w:abstractNum w:abstractNumId="116">
    <w:nsid w:val="11B1CC33"/>
    <w:multiLevelType w:val="hybridMultilevel"/>
    <w:lvl w:ilvl="0">
      <w:lvlJc w:val="left"/>
      <w:lvlText w:val="•"/>
      <w:numFmt w:val="bullet"/>
      <w:start w:val="1"/>
    </w:lvl>
  </w:abstractNum>
  <w:abstractNum w:abstractNumId="117">
    <w:nsid w:val="2E22FBB7"/>
    <w:multiLevelType w:val="hybridMultilevel"/>
    <w:lvl w:ilvl="0">
      <w:lvlJc w:val="left"/>
      <w:lvlText w:val="(%1)"/>
      <w:numFmt w:val="lowerRoman"/>
      <w:start w:val="4"/>
    </w:lvl>
  </w:abstractNum>
  <w:abstractNum w:abstractNumId="118">
    <w:nsid w:val="29934699"/>
    <w:multiLevelType w:val="hybridMultilevel"/>
    <w:lvl w:ilvl="0">
      <w:lvlJc w:val="left"/>
      <w:lvlText w:val="•"/>
      <w:numFmt w:val="bullet"/>
      <w:start w:val="1"/>
    </w:lvl>
  </w:abstractNum>
  <w:abstractNum w:abstractNumId="119">
    <w:nsid w:val="77485850"/>
    <w:multiLevelType w:val="hybridMultilevel"/>
    <w:lvl w:ilvl="0">
      <w:lvlJc w:val="left"/>
      <w:lvlText w:val="•"/>
      <w:numFmt w:val="bullet"/>
      <w:start w:val="1"/>
    </w:lvl>
  </w:abstractNum>
  <w:abstractNum w:abstractNumId="120">
    <w:nsid w:val="744939A3"/>
    <w:multiLevelType w:val="hybridMultilevel"/>
    <w:lvl w:ilvl="0">
      <w:lvlJc w:val="left"/>
      <w:lvlText w:val="(%1)"/>
      <w:numFmt w:val="lowerRoman"/>
      <w:start w:val="2"/>
    </w:lvl>
  </w:abstractNum>
  <w:abstractNum w:abstractNumId="121">
    <w:nsid w:val="4FA0D2E3"/>
    <w:multiLevelType w:val="hybridMultilevel"/>
    <w:lvl w:ilvl="0">
      <w:lvlJc w:val="left"/>
      <w:lvlText w:val="•"/>
      <w:numFmt w:val="bullet"/>
      <w:start w:val="1"/>
    </w:lvl>
    <w:lvl w:ilvl="1">
      <w:lvlJc w:val="left"/>
      <w:lvlText w:val="•"/>
      <w:numFmt w:val="bullet"/>
      <w:start w:val="1"/>
    </w:lvl>
  </w:abstractNum>
  <w:abstractNum w:abstractNumId="122">
    <w:nsid w:val="6B1D2C14"/>
    <w:multiLevelType w:val="hybridMultilevel"/>
    <w:lvl w:ilvl="0">
      <w:lvlJc w:val="left"/>
      <w:lvlText w:val="•"/>
      <w:numFmt w:val="bullet"/>
      <w:start w:val="1"/>
    </w:lvl>
    <w:lvl w:ilvl="1">
      <w:lvlJc w:val="left"/>
      <w:lvlText w:val="•"/>
      <w:numFmt w:val="bullet"/>
      <w:start w:val="1"/>
    </w:lvl>
  </w:abstractNum>
  <w:abstractNum w:abstractNumId="123">
    <w:nsid w:val="68B867D3"/>
    <w:multiLevelType w:val="hybridMultilevel"/>
    <w:lvl w:ilvl="0">
      <w:lvlJc w:val="left"/>
      <w:lvlText w:val="•"/>
      <w:numFmt w:val="bullet"/>
      <w:start w:val="1"/>
    </w:lvl>
  </w:abstractNum>
  <w:abstractNum w:abstractNumId="124">
    <w:nsid w:val="3F7F5DD9"/>
    <w:multiLevelType w:val="hybridMultilevel"/>
    <w:lvl w:ilvl="0">
      <w:lvlJc w:val="left"/>
      <w:lvlText w:val="•"/>
      <w:numFmt w:val="bullet"/>
      <w:start w:val="1"/>
    </w:lvl>
  </w:abstractNum>
  <w:abstractNum w:abstractNumId="125">
    <w:nsid w:val="2AE05A34"/>
    <w:multiLevelType w:val="hybridMultilevel"/>
    <w:lvl w:ilvl="0">
      <w:lvlJc w:val="left"/>
      <w:lvlText w:val="•"/>
      <w:numFmt w:val="bullet"/>
      <w:start w:val="1"/>
    </w:lvl>
  </w:abstractNum>
  <w:abstractNum w:abstractNumId="126">
    <w:nsid w:val="32794FF7"/>
    <w:multiLevelType w:val="hybridMultilevel"/>
    <w:lvl w:ilvl="0">
      <w:lvlJc w:val="left"/>
      <w:lvlText w:val="(%1)"/>
      <w:numFmt w:val="lowerRoman"/>
      <w:start w:val="1"/>
    </w:lvl>
  </w:abstractNum>
  <w:abstractNum w:abstractNumId="127">
    <w:nsid w:val="5454945E"/>
    <w:multiLevelType w:val="hybridMultilevel"/>
    <w:lvl w:ilvl="0">
      <w:lvlJc w:val="left"/>
      <w:lvlText w:val="•"/>
      <w:numFmt w:val="bullet"/>
      <w:start w:val="1"/>
    </w:lvl>
  </w:abstractNum>
  <w:abstractNum w:abstractNumId="128">
    <w:nsid w:val="4DEFDFA0"/>
    <w:multiLevelType w:val="hybridMultilevel"/>
    <w:lvl w:ilvl="0">
      <w:lvlJc w:val="left"/>
      <w:lvlText w:val="•"/>
      <w:numFmt w:val="bullet"/>
      <w:start w:val="1"/>
    </w:lvl>
  </w:abstractNum>
  <w:abstractNum w:abstractNumId="129">
    <w:nsid w:val="2123D5F2"/>
    <w:multiLevelType w:val="hybridMultilevel"/>
    <w:lvl w:ilvl="0">
      <w:lvlJc w:val="left"/>
      <w:lvlText w:val="%1."/>
      <w:numFmt w:val="decimal"/>
      <w:start w:val="1"/>
    </w:lvl>
  </w:abstractNum>
  <w:abstractNum w:abstractNumId="130">
    <w:nsid w:val="135B8110"/>
    <w:multiLevelType w:val="hybridMultilevel"/>
    <w:lvl w:ilvl="0">
      <w:lvlJc w:val="left"/>
      <w:lvlText w:val="%1."/>
      <w:numFmt w:val="decimal"/>
      <w:start w:val="2"/>
    </w:lvl>
  </w:abstractNum>
  <w:abstractNum w:abstractNumId="131">
    <w:nsid w:val="94927A8"/>
    <w:multiLevelType w:val="hybridMultilevel"/>
    <w:lvl w:ilvl="0">
      <w:lvlJc w:val="left"/>
      <w:lvlText w:val="(%1)"/>
      <w:numFmt w:val="lowerRoman"/>
      <w:start w:val="1"/>
    </w:lvl>
  </w:abstractNum>
  <w:abstractNum w:abstractNumId="132">
    <w:nsid w:val="DCDF8F6"/>
    <w:multiLevelType w:val="hybridMultilevel"/>
    <w:lvl w:ilvl="0">
      <w:lvlJc w:val="left"/>
      <w:lvlText w:val="%1."/>
      <w:numFmt w:val="decimal"/>
      <w:start w:val="4"/>
    </w:lvl>
  </w:abstractNum>
  <w:abstractNum w:abstractNumId="133">
    <w:nsid w:val="52D7B105"/>
    <w:multiLevelType w:val="hybridMultilevel"/>
    <w:lvl w:ilvl="0">
      <w:lvlJc w:val="left"/>
      <w:lvlText w:val="%1."/>
      <w:numFmt w:val="decimal"/>
      <w:start w:val="5"/>
    </w:lvl>
  </w:abstractNum>
  <w:abstractNum w:abstractNumId="134">
    <w:nsid w:val="2E8A6394"/>
    <w:multiLevelType w:val="hybridMultilevel"/>
    <w:lvl w:ilvl="0">
      <w:lvlJc w:val="left"/>
      <w:lvlText w:val="%1."/>
      <w:numFmt w:val="decimal"/>
      <w:start w:val="6"/>
    </w:lvl>
  </w:abstractNum>
  <w:abstractNum w:abstractNumId="135">
    <w:nsid w:val="24E60401"/>
    <w:multiLevelType w:val="hybridMultilevel"/>
    <w:lvl w:ilvl="0">
      <w:lvlJc w:val="left"/>
      <w:lvlText w:val="%1."/>
      <w:numFmt w:val="decimal"/>
      <w:start w:val="7"/>
    </w:lvl>
  </w:abstractNum>
  <w:abstractNum w:abstractNumId="136">
    <w:nsid w:val="2A6AD9BE"/>
    <w:multiLevelType w:val="hybridMultilevel"/>
    <w:lvl w:ilvl="0">
      <w:lvlJc w:val="left"/>
      <w:lvlText w:val="%1."/>
      <w:numFmt w:val="decimal"/>
      <w:start w:val="8"/>
    </w:lvl>
  </w:abstractNum>
  <w:abstractNum w:abstractNumId="137">
    <w:nsid w:val="BAAC1B4"/>
    <w:multiLevelType w:val="hybridMultilevel"/>
    <w:lvl w:ilvl="0">
      <w:lvlJc w:val="left"/>
      <w:lvlText w:val="%1."/>
      <w:numFmt w:val="decimal"/>
      <w:start w:val="1"/>
    </w:lvl>
  </w:abstractNum>
  <w:abstractNum w:abstractNumId="138">
    <w:nsid w:val="36B2ACBC"/>
    <w:multiLevelType w:val="hybridMultilevel"/>
    <w:lvl w:ilvl="0">
      <w:lvlJc w:val="left"/>
      <w:lvlText w:val="%1."/>
      <w:numFmt w:val="decimal"/>
      <w:start w:val="2"/>
    </w:lvl>
  </w:abstractNum>
  <w:abstractNum w:abstractNumId="139">
    <w:nsid w:val="779D8544"/>
    <w:multiLevelType w:val="hybridMultilevel"/>
    <w:lvl w:ilvl="0">
      <w:lvlJc w:val="left"/>
      <w:lvlText w:val="(%1)"/>
      <w:numFmt w:val="lowerRoman"/>
      <w:start w:val="1"/>
    </w:lvl>
  </w:abstractNum>
  <w:abstractNum w:abstractNumId="140">
    <w:nsid w:val="4AB26E78"/>
    <w:multiLevelType w:val="hybridMultilevel"/>
    <w:lvl w:ilvl="0">
      <w:lvlJc w:val="left"/>
      <w:lvlText w:val="(%1)"/>
      <w:numFmt w:val="lowerRoman"/>
      <w:start w:val="3"/>
    </w:lvl>
  </w:abstractNum>
  <w:abstractNum w:abstractNumId="141">
    <w:nsid w:val="21FAA2FA"/>
    <w:multiLevelType w:val="hybridMultilevel"/>
    <w:lvl w:ilvl="0">
      <w:lvlJc w:val="left"/>
      <w:lvlText w:val="%1."/>
      <w:numFmt w:val="decimal"/>
      <w:start w:val="3"/>
    </w:lvl>
  </w:abstractNum>
  <w:abstractNum w:abstractNumId="142">
    <w:nsid w:val="5451CF49"/>
    <w:multiLevelType w:val="hybridMultilevel"/>
    <w:lvl w:ilvl="0">
      <w:lvlJc w:val="left"/>
      <w:lvlText w:val="•"/>
      <w:numFmt w:val="bullet"/>
      <w:start w:val="1"/>
    </w:lvl>
  </w:abstractNum>
  <w:abstractNum w:abstractNumId="143">
    <w:nsid w:val="6181EF69"/>
    <w:multiLevelType w:val="hybridMultilevel"/>
    <w:lvl w:ilvl="0">
      <w:lvlJc w:val="left"/>
      <w:lvlText w:val="%1."/>
      <w:numFmt w:val="decimal"/>
      <w:start w:val="6"/>
    </w:lvl>
  </w:abstractNum>
  <w:abstractNum w:abstractNumId="144">
    <w:nsid w:val="3E6400E6"/>
    <w:multiLevelType w:val="hybridMultilevel"/>
    <w:lvl w:ilvl="0">
      <w:lvlJc w:val="left"/>
      <w:lvlText w:val="%1."/>
      <w:numFmt w:val="decimal"/>
      <w:start w:val="9"/>
    </w:lvl>
  </w:abstractNum>
  <w:abstractNum w:abstractNumId="145">
    <w:nsid w:val="14217E23"/>
    <w:multiLevelType w:val="hybridMultilevel"/>
    <w:lvl w:ilvl="0">
      <w:lvlJc w:val="left"/>
      <w:lvlText w:val="%1."/>
      <w:numFmt w:val="decimal"/>
      <w:start w:val="12"/>
    </w:lvl>
  </w:abstractNum>
  <w:abstractNum w:abstractNumId="146">
    <w:nsid w:val="710757D0"/>
    <w:multiLevelType w:val="hybridMultilevel"/>
    <w:lvl w:ilvl="0">
      <w:lvlJc w:val="left"/>
      <w:lvlText w:val="%1."/>
      <w:numFmt w:val="decimal"/>
      <w:start w:val="13"/>
    </w:lvl>
  </w:abstractNum>
  <w:abstractNum w:abstractNumId="147">
    <w:nsid w:val="5015CD1A"/>
    <w:multiLevelType w:val="hybridMultilevel"/>
    <w:lvl w:ilvl="0">
      <w:lvlJc w:val="left"/>
      <w:lvlText w:val="%1."/>
      <w:numFmt w:val="decimal"/>
      <w:start w:val="15"/>
    </w:lvl>
  </w:abstractNum>
  <w:abstractNum w:abstractNumId="148">
    <w:nsid w:val="424479DA"/>
    <w:multiLevelType w:val="hybridMultilevel"/>
    <w:lvl w:ilvl="0">
      <w:lvlJc w:val="left"/>
      <w:lvlText w:val="%1."/>
      <w:numFmt w:val="decimal"/>
      <w:start w:val="16"/>
    </w:lvl>
  </w:abstractNum>
  <w:abstractNum w:abstractNumId="149">
    <w:nsid w:val="1A9A9E69"/>
    <w:multiLevelType w:val="hybridMultilevel"/>
    <w:lvl w:ilvl="0">
      <w:lvlJc w:val="left"/>
      <w:lvlText w:val="%1."/>
      <w:numFmt w:val="decimal"/>
      <w:start w:val="19"/>
    </w:lvl>
  </w:abstractNum>
  <w:abstractNum w:abstractNumId="150">
    <w:nsid w:val="475E256A"/>
    <w:multiLevelType w:val="hybridMultilevel"/>
    <w:lvl w:ilvl="0">
      <w:lvlJc w:val="left"/>
      <w:lvlText w:val="%1."/>
      <w:numFmt w:val="decimal"/>
      <w:start w:val="20"/>
    </w:lvl>
  </w:abstractNum>
  <w:abstractNum w:abstractNumId="151">
    <w:nsid w:val="368DB37E"/>
    <w:multiLevelType w:val="hybridMultilevel"/>
    <w:lvl w:ilvl="0">
      <w:lvlJc w:val="left"/>
      <w:lvlText w:val="%1."/>
      <w:numFmt w:val="decimal"/>
      <w:start w:val="21"/>
    </w:lvl>
  </w:abstractNum>
  <w:abstractNum w:abstractNumId="152">
    <w:nsid w:val="6A3B714C"/>
    <w:multiLevelType w:val="hybridMultilevel"/>
    <w:lvl w:ilvl="0">
      <w:lvlJc w:val="left"/>
      <w:lvlText w:val="%1."/>
      <w:numFmt w:val="decimal"/>
      <w:start w:val="22"/>
    </w:lvl>
  </w:abstractNum>
  <w:abstractNum w:abstractNumId="153">
    <w:nsid w:val="327B517E"/>
    <w:multiLevelType w:val="hybridMultilevel"/>
    <w:lvl w:ilvl="0">
      <w:lvlJc w:val="left"/>
      <w:lvlText w:val="%1."/>
      <w:numFmt w:val="decimal"/>
      <w:start w:val="23"/>
    </w:lvl>
  </w:abstractNum>
  <w:abstractNum w:abstractNumId="154">
    <w:nsid w:val="1F461B51"/>
    <w:multiLevelType w:val="hybridMultilevel"/>
    <w:lvl w:ilvl="0">
      <w:lvlJc w:val="left"/>
      <w:lvlText w:val="%1."/>
      <w:numFmt w:val="decimal"/>
      <w:start w:val="1"/>
    </w:lvl>
  </w:abstractNum>
  <w:abstractNum w:abstractNumId="155">
    <w:nsid w:val="29BACF25"/>
    <w:multiLevelType w:val="hybridMultilevel"/>
    <w:lvl w:ilvl="0">
      <w:lvlJc w:val="left"/>
      <w:lvlText w:val="%1."/>
      <w:numFmt w:val="decimal"/>
      <w:start w:val="7"/>
    </w:lvl>
  </w:abstractNum>
  <w:abstractNum w:abstractNumId="156">
    <w:nsid w:val="5D5BABB3"/>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7">
    <w:nsid w:val="51BF6B48"/>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8">
    <w:nsid w:val="7E0F6384"/>
    <w:multiLevelType w:val="hybridMultilevel"/>
    <w:lvl w:ilvl="0">
      <w:lvlJc w:val="left"/>
      <w:lvlText w:val="#"/>
      <w:numFmt w:val="bullet"/>
      <w:start w:val="1"/>
    </w:lvl>
  </w:abstractNum>
  <w:abstractNum w:abstractNumId="159">
    <w:nsid w:val="2B4B8B53"/>
    <w:multiLevelType w:val="hybridMultilevel"/>
    <w:lvl w:ilvl="0">
      <w:lvlJc w:val="left"/>
      <w:lvlText w:val="*"/>
      <w:numFmt w:val="bullet"/>
      <w:start w:val="1"/>
    </w:lvl>
  </w:abstractNum>
  <w:abstractNum w:abstractNumId="160">
    <w:nsid w:val="72E341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1">
    <w:nsid w:val="116AE494"/>
    <w:multiLevelType w:val="hybridMultilevel"/>
    <w:lvl w:ilvl="0">
      <w:lvlJc w:val="left"/>
      <w:lvlText w:val="(%1)"/>
      <w:numFmt w:val="lowerRoman"/>
      <w:start w:val="2"/>
    </w:lvl>
  </w:abstractNum>
  <w:abstractNum w:abstractNumId="162">
    <w:nsid w:val="3494B2FB"/>
    <w:multiLevelType w:val="hybridMultilevel"/>
    <w:lvl w:ilvl="0">
      <w:lvlJc w:val="left"/>
      <w:lvlText w:val="(%1)"/>
      <w:numFmt w:val="lowerRoman"/>
      <w:start w:val="4"/>
    </w:lvl>
  </w:abstractNum>
  <w:abstractNum w:abstractNumId="163">
    <w:nsid w:val="B13A31"/>
    <w:multiLevelType w:val="hybridMultilevel"/>
    <w:lvl w:ilvl="0">
      <w:lvlJc w:val="left"/>
      <w:lvlText w:val="(%1)"/>
      <w:numFmt w:val="lowerRoman"/>
      <w:start w:val="8"/>
    </w:lvl>
  </w:abstractNum>
  <w:abstractNum w:abstractNumId="164">
    <w:nsid w:val="64429599"/>
    <w:multiLevelType w:val="hybridMultilevel"/>
    <w:lvl w:ilvl="0">
      <w:lvlJc w:val="left"/>
      <w:lvlText w:val="(%1)"/>
      <w:numFmt w:val="lowerRoman"/>
      <w:start w:val="14"/>
    </w:lvl>
  </w:abstractNum>
  <w:abstractNum w:abstractNumId="165">
    <w:nsid w:val="631F1690"/>
    <w:multiLevelType w:val="hybridMultilevel"/>
    <w:lvl w:ilvl="0">
      <w:lvlJc w:val="left"/>
      <w:lvlText w:val="(%1)"/>
      <w:numFmt w:val="lowerRoman"/>
      <w:start w:val="20"/>
    </w:lvl>
  </w:abstractNum>
  <w:abstractNum w:abstractNumId="166">
    <w:nsid w:val="25973E32"/>
    <w:multiLevelType w:val="hybridMultilevel"/>
    <w:lvl w:ilvl="0">
      <w:lvlJc w:val="left"/>
      <w:lvlText w:val="(%1)"/>
      <w:numFmt w:val="lowerRoman"/>
      <w:start w:val="25"/>
    </w:lvl>
  </w:abstractNum>
  <w:abstractNum w:abstractNumId="167">
    <w:nsid w:val="EAD6F57"/>
    <w:multiLevelType w:val="hybridMultilevel"/>
    <w:lvl w:ilvl="0">
      <w:lvlJc w:val="left"/>
      <w:lvlText w:val="%1"/>
      <w:numFmt w:val="lowerRoman"/>
      <w:start w:val="1"/>
    </w:lvl>
    <w:lvl w:ilvl="1">
      <w:lvlJc w:val="left"/>
      <w:lvlText w:val="(%2)"/>
      <w:numFmt w:val="lowerRoman"/>
      <w:start w:val="29"/>
    </w:lvl>
    <w:lvl w:ilvl="2">
      <w:lvlJc w:val="left"/>
      <w:lvlText w:val="%3"/>
      <w:numFmt w:val="upperLetter"/>
      <w:start w:val="1"/>
    </w:lvl>
  </w:abstractNum>
  <w:abstractNum w:abstractNumId="168">
    <w:nsid w:val="6EC9D844"/>
    <w:multiLevelType w:val="hybridMultilevel"/>
    <w:lvl w:ilvl="0">
      <w:lvlJc w:val="left"/>
      <w:lvlText w:val="(%1)"/>
      <w:numFmt w:val="lowerRoman"/>
      <w:start w:val="2"/>
    </w:lvl>
    <w:lvl w:ilvl="1">
      <w:lvlJc w:val="left"/>
      <w:lvlText w:val="(%2)"/>
      <w:numFmt w:val="lowerRoman"/>
      <w:start w:val="30"/>
    </w:lvl>
    <w:lvl w:ilvl="2">
      <w:lvlJc w:val="left"/>
      <w:lvlText w:val="(%3)"/>
      <w:numFmt w:val="upperLetter"/>
      <w:start w:val="1"/>
    </w:lvl>
  </w:abstractNum>
  <w:abstractNum w:abstractNumId="169">
    <w:nsid w:val="5C49EAEE"/>
    <w:multiLevelType w:val="hybridMultilevel"/>
    <w:lvl w:ilvl="0">
      <w:lvlJc w:val="left"/>
      <w:lvlText w:val="§"/>
      <w:numFmt w:val="bullet"/>
      <w:start w:val="1"/>
    </w:lvl>
    <w:lvl w:ilvl="1">
      <w:lvlJc w:val="left"/>
      <w:lvlText w:val="(%2)"/>
      <w:numFmt w:val="lowerRoman"/>
      <w:start w:val="34"/>
    </w:lvl>
  </w:abstractNum>
  <w:abstractNum w:abstractNumId="170">
    <w:nsid w:val="64AF49B"/>
    <w:multiLevelType w:val="hybridMultilevel"/>
    <w:lvl w:ilvl="0">
      <w:lvlJc w:val="left"/>
      <w:lvlText w:val="§"/>
      <w:numFmt w:val="bullet"/>
      <w:start w:val="1"/>
    </w:lvl>
    <w:lvl w:ilvl="1">
      <w:lvlJc w:val="left"/>
      <w:lvlText w:val="(%2)"/>
      <w:numFmt w:val="lowerRoman"/>
      <w:start w:val="36"/>
    </w:lvl>
  </w:abstractNum>
  <w:abstractNum w:abstractNumId="171">
    <w:nsid w:val="397C46BC"/>
    <w:multiLevelType w:val="hybridMultilevel"/>
    <w:lvl w:ilvl="0">
      <w:lvlJc w:val="left"/>
      <w:lvlText w:val="(%1)"/>
      <w:numFmt w:val="lowerRoman"/>
      <w:start w:val="38"/>
    </w:lvl>
  </w:abstractNum>
  <w:abstractNum w:abstractNumId="172">
    <w:nsid w:val="7E448DE9"/>
    <w:multiLevelType w:val="hybridMultilevel"/>
    <w:lvl w:ilvl="0">
      <w:lvlJc w:val="left"/>
      <w:lvlText w:val="(%1)"/>
      <w:numFmt w:val="lowerLetter"/>
      <w:start w:val="2"/>
    </w:lvl>
    <w:lvl w:ilvl="1">
      <w:lvlJc w:val="left"/>
      <w:lvlText w:val="(%2)"/>
      <w:numFmt w:val="lowerLetter"/>
      <w:start w:val="9"/>
    </w:lvl>
  </w:abstractNum>
  <w:abstractNum w:abstractNumId="173">
    <w:nsid w:val="5A9CC3E5"/>
    <w:multiLevelType w:val="hybridMultilevel"/>
    <w:lvl w:ilvl="0">
      <w:lvlJc w:val="left"/>
      <w:lvlText w:val="(%1)"/>
      <w:numFmt w:val="lowerRoman"/>
      <w:start w:val="2"/>
    </w:lvl>
  </w:abstractNum>
  <w:abstractNum w:abstractNumId="174">
    <w:nsid w:val="1AFE3625"/>
    <w:multiLevelType w:val="hybridMultilevel"/>
    <w:lvl w:ilvl="0">
      <w:lvlJc w:val="left"/>
      <w:lvlText w:val="(%1)"/>
      <w:numFmt w:val="lowerRoman"/>
      <w:start w:val="9"/>
    </w:lvl>
  </w:abstractNum>
  <w:abstractNum w:abstractNumId="175">
    <w:nsid w:val="3CA88ECF"/>
    <w:multiLevelType w:val="hybridMultilevel"/>
    <w:lvl w:ilvl="0">
      <w:lvlJc w:val="left"/>
      <w:lvlText w:val="%1."/>
      <w:numFmt w:val="decimal"/>
      <w:start w:val="3"/>
    </w:lvl>
  </w:abstractNum>
  <w:abstractNum w:abstractNumId="176">
    <w:nsid w:val="6EBE4208"/>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lvl w:ilvl="3">
      <w:lvlJc w:val="left"/>
      <w:lvlText w:val="(%4)"/>
      <w:numFmt w:val="lowerRoman"/>
      <w:start w:val="1"/>
    </w:lvl>
  </w:abstractNum>
  <w:abstractNum w:abstractNumId="177">
    <w:nsid w:val="C058DF5"/>
    <w:multiLevelType w:val="hybridMultilevel"/>
    <w:lvl w:ilvl="0">
      <w:lvlJc w:val="left"/>
      <w:lvlText w:val="(%1)"/>
      <w:numFmt w:val="lowerLetter"/>
      <w:start w:val="3"/>
    </w:lvl>
    <w:lvl w:ilvl="1">
      <w:lvlJc w:val="left"/>
      <w:lvlText w:val="(%2)"/>
      <w:numFmt w:val="lowerRoman"/>
      <w:start w:val="1"/>
    </w:lvl>
  </w:abstractNum>
  <w:abstractNum w:abstractNumId="178">
    <w:nsid w:val="CBE5BE9"/>
    <w:multiLevelType w:val="hybridMultilevel"/>
    <w:lvl w:ilvl="0">
      <w:lvlJc w:val="left"/>
      <w:lvlText w:val="(%1)"/>
      <w:numFmt w:val="lowerLetter"/>
      <w:start w:val="4"/>
    </w:lvl>
    <w:lvl w:ilvl="1">
      <w:lvlJc w:val="left"/>
      <w:lvlText w:val="(%2)"/>
      <w:numFmt w:val="lowerRoman"/>
      <w:start w:val="1"/>
    </w:lvl>
  </w:abstractNum>
  <w:abstractNum w:abstractNumId="179">
    <w:nsid w:val="3102BBE2"/>
    <w:multiLevelType w:val="hybridMultilevel"/>
    <w:lvl w:ilvl="0">
      <w:lvlJc w:val="left"/>
      <w:lvlText w:val="(%1)"/>
      <w:numFmt w:val="lowerLetter"/>
      <w:start w:val="5"/>
    </w:lvl>
    <w:lvl w:ilvl="1">
      <w:lvlJc w:val="left"/>
      <w:lvlText w:val="(%2)"/>
      <w:numFmt w:val="lowerRoman"/>
      <w:start w:val="1"/>
    </w:lvl>
  </w:abstractNum>
  <w:abstractNum w:abstractNumId="180">
    <w:nsid w:val="26A02C5E"/>
    <w:multiLevelType w:val="hybridMultilevel"/>
    <w:lvl w:ilvl="0">
      <w:lvlJc w:val="left"/>
      <w:lvlText w:val="%1."/>
      <w:numFmt w:val="decimal"/>
      <w:start w:val="5"/>
    </w:lvl>
    <w:lvl w:ilvl="1">
      <w:lvlJc w:val="left"/>
      <w:lvlText w:val="(%2)"/>
      <w:numFmt w:val="lowerLetter"/>
      <w:start w:val="1"/>
    </w:lvl>
  </w:abstractNum>
  <w:abstractNum w:abstractNumId="181">
    <w:nsid w:val="541C8153"/>
    <w:multiLevelType w:val="hybridMultilevel"/>
    <w:lvl w:ilvl="0">
      <w:lvlJc w:val="left"/>
      <w:lvlText w:val="(%1)"/>
      <w:numFmt w:val="lowerLetter"/>
      <w:start w:val="3"/>
    </w:lvl>
  </w:abstractNum>
  <w:abstractNum w:abstractNumId="182">
    <w:nsid w:val="67906F60"/>
    <w:multiLevelType w:val="hybridMultilevel"/>
    <w:lvl w:ilvl="0">
      <w:lvlJc w:val="left"/>
      <w:lvlText w:val="(%1)"/>
      <w:numFmt w:val="lowerLetter"/>
      <w:start w:val="8"/>
    </w:lvl>
  </w:abstractNum>
  <w:abstractNum w:abstractNumId="183">
    <w:nsid w:val="10DB9DAA"/>
    <w:multiLevelType w:val="hybridMultilevel"/>
    <w:lvl w:ilvl="0">
      <w:lvlJc w:val="left"/>
      <w:lvlText w:val="(%1)"/>
      <w:numFmt w:val="lowerRoman"/>
      <w:start w:val="6"/>
    </w:lvl>
  </w:abstractNum>
  <w:abstractNum w:abstractNumId="184">
    <w:nsid w:val="697D2D2"/>
    <w:multiLevelType w:val="hybridMultilevel"/>
    <w:lvl w:ilvl="0">
      <w:lvlJc w:val="left"/>
      <w:lvlText w:val="(%1)"/>
      <w:numFmt w:val="lowerLetter"/>
      <w:start w:val="12"/>
    </w:lvl>
  </w:abstractNum>
  <w:abstractNum w:abstractNumId="185">
    <w:nsid w:val="6D68AB2"/>
    <w:multiLevelType w:val="hybridMultilevel"/>
    <w:lvl w:ilvl="0">
      <w:lvlJc w:val="left"/>
      <w:lvlText w:val="%1"/>
      <w:numFmt w:val="decimal"/>
      <w:start w:val="1"/>
    </w:lvl>
    <w:lvl w:ilvl="1">
      <w:lvlJc w:val="left"/>
      <w:lvlText w:val="(%2)"/>
      <w:numFmt w:val="lowerLetter"/>
      <w:start w:val="13"/>
    </w:lvl>
  </w:abstractNum>
  <w:abstractNum w:abstractNumId="186">
    <w:nsid w:val="3A966CD0"/>
    <w:multiLevelType w:val="hybridMultilevel"/>
    <w:lvl w:ilvl="0">
      <w:lvlJc w:val="left"/>
      <w:lvlText w:val="%1."/>
      <w:numFmt w:val="decimal"/>
      <w:start w:val="8"/>
    </w:lvl>
    <w:lvl w:ilvl="1">
      <w:lvlJc w:val="left"/>
      <w:lvlText w:val="(%2)"/>
      <w:numFmt w:val="lowerLetter"/>
      <w:start w:val="1"/>
    </w:lvl>
  </w:abstractNum>
  <w:abstractNum w:abstractNumId="187">
    <w:nsid w:val="63F37E85"/>
    <w:multiLevelType w:val="hybridMultilevel"/>
    <w:lvl w:ilvl="0">
      <w:lvlJc w:val="left"/>
      <w:lvlText w:val="(%1)"/>
      <w:numFmt w:val="lowerLetter"/>
      <w:start w:val="3"/>
    </w:lvl>
  </w:abstractNum>
  <w:abstractNum w:abstractNumId="188">
    <w:nsid w:val="5895F5FA"/>
    <w:multiLevelType w:val="hybridMultilevel"/>
    <w:lvl w:ilvl="0">
      <w:lvlJc w:val="left"/>
      <w:lvlText w:val="1"/>
      <w:numFmt w:val="bullet"/>
      <w:start w:val="1"/>
    </w:lvl>
  </w:abstractNum>
  <w:abstractNum w:abstractNumId="189">
    <w:nsid w:val="38A5D054"/>
    <w:multiLevelType w:val="hybridMultilevel"/>
    <w:lvl w:ilvl="0">
      <w:lvlJc w:val="left"/>
      <w:lvlText w:val="(%1)"/>
      <w:numFmt w:val="lowerLetter"/>
      <w:start w:val="11"/>
    </w:lvl>
  </w:abstractNum>
  <w:abstractNum w:abstractNumId="190">
    <w:nsid w:val="F3F09D8"/>
    <w:multiLevelType w:val="hybridMultilevel"/>
    <w:lvl w:ilvl="0">
      <w:lvlJc w:val="left"/>
      <w:lvlText w:val="%1."/>
      <w:numFmt w:val="decimal"/>
      <w:start w:val="10"/>
    </w:lvl>
    <w:lvl w:ilvl="1">
      <w:lvlJc w:val="left"/>
      <w:lvlText w:val="(%2)"/>
      <w:numFmt w:val="lowerLetter"/>
      <w:start w:val="1"/>
    </w:lvl>
  </w:abstractNum>
  <w:abstractNum w:abstractNumId="191">
    <w:nsid w:val="4B793735"/>
    <w:multiLevelType w:val="hybridMultilevel"/>
    <w:lvl w:ilvl="0">
      <w:lvlJc w:val="left"/>
      <w:lvlText w:val="(%1)"/>
      <w:numFmt w:val="lowerLetter"/>
      <w:start w:val="3"/>
    </w:lvl>
  </w:abstractNum>
  <w:abstractNum w:abstractNumId="192">
    <w:nsid w:val="4A10B4E8"/>
    <w:multiLevelType w:val="hybridMultilevel"/>
    <w:lvl w:ilvl="0">
      <w:lvlJc w:val="left"/>
      <w:lvlText w:val="(%1)"/>
      <w:numFmt w:val="lowerLetter"/>
      <w:start w:val="35"/>
    </w:lvl>
    <w:lvl w:ilvl="1">
      <w:lvlJc w:val="left"/>
      <w:lvlText w:val="(%2)"/>
      <w:numFmt w:val="lowerLetter"/>
      <w:start w:val="5"/>
    </w:lvl>
  </w:abstractNum>
  <w:abstractNum w:abstractNumId="193">
    <w:nsid w:val="43D3BCD4"/>
    <w:multiLevelType w:val="hybridMultilevel"/>
    <w:lvl w:ilvl="0">
      <w:lvlJc w:val="left"/>
      <w:lvlText w:val="%1."/>
      <w:numFmt w:val="decimal"/>
      <w:start w:val="11"/>
    </w:lvl>
  </w:abstractNum>
  <w:abstractNum w:abstractNumId="194">
    <w:nsid w:val="4C2A7166"/>
    <w:multiLevelType w:val="hybridMultilevel"/>
    <w:lvl w:ilvl="0">
      <w:lvlJc w:val="left"/>
      <w:lvlText w:val="%1."/>
      <w:numFmt w:val="decimal"/>
      <w:start w:val="13"/>
    </w:lvl>
  </w:abstractNum>
  <w:abstractNum w:abstractNumId="195">
    <w:nsid w:val="2E534A82"/>
    <w:multiLevelType w:val="hybridMultilevel"/>
    <w:lvl w:ilvl="0">
      <w:lvlJc w:val="left"/>
      <w:lvlText w:val="(%1)"/>
      <w:numFmt w:val="lowerLetter"/>
      <w:start w:val="1"/>
    </w:lvl>
    <w:lvl w:ilvl="1">
      <w:lvlJc w:val="left"/>
      <w:lvlText w:val="(%2)"/>
      <w:numFmt w:val="lowerRoman"/>
      <w:start w:val="1"/>
    </w:lvl>
  </w:abstractNum>
  <w:abstractNum w:abstractNumId="196">
    <w:nsid w:val="26F2D364"/>
    <w:multiLevelType w:val="hybridMultilevel"/>
    <w:lvl w:ilvl="0">
      <w:lvlJc w:val="left"/>
      <w:lvlText w:val="(%1)"/>
      <w:numFmt w:val="lowerLetter"/>
      <w:start w:val="3"/>
    </w:lvl>
    <w:lvl w:ilvl="1">
      <w:lvlJc w:val="left"/>
      <w:lvlText w:val="(%2)"/>
      <w:numFmt w:val="lowerRoman"/>
      <w:start w:val="1"/>
    </w:lvl>
  </w:abstractNum>
  <w:abstractNum w:abstractNumId="197">
    <w:nsid w:val="71C1AF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98">
    <w:nsid w:val="3D00B9D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99">
    <w:nsid w:val="15BCABA8"/>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00">
    <w:nsid w:val="4E0B9A87"/>
    <w:multiLevelType w:val="hybridMultilevel"/>
    <w:lvl w:ilvl="0">
      <w:lvlJc w:val="left"/>
      <w:lvlText w:val="%1."/>
      <w:numFmt w:val="decimal"/>
      <w:start w:val="19"/>
    </w:lvl>
    <w:lvl w:ilvl="1">
      <w:lvlJc w:val="left"/>
      <w:lvlText w:val="(%2)"/>
      <w:numFmt w:val="lowerLetter"/>
      <w:start w:val="1"/>
    </w:lvl>
  </w:abstractNum>
  <w:abstractNum w:abstractNumId="201">
    <w:nsid w:val="434BAE75"/>
    <w:multiLevelType w:val="hybridMultilevel"/>
    <w:lvl w:ilvl="0">
      <w:lvlJc w:val="left"/>
      <w:lvlText w:val="%1."/>
      <w:numFmt w:val="decimal"/>
      <w:start w:val="21"/>
    </w:lvl>
  </w:abstractNum>
  <w:abstractNum w:abstractNumId="202">
    <w:nsid w:val="4F38F265"/>
    <w:multiLevelType w:val="hybridMultilevel"/>
    <w:lvl w:ilvl="0">
      <w:lvlJc w:val="left"/>
      <w:lvlText w:val="%1."/>
      <w:numFmt w:val="decimal"/>
      <w:start w:val="1"/>
    </w:lvl>
    <w:lvl w:ilvl="1">
      <w:lvlJc w:val="left"/>
      <w:lvlText w:val="%2."/>
      <w:numFmt w:val="decimal"/>
      <w:start w:val="1"/>
    </w:lvl>
  </w:abstractNum>
  <w:abstractNum w:abstractNumId="203">
    <w:nsid w:val="4C502870"/>
    <w:multiLevelType w:val="hybridMultilevel"/>
    <w:lvl w:ilvl="0">
      <w:lvlJc w:val="left"/>
      <w:lvlText w:val="%1"/>
      <w:numFmt w:val="decimal"/>
      <w:start w:val="1"/>
    </w:lvl>
    <w:lvl w:ilvl="1">
      <w:lvlJc w:val="left"/>
      <w:lvlText w:val="%2."/>
      <w:numFmt w:val="decimal"/>
      <w:start w:val="2"/>
    </w:lvl>
  </w:abstractNum>
  <w:abstractNum w:abstractNumId="204">
    <w:nsid w:val="1DE8725A"/>
    <w:multiLevelType w:val="hybridMultilevel"/>
    <w:lvl w:ilvl="0">
      <w:lvlJc w:val="left"/>
      <w:lvlText w:val="(%1)"/>
      <w:numFmt w:val="lowerLetter"/>
      <w:start w:val="1"/>
    </w:lvl>
  </w:abstractNum>
  <w:abstractNum w:abstractNumId="205">
    <w:nsid w:val="6A37288A"/>
    <w:multiLevelType w:val="hybridMultilevel"/>
    <w:lvl w:ilvl="0">
      <w:lvlJc w:val="left"/>
      <w:lvlText w:val="(%1)"/>
      <w:numFmt w:val="lowerLetter"/>
      <w:start w:val="2"/>
    </w:lvl>
    <w:lvl w:ilvl="1">
      <w:lvlJc w:val="left"/>
      <w:lvlText w:val="(%2)"/>
      <w:numFmt w:val="lowerRoman"/>
      <w:start w:val="1"/>
    </w:lvl>
  </w:abstractNum>
  <w:abstractNum w:abstractNumId="206">
    <w:nsid w:val="8F8B73F"/>
    <w:multiLevelType w:val="hybridMultilevel"/>
    <w:lvl w:ilvl="0">
      <w:lvlJc w:val="left"/>
      <w:lvlText w:val="(%1)"/>
      <w:numFmt w:val="lowerLetter"/>
      <w:start w:val="4"/>
    </w:lvl>
  </w:abstractNum>
  <w:abstractNum w:abstractNumId="207">
    <w:nsid w:val="CA6B462"/>
    <w:multiLevelType w:val="hybridMultilevel"/>
    <w:lvl w:ilvl="0">
      <w:lvlJc w:val="left"/>
      <w:lvlText w:val="%1."/>
      <w:numFmt w:val="upperLetter"/>
      <w:start w:val="9"/>
    </w:lvl>
  </w:abstractNum>
  <w:abstractNum w:abstractNumId="208">
    <w:nsid w:val="763CB680"/>
    <w:multiLevelType w:val="hybridMultilevel"/>
    <w:lvl w:ilvl="0">
      <w:lvlJc w:val="left"/>
      <w:lvlText w:val="%1)"/>
      <w:numFmt w:val="lowerLetter"/>
      <w:start w:val="1"/>
    </w:lvl>
  </w:abstractNum>
  <w:abstractNum w:abstractNumId="209">
    <w:nsid w:val="15B713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2019-12-09T03:42:58Z</dcterms:created>
  <dcterms:modified xsi:type="dcterms:W3CDTF">2019-12-09T03:42:58Z</dcterms:modified>
</cp:coreProperties>
</file>