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ind w:left="260" w:right="2640"/>
        <w:spacing w:after="0" w:line="249" w:lineRule="auto"/>
        <w:rPr>
          <w:sz w:val="20"/>
          <w:szCs w:val="20"/>
          <w:color w:val="auto"/>
        </w:rPr>
      </w:pPr>
      <w:r>
        <w:rPr>
          <w:rFonts w:ascii="Arial" w:cs="Arial" w:eastAsia="Arial" w:hAnsi="Arial"/>
          <w:sz w:val="14"/>
          <w:szCs w:val="14"/>
          <w:b w:val="1"/>
          <w:bCs w:val="1"/>
          <w:color w:val="auto"/>
        </w:rPr>
        <w:t>As submitted confidentially with the Securities and Exchange Commission on August 28, 2015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95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F-1</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REGISTRATION STATEMENT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AC IMMUNE SA</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Not Applicable</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tbl>
      <w:tblPr>
        <w:tblLayout w:type="fixed"/>
        <w:tblInd w:w="1000" w:type="dxa"/>
        <w:tblCellMar>
          <w:top w:w="0" w:type="dxa"/>
          <w:left w:w="0" w:type="dxa"/>
          <w:bottom w:w="0" w:type="dxa"/>
          <w:right w:w="0" w:type="dxa"/>
        </w:tblCellMar>
      </w:tblPr>
      <w:tr>
        <w:trPr>
          <w:trHeight w:val="172"/>
        </w:trPr>
        <w:tc>
          <w:tcPr>
            <w:tcW w:w="2900" w:type="dxa"/>
            <w:vAlign w:val="bottom"/>
          </w:tcPr>
          <w:p>
            <w:pPr>
              <w:jc w:val="center"/>
              <w:ind w:right="927"/>
              <w:spacing w:after="0"/>
              <w:rPr>
                <w:sz w:val="20"/>
                <w:szCs w:val="20"/>
                <w:color w:val="auto"/>
              </w:rPr>
            </w:pPr>
            <w:r>
              <w:rPr>
                <w:rFonts w:ascii="Arial" w:cs="Arial" w:eastAsia="Arial" w:hAnsi="Arial"/>
                <w:sz w:val="15"/>
                <w:szCs w:val="15"/>
                <w:b w:val="1"/>
                <w:bCs w:val="1"/>
                <w:color w:val="auto"/>
                <w:w w:val="93"/>
              </w:rPr>
              <w:t>Switzerland</w:t>
            </w:r>
          </w:p>
        </w:tc>
        <w:tc>
          <w:tcPr>
            <w:tcW w:w="3920" w:type="dxa"/>
            <w:vAlign w:val="bottom"/>
          </w:tcPr>
          <w:p>
            <w:pPr>
              <w:jc w:val="center"/>
              <w:spacing w:after="0"/>
              <w:rPr>
                <w:sz w:val="20"/>
                <w:szCs w:val="20"/>
                <w:color w:val="auto"/>
              </w:rPr>
            </w:pPr>
            <w:r>
              <w:rPr>
                <w:rFonts w:ascii="Arial" w:cs="Arial" w:eastAsia="Arial" w:hAnsi="Arial"/>
                <w:sz w:val="15"/>
                <w:szCs w:val="15"/>
                <w:b w:val="1"/>
                <w:bCs w:val="1"/>
                <w:color w:val="auto"/>
                <w:w w:val="95"/>
              </w:rPr>
              <w:t>2834</w:t>
            </w:r>
          </w:p>
        </w:tc>
        <w:tc>
          <w:tcPr>
            <w:tcW w:w="2500" w:type="dxa"/>
            <w:vAlign w:val="bottom"/>
          </w:tcPr>
          <w:p>
            <w:pPr>
              <w:jc w:val="center"/>
              <w:ind w:left="967"/>
              <w:spacing w:after="0"/>
              <w:rPr>
                <w:sz w:val="20"/>
                <w:szCs w:val="20"/>
                <w:color w:val="auto"/>
              </w:rPr>
            </w:pPr>
            <w:r>
              <w:rPr>
                <w:rFonts w:ascii="Arial" w:cs="Arial" w:eastAsia="Arial" w:hAnsi="Arial"/>
                <w:sz w:val="15"/>
                <w:szCs w:val="15"/>
                <w:b w:val="1"/>
                <w:bCs w:val="1"/>
                <w:color w:val="auto"/>
                <w:w w:val="93"/>
              </w:rPr>
              <w:t>Not Applicable</w:t>
            </w:r>
          </w:p>
        </w:tc>
      </w:tr>
      <w:tr>
        <w:trPr>
          <w:trHeight w:val="149"/>
        </w:trPr>
        <w:tc>
          <w:tcPr>
            <w:tcW w:w="2900" w:type="dxa"/>
            <w:vAlign w:val="bottom"/>
          </w:tcPr>
          <w:p>
            <w:pPr>
              <w:jc w:val="center"/>
              <w:ind w:right="94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7"/>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7"/>
              <w:spacing w:after="0"/>
              <w:rPr>
                <w:sz w:val="20"/>
                <w:szCs w:val="20"/>
                <w:color w:val="auto"/>
              </w:rPr>
            </w:pPr>
            <w:r>
              <w:rPr>
                <w:rFonts w:ascii="Arial" w:cs="Arial" w:eastAsia="Arial" w:hAnsi="Arial"/>
                <w:sz w:val="14"/>
                <w:szCs w:val="14"/>
                <w:b w:val="1"/>
                <w:bCs w:val="1"/>
                <w:color w:val="auto"/>
                <w:w w:val="96"/>
              </w:rPr>
              <w:t>Identification Number)</w:t>
            </w:r>
          </w:p>
        </w:tc>
      </w:tr>
    </w:tbl>
    <w:p>
      <w:pPr>
        <w:jc w:val="center"/>
        <w:spacing w:after="0"/>
        <w:rPr>
          <w:sz w:val="20"/>
          <w:szCs w:val="20"/>
          <w:color w:val="auto"/>
        </w:rPr>
      </w:pPr>
      <w:r>
        <w:rPr>
          <w:rFonts w:ascii="Arial" w:cs="Arial" w:eastAsia="Arial" w:hAnsi="Arial"/>
          <w:sz w:val="15"/>
          <w:szCs w:val="15"/>
          <w:b w:val="1"/>
          <w:bCs w:val="1"/>
          <w:color w:val="auto"/>
        </w:rPr>
        <w:t>Andrea Pfeifer</w:t>
      </w:r>
    </w:p>
    <w:p>
      <w:pPr>
        <w:jc w:val="center"/>
        <w:spacing w:after="0" w:line="225" w:lineRule="auto"/>
        <w:rPr>
          <w:sz w:val="20"/>
          <w:szCs w:val="20"/>
          <w:color w:val="auto"/>
        </w:rPr>
      </w:pPr>
      <w:r>
        <w:rPr>
          <w:rFonts w:ascii="Arial" w:cs="Arial" w:eastAsia="Arial" w:hAnsi="Arial"/>
          <w:sz w:val="15"/>
          <w:szCs w:val="15"/>
          <w:b w:val="1"/>
          <w:bCs w:val="1"/>
          <w:color w:val="auto"/>
        </w:rPr>
        <w:t>Chief Executive Officer</w:t>
      </w:r>
    </w:p>
    <w:p>
      <w:pPr>
        <w:jc w:val="center"/>
        <w:spacing w:after="0" w:line="226" w:lineRule="auto"/>
        <w:rPr>
          <w:sz w:val="20"/>
          <w:szCs w:val="20"/>
          <w:color w:val="auto"/>
        </w:rPr>
      </w:pPr>
      <w:r>
        <w:rPr>
          <w:rFonts w:ascii="Arial" w:cs="Arial" w:eastAsia="Arial" w:hAnsi="Arial"/>
          <w:sz w:val="15"/>
          <w:szCs w:val="15"/>
          <w:b w:val="1"/>
          <w:bCs w:val="1"/>
          <w:color w:val="auto"/>
        </w:rPr>
        <w:t>EPFL Innovation Park</w:t>
      </w:r>
    </w:p>
    <w:p>
      <w:pPr>
        <w:jc w:val="center"/>
        <w:spacing w:after="0" w:line="225" w:lineRule="auto"/>
        <w:rPr>
          <w:sz w:val="20"/>
          <w:szCs w:val="20"/>
          <w:color w:val="auto"/>
        </w:rPr>
      </w:pPr>
      <w:r>
        <w:rPr>
          <w:rFonts w:ascii="Arial" w:cs="Arial" w:eastAsia="Arial" w:hAnsi="Arial"/>
          <w:sz w:val="15"/>
          <w:szCs w:val="15"/>
          <w:b w:val="1"/>
          <w:bCs w:val="1"/>
          <w:color w:val="auto"/>
        </w:rPr>
        <w:t>Building B</w:t>
      </w:r>
    </w:p>
    <w:p>
      <w:pPr>
        <w:jc w:val="center"/>
        <w:spacing w:after="0" w:line="226" w:lineRule="auto"/>
        <w:rPr>
          <w:sz w:val="20"/>
          <w:szCs w:val="20"/>
          <w:color w:val="auto"/>
        </w:rPr>
      </w:pPr>
      <w:r>
        <w:rPr>
          <w:rFonts w:ascii="Arial" w:cs="Arial" w:eastAsia="Arial" w:hAnsi="Arial"/>
          <w:sz w:val="15"/>
          <w:szCs w:val="15"/>
          <w:b w:val="1"/>
          <w:bCs w:val="1"/>
          <w:color w:val="auto"/>
        </w:rPr>
        <w:t>1015 Lausanne</w:t>
      </w:r>
    </w:p>
    <w:p>
      <w:pPr>
        <w:jc w:val="center"/>
        <w:spacing w:after="0" w:line="225" w:lineRule="auto"/>
        <w:rPr>
          <w:sz w:val="20"/>
          <w:szCs w:val="20"/>
          <w:color w:val="auto"/>
        </w:rPr>
      </w:pPr>
      <w:r>
        <w:rPr>
          <w:rFonts w:ascii="Arial" w:cs="Arial" w:eastAsia="Arial" w:hAnsi="Arial"/>
          <w:sz w:val="15"/>
          <w:szCs w:val="15"/>
          <w:b w:val="1"/>
          <w:bCs w:val="1"/>
          <w:color w:val="auto"/>
        </w:rPr>
        <w:t>Switzerland</w:t>
      </w:r>
    </w:p>
    <w:p>
      <w:pPr>
        <w:jc w:val="center"/>
        <w:spacing w:after="0" w:line="218" w:lineRule="auto"/>
        <w:rPr>
          <w:sz w:val="20"/>
          <w:szCs w:val="20"/>
          <w:color w:val="auto"/>
        </w:rPr>
      </w:pPr>
      <w:r>
        <w:rPr>
          <w:rFonts w:ascii="Arial" w:cs="Arial" w:eastAsia="Arial" w:hAnsi="Arial"/>
          <w:sz w:val="15"/>
          <w:szCs w:val="15"/>
          <w:b w:val="1"/>
          <w:bCs w:val="1"/>
          <w:color w:val="auto"/>
        </w:rPr>
        <w:t>+41 21 693 91 21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0" w:lineRule="exact"/>
        <w:rPr>
          <w:sz w:val="24"/>
          <w:szCs w:val="24"/>
          <w:color w:val="auto"/>
        </w:rPr>
      </w:pPr>
    </w:p>
    <w:tbl>
      <w:tblPr>
        <w:tblLayout w:type="fixed"/>
        <w:tblInd w:w="1960" w:type="dxa"/>
        <w:tblCellMar>
          <w:top w:w="0" w:type="dxa"/>
          <w:left w:w="0" w:type="dxa"/>
          <w:bottom w:w="0" w:type="dxa"/>
          <w:right w:w="0" w:type="dxa"/>
        </w:tblCellMar>
      </w:tblPr>
      <w:tr>
        <w:trPr>
          <w:trHeight w:val="194"/>
        </w:trPr>
        <w:tc>
          <w:tcPr>
            <w:tcW w:w="2660" w:type="dxa"/>
            <w:vAlign w:val="bottom"/>
          </w:tcPr>
          <w:p>
            <w:pPr>
              <w:spacing w:after="0"/>
              <w:rPr>
                <w:sz w:val="16"/>
                <w:szCs w:val="16"/>
                <w:color w:val="auto"/>
              </w:rPr>
            </w:pPr>
          </w:p>
        </w:tc>
        <w:tc>
          <w:tcPr>
            <w:tcW w:w="4760" w:type="dxa"/>
            <w:vAlign w:val="bottom"/>
          </w:tcPr>
          <w:p>
            <w:pPr>
              <w:ind w:left="780"/>
              <w:spacing w:after="0"/>
              <w:rPr>
                <w:sz w:val="20"/>
                <w:szCs w:val="20"/>
                <w:color w:val="auto"/>
              </w:rPr>
            </w:pPr>
            <w:r>
              <w:rPr>
                <w:rFonts w:ascii="Arial" w:cs="Arial" w:eastAsia="Arial" w:hAnsi="Arial"/>
                <w:sz w:val="15"/>
                <w:szCs w:val="15"/>
                <w:b w:val="1"/>
                <w:bCs w:val="1"/>
                <w:i w:val="1"/>
                <w:iCs w:val="1"/>
                <w:color w:val="auto"/>
              </w:rPr>
              <w:t>Copies to:</w:t>
            </w:r>
          </w:p>
        </w:tc>
      </w:tr>
      <w:tr>
        <w:trPr>
          <w:trHeight w:val="207"/>
        </w:trPr>
        <w:tc>
          <w:tcPr>
            <w:tcW w:w="2660" w:type="dxa"/>
            <w:vAlign w:val="bottom"/>
          </w:tcPr>
          <w:p>
            <w:pPr>
              <w:jc w:val="center"/>
              <w:ind w:right="723"/>
              <w:spacing w:after="0"/>
              <w:rPr>
                <w:sz w:val="20"/>
                <w:szCs w:val="20"/>
                <w:color w:val="auto"/>
              </w:rPr>
            </w:pPr>
            <w:r>
              <w:rPr>
                <w:rFonts w:ascii="Arial" w:cs="Arial" w:eastAsia="Arial" w:hAnsi="Arial"/>
                <w:sz w:val="15"/>
                <w:szCs w:val="15"/>
                <w:b w:val="1"/>
                <w:bCs w:val="1"/>
                <w:color w:val="auto"/>
                <w:w w:val="93"/>
              </w:rPr>
              <w:t>Richard D. Truesdell, Jr.</w:t>
            </w:r>
          </w:p>
        </w:tc>
        <w:tc>
          <w:tcPr>
            <w:tcW w:w="4760" w:type="dxa"/>
            <w:vAlign w:val="bottom"/>
          </w:tcPr>
          <w:p>
            <w:pPr>
              <w:jc w:val="center"/>
              <w:ind w:left="3223"/>
              <w:spacing w:after="0"/>
              <w:rPr>
                <w:sz w:val="20"/>
                <w:szCs w:val="20"/>
                <w:color w:val="auto"/>
              </w:rPr>
            </w:pPr>
            <w:r>
              <w:rPr>
                <w:rFonts w:ascii="Arial" w:cs="Arial" w:eastAsia="Arial" w:hAnsi="Arial"/>
                <w:sz w:val="15"/>
                <w:szCs w:val="15"/>
                <w:b w:val="1"/>
                <w:bCs w:val="1"/>
                <w:color w:val="auto"/>
                <w:w w:val="94"/>
              </w:rPr>
              <w:t>Mitchell S. Bloom</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7"/>
              </w:rPr>
              <w:t>Deanna L. Kirkpatrick</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rPr>
              <w:t>Arthur R. McGivern</w:t>
            </w:r>
          </w:p>
        </w:tc>
      </w:tr>
      <w:tr>
        <w:trPr>
          <w:trHeight w:val="162"/>
        </w:trPr>
        <w:tc>
          <w:tcPr>
            <w:tcW w:w="2660" w:type="dxa"/>
            <w:vAlign w:val="bottom"/>
          </w:tcPr>
          <w:p>
            <w:pPr>
              <w:jc w:val="center"/>
              <w:ind w:right="703"/>
              <w:spacing w:after="0" w:line="162" w:lineRule="exact"/>
              <w:rPr>
                <w:sz w:val="20"/>
                <w:szCs w:val="20"/>
                <w:color w:val="auto"/>
              </w:rPr>
            </w:pPr>
            <w:r>
              <w:rPr>
                <w:rFonts w:ascii="Arial" w:cs="Arial" w:eastAsia="Arial" w:hAnsi="Arial"/>
                <w:sz w:val="15"/>
                <w:szCs w:val="15"/>
                <w:b w:val="1"/>
                <w:bCs w:val="1"/>
                <w:color w:val="auto"/>
                <w:w w:val="97"/>
              </w:rPr>
              <w:t>Davis Polk &amp; Wardwell LLP</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95"/>
              </w:rPr>
              <w:t>Goodwin Procter LLP</w:t>
            </w:r>
          </w:p>
        </w:tc>
      </w:tr>
      <w:tr>
        <w:trPr>
          <w:trHeight w:val="162"/>
        </w:trPr>
        <w:tc>
          <w:tcPr>
            <w:tcW w:w="2660" w:type="dxa"/>
            <w:vAlign w:val="bottom"/>
          </w:tcPr>
          <w:p>
            <w:pPr>
              <w:jc w:val="center"/>
              <w:ind w:right="703"/>
              <w:spacing w:after="0" w:line="162" w:lineRule="exact"/>
              <w:rPr>
                <w:sz w:val="20"/>
                <w:szCs w:val="20"/>
                <w:color w:val="auto"/>
              </w:rPr>
            </w:pPr>
            <w:r>
              <w:rPr>
                <w:rFonts w:ascii="Arial" w:cs="Arial" w:eastAsia="Arial" w:hAnsi="Arial"/>
                <w:sz w:val="15"/>
                <w:szCs w:val="15"/>
                <w:b w:val="1"/>
                <w:bCs w:val="1"/>
                <w:color w:val="auto"/>
                <w:w w:val="90"/>
              </w:rPr>
              <w:t>450 Lexington Avenue</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89"/>
              </w:rPr>
              <w:t>Exchange Place</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6"/>
              </w:rPr>
              <w:t>New York, NY 10017</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90"/>
              </w:rPr>
              <w:t>53 State Street</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1"/>
              </w:rPr>
              <w:t>(212) 450-4000</w:t>
            </w:r>
          </w:p>
        </w:tc>
        <w:tc>
          <w:tcPr>
            <w:tcW w:w="4760" w:type="dxa"/>
            <w:vAlign w:val="bottom"/>
          </w:tcPr>
          <w:p>
            <w:pPr>
              <w:jc w:val="center"/>
              <w:ind w:left="3243"/>
              <w:spacing w:after="0" w:line="162" w:lineRule="exact"/>
              <w:rPr>
                <w:sz w:val="20"/>
                <w:szCs w:val="20"/>
                <w:color w:val="auto"/>
              </w:rPr>
            </w:pPr>
            <w:r>
              <w:rPr>
                <w:rFonts w:ascii="Arial" w:cs="Arial" w:eastAsia="Arial" w:hAnsi="Arial"/>
                <w:sz w:val="15"/>
                <w:szCs w:val="15"/>
                <w:b w:val="1"/>
                <w:bCs w:val="1"/>
                <w:color w:val="auto"/>
                <w:w w:val="92"/>
              </w:rPr>
              <w:t>Boston, MA 02109</w:t>
            </w:r>
          </w:p>
        </w:tc>
      </w:tr>
      <w:tr>
        <w:trPr>
          <w:trHeight w:val="198"/>
        </w:trPr>
        <w:tc>
          <w:tcPr>
            <w:tcW w:w="2660" w:type="dxa"/>
            <w:vAlign w:val="bottom"/>
          </w:tcPr>
          <w:p>
            <w:pPr>
              <w:spacing w:after="0"/>
              <w:rPr>
                <w:sz w:val="17"/>
                <w:szCs w:val="17"/>
                <w:color w:val="auto"/>
              </w:rPr>
            </w:pPr>
          </w:p>
        </w:tc>
        <w:tc>
          <w:tcPr>
            <w:tcW w:w="4760" w:type="dxa"/>
            <w:vAlign w:val="bottom"/>
          </w:tcPr>
          <w:p>
            <w:pPr>
              <w:jc w:val="center"/>
              <w:ind w:left="3223"/>
              <w:spacing w:after="0"/>
              <w:rPr>
                <w:sz w:val="20"/>
                <w:szCs w:val="20"/>
                <w:color w:val="auto"/>
              </w:rPr>
            </w:pPr>
            <w:r>
              <w:rPr>
                <w:rFonts w:ascii="Arial" w:cs="Arial" w:eastAsia="Arial" w:hAnsi="Arial"/>
                <w:sz w:val="15"/>
                <w:szCs w:val="15"/>
                <w:b w:val="1"/>
                <w:bCs w:val="1"/>
                <w:color w:val="auto"/>
                <w:w w:val="91"/>
              </w:rPr>
              <w:t>(617) 570-1000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99695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the effective date of this registration statement.</w:t>
      </w:r>
    </w:p>
    <w:p>
      <w:pPr>
        <w:spacing w:after="0" w:line="2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88" w:lineRule="exact"/>
        <w:rPr>
          <w:sz w:val="24"/>
          <w:szCs w:val="24"/>
          <w:color w:val="auto"/>
        </w:rPr>
      </w:pPr>
    </w:p>
    <w:p>
      <w:pPr>
        <w:ind w:right="460"/>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right="60"/>
        <w:spacing w:after="0" w:line="190"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right="60"/>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81280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9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jc w:val="center"/>
              <w:ind w:left="27"/>
              <w:spacing w:after="0" w:line="153" w:lineRule="exact"/>
              <w:rPr>
                <w:sz w:val="20"/>
                <w:szCs w:val="20"/>
                <w:color w:val="auto"/>
              </w:rPr>
            </w:pPr>
            <w:r>
              <w:rPr>
                <w:rFonts w:ascii="Arial" w:cs="Arial" w:eastAsia="Arial" w:hAnsi="Arial"/>
                <w:sz w:val="14"/>
                <w:szCs w:val="14"/>
                <w:b w:val="1"/>
                <w:bCs w:val="1"/>
                <w:color w:val="auto"/>
                <w:w w:val="86"/>
              </w:rPr>
              <w:t>Proposed</w:t>
            </w:r>
          </w:p>
        </w:tc>
        <w:tc>
          <w:tcPr>
            <w:tcW w:w="1680" w:type="dxa"/>
            <w:vAlign w:val="bottom"/>
            <w:tcBorders>
              <w:top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740" w:type="dxa"/>
            <w:vAlign w:val="bottom"/>
          </w:tcPr>
          <w:p>
            <w:pPr>
              <w:jc w:val="center"/>
              <w:ind w:left="27"/>
              <w:spacing w:after="0" w:line="149" w:lineRule="exact"/>
              <w:rPr>
                <w:sz w:val="20"/>
                <w:szCs w:val="20"/>
                <w:color w:val="auto"/>
              </w:rPr>
            </w:pPr>
            <w:r>
              <w:rPr>
                <w:rFonts w:ascii="Arial" w:cs="Arial" w:eastAsia="Arial" w:hAnsi="Arial"/>
                <w:sz w:val="14"/>
                <w:szCs w:val="14"/>
                <w:b w:val="1"/>
                <w:bCs w:val="1"/>
                <w:color w:val="auto"/>
                <w:w w:val="97"/>
              </w:rPr>
              <w:t>maximum</w:t>
            </w:r>
          </w:p>
        </w:tc>
        <w:tc>
          <w:tcPr>
            <w:tcW w:w="168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7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1740" w:type="dxa"/>
            <w:vAlign w:val="bottom"/>
          </w:tcPr>
          <w:p>
            <w:pPr>
              <w:jc w:val="center"/>
              <w:ind w:left="27"/>
              <w:spacing w:after="0" w:line="158" w:lineRule="exact"/>
              <w:rPr>
                <w:sz w:val="20"/>
                <w:szCs w:val="20"/>
                <w:color w:val="auto"/>
              </w:rPr>
            </w:pPr>
            <w:r>
              <w:rPr>
                <w:rFonts w:ascii="Arial" w:cs="Arial" w:eastAsia="Arial" w:hAnsi="Arial"/>
                <w:sz w:val="14"/>
                <w:szCs w:val="14"/>
                <w:b w:val="1"/>
                <w:bCs w:val="1"/>
                <w:color w:val="auto"/>
                <w:w w:val="89"/>
              </w:rPr>
              <w:t>aggregate</w:t>
            </w:r>
          </w:p>
        </w:tc>
        <w:tc>
          <w:tcPr>
            <w:tcW w:w="1680" w:type="dxa"/>
            <w:vAlign w:val="bottom"/>
          </w:tcPr>
          <w:p>
            <w:pPr>
              <w:jc w:val="center"/>
              <w:ind w:left="27"/>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6"/>
        </w:trPr>
        <w:tc>
          <w:tcPr>
            <w:tcW w:w="20" w:type="dxa"/>
            <w:vAlign w:val="bottom"/>
          </w:tcPr>
          <w:p>
            <w:pPr>
              <w:spacing w:after="0"/>
              <w:rPr>
                <w:sz w:val="15"/>
                <w:szCs w:val="15"/>
                <w:color w:val="auto"/>
              </w:rPr>
            </w:pPr>
          </w:p>
        </w:tc>
        <w:tc>
          <w:tcPr>
            <w:tcW w:w="7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4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93"/>
              </w:rPr>
              <w:t>offering price(1)</w:t>
            </w:r>
          </w:p>
        </w:tc>
        <w:tc>
          <w:tcPr>
            <w:tcW w:w="168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92"/>
              </w:rPr>
              <w:t>registration fee(2)</w:t>
            </w:r>
          </w:p>
        </w:tc>
      </w:tr>
      <w:tr>
        <w:trPr>
          <w:trHeight w:val="181"/>
        </w:trPr>
        <w:tc>
          <w:tcPr>
            <w:tcW w:w="20" w:type="dxa"/>
            <w:vAlign w:val="bottom"/>
          </w:tcPr>
          <w:p>
            <w:pPr>
              <w:spacing w:after="0"/>
              <w:rPr>
                <w:sz w:val="15"/>
                <w:szCs w:val="15"/>
                <w:color w:val="auto"/>
              </w:rPr>
            </w:pPr>
          </w:p>
        </w:tc>
        <w:tc>
          <w:tcPr>
            <w:tcW w:w="7980" w:type="dxa"/>
            <w:vAlign w:val="bottom"/>
          </w:tcPr>
          <w:p>
            <w:pPr>
              <w:spacing w:after="0"/>
              <w:rPr>
                <w:sz w:val="20"/>
                <w:szCs w:val="20"/>
                <w:color w:val="auto"/>
              </w:rPr>
            </w:pPr>
            <w:r>
              <w:rPr>
                <w:rFonts w:ascii="Arial" w:cs="Arial" w:eastAsia="Arial" w:hAnsi="Arial"/>
                <w:sz w:val="15"/>
                <w:szCs w:val="15"/>
                <w:color w:val="auto"/>
              </w:rPr>
              <w:t>Common shares, nominal value CHF 5.00 per share</w:t>
            </w:r>
          </w:p>
        </w:tc>
        <w:tc>
          <w:tcPr>
            <w:tcW w:w="1740" w:type="dxa"/>
            <w:vAlign w:val="bottom"/>
          </w:tcPr>
          <w:p>
            <w:pPr>
              <w:jc w:val="right"/>
              <w:ind w:right="927"/>
              <w:spacing w:after="0"/>
              <w:rPr>
                <w:sz w:val="20"/>
                <w:szCs w:val="20"/>
                <w:color w:val="auto"/>
              </w:rPr>
            </w:pPr>
            <w:r>
              <w:rPr>
                <w:rFonts w:ascii="Arial" w:cs="Arial" w:eastAsia="Arial" w:hAnsi="Arial"/>
                <w:sz w:val="15"/>
                <w:szCs w:val="15"/>
                <w:color w:val="auto"/>
              </w:rPr>
              <w:t>$</w:t>
            </w:r>
          </w:p>
        </w:tc>
        <w:tc>
          <w:tcPr>
            <w:tcW w:w="1680" w:type="dxa"/>
            <w:vAlign w:val="bottom"/>
          </w:tcPr>
          <w:p>
            <w:pPr>
              <w:jc w:val="right"/>
              <w:ind w:right="907"/>
              <w:spacing w:after="0"/>
              <w:rPr>
                <w:sz w:val="20"/>
                <w:szCs w:val="20"/>
                <w:color w:val="auto"/>
              </w:rPr>
            </w:pPr>
            <w:r>
              <w:rPr>
                <w:rFonts w:ascii="Arial" w:cs="Arial" w:eastAsia="Arial" w:hAnsi="Arial"/>
                <w:sz w:val="15"/>
                <w:szCs w:val="15"/>
                <w:color w:val="auto"/>
              </w:rPr>
              <w:t>$</w:t>
            </w:r>
          </w:p>
        </w:tc>
      </w:tr>
    </w:tbl>
    <w:p>
      <w:pPr>
        <w:ind w:left="340" w:hanging="332"/>
        <w:spacing w:after="0" w:line="225" w:lineRule="auto"/>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computing the amount of the registration fee pursuant to Rule 457(o) under the Securities Act of 1933, as amended.</w:t>
      </w:r>
    </w:p>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Calculated pursuant to Rule 457(o) under the Securities Act of 1933, as amended,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ind w:right="20"/>
        <w:spacing w:after="0" w:line="26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9" w:lineRule="exact"/>
        <w:rPr>
          <w:sz w:val="20"/>
          <w:szCs w:val="20"/>
          <w:color w:val="auto"/>
        </w:rPr>
      </w:pPr>
    </w:p>
    <w:tbl>
      <w:tblPr>
        <w:tblLayout w:type="fixed"/>
        <w:tblInd w:w="348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DE1A1E"/>
              </w:rPr>
              <w:t>SUBJECT TO COMPLETION DATED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DE1A1E"/>
              </w:rPr>
              <w:t>, 2015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310"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212725</wp:posOffset>
            </wp:positionV>
            <wp:extent cx="2538730"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87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278130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This is the initial public offering of AC Immune SA. No public market has previously existed for our common shares. We are offering of our common shares. We expect the initial public offering price will be between $ and $ per common share. We intend to apply to list our common shares on the NASDAQ under the symbol “ .”</w:t>
      </w:r>
    </w:p>
    <w:p>
      <w:pPr>
        <w:spacing w:after="0" w:line="222"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We are an “emerging growth company” as defined under the federal securities laws and, as such, will be subject to reduced public company reporting requirements. See “Prospectus Summary—Implications of Being an Emerging Growth Company and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shares involves a high degree of risk. See “</w:t>
      </w:r>
      <w:hyperlink w:anchor="page15">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11.</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Arial" w:cs="Arial" w:eastAsia="Arial" w:hAnsi="Arial"/>
                <w:sz w:val="14"/>
                <w:szCs w:val="14"/>
                <w:b w:val="1"/>
                <w:bCs w:val="1"/>
                <w:color w:val="auto"/>
              </w:rPr>
              <w:t>Per</w:t>
            </w:r>
          </w:p>
        </w:tc>
        <w:tc>
          <w:tcPr>
            <w:tcW w:w="660" w:type="dxa"/>
            <w:vAlign w:val="bottom"/>
          </w:tcPr>
          <w:p>
            <w:pPr>
              <w:spacing w:after="0"/>
              <w:rPr>
                <w:sz w:val="14"/>
                <w:szCs w:val="14"/>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0"/>
              </w:rPr>
              <w:t>Common Share</w:t>
            </w:r>
          </w:p>
        </w:tc>
        <w:tc>
          <w:tcPr>
            <w:tcW w:w="6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9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90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90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additional information regarding total underwriter compensation.</w:t>
      </w:r>
    </w:p>
    <w:p>
      <w:pPr>
        <w:sectPr>
          <w:pgSz w:w="11900" w:h="16838" w:orient="portrait"/>
          <w:cols w:equalWidth="0" w:num="1">
            <w:col w:w="11420"/>
          </w:cols>
          <w:pgMar w:left="240" w:top="459" w:right="239" w:bottom="1440" w:gutter="0" w:footer="0" w:header="0"/>
        </w:sectPr>
      </w:pPr>
    </w:p>
    <w:p>
      <w:pPr>
        <w:spacing w:after="0" w:line="2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granted the underwriter an option for a period of 30 days from the date of this prospectus to purchase an additional cover over-allotments.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common shares to</w:t>
      </w:r>
    </w:p>
    <w:p>
      <w:pPr>
        <w:spacing w:after="0" w:line="505" w:lineRule="exact"/>
        <w:rPr>
          <w:sz w:val="20"/>
          <w:szCs w:val="20"/>
          <w:color w:val="auto"/>
        </w:rPr>
      </w:pPr>
    </w:p>
    <w:p>
      <w:pPr>
        <w:sectPr>
          <w:pgSz w:w="11900" w:h="16838" w:orient="portrait"/>
          <w:cols w:equalWidth="0" w:num="2">
            <w:col w:w="9380" w:space="640"/>
            <w:col w:w="1400"/>
          </w:cols>
          <w:pgMar w:left="240" w:top="459" w:right="239" w:bottom="1440" w:gutter="0" w:footer="0" w:header="0"/>
          <w:type w:val="continuous"/>
        </w:sectPr>
      </w:pPr>
    </w:p>
    <w:p>
      <w:pPr>
        <w:spacing w:after="0" w:line="7"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w w:val="98"/>
              </w:rPr>
              <w:t>Delivery of the common shares is expected to be made on or about</w:t>
            </w:r>
          </w:p>
        </w:tc>
        <w:tc>
          <w:tcPr>
            <w:tcW w:w="98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266065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Credit Suisse</w:t>
      </w:r>
    </w:p>
    <w:p>
      <w:pPr>
        <w:spacing w:after="0" w:line="274"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 2015</w:t>
            </w:r>
          </w:p>
        </w:tc>
      </w:tr>
    </w:tbl>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412"/>
        </w:trPr>
        <w:tc>
          <w:tcPr>
            <w:tcW w:w="1540" w:type="dxa"/>
            <w:vAlign w:val="bottom"/>
            <w:gridSpan w:val="12"/>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Summary</w:t>
              </w:r>
            </w:hyperlink>
          </w:p>
        </w:tc>
        <w:tc>
          <w:tcPr>
            <w:tcW w:w="5360" w:type="dxa"/>
            <w:vAlign w:val="bottom"/>
            <w:gridSpan w:val="15"/>
            <w:vMerge w:val="restart"/>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540" w:type="dxa"/>
            <w:vAlign w:val="bottom"/>
            <w:tcBorders>
              <w:bottom w:val="single" w:sz="8" w:color="0000EE"/>
            </w:tcBorders>
            <w:gridSpan w:val="12"/>
            <w:vMerge w:val="continue"/>
          </w:tcPr>
          <w:p>
            <w:pPr>
              <w:spacing w:after="0"/>
              <w:rPr>
                <w:sz w:val="14"/>
                <w:szCs w:val="14"/>
                <w:color w:val="auto"/>
              </w:rPr>
            </w:pPr>
          </w:p>
        </w:tc>
        <w:tc>
          <w:tcPr>
            <w:tcW w:w="5360" w:type="dxa"/>
            <w:vAlign w:val="bottom"/>
            <w:gridSpan w:val="15"/>
            <w:vMerge w:val="continue"/>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The Offering</w:t>
              </w:r>
            </w:hyperlink>
          </w:p>
        </w:tc>
        <w:tc>
          <w:tcPr>
            <w:tcW w:w="5940" w:type="dxa"/>
            <w:vAlign w:val="bottom"/>
            <w:gridSpan w:val="21"/>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Summary Historical and Other Financial Information</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2920" w:type="dxa"/>
            <w:vAlign w:val="bottom"/>
            <w:tcBorders>
              <w:top w:val="single" w:sz="8" w:color="0000EE"/>
            </w:tcBorders>
            <w:gridSpan w:val="18"/>
          </w:tcPr>
          <w:p>
            <w:pPr>
              <w:spacing w:after="0"/>
              <w:rPr>
                <w:sz w:val="17"/>
                <w:szCs w:val="17"/>
                <w:color w:val="auto"/>
              </w:rPr>
            </w:pPr>
          </w:p>
        </w:tc>
        <w:tc>
          <w:tcPr>
            <w:tcW w:w="3060" w:type="dxa"/>
            <w:vAlign w:val="bottom"/>
            <w:gridSpan w:val="5"/>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Cautionary Statement Regarding Forward-Looking Statements</w:t>
              </w:r>
            </w:hyperlink>
          </w:p>
        </w:tc>
        <w:tc>
          <w:tcPr>
            <w:tcW w:w="2360" w:type="dxa"/>
            <w:vAlign w:val="bottom"/>
            <w:gridSpan w:val="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Market and Industry Data</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Use of Proceeds</w:t>
              </w:r>
            </w:hyperlink>
          </w:p>
        </w:tc>
        <w:tc>
          <w:tcPr>
            <w:tcW w:w="680" w:type="dxa"/>
            <w:vAlign w:val="bottom"/>
            <w:tcBorders>
              <w:top w:val="single" w:sz="8" w:color="0000EE"/>
            </w:tcBorders>
            <w:gridSpan w:val="4"/>
          </w:tcPr>
          <w:p>
            <w:pPr>
              <w:spacing w:after="0"/>
              <w:rPr>
                <w:sz w:val="17"/>
                <w:szCs w:val="17"/>
                <w:color w:val="auto"/>
              </w:rPr>
            </w:pPr>
          </w:p>
        </w:tc>
        <w:tc>
          <w:tcPr>
            <w:tcW w:w="5040" w:type="dxa"/>
            <w:vAlign w:val="bottom"/>
            <w:gridSpan w:val="1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Dividend Policy</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Capitalization</w:t>
              </w:r>
            </w:hyperlink>
          </w:p>
        </w:tc>
        <w:tc>
          <w:tcPr>
            <w:tcW w:w="140" w:type="dxa"/>
            <w:vAlign w:val="bottom"/>
            <w:tcBorders>
              <w:top w:val="single" w:sz="8" w:color="0000EE"/>
            </w:tcBorders>
            <w:gridSpan w:val="2"/>
          </w:tcPr>
          <w:p>
            <w:pPr>
              <w:spacing w:after="0"/>
              <w:rPr>
                <w:sz w:val="17"/>
                <w:szCs w:val="17"/>
                <w:color w:val="auto"/>
              </w:rPr>
            </w:pPr>
          </w:p>
        </w:tc>
        <w:tc>
          <w:tcPr>
            <w:tcW w:w="5720" w:type="dxa"/>
            <w:vAlign w:val="bottom"/>
            <w:gridSpan w:val="16"/>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Dilution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Exchange Rates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Selected Financial and Other Information</w:t>
              </w:r>
            </w:hyperlink>
          </w:p>
        </w:tc>
        <w:tc>
          <w:tcPr>
            <w:tcW w:w="3900" w:type="dxa"/>
            <w:vAlign w:val="bottom"/>
            <w:gridSpan w:val="7"/>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Management’s Discussion and Analysis of Financial Condition and Results of Operations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86">
              <w:r>
                <w:rPr>
                  <w:rFonts w:ascii="Arial" w:cs="Arial" w:eastAsia="Arial" w:hAnsi="Arial"/>
                  <w:sz w:val="18"/>
                  <w:szCs w:val="18"/>
                  <w:color w:val="0000EE"/>
                  <w:w w:val="87"/>
                </w:rPr>
                <w:t>Business</w:t>
              </w:r>
            </w:hyperlink>
          </w:p>
        </w:tc>
        <w:tc>
          <w:tcPr>
            <w:tcW w:w="5800" w:type="dxa"/>
            <w:vAlign w:val="bottom"/>
            <w:tcBorders>
              <w:top w:val="single" w:sz="8" w:color="0000EE"/>
            </w:tcBorders>
            <w:gridSpan w:val="23"/>
          </w:tcPr>
          <w:p>
            <w:pPr>
              <w:spacing w:after="0"/>
              <w:rPr>
                <w:sz w:val="17"/>
                <w:szCs w:val="17"/>
                <w:color w:val="auto"/>
              </w:rPr>
            </w:pPr>
          </w:p>
        </w:tc>
        <w:tc>
          <w:tcPr>
            <w:tcW w:w="440" w:type="dxa"/>
            <w:vAlign w:val="bottom"/>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Management</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Principal Shareholders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Related Party Transactions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48">
              <w:r>
                <w:rPr>
                  <w:rFonts w:ascii="Arial" w:cs="Arial" w:eastAsia="Arial" w:hAnsi="Arial"/>
                  <w:sz w:val="18"/>
                  <w:szCs w:val="18"/>
                  <w:color w:val="0000EE"/>
                  <w:w w:val="92"/>
                </w:rPr>
                <w:t>Description of Share Capital and Articles of Association</w:t>
              </w:r>
            </w:hyperlink>
          </w:p>
        </w:tc>
        <w:tc>
          <w:tcPr>
            <w:tcW w:w="2820" w:type="dxa"/>
            <w:vAlign w:val="bottom"/>
            <w:gridSpan w:val="4"/>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59">
              <w:r>
                <w:rPr>
                  <w:rFonts w:ascii="Arial" w:cs="Arial" w:eastAsia="Arial" w:hAnsi="Arial"/>
                  <w:sz w:val="18"/>
                  <w:szCs w:val="18"/>
                  <w:color w:val="0000EE"/>
                  <w:w w:val="91"/>
                </w:rPr>
                <w:t>Comparison of Swiss Law and Delaware Law</w:t>
              </w:r>
            </w:hyperlink>
          </w:p>
        </w:tc>
        <w:tc>
          <w:tcPr>
            <w:tcW w:w="3580" w:type="dxa"/>
            <w:vAlign w:val="bottom"/>
            <w:gridSpan w:val="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Common Shares Eligible for Future Sale</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69">
              <w:r>
                <w:rPr>
                  <w:rFonts w:ascii="Arial" w:cs="Arial" w:eastAsia="Arial" w:hAnsi="Arial"/>
                  <w:sz w:val="18"/>
                  <w:szCs w:val="18"/>
                  <w:color w:val="0000EE"/>
                  <w:w w:val="89"/>
                </w:rPr>
                <w:t>Taxation</w:t>
              </w:r>
            </w:hyperlink>
          </w:p>
        </w:tc>
        <w:tc>
          <w:tcPr>
            <w:tcW w:w="2300" w:type="dxa"/>
            <w:vAlign w:val="bottom"/>
            <w:tcBorders>
              <w:top w:val="single" w:sz="8" w:color="0000EE"/>
            </w:tcBorders>
            <w:gridSpan w:val="17"/>
          </w:tcPr>
          <w:p>
            <w:pPr>
              <w:spacing w:after="0"/>
              <w:rPr>
                <w:sz w:val="17"/>
                <w:szCs w:val="17"/>
                <w:color w:val="auto"/>
              </w:rPr>
            </w:pPr>
          </w:p>
        </w:tc>
        <w:tc>
          <w:tcPr>
            <w:tcW w:w="3960" w:type="dxa"/>
            <w:vAlign w:val="bottom"/>
            <w:gridSpan w:val="8"/>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76">
              <w:r>
                <w:rPr>
                  <w:rFonts w:ascii="Arial" w:cs="Arial" w:eastAsia="Arial" w:hAnsi="Arial"/>
                  <w:sz w:val="18"/>
                  <w:szCs w:val="18"/>
                  <w:color w:val="0000EE"/>
                  <w:w w:val="94"/>
                </w:rPr>
                <w:t>Underwriting</w:t>
              </w:r>
            </w:hyperlink>
          </w:p>
        </w:tc>
        <w:tc>
          <w:tcPr>
            <w:tcW w:w="5920" w:type="dxa"/>
            <w:vAlign w:val="bottom"/>
            <w:gridSpan w:val="20"/>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Expenses of the Offering</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183">
              <w:r>
                <w:rPr>
                  <w:rFonts w:ascii="Arial" w:cs="Arial" w:eastAsia="Arial" w:hAnsi="Arial"/>
                  <w:sz w:val="18"/>
                  <w:szCs w:val="18"/>
                  <w:color w:val="0000EE"/>
                  <w:w w:val="91"/>
                </w:rPr>
                <w:t>Legal Matters</w:t>
              </w:r>
            </w:hyperlink>
          </w:p>
        </w:tc>
        <w:tc>
          <w:tcPr>
            <w:tcW w:w="780" w:type="dxa"/>
            <w:vAlign w:val="bottom"/>
            <w:tcBorders>
              <w:top w:val="single" w:sz="8" w:color="0000EE"/>
            </w:tcBorders>
            <w:gridSpan w:val="6"/>
          </w:tcPr>
          <w:p>
            <w:pPr>
              <w:spacing w:after="0"/>
              <w:rPr>
                <w:sz w:val="17"/>
                <w:szCs w:val="17"/>
                <w:color w:val="auto"/>
              </w:rPr>
            </w:pPr>
          </w:p>
        </w:tc>
        <w:tc>
          <w:tcPr>
            <w:tcW w:w="5100" w:type="dxa"/>
            <w:vAlign w:val="bottom"/>
            <w:gridSpan w:val="13"/>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83">
              <w:r>
                <w:rPr>
                  <w:rFonts w:ascii="Arial" w:cs="Arial" w:eastAsia="Arial" w:hAnsi="Arial"/>
                  <w:sz w:val="18"/>
                  <w:szCs w:val="18"/>
                  <w:color w:val="0000EE"/>
                  <w:w w:val="91"/>
                </w:rPr>
                <w:t>Experts</w:t>
              </w:r>
            </w:hyperlink>
          </w:p>
        </w:tc>
        <w:tc>
          <w:tcPr>
            <w:tcW w:w="6300" w:type="dxa"/>
            <w:vAlign w:val="bottom"/>
            <w:gridSpan w:val="2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Enforcement of Judgments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1940" w:type="dxa"/>
            <w:vAlign w:val="bottom"/>
            <w:gridSpan w:val="1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85">
              <w:r>
                <w:rPr>
                  <w:rFonts w:ascii="Arial" w:cs="Arial" w:eastAsia="Arial" w:hAnsi="Arial"/>
                  <w:sz w:val="18"/>
                  <w:szCs w:val="18"/>
                  <w:color w:val="0000EE"/>
                  <w:w w:val="92"/>
                </w:rPr>
                <w:t>Where You Can Find More Information</w:t>
              </w:r>
            </w:hyperlink>
          </w:p>
        </w:tc>
        <w:tc>
          <w:tcPr>
            <w:tcW w:w="4020" w:type="dxa"/>
            <w:vAlign w:val="bottom"/>
            <w:gridSpan w:val="9"/>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86">
              <w:r>
                <w:rPr>
                  <w:rFonts w:ascii="Arial" w:cs="Arial" w:eastAsia="Arial" w:hAnsi="Arial"/>
                  <w:sz w:val="18"/>
                  <w:szCs w:val="18"/>
                  <w:color w:val="0000EE"/>
                  <w:w w:val="90"/>
                </w:rPr>
                <w:t>Index to Financial Statements</w:t>
              </w:r>
            </w:hyperlink>
          </w:p>
        </w:tc>
        <w:tc>
          <w:tcPr>
            <w:tcW w:w="4740" w:type="dxa"/>
            <w:vAlign w:val="bottom"/>
            <w:gridSpan w:val="10"/>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See “Enforcement of Judgments”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“AC Immune,” the “Company,” “we,” “our,” “ours,” “us” or similar terms refer to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own various trademark registrations and applications, and unregistered trademarks, including Morphomer™, SupraAntigen™ and our corporate logo. All other trade names, trademarks and service marks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other companies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financial statements are presented in Swiss Francs and in accordance with IFRS as issued by the IASB. None of the financial statements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1.0699 to CHF 1.00, the official exchange rate quoted as at June 30, 2015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On August 21, 2015, the exchange rate as reported by the U.S. Federal Reserve Bank was USD 1.0540 to CHF 1.00. We have made rounding adjustments to some of the figures included in this prospectus. Accordingly, any numerical discrepancies in any table between totals and sums of the amounts listed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200660</wp:posOffset>
            </wp:positionV>
            <wp:extent cx="1517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We and the underwriter have not authorized anyone to provide any information other than that contained in this prospectus or in any free writing prospectus prepared by or on behalf of us or to which we may have referred you. We and the underwriter take no responsibility for, and can provide no assurance as to the reliability of, any other information that others may give you.</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Neither we nor the underwriter are making an offer to sell the common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common shares. Our business, financial condition, results of operations and prospects may have changed since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214630</wp:posOffset>
            </wp:positionV>
            <wp:extent cx="1517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are incorporated as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20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3820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financial statements, including the notes thereto, included elsewhere in this prospectus, before deciding to invest in our common shares.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140" w:firstLine="443"/>
        <w:spacing w:after="0" w:line="273"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three clinical-stage candidates, and three diagnostic candidates has the potential to drive a paradigm shift in the treatment of a broad spectrum of neurodegenerative and other diseases related to protein misfolding.</w:t>
      </w:r>
    </w:p>
    <w:p>
      <w:pPr>
        <w:spacing w:after="0" w:line="178"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There is currently an absence of reliable, early-stage diagnosis and disease-modifying treatments for widely prevalent neurodegenerative and other diseases associated with protein misfolding. AD is the most common form of dementia, with an estimated worldwide patient population of 44 million in 2010, which is expected to grow to 76 million by 2030 and 135 million by 2050 according to the World Alzheimer Report 2014. 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with limited clinical benefit. 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 There remains a significant unmet medical need for reliable and accurate diagnostics to enable early diagnosis and disease-modifying treatments that slow the progress of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813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68135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Our lead product candidate is crenezumab, a humanized, monoclonal, conformation-specific anti-Abeta antibody that we developed using our proprietary SupraAntigen</w:t>
      </w:r>
      <w:r>
        <w:rPr>
          <w:rFonts w:ascii="Arial" w:cs="Arial" w:eastAsia="Arial" w:hAnsi="Arial"/>
          <w:sz w:val="14"/>
          <w:szCs w:val="14"/>
          <w:color w:val="auto"/>
        </w:rPr>
        <w:t>TM</w:t>
      </w:r>
      <w:r>
        <w:rPr>
          <w:rFonts w:ascii="Arial" w:cs="Arial" w:eastAsia="Arial" w:hAnsi="Arial"/>
          <w:sz w:val="17"/>
          <w:szCs w:val="17"/>
          <w:color w:val="auto"/>
        </w:rPr>
        <w:t xml:space="preserve"> platform. Crenezumab is expected to enter Phase 3 clinical studies in early 2016 and we believe it has the potential to become a best-in-class disease-modifying treatment for AD. We are advancing crenezumab under a collaboration agreement with Genentech, Inc., a wholly-owned subsidiary of Roche, or Genentech, for the treatment of AD. Under our collaboration agreement, we are eligible to receive payments from Genentech in excess of $300 million, as well as sales royalties. Crenezumab has received Fast Track designation from the U.S. Food and Drug Administration, or FDA. In 2012, crenezumab was independently selected by the National Institute of Health, the Banner Alzheimer’s Institute and Genentech for use in the first-ever AD prevention study, which serves as the cornerstone of the global Alzheimer’s Prevention Initiative. While crenezumab did not meet its co-primary endpoints in its Phase 2 studies, as these studies were not powered for significance, the data showed promising signals of activity in patients with a milder stage of the disease.</w:t>
      </w:r>
    </w:p>
    <w:p>
      <w:pPr>
        <w:spacing w:after="0" w:line="182"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key advantages of crenezumab include:</w:t>
      </w:r>
    </w:p>
    <w:p>
      <w:pPr>
        <w:spacing w:after="0" w:line="87"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620" w:right="32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9589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9589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ind w:left="1620" w:right="4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w:t>
      </w:r>
    </w:p>
    <w:p>
      <w:pPr>
        <w:spacing w:after="0" w:line="75" w:lineRule="exact"/>
        <w:rPr>
          <w:rFonts w:ascii="Arial" w:cs="Arial" w:eastAsia="Arial" w:hAnsi="Arial"/>
          <w:sz w:val="18"/>
          <w:szCs w:val="18"/>
          <w:color w:val="auto"/>
        </w:rPr>
      </w:pPr>
    </w:p>
    <w:p>
      <w:pPr>
        <w:jc w:val="both"/>
        <w:ind w:left="1620" w:right="60" w:hanging="437"/>
        <w:spacing w:after="0" w:line="264"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ABBY cognition study: the high-dose crenezumab arm of an exploratory analysis showed a statistically significant 35% slowing of the rate of cognitive decline over 73 weeks in patients with the milder cognitive impairment (Mini-Mental State Examination score, or MMSE, of 22-26).</w:t>
      </w:r>
    </w:p>
    <w:p>
      <w:pPr>
        <w:spacing w:after="0" w:line="86" w:lineRule="exact"/>
        <w:rPr>
          <w:rFonts w:ascii="Arial" w:cs="Arial" w:eastAsia="Arial" w:hAnsi="Arial"/>
          <w:sz w:val="18"/>
          <w:szCs w:val="18"/>
          <w:color w:val="auto"/>
        </w:rPr>
      </w:pPr>
    </w:p>
    <w:p>
      <w:pPr>
        <w:ind w:left="1620" w:hanging="437"/>
        <w:spacing w:after="0" w:line="264"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of Abeta in the cerebrospinal fluid, which suggests that Abeta is being removed from the brain when patients are treated with crenezumab.</w:t>
      </w:r>
    </w:p>
    <w:p>
      <w:pPr>
        <w:spacing w:after="0" w:line="208" w:lineRule="exact"/>
        <w:rPr>
          <w:sz w:val="20"/>
          <w:szCs w:val="20"/>
          <w:color w:val="auto"/>
        </w:rPr>
      </w:pPr>
    </w:p>
    <w:p>
      <w:pPr>
        <w:ind w:left="2980" w:right="2580"/>
        <w:spacing w:after="0" w:line="277" w:lineRule="auto"/>
        <w:rPr>
          <w:sz w:val="20"/>
          <w:szCs w:val="20"/>
          <w:color w:val="auto"/>
        </w:rPr>
      </w:pPr>
      <w:r>
        <w:rPr>
          <w:rFonts w:ascii="Arial" w:cs="Arial" w:eastAsia="Arial" w:hAnsi="Arial"/>
          <w:sz w:val="18"/>
          <w:szCs w:val="18"/>
          <w:color w:val="auto"/>
        </w:rPr>
        <w:t>ABBY High Dose Arm: Change in the Alzheimer Disease Assessment Scale-Cognitive Subscale, or ADAS-cog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An exploratory analysis in milder AD patients showed a 35.4% reduction in</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cognitive decline (p=0.036).</w:t>
      </w:r>
    </w:p>
    <w:p>
      <w:pPr>
        <w:spacing w:after="0" w:line="238"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620" w:hanging="437"/>
        <w:spacing w:after="0" w:line="277"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which is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620" w:right="320" w:hanging="437"/>
        <w:spacing w:after="0" w:line="277"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and to help define the optimal Phase 3 clinical study design.</w:t>
      </w:r>
    </w:p>
    <w:p>
      <w:pPr>
        <w:spacing w:after="0" w:line="170" w:lineRule="exact"/>
        <w:rPr>
          <w:sz w:val="20"/>
          <w:szCs w:val="20"/>
          <w:color w:val="auto"/>
        </w:rPr>
      </w:pPr>
    </w:p>
    <w:p>
      <w:pPr>
        <w:ind w:left="200" w:right="360" w:firstLine="443"/>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1060" w:hanging="323"/>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ACI-24 is also being studied in patients with Down syndrome, a population that is at high risk for AD.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814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62814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2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ACI-35 is an anti-tau vaccine candidate that we are developing under a collaboration agreement with Janssen Pharmaceuticals, Inc., a Johnson &amp; Johnson Company. We expect to complete our Phase 1b clinical study in the fourth quarter of 2016 and to begin Phase 2 clinical studies thereafter in 2017.</w:t>
      </w:r>
    </w:p>
    <w:p>
      <w:pPr>
        <w:spacing w:after="0" w:line="181"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1060" w:right="6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tau PET imaging agent is currently in a First-in-Man study and being developed under a collaboration agreement with Piramal Imaging. Piramal Imaging is expecting to advance this program into Phase 1 clinical development in 2016.</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also developing PET imaging diagnostics for diseases resulting from the misfolding of alpha-synuclein proteins, such as PD.</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Proprietary Platform Technologies</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88"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Neurodegenerative diseases, such as AD and PD, as well as other neuro-orphan diseases, such as progressive supranuclear palsy, amyotrophic lateral sclerosis, and Huntington’s disease, are all associated with pathologies that involve misfolded proteins. Research has shown that misfolded proteins are unable to carry out their normal functions and aggregate to form certain types of deposits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7" w:lineRule="exact"/>
        <w:rPr>
          <w:sz w:val="20"/>
          <w:szCs w:val="20"/>
          <w:color w:val="auto"/>
        </w:rPr>
      </w:pPr>
    </w:p>
    <w:p>
      <w:pPr>
        <w:ind w:left="1060" w:right="24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in partnership or alone, our product candidates crenezumab, ACI-24 and ACI-35, and our diagnostic candidates through clinical development to regulatory approval and potential commercialization.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into other neurodegenerative and neuro-orphan diseases.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Accelerate the advancement of our diagnostic portfolio.</w:t>
      </w:r>
    </w:p>
    <w:p>
      <w:pPr>
        <w:spacing w:after="0" w:line="130" w:lineRule="exact"/>
        <w:rPr>
          <w:rFonts w:ascii="Arial" w:cs="Arial" w:eastAsia="Arial" w:hAnsi="Arial"/>
          <w:sz w:val="18"/>
          <w:szCs w:val="18"/>
          <w:color w:val="auto"/>
        </w:rPr>
      </w:pPr>
    </w:p>
    <w:p>
      <w:pPr>
        <w:ind w:left="1060" w:right="4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the duality of our therapeutic and diagnostic approaches to become the leader in personalized treatment of neurodegenerative diseases.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Strategically collaborate or selectively partner for the development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728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9728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760" w:firstLine="443"/>
        <w:spacing w:after="0" w:line="277" w:lineRule="auto"/>
        <w:rPr>
          <w:sz w:val="20"/>
          <w:szCs w:val="20"/>
          <w:color w:val="auto"/>
        </w:rPr>
      </w:pPr>
      <w:r>
        <w:rPr>
          <w:rFonts w:ascii="Arial" w:cs="Arial" w:eastAsia="Arial" w:hAnsi="Arial"/>
          <w:sz w:val="18"/>
          <w:szCs w:val="18"/>
          <w:color w:val="auto"/>
        </w:rPr>
        <w:t>Our ability to implement our business strategy is subject to numerous risks, as more fully described in the section entitled “Risk Factors” immediately following this prospectus summary. These risks include, among others:</w:t>
      </w:r>
    </w:p>
    <w:p>
      <w:pPr>
        <w:spacing w:after="0" w:line="76" w:lineRule="exact"/>
        <w:rPr>
          <w:sz w:val="20"/>
          <w:szCs w:val="20"/>
          <w:color w:val="auto"/>
        </w:rPr>
      </w:pPr>
    </w:p>
    <w:p>
      <w:pPr>
        <w:ind w:left="1060" w:right="102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ability of our competitors to discover, develop or commercialize competing products before or more successfully than we do.</w:t>
      </w:r>
    </w:p>
    <w:p>
      <w:pPr>
        <w:spacing w:after="0" w:line="142" w:lineRule="exact"/>
        <w:rPr>
          <w:rFonts w:ascii="Arial" w:cs="Arial" w:eastAsia="Arial" w:hAnsi="Arial"/>
          <w:sz w:val="17"/>
          <w:szCs w:val="17"/>
          <w:color w:val="auto"/>
        </w:rPr>
      </w:pPr>
    </w:p>
    <w:p>
      <w:pPr>
        <w:ind w:left="1060" w:right="44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Morphomer and SupraAntigen proprietary technology platforms and their success in building additional product candidates for our pipeline.</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FDA’s and applicable foreign regulatory authorities’ acceptance of data from studies we conduct in the future.</w:t>
      </w:r>
    </w:p>
    <w:p>
      <w:pPr>
        <w:spacing w:after="0" w:line="130" w:lineRule="exact"/>
        <w:rPr>
          <w:rFonts w:ascii="Arial" w:cs="Arial" w:eastAsia="Arial" w:hAnsi="Arial"/>
          <w:sz w:val="18"/>
          <w:szCs w:val="18"/>
          <w:color w:val="auto"/>
        </w:rPr>
      </w:pPr>
    </w:p>
    <w:p>
      <w:pPr>
        <w:ind w:left="1060" w:hanging="323"/>
        <w:spacing w:after="0" w:line="308"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foreign private issuer status, the loss of which would require us to comply with the domestic reporting regime of the Securities Exchange Act of 1934, as amended, or the Exchange Act, and cause us to incur significant legal, accounting and other expenses.</w:t>
      </w:r>
    </w:p>
    <w:p>
      <w:pPr>
        <w:spacing w:after="0" w:line="51" w:lineRule="exact"/>
        <w:rPr>
          <w:rFonts w:ascii="Arial" w:cs="Arial" w:eastAsia="Arial" w:hAnsi="Arial"/>
          <w:sz w:val="17"/>
          <w:szCs w:val="17"/>
          <w:color w:val="auto"/>
        </w:rPr>
      </w:pPr>
    </w:p>
    <w:p>
      <w:pPr>
        <w:ind w:left="1060" w:right="68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and Other Information</w:t>
      </w:r>
    </w:p>
    <w:p>
      <w:pPr>
        <w:spacing w:after="0" w:line="121" w:lineRule="exact"/>
        <w:rPr>
          <w:sz w:val="20"/>
          <w:szCs w:val="20"/>
          <w:color w:val="auto"/>
        </w:rPr>
      </w:pPr>
    </w:p>
    <w:p>
      <w:pPr>
        <w:jc w:val="both"/>
        <w:ind w:left="200" w:right="180" w:firstLine="443"/>
        <w:spacing w:after="0" w:line="288" w:lineRule="auto"/>
        <w:rPr>
          <w:sz w:val="20"/>
          <w:szCs w:val="20"/>
          <w:color w:val="auto"/>
        </w:rPr>
      </w:pPr>
      <w:r>
        <w:rPr>
          <w:rFonts w:ascii="Arial" w:cs="Arial" w:eastAsia="Arial" w:hAnsi="Arial"/>
          <w:sz w:val="16"/>
          <w:szCs w:val="16"/>
          <w:color w:val="auto"/>
        </w:rPr>
        <w:t>We were incorporated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and transformed into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under the laws of Switzerland on August 25, 2003. Our principal executive offices are located at EPFL Innovation Park, Building B, 1015 Lausanne, Switzerland and our telephone number is +41 21 693 91 21. Our agent for service of process in the United States is</w:t>
      </w:r>
    </w:p>
    <w:p>
      <w:pPr>
        <w:ind w:left="200" w:right="520" w:firstLine="537"/>
        <w:spacing w:after="0" w:line="261" w:lineRule="auto"/>
        <w:tabs>
          <w:tab w:leader="none" w:pos="8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website is </w:t>
      </w:r>
      <w:r>
        <w:rPr>
          <w:rFonts w:ascii="Arial" w:cs="Arial" w:eastAsia="Arial" w:hAnsi="Arial"/>
          <w:sz w:val="18"/>
          <w:szCs w:val="18"/>
          <w:i w:val="1"/>
          <w:iCs w:val="1"/>
          <w:color w:val="auto"/>
        </w:rPr>
        <w:t>www.acimmune.com</w:t>
      </w:r>
      <w:r>
        <w:rPr>
          <w:rFonts w:ascii="Arial" w:cs="Arial" w:eastAsia="Arial" w:hAnsi="Arial"/>
          <w:sz w:val="18"/>
          <w:szCs w:val="18"/>
          <w:color w:val="auto"/>
        </w:rPr>
        <w:t>. Our website and the information contained therein or connected thereto are not incorporated into this prospectus or the registration statement of which it forms a part.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w:t>
      </w:r>
    </w:p>
    <w:p>
      <w:pPr>
        <w:spacing w:after="0" w:line="87" w:lineRule="exact"/>
        <w:rPr>
          <w:sz w:val="20"/>
          <w:szCs w:val="20"/>
          <w:color w:val="auto"/>
        </w:rPr>
      </w:pPr>
    </w:p>
    <w:p>
      <w:pPr>
        <w:ind w:left="1060" w:right="680" w:hanging="431"/>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in addition to any required interim financial statements and correspondingly reduced disclosure in the Management’s Discussion and Analysis of Financial Condition and Results of Operations disclosure in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98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5989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500" w:hanging="431"/>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Section 404 of the Sarbanes-Oxley Act of 2002; and</w:t>
      </w:r>
    </w:p>
    <w:p>
      <w:pPr>
        <w:spacing w:after="0" w:line="75" w:lineRule="exact"/>
        <w:rPr>
          <w:rFonts w:ascii="Arial" w:cs="Arial" w:eastAsia="Arial" w:hAnsi="Arial"/>
          <w:sz w:val="18"/>
          <w:szCs w:val="18"/>
          <w:color w:val="auto"/>
        </w:rPr>
      </w:pPr>
    </w:p>
    <w:p>
      <w:pPr>
        <w:ind w:left="1060" w:right="60" w:hanging="431"/>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 billion in annual revenue; (ii) the date we qualify as a “large accelerated filer,” with at least $700 million of equity securities held by non-affiliates; (iii) the issuance, in any three-year period, by our company of more than $1.0 billion in non-convertible debt securities; and (iv) the last day of the fiscal year ending after the fifth anniversary of this offering. We may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However, given that we currently report and expect to continue to report under International Financial Reporting Standards, or IFRS, as issued by the International Accounting Standards Board, or IASB, we have irrevocably elected not to avail ourselves of this extended transition period and, as a result, we will adopt new or revised accounting standards on the relevant dates on which adoption of such standards is required by the IASB.</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200" w:right="240" w:firstLine="443"/>
        <w:spacing w:after="0" w:line="259" w:lineRule="auto"/>
        <w:rPr>
          <w:sz w:val="20"/>
          <w:szCs w:val="20"/>
          <w:color w:val="auto"/>
        </w:rPr>
      </w:pPr>
      <w:r>
        <w:rPr>
          <w:rFonts w:ascii="Arial" w:cs="Arial" w:eastAsia="Arial" w:hAnsi="Arial"/>
          <w:sz w:val="18"/>
          <w:szCs w:val="18"/>
          <w:color w:val="auto"/>
        </w:rPr>
        <w:t>We are also considered a “foreign private issuer.” Accordingly, upon consummation of this offering, we will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60" w:right="40" w:hanging="431"/>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60" w:right="480" w:hanging="431"/>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right="220" w:hanging="431"/>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81" w:lineRule="exact"/>
        <w:rPr>
          <w:sz w:val="20"/>
          <w:szCs w:val="20"/>
          <w:color w:val="auto"/>
        </w:rPr>
      </w:pPr>
    </w:p>
    <w:p>
      <w:pPr>
        <w:jc w:val="both"/>
        <w:ind w:left="200" w:right="500" w:firstLine="443"/>
        <w:spacing w:after="0" w:line="264" w:lineRule="auto"/>
        <w:rPr>
          <w:sz w:val="20"/>
          <w:szCs w:val="20"/>
          <w:color w:val="auto"/>
        </w:rPr>
      </w:pPr>
      <w:r>
        <w:rPr>
          <w:rFonts w:ascii="Arial" w:cs="Arial" w:eastAsia="Arial" w:hAnsi="Arial"/>
          <w:sz w:val="18"/>
          <w:szCs w:val="18"/>
          <w:color w:val="auto"/>
        </w:rPr>
        <w:t>Although as a foreign private issuer we will not be required to file periodic reports and financial statements with the SEC as frequently or as promptly as U.S. companies whose securities are registered under the Exchange Act, we intend to report our results of operations voluntarily on a quarterly basis.</w:t>
      </w:r>
    </w:p>
    <w:p>
      <w:pPr>
        <w:spacing w:after="0" w:line="181"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w:t>
      </w:r>
    </w:p>
    <w:p>
      <w:pPr>
        <w:ind w:left="420" w:hanging="223"/>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majority of our executive officers or directors are U.S. citizens or residents, (ii) more than 50% of our assets are located in the United States or</w:t>
      </w:r>
    </w:p>
    <w:p>
      <w:pPr>
        <w:spacing w:after="0" w:line="32" w:lineRule="exact"/>
        <w:rPr>
          <w:rFonts w:ascii="Arial" w:cs="Arial" w:eastAsia="Arial" w:hAnsi="Arial"/>
          <w:sz w:val="16"/>
          <w:szCs w:val="16"/>
          <w:color w:val="auto"/>
        </w:rPr>
      </w:pPr>
    </w:p>
    <w:p>
      <w:pPr>
        <w:ind w:left="520" w:hanging="323"/>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211" w:lineRule="exact"/>
        <w:rPr>
          <w:sz w:val="20"/>
          <w:szCs w:val="20"/>
          <w:color w:val="auto"/>
        </w:rPr>
      </w:pPr>
    </w:p>
    <w:p>
      <w:pPr>
        <w:jc w:val="both"/>
        <w:ind w:left="200" w:right="40" w:firstLine="443"/>
        <w:spacing w:after="0" w:line="264" w:lineRule="auto"/>
        <w:rPr>
          <w:sz w:val="20"/>
          <w:szCs w:val="20"/>
          <w:color w:val="auto"/>
        </w:rPr>
      </w:pPr>
      <w:r>
        <w:rPr>
          <w:rFonts w:ascii="Arial" w:cs="Arial" w:eastAsia="Arial" w:hAnsi="Arial"/>
          <w:sz w:val="18"/>
          <w:szCs w:val="18"/>
          <w:color w:val="auto"/>
        </w:rPr>
        <w:t>In this prospectus, we have taken advantage of certain of the reduced reporting requirements as a result of being an emerging growth company and a foreign private issuer. Accordingly, the information contained herein may be different than the information you receive from other public companies in which you hold equity securities.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9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7499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common shares. You should carefully read this entire prospectus before investing in our common shares including “Risk Factors” and our financial statements.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Common shares offered by us</w:t>
            </w:r>
          </w:p>
        </w:tc>
        <w:tc>
          <w:tcPr>
            <w:tcW w:w="360" w:type="dxa"/>
            <w:vAlign w:val="bottom"/>
          </w:tcPr>
          <w:p>
            <w:pPr>
              <w:spacing w:after="0"/>
              <w:rPr>
                <w:sz w:val="20"/>
                <w:szCs w:val="20"/>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shares.</w:t>
            </w:r>
          </w:p>
        </w:tc>
        <w:tc>
          <w:tcPr>
            <w:tcW w:w="2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8"/>
        </w:trPr>
        <w:tc>
          <w:tcPr>
            <w:tcW w:w="4140" w:type="dxa"/>
            <w:vAlign w:val="bottom"/>
          </w:tcPr>
          <w:p>
            <w:pPr>
              <w:spacing w:after="0"/>
              <w:rPr>
                <w:sz w:val="20"/>
                <w:szCs w:val="20"/>
                <w:color w:val="auto"/>
              </w:rPr>
            </w:pPr>
            <w:r>
              <w:rPr>
                <w:rFonts w:ascii="Arial" w:cs="Arial" w:eastAsia="Arial" w:hAnsi="Arial"/>
                <w:sz w:val="18"/>
                <w:szCs w:val="18"/>
                <w:color w:val="auto"/>
                <w:w w:val="91"/>
              </w:rPr>
              <w:t>Common shares to be outstanding immediately after this</w:t>
            </w:r>
          </w:p>
        </w:tc>
        <w:tc>
          <w:tcPr>
            <w:tcW w:w="360" w:type="dxa"/>
            <w:vAlign w:val="bottom"/>
          </w:tcPr>
          <w:p>
            <w:pPr>
              <w:spacing w:after="0"/>
              <w:rPr>
                <w:sz w:val="24"/>
                <w:szCs w:val="24"/>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shares.</w:t>
            </w:r>
          </w:p>
        </w:tc>
        <w:tc>
          <w:tcPr>
            <w:tcW w:w="2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4140" w:type="dxa"/>
            <w:vAlign w:val="bottom"/>
          </w:tcPr>
          <w:p>
            <w:pPr>
              <w:ind w:left="80"/>
              <w:spacing w:after="0"/>
              <w:rPr>
                <w:sz w:val="20"/>
                <w:szCs w:val="20"/>
                <w:color w:val="auto"/>
              </w:rPr>
            </w:pPr>
            <w:r>
              <w:rPr>
                <w:rFonts w:ascii="Arial" w:cs="Arial" w:eastAsia="Arial" w:hAnsi="Arial"/>
                <w:sz w:val="18"/>
                <w:szCs w:val="18"/>
                <w:color w:val="auto"/>
              </w:rPr>
              <w:t>offering</w:t>
            </w:r>
          </w:p>
        </w:tc>
        <w:tc>
          <w:tcPr>
            <w:tcW w:w="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8"/>
        </w:trPr>
        <w:tc>
          <w:tcPr>
            <w:tcW w:w="4140" w:type="dxa"/>
            <w:vAlign w:val="bottom"/>
          </w:tcPr>
          <w:p>
            <w:pPr>
              <w:spacing w:after="0"/>
              <w:rPr>
                <w:sz w:val="20"/>
                <w:szCs w:val="20"/>
                <w:color w:val="auto"/>
              </w:rPr>
            </w:pPr>
            <w:r>
              <w:rPr>
                <w:rFonts w:ascii="Arial" w:cs="Arial" w:eastAsia="Arial" w:hAnsi="Arial"/>
                <w:sz w:val="18"/>
                <w:szCs w:val="18"/>
                <w:color w:val="auto"/>
              </w:rPr>
              <w:t>Over-allotment option</w:t>
            </w:r>
          </w:p>
        </w:tc>
        <w:tc>
          <w:tcPr>
            <w:tcW w:w="5940" w:type="dxa"/>
            <w:vAlign w:val="bottom"/>
            <w:gridSpan w:val="4"/>
          </w:tcPr>
          <w:p>
            <w:pPr>
              <w:ind w:left="60"/>
              <w:spacing w:after="0"/>
              <w:rPr>
                <w:sz w:val="20"/>
                <w:szCs w:val="20"/>
                <w:color w:val="auto"/>
              </w:rPr>
            </w:pPr>
            <w:r>
              <w:rPr>
                <w:rFonts w:ascii="Arial" w:cs="Arial" w:eastAsia="Arial" w:hAnsi="Arial"/>
                <w:sz w:val="18"/>
                <w:szCs w:val="18"/>
                <w:color w:val="auto"/>
                <w:w w:val="98"/>
              </w:rPr>
              <w:t>We have granted the underwriter the option to purchase up to an additional</w:t>
            </w:r>
          </w:p>
        </w:tc>
        <w:tc>
          <w:tcPr>
            <w:tcW w:w="860" w:type="dxa"/>
            <w:vAlign w:val="bottom"/>
          </w:tcPr>
          <w:p>
            <w:pPr>
              <w:ind w:left="140"/>
              <w:spacing w:after="0"/>
              <w:rPr>
                <w:sz w:val="20"/>
                <w:szCs w:val="20"/>
                <w:color w:val="auto"/>
              </w:rPr>
            </w:pPr>
            <w:r>
              <w:rPr>
                <w:rFonts w:ascii="Arial" w:cs="Arial" w:eastAsia="Arial" w:hAnsi="Arial"/>
                <w:sz w:val="18"/>
                <w:szCs w:val="18"/>
                <w:color w:val="auto"/>
              </w:rPr>
              <w:t>common</w:t>
            </w:r>
          </w:p>
        </w:tc>
      </w:tr>
      <w:tr>
        <w:trPr>
          <w:trHeight w:val="230"/>
        </w:trPr>
        <w:tc>
          <w:tcPr>
            <w:tcW w:w="4140" w:type="dxa"/>
            <w:vAlign w:val="bottom"/>
          </w:tcPr>
          <w:p>
            <w:pPr>
              <w:spacing w:after="0"/>
              <w:rPr>
                <w:sz w:val="20"/>
                <w:szCs w:val="20"/>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2"/>
              </w:rPr>
              <w:t>shares from us within 30 days of the date of this prospectus to cover over-allotments, if any.</w:t>
            </w:r>
          </w:p>
        </w:tc>
      </w:tr>
      <w:tr>
        <w:trPr>
          <w:trHeight w:val="445"/>
        </w:trPr>
        <w:tc>
          <w:tcPr>
            <w:tcW w:w="4140" w:type="dxa"/>
            <w:vAlign w:val="bottom"/>
          </w:tcPr>
          <w:p>
            <w:pPr>
              <w:spacing w:after="0"/>
              <w:rPr>
                <w:sz w:val="20"/>
                <w:szCs w:val="20"/>
                <w:color w:val="auto"/>
              </w:rPr>
            </w:pPr>
            <w:r>
              <w:rPr>
                <w:rFonts w:ascii="Arial" w:cs="Arial" w:eastAsia="Arial" w:hAnsi="Arial"/>
                <w:sz w:val="18"/>
                <w:szCs w:val="18"/>
                <w:color w:val="auto"/>
              </w:rPr>
              <w:t>Use of proceeds</w:t>
            </w:r>
          </w:p>
        </w:tc>
        <w:tc>
          <w:tcPr>
            <w:tcW w:w="5940" w:type="dxa"/>
            <w:vAlign w:val="bottom"/>
            <w:gridSpan w:val="4"/>
          </w:tcPr>
          <w:p>
            <w:pPr>
              <w:ind w:left="60"/>
              <w:spacing w:after="0"/>
              <w:rPr>
                <w:sz w:val="20"/>
                <w:szCs w:val="20"/>
                <w:color w:val="auto"/>
              </w:rPr>
            </w:pPr>
            <w:r>
              <w:rPr>
                <w:rFonts w:ascii="Arial" w:cs="Arial" w:eastAsia="Arial" w:hAnsi="Arial"/>
                <w:sz w:val="18"/>
                <w:szCs w:val="18"/>
                <w:color w:val="auto"/>
                <w:w w:val="93"/>
              </w:rPr>
              <w:t>We estimate that the net proceeds to us from this offering will be approximately</w:t>
            </w:r>
          </w:p>
        </w:tc>
        <w:tc>
          <w:tcPr>
            <w:tcW w:w="860" w:type="dxa"/>
            <w:vAlign w:val="bottom"/>
          </w:tcPr>
          <w:p>
            <w:pPr>
              <w:spacing w:after="0"/>
              <w:rPr>
                <w:sz w:val="24"/>
                <w:szCs w:val="24"/>
                <w:color w:val="auto"/>
              </w:rPr>
            </w:pPr>
          </w:p>
        </w:tc>
      </w:tr>
      <w:tr>
        <w:trPr>
          <w:trHeight w:val="216"/>
        </w:trPr>
        <w:tc>
          <w:tcPr>
            <w:tcW w:w="414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4480" w:type="dxa"/>
            <w:vAlign w:val="bottom"/>
            <w:gridSpan w:val="2"/>
          </w:tcPr>
          <w:p>
            <w:pPr>
              <w:ind w:left="380"/>
              <w:spacing w:after="0"/>
              <w:rPr>
                <w:sz w:val="20"/>
                <w:szCs w:val="20"/>
                <w:color w:val="auto"/>
              </w:rPr>
            </w:pPr>
            <w:r>
              <w:rPr>
                <w:rFonts w:ascii="Arial" w:cs="Arial" w:eastAsia="Arial" w:hAnsi="Arial"/>
                <w:sz w:val="18"/>
                <w:szCs w:val="18"/>
                <w:color w:val="auto"/>
              </w:rPr>
              <w:t>million, assuming an initial public offering price of $</w:t>
            </w:r>
          </w:p>
        </w:tc>
        <w:tc>
          <w:tcPr>
            <w:tcW w:w="1960" w:type="dxa"/>
            <w:vAlign w:val="bottom"/>
            <w:gridSpan w:val="2"/>
          </w:tcPr>
          <w:p>
            <w:pPr>
              <w:ind w:left="300"/>
              <w:spacing w:after="0"/>
              <w:rPr>
                <w:sz w:val="20"/>
                <w:szCs w:val="20"/>
                <w:color w:val="auto"/>
              </w:rPr>
            </w:pPr>
            <w:r>
              <w:rPr>
                <w:rFonts w:ascii="Arial" w:cs="Arial" w:eastAsia="Arial" w:hAnsi="Arial"/>
                <w:sz w:val="18"/>
                <w:szCs w:val="18"/>
                <w:color w:val="auto"/>
              </w:rPr>
              <w:t>per common share,</w:t>
            </w:r>
          </w:p>
        </w:tc>
      </w:tr>
      <w:tr>
        <w:trPr>
          <w:trHeight w:val="216"/>
        </w:trPr>
        <w:tc>
          <w:tcPr>
            <w:tcW w:w="414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2"/>
              </w:rPr>
              <w:t>which is the midpoint of the price range set forth on the cover page of this prospectus, after</w:t>
            </w:r>
          </w:p>
        </w:tc>
      </w:tr>
      <w:tr>
        <w:trPr>
          <w:trHeight w:val="216"/>
        </w:trPr>
        <w:tc>
          <w:tcPr>
            <w:tcW w:w="414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0"/>
              </w:rPr>
              <w:t>deducting underwriting discounts and commissions and estimated offering expenses payable</w:t>
            </w:r>
          </w:p>
        </w:tc>
      </w:tr>
      <w:tr>
        <w:trPr>
          <w:trHeight w:val="216"/>
        </w:trPr>
        <w:tc>
          <w:tcPr>
            <w:tcW w:w="414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6"/>
              </w:rPr>
              <w:t>by us. We intend to use the net proceeds from this offering together with cash and cash</w:t>
            </w:r>
          </w:p>
        </w:tc>
      </w:tr>
      <w:tr>
        <w:trPr>
          <w:trHeight w:val="216"/>
        </w:trPr>
        <w:tc>
          <w:tcPr>
            <w:tcW w:w="414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2"/>
              </w:rPr>
              <w:t>equivalents on hand to further the development of our therapeutic product candidates under</w:t>
            </w:r>
          </w:p>
        </w:tc>
      </w:tr>
      <w:tr>
        <w:trPr>
          <w:trHeight w:val="216"/>
        </w:trPr>
        <w:tc>
          <w:tcPr>
            <w:tcW w:w="414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2"/>
              </w:rPr>
              <w:t>collaboration agreements (crenezumab, ACI-35 and anti-tau antibodies), advance our other</w:t>
            </w:r>
          </w:p>
        </w:tc>
      </w:tr>
      <w:tr>
        <w:trPr>
          <w:trHeight w:val="216"/>
        </w:trPr>
        <w:tc>
          <w:tcPr>
            <w:tcW w:w="414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1"/>
              </w:rPr>
              <w:t>clinical and pre-clinical programs, and for research and development of other indications and</w:t>
            </w:r>
          </w:p>
        </w:tc>
      </w:tr>
      <w:tr>
        <w:trPr>
          <w:trHeight w:val="216"/>
        </w:trPr>
        <w:tc>
          <w:tcPr>
            <w:tcW w:w="414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0"/>
              </w:rPr>
              <w:t>initiatives that are complementary to our existing and planned research activities. See “Use of</w:t>
            </w:r>
          </w:p>
        </w:tc>
      </w:tr>
      <w:tr>
        <w:trPr>
          <w:trHeight w:val="230"/>
        </w:trPr>
        <w:tc>
          <w:tcPr>
            <w:tcW w:w="4140" w:type="dxa"/>
            <w:vAlign w:val="bottom"/>
          </w:tcPr>
          <w:p>
            <w:pPr>
              <w:spacing w:after="0"/>
              <w:rPr>
                <w:sz w:val="20"/>
                <w:szCs w:val="20"/>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0"/>
              </w:rPr>
              <w:t>Proceeds” for a more complete description of the intended use of proceeds from this offering.</w:t>
            </w:r>
          </w:p>
        </w:tc>
      </w:tr>
      <w:tr>
        <w:trPr>
          <w:trHeight w:val="445"/>
        </w:trPr>
        <w:tc>
          <w:tcPr>
            <w:tcW w:w="4140" w:type="dxa"/>
            <w:vAlign w:val="bottom"/>
          </w:tcPr>
          <w:p>
            <w:pPr>
              <w:spacing w:after="0"/>
              <w:rPr>
                <w:sz w:val="20"/>
                <w:szCs w:val="20"/>
                <w:color w:val="auto"/>
              </w:rPr>
            </w:pPr>
            <w:r>
              <w:rPr>
                <w:rFonts w:ascii="Arial" w:cs="Arial" w:eastAsia="Arial" w:hAnsi="Arial"/>
                <w:sz w:val="18"/>
                <w:szCs w:val="18"/>
                <w:color w:val="auto"/>
              </w:rPr>
              <w:t>Risk factors</w:t>
            </w: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3"/>
              </w:rPr>
              <w:t>See “Risk Factors” and the other information included in this prospectus for a discussion of</w:t>
            </w:r>
          </w:p>
        </w:tc>
      </w:tr>
      <w:tr>
        <w:trPr>
          <w:trHeight w:val="230"/>
        </w:trPr>
        <w:tc>
          <w:tcPr>
            <w:tcW w:w="4140" w:type="dxa"/>
            <w:vAlign w:val="bottom"/>
          </w:tcPr>
          <w:p>
            <w:pPr>
              <w:spacing w:after="0"/>
              <w:rPr>
                <w:sz w:val="20"/>
                <w:szCs w:val="20"/>
                <w:color w:val="auto"/>
              </w:rPr>
            </w:pPr>
          </w:p>
        </w:tc>
        <w:tc>
          <w:tcPr>
            <w:tcW w:w="5940" w:type="dxa"/>
            <w:vAlign w:val="bottom"/>
            <w:gridSpan w:val="4"/>
          </w:tcPr>
          <w:p>
            <w:pPr>
              <w:ind w:left="60"/>
              <w:spacing w:after="0"/>
              <w:rPr>
                <w:sz w:val="20"/>
                <w:szCs w:val="20"/>
                <w:color w:val="auto"/>
              </w:rPr>
            </w:pPr>
            <w:r>
              <w:rPr>
                <w:rFonts w:ascii="Arial" w:cs="Arial" w:eastAsia="Arial" w:hAnsi="Arial"/>
                <w:sz w:val="18"/>
                <w:szCs w:val="18"/>
                <w:color w:val="auto"/>
                <w:w w:val="96"/>
              </w:rPr>
              <w:t>factors you should consider before deciding to invest in our common shares.</w:t>
            </w:r>
          </w:p>
        </w:tc>
        <w:tc>
          <w:tcPr>
            <w:tcW w:w="860" w:type="dxa"/>
            <w:vAlign w:val="bottom"/>
          </w:tcPr>
          <w:p>
            <w:pPr>
              <w:spacing w:after="0"/>
              <w:rPr>
                <w:sz w:val="20"/>
                <w:szCs w:val="20"/>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18"/>
                <w:szCs w:val="18"/>
                <w:color w:val="auto"/>
              </w:rPr>
              <w:t>Proposed NASDAQ symbol</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2180" w:type="dxa"/>
            <w:vAlign w:val="bottom"/>
          </w:tcPr>
          <w:p>
            <w:pPr>
              <w:ind w:left="22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6"/>
        </w:trPr>
        <w:tc>
          <w:tcPr>
            <w:tcW w:w="6680" w:type="dxa"/>
            <w:vAlign w:val="bottom"/>
            <w:gridSpan w:val="3"/>
          </w:tcPr>
          <w:p>
            <w:pPr>
              <w:ind w:left="440"/>
              <w:spacing w:after="0"/>
              <w:rPr>
                <w:sz w:val="20"/>
                <w:szCs w:val="20"/>
                <w:color w:val="auto"/>
              </w:rPr>
            </w:pPr>
            <w:r>
              <w:rPr>
                <w:rFonts w:ascii="Arial" w:cs="Arial" w:eastAsia="Arial" w:hAnsi="Arial"/>
                <w:sz w:val="18"/>
                <w:szCs w:val="18"/>
                <w:color w:val="auto"/>
                <w:w w:val="94"/>
              </w:rPr>
              <w:t>The number of our common shares to be outstanding after this offering is based on</w:t>
            </w:r>
          </w:p>
        </w:tc>
        <w:tc>
          <w:tcPr>
            <w:tcW w:w="4260" w:type="dxa"/>
            <w:vAlign w:val="bottom"/>
            <w:gridSpan w:val="3"/>
          </w:tcPr>
          <w:p>
            <w:pPr>
              <w:ind w:left="300"/>
              <w:spacing w:after="0"/>
              <w:rPr>
                <w:sz w:val="20"/>
                <w:szCs w:val="20"/>
                <w:color w:val="auto"/>
              </w:rPr>
            </w:pPr>
            <w:r>
              <w:rPr>
                <w:rFonts w:ascii="Arial" w:cs="Arial" w:eastAsia="Arial" w:hAnsi="Arial"/>
                <w:sz w:val="18"/>
                <w:szCs w:val="18"/>
                <w:color w:val="auto"/>
                <w:w w:val="92"/>
              </w:rPr>
              <w:t>common shares outstanding as at June 30, 2015 and</w:t>
            </w:r>
          </w:p>
        </w:tc>
      </w:tr>
    </w:tbl>
    <w:p>
      <w:pPr>
        <w:ind w:left="200" w:right="180" w:firstLine="540"/>
        <w:spacing w:after="0" w:line="261" w:lineRule="auto"/>
        <w:rPr>
          <w:sz w:val="20"/>
          <w:szCs w:val="20"/>
          <w:color w:val="auto"/>
        </w:rPr>
      </w:pPr>
      <w:r>
        <w:rPr>
          <w:rFonts w:ascii="Arial" w:cs="Arial" w:eastAsia="Arial" w:hAnsi="Arial"/>
          <w:sz w:val="18"/>
          <w:szCs w:val="18"/>
          <w:color w:val="auto"/>
        </w:rPr>
        <w:t>additional common shares issuable upon the automatic conversion of all of our preferred shares on a one-for-one basis upon the closing of this offering, but excludes:</w:t>
      </w:r>
    </w:p>
    <w:p>
      <w:pPr>
        <w:spacing w:after="0" w:line="89" w:lineRule="exact"/>
        <w:rPr>
          <w:sz w:val="20"/>
          <w:szCs w:val="20"/>
          <w:color w:val="auto"/>
        </w:rPr>
      </w:pPr>
    </w:p>
    <w:p>
      <w:pPr>
        <w:ind w:left="1060" w:right="760" w:hanging="431"/>
        <w:spacing w:after="0" w:line="277" w:lineRule="auto"/>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our common shares reserved for future issuance under our new omnibus equity incentive plan that we intend to adopt in connection with this offering; and</w:t>
      </w:r>
    </w:p>
    <w:p>
      <w:pPr>
        <w:spacing w:after="0" w:line="75" w:lineRule="exact"/>
        <w:rPr>
          <w:rFonts w:ascii="Arial" w:cs="Arial" w:eastAsia="Arial" w:hAnsi="Arial"/>
          <w:sz w:val="18"/>
          <w:szCs w:val="18"/>
          <w:color w:val="auto"/>
        </w:rPr>
      </w:pPr>
    </w:p>
    <w:p>
      <w:pPr>
        <w:ind w:left="1060" w:hanging="431"/>
        <w:spacing w:after="0" w:line="277" w:lineRule="auto"/>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our common shares issuable upon the exercise of options outstanding under our existing equity incentive plans as at June 30, 2015 at a weighted-average exercise price of CHF 36.37 per common share.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1933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1933575"/>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Unless otherwise indicated, all information contained in this prospectus reflects the completion of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-for-one stock split and assumes:</w:t>
      </w:r>
    </w:p>
    <w:p>
      <w:pPr>
        <w:spacing w:after="0" w:line="154" w:lineRule="exact"/>
        <w:rPr>
          <w:sz w:val="20"/>
          <w:szCs w:val="20"/>
          <w:color w:val="auto"/>
        </w:rPr>
      </w:pPr>
    </w:p>
    <w:p>
      <w:pPr>
        <w:sectPr>
          <w:pgSz w:w="11900" w:h="16838" w:orient="portrait"/>
          <w:cols w:equalWidth="0" w:num="2">
            <w:col w:w="7800" w:space="600"/>
            <w:col w:w="2740"/>
          </w:cols>
          <w:pgMar w:left="240" w:top="459" w:right="519" w:bottom="1440" w:gutter="0" w:footer="0" w:header="0"/>
          <w:type w:val="continuous"/>
        </w:sect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an initial public offering price of $ prospectus;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per common share, which is the midpoint of the price range set forth on the cover page of this</w:t>
      </w:r>
    </w:p>
    <w:p>
      <w:pPr>
        <w:spacing w:after="0" w:line="369" w:lineRule="exact"/>
        <w:rPr>
          <w:sz w:val="20"/>
          <w:szCs w:val="20"/>
          <w:color w:val="auto"/>
        </w:rPr>
      </w:pPr>
    </w:p>
    <w:p>
      <w:pPr>
        <w:sectPr>
          <w:pgSz w:w="11900" w:h="16838" w:orient="portrait"/>
          <w:cols w:equalWidth="0" w:num="3">
            <w:col w:w="700" w:space="360"/>
            <w:col w:w="2480" w:space="600"/>
            <w:col w:w="7000"/>
          </w:cols>
          <w:pgMar w:left="240" w:top="459" w:right="519" w:bottom="1440" w:gutter="0" w:footer="0" w:header="0"/>
          <w:type w:val="continuous"/>
        </w:sectPr>
      </w:pPr>
    </w:p>
    <w:p>
      <w:pPr>
        <w:ind w:left="1060" w:right="360" w:hanging="431"/>
        <w:spacing w:after="0" w:line="308"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 issuance of any common shares reserved for future issuance under our new omnibus equity incentive plan or exercise of the options outstanding under our existing equity incentive plans, each as described in the immediately preceding paragraph;</w:t>
      </w:r>
    </w:p>
    <w:p>
      <w:pPr>
        <w:spacing w:after="0" w:line="51" w:lineRule="exact"/>
        <w:rPr>
          <w:rFonts w:ascii="Arial" w:cs="Arial" w:eastAsia="Arial" w:hAnsi="Arial"/>
          <w:sz w:val="17"/>
          <w:szCs w:val="17"/>
          <w:color w:val="auto"/>
        </w:rPr>
      </w:pPr>
    </w:p>
    <w:p>
      <w:pPr>
        <w:ind w:left="1060" w:hanging="431"/>
        <w:spacing w:after="0"/>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conversion of all of our preferred shares into common shares on a one-for-one basis upon the closing of this offering and the filing and</w:t>
      </w:r>
    </w:p>
    <w:p>
      <w:pPr>
        <w:sectPr>
          <w:pgSz w:w="11900" w:h="16838" w:orient="portrait"/>
          <w:cols w:equalWidth="0" w:num="1">
            <w:col w:w="11140"/>
          </w:cols>
          <w:pgMar w:left="240" w:top="459" w:right="519" w:bottom="1440" w:gutter="0" w:footer="0" w:header="0"/>
          <w:type w:val="continuous"/>
        </w:sectPr>
      </w:pPr>
    </w:p>
    <w:p>
      <w:pPr>
        <w:spacing w:after="0" w:line="46" w:lineRule="exact"/>
        <w:rPr>
          <w:sz w:val="20"/>
          <w:szCs w:val="20"/>
          <w:color w:val="auto"/>
        </w:rPr>
      </w:pPr>
    </w:p>
    <w:p>
      <w:pPr>
        <w:ind w:left="1060"/>
        <w:spacing w:after="0" w:line="261" w:lineRule="auto"/>
        <w:rPr>
          <w:sz w:val="20"/>
          <w:szCs w:val="20"/>
          <w:color w:val="auto"/>
        </w:rPr>
      </w:pPr>
      <w:r>
        <w:rPr>
          <w:rFonts w:ascii="Arial" w:cs="Arial" w:eastAsia="Arial" w:hAnsi="Arial"/>
          <w:sz w:val="18"/>
          <w:szCs w:val="18"/>
          <w:color w:val="auto"/>
        </w:rPr>
        <w:t>effectiveness of our amended and restated articles of association and creation of authorized share capital of common shares upon the closing of this offering; and</w:t>
      </w:r>
    </w:p>
    <w:p>
      <w:pPr>
        <w:sectPr>
          <w:pgSz w:w="11900" w:h="16838" w:orient="portrait"/>
          <w:cols w:equalWidth="0" w:num="1">
            <w:col w:w="11140"/>
          </w:cols>
          <w:pgMar w:left="240" w:top="459" w:right="519" w:bottom="1440" w:gutter="0" w:footer="0" w:header="0"/>
          <w:type w:val="continuous"/>
        </w:sectPr>
      </w:pPr>
    </w:p>
    <w:p>
      <w:pPr>
        <w:spacing w:after="0" w:line="8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no exercise of the underwriter’s over-allotment option to purchase up to</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additional common shares.</w:t>
      </w:r>
    </w:p>
    <w:p>
      <w:pPr>
        <w:spacing w:after="0" w:line="222" w:lineRule="exact"/>
        <w:rPr>
          <w:sz w:val="20"/>
          <w:szCs w:val="20"/>
          <w:color w:val="auto"/>
        </w:rPr>
      </w:pPr>
    </w:p>
    <w:p>
      <w:pPr>
        <w:sectPr>
          <w:pgSz w:w="11900" w:h="16838" w:orient="portrait"/>
          <w:cols w:equalWidth="0" w:num="3">
            <w:col w:w="700" w:space="360"/>
            <w:col w:w="5180" w:space="580"/>
            <w:col w:w="4320"/>
          </w:cols>
          <w:pgMar w:left="240" w:top="459"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140"/>
          </w:cols>
          <w:pgMar w:left="240" w:top="459" w:right="5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OTHER FINANCIAL INFORMATION</w:t>
      </w:r>
    </w:p>
    <w:p>
      <w:pPr>
        <w:spacing w:after="0" w:line="229"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The following summary historical financial information should be read in conjunction with “Selected Financial and Other Information,” “Management’s Discussion and Analysis of Financial Condition and Results of Operations” and our financial statements, including the notes thereto, included elsewhere in this prospectus. Our historical results are not necessarily indicative of the results that may be expected in the future and results of interim periods are not necessarily indicative of results for the entire year.</w:t>
      </w:r>
    </w:p>
    <w:p>
      <w:pPr>
        <w:spacing w:after="0" w:line="187"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The summary income statement data and balance sheet data for and as at the years ended December 31, 2014 and 2013 are derived from our audited financial statements included elsewhere in this prospectus. The summary income statement data for the six months ended June 30, 2015 and 2014 and balance sheet data as at June 30, 2015 are derived from our unaudited condensed interim financial statements included elsewhere in this prospectus. This unaudited financial data, in management’s opinion, have been prepared on the same basis as the audited financial statements and related notes included elsewhere in this prospectus, and include all adjustments, consisting only of normal recurring adjustments, that management considers necessary for a fair presentation of the financial information as of and for the periods presented.</w:t>
      </w:r>
    </w:p>
    <w:p>
      <w:pPr>
        <w:spacing w:after="0" w:line="178"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maintain our books and records in, and our audited financial statements and unaudited condensed interim financial statements are prepared and presented in accordance with IFRS in, CHF.</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740" w:type="dxa"/>
            <w:vAlign w:val="bottom"/>
            <w:gridSpan w:val="4"/>
          </w:tcPr>
          <w:p>
            <w:pPr>
              <w:ind w:left="180"/>
              <w:spacing w:after="0"/>
              <w:rPr>
                <w:sz w:val="20"/>
                <w:szCs w:val="20"/>
                <w:color w:val="auto"/>
              </w:rPr>
            </w:pPr>
            <w:r>
              <w:rPr>
                <w:rFonts w:ascii="Arial" w:cs="Arial" w:eastAsia="Arial" w:hAnsi="Arial"/>
                <w:sz w:val="14"/>
                <w:szCs w:val="14"/>
                <w:b w:val="1"/>
                <w:bCs w:val="1"/>
                <w:color w:val="auto"/>
              </w:rPr>
              <w:t>For the Six Months</w:t>
            </w:r>
          </w:p>
        </w:tc>
        <w:tc>
          <w:tcPr>
            <w:tcW w:w="17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For the Years Ended</w:t>
            </w:r>
          </w:p>
        </w:tc>
      </w:tr>
      <w:tr>
        <w:trPr>
          <w:trHeight w:val="171"/>
        </w:trPr>
        <w:tc>
          <w:tcPr>
            <w:tcW w:w="7620" w:type="dxa"/>
            <w:vAlign w:val="bottom"/>
          </w:tcPr>
          <w:p>
            <w:pPr>
              <w:spacing w:after="0"/>
              <w:rPr>
                <w:sz w:val="14"/>
                <w:szCs w:val="14"/>
                <w:color w:val="auto"/>
              </w:rPr>
            </w:pPr>
          </w:p>
        </w:tc>
        <w:tc>
          <w:tcPr>
            <w:tcW w:w="17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Ended June 30,</w:t>
            </w:r>
          </w:p>
        </w:tc>
        <w:tc>
          <w:tcPr>
            <w:tcW w:w="17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62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19"/>
        </w:trPr>
        <w:tc>
          <w:tcPr>
            <w:tcW w:w="7620" w:type="dxa"/>
            <w:vAlign w:val="bottom"/>
          </w:tcPr>
          <w:p>
            <w:pPr>
              <w:spacing w:after="0"/>
              <w:rPr>
                <w:sz w:val="10"/>
                <w:szCs w:val="10"/>
                <w:color w:val="auto"/>
              </w:rPr>
            </w:pPr>
          </w:p>
        </w:tc>
        <w:tc>
          <w:tcPr>
            <w:tcW w:w="3320" w:type="dxa"/>
            <w:vAlign w:val="bottom"/>
            <w:gridSpan w:val="7"/>
          </w:tcPr>
          <w:p>
            <w:pPr>
              <w:jc w:val="right"/>
              <w:ind w:right="231"/>
              <w:spacing w:after="0" w:line="119" w:lineRule="exact"/>
              <w:rPr>
                <w:sz w:val="20"/>
                <w:szCs w:val="20"/>
                <w:color w:val="auto"/>
              </w:rPr>
            </w:pPr>
            <w:r>
              <w:rPr>
                <w:rFonts w:ascii="Arial" w:cs="Arial" w:eastAsia="Arial" w:hAnsi="Arial"/>
                <w:sz w:val="13"/>
                <w:szCs w:val="13"/>
                <w:b w:val="1"/>
                <w:bCs w:val="1"/>
                <w:color w:val="auto"/>
              </w:rPr>
              <w:t>(in CHF thousands except for share and per</w:t>
            </w:r>
          </w:p>
        </w:tc>
        <w:tc>
          <w:tcPr>
            <w:tcW w:w="120" w:type="dxa"/>
            <w:vAlign w:val="bottom"/>
          </w:tcPr>
          <w:p>
            <w:pPr>
              <w:spacing w:after="0"/>
              <w:rPr>
                <w:sz w:val="10"/>
                <w:szCs w:val="10"/>
                <w:color w:val="auto"/>
              </w:rPr>
            </w:pPr>
          </w:p>
        </w:tc>
      </w:tr>
      <w:tr>
        <w:trPr>
          <w:trHeight w:val="171"/>
        </w:trPr>
        <w:tc>
          <w:tcPr>
            <w:tcW w:w="7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share data)</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Revenue</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14,401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4,060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30,269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8,637</w:t>
            </w: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16,116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17,180</w:t>
            </w: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1,742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1,489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3,436</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2,955</w:t>
            </w:r>
          </w:p>
        </w:tc>
      </w:tr>
      <w:tr>
        <w:trPr>
          <w:trHeight w:val="75"/>
        </w:trPr>
        <w:tc>
          <w:tcPr>
            <w:tcW w:w="762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 (loss)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(11,498)</w:t>
            </w: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Finance costs—net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r>
      <w:tr>
        <w:trPr>
          <w:trHeight w:val="75"/>
        </w:trPr>
        <w:tc>
          <w:tcPr>
            <w:tcW w:w="762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 (loss) before tax</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(11,243)</w:t>
            </w: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75"/>
        </w:trPr>
        <w:tc>
          <w:tcPr>
            <w:tcW w:w="762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 (loss) for the period</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(11,243)</w:t>
            </w:r>
          </w:p>
        </w:tc>
      </w:tr>
      <w:tr>
        <w:trPr>
          <w:trHeight w:val="20"/>
        </w:trPr>
        <w:tc>
          <w:tcPr>
            <w:tcW w:w="7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6"/>
        </w:trPr>
        <w:tc>
          <w:tcPr>
            <w:tcW w:w="7620" w:type="dxa"/>
            <w:vAlign w:val="bottom"/>
          </w:tcPr>
          <w:p>
            <w:pPr>
              <w:ind w:left="360"/>
              <w:spacing w:after="0"/>
              <w:rPr>
                <w:sz w:val="20"/>
                <w:szCs w:val="20"/>
                <w:color w:val="auto"/>
              </w:rPr>
            </w:pPr>
            <w:r>
              <w:rPr>
                <w:rFonts w:ascii="Arial" w:cs="Arial" w:eastAsia="Arial" w:hAnsi="Arial"/>
                <w:sz w:val="18"/>
                <w:szCs w:val="18"/>
                <w:color w:val="auto"/>
              </w:rPr>
              <w:t>Earnings / (loss) per share (basic)(1)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32.90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(27.06)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62.93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(69.25)</w:t>
            </w: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Earnings / (loss) per share (fully diluted)(1)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(62.59)</w:t>
            </w: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Weighted-average number of shares used to compute earnings / (loss) per share basic</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170,901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170,707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170,739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162,356</w:t>
            </w: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Weighted-average number of shares used to compute earnings / (loss) per share fully diluted</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181,514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185,939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184,048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179,638</w:t>
            </w:r>
          </w:p>
        </w:tc>
      </w:tr>
    </w:tbl>
    <w:p>
      <w:pPr>
        <w:spacing w:after="0" w:line="175" w:lineRule="exact"/>
        <w:rPr>
          <w:sz w:val="20"/>
          <w:szCs w:val="20"/>
          <w:color w:val="auto"/>
        </w:rPr>
      </w:pPr>
    </w:p>
    <w:p>
      <w:pPr>
        <w:ind w:left="620" w:hanging="42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preferred shares, which will be converted on a one-for-one basis upon the closing of this offering.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086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34086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As at June 30, 2015</w:t>
            </w:r>
          </w:p>
        </w:tc>
        <w:tc>
          <w:tcPr>
            <w:tcW w:w="1640" w:type="dxa"/>
            <w:vAlign w:val="bottom"/>
            <w:tcBorders>
              <w:bottom w:val="single" w:sz="8" w:color="auto"/>
            </w:tcBorders>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110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Actual</w:t>
            </w:r>
          </w:p>
        </w:tc>
        <w:tc>
          <w:tcPr>
            <w:tcW w:w="2100" w:type="dxa"/>
            <w:vAlign w:val="bottom"/>
            <w:tcBorders>
              <w:bottom w:val="single" w:sz="8" w:color="auto"/>
            </w:tcBorders>
          </w:tcPr>
          <w:p>
            <w:pPr>
              <w:jc w:val="right"/>
              <w:ind w:right="657"/>
              <w:spacing w:after="0" w:line="142" w:lineRule="exact"/>
              <w:rPr>
                <w:sz w:val="20"/>
                <w:szCs w:val="20"/>
                <w:color w:val="auto"/>
              </w:rPr>
            </w:pPr>
            <w:r>
              <w:rPr>
                <w:rFonts w:ascii="Arial" w:cs="Arial" w:eastAsia="Arial" w:hAnsi="Arial"/>
                <w:sz w:val="14"/>
                <w:szCs w:val="14"/>
                <w:b w:val="1"/>
                <w:bCs w:val="1"/>
                <w:color w:val="auto"/>
              </w:rPr>
              <w:t>As Adjusted(1)</w:t>
            </w:r>
          </w:p>
        </w:tc>
        <w:tc>
          <w:tcPr>
            <w:tcW w:w="16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3"/>
              </w:rPr>
              <w:t>As Further Adjusted(2)</w:t>
            </w:r>
          </w:p>
        </w:tc>
      </w:tr>
      <w:tr>
        <w:trPr>
          <w:trHeight w:val="142"/>
        </w:trPr>
        <w:tc>
          <w:tcPr>
            <w:tcW w:w="4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10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(in CHF thousands)</w:t>
            </w:r>
          </w:p>
        </w:tc>
        <w:tc>
          <w:tcPr>
            <w:tcW w:w="164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Cash and cash equivalents(3)</w:t>
            </w:r>
          </w:p>
        </w:tc>
        <w:tc>
          <w:tcPr>
            <w:tcW w:w="1100" w:type="dxa"/>
            <w:vAlign w:val="bottom"/>
          </w:tcPr>
          <w:p>
            <w:pPr>
              <w:jc w:val="right"/>
              <w:ind w:right="393"/>
              <w:spacing w:after="0"/>
              <w:rPr>
                <w:sz w:val="20"/>
                <w:szCs w:val="20"/>
                <w:color w:val="auto"/>
              </w:rPr>
            </w:pPr>
            <w:r>
              <w:rPr>
                <w:rFonts w:ascii="Arial" w:cs="Arial" w:eastAsia="Arial" w:hAnsi="Arial"/>
                <w:sz w:val="18"/>
                <w:szCs w:val="18"/>
                <w:color w:val="auto"/>
              </w:rPr>
              <w:t>19,355</w:t>
            </w:r>
          </w:p>
        </w:tc>
        <w:tc>
          <w:tcPr>
            <w:tcW w:w="2100" w:type="dxa"/>
            <w:vAlign w:val="bottom"/>
          </w:tcPr>
          <w:p>
            <w:pPr>
              <w:jc w:val="right"/>
              <w:ind w:right="657"/>
              <w:spacing w:after="0"/>
              <w:rPr>
                <w:sz w:val="20"/>
                <w:szCs w:val="20"/>
                <w:color w:val="auto"/>
              </w:rPr>
            </w:pPr>
            <w:r>
              <w:rPr>
                <w:rFonts w:ascii="Arial" w:cs="Arial" w:eastAsia="Arial" w:hAnsi="Arial"/>
                <w:sz w:val="18"/>
                <w:szCs w:val="18"/>
                <w:color w:val="auto"/>
              </w:rPr>
              <w:t>19,355</w:t>
            </w:r>
          </w:p>
        </w:tc>
        <w:tc>
          <w:tcPr>
            <w:tcW w:w="1640" w:type="dxa"/>
            <w:vAlign w:val="bottom"/>
          </w:tcPr>
          <w:p>
            <w:pPr>
              <w:spacing w:after="0"/>
              <w:rPr>
                <w:sz w:val="18"/>
                <w:szCs w:val="18"/>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34,976</w:t>
            </w:r>
          </w:p>
        </w:tc>
        <w:tc>
          <w:tcPr>
            <w:tcW w:w="210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34,976</w:t>
            </w:r>
          </w:p>
        </w:tc>
        <w:tc>
          <w:tcPr>
            <w:tcW w:w="1640" w:type="dxa"/>
            <w:vAlign w:val="bottom"/>
            <w:shd w:val="clear" w:color="auto" w:fill="CCEEFF"/>
          </w:tcPr>
          <w:p>
            <w:pPr>
              <w:spacing w:after="0"/>
              <w:rPr>
                <w:sz w:val="18"/>
                <w:szCs w:val="18"/>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100" w:type="dxa"/>
            <w:vAlign w:val="bottom"/>
          </w:tcPr>
          <w:p>
            <w:pPr>
              <w:jc w:val="right"/>
              <w:ind w:right="333"/>
              <w:spacing w:after="0"/>
              <w:rPr>
                <w:sz w:val="20"/>
                <w:szCs w:val="20"/>
                <w:color w:val="auto"/>
              </w:rPr>
            </w:pPr>
            <w:r>
              <w:rPr>
                <w:rFonts w:ascii="Arial" w:cs="Arial" w:eastAsia="Arial" w:hAnsi="Arial"/>
                <w:sz w:val="18"/>
                <w:szCs w:val="18"/>
                <w:color w:val="auto"/>
                <w:w w:val="98"/>
              </w:rPr>
              <w:t>(54,928)</w:t>
            </w:r>
          </w:p>
        </w:tc>
        <w:tc>
          <w:tcPr>
            <w:tcW w:w="2100" w:type="dxa"/>
            <w:vAlign w:val="bottom"/>
          </w:tcPr>
          <w:p>
            <w:pPr>
              <w:jc w:val="right"/>
              <w:ind w:right="597"/>
              <w:spacing w:after="0"/>
              <w:rPr>
                <w:sz w:val="20"/>
                <w:szCs w:val="20"/>
                <w:color w:val="auto"/>
              </w:rPr>
            </w:pPr>
            <w:r>
              <w:rPr>
                <w:rFonts w:ascii="Arial" w:cs="Arial" w:eastAsia="Arial" w:hAnsi="Arial"/>
                <w:sz w:val="18"/>
                <w:szCs w:val="18"/>
                <w:color w:val="auto"/>
              </w:rPr>
              <w:t>(54,928)</w:t>
            </w:r>
          </w:p>
        </w:tc>
        <w:tc>
          <w:tcPr>
            <w:tcW w:w="1640" w:type="dxa"/>
            <w:vAlign w:val="bottom"/>
          </w:tcPr>
          <w:p>
            <w:pPr>
              <w:spacing w:after="0"/>
              <w:rPr>
                <w:sz w:val="18"/>
                <w:szCs w:val="18"/>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shareholders’ equity(3)</w:t>
            </w:r>
          </w:p>
        </w:tc>
        <w:tc>
          <w:tcPr>
            <w:tcW w:w="11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29,004</w:t>
            </w:r>
          </w:p>
        </w:tc>
        <w:tc>
          <w:tcPr>
            <w:tcW w:w="210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29,004</w:t>
            </w:r>
          </w:p>
        </w:tc>
        <w:tc>
          <w:tcPr>
            <w:tcW w:w="1640" w:type="dxa"/>
            <w:vAlign w:val="bottom"/>
            <w:shd w:val="clear" w:color="auto" w:fill="CCEEFF"/>
          </w:tcPr>
          <w:p>
            <w:pPr>
              <w:spacing w:after="0"/>
              <w:rPr>
                <w:sz w:val="18"/>
                <w:szCs w:val="18"/>
                <w:color w:val="auto"/>
              </w:rPr>
            </w:pPr>
          </w:p>
        </w:tc>
      </w:tr>
      <w:tr>
        <w:trPr>
          <w:trHeight w:val="230"/>
        </w:trPr>
        <w:tc>
          <w:tcPr>
            <w:tcW w:w="4460" w:type="dxa"/>
            <w:vAlign w:val="bottom"/>
          </w:tcPr>
          <w:p>
            <w:pPr>
              <w:ind w:left="360"/>
              <w:spacing w:after="0"/>
              <w:rPr>
                <w:sz w:val="20"/>
                <w:szCs w:val="20"/>
                <w:color w:val="auto"/>
              </w:rPr>
            </w:pPr>
            <w:r>
              <w:rPr>
                <w:rFonts w:ascii="Arial" w:cs="Arial" w:eastAsia="Arial" w:hAnsi="Arial"/>
                <w:sz w:val="18"/>
                <w:szCs w:val="18"/>
                <w:color w:val="auto"/>
              </w:rPr>
              <w:t>Total equity and liabilities</w:t>
            </w:r>
          </w:p>
        </w:tc>
        <w:tc>
          <w:tcPr>
            <w:tcW w:w="1100" w:type="dxa"/>
            <w:vAlign w:val="bottom"/>
          </w:tcPr>
          <w:p>
            <w:pPr>
              <w:jc w:val="right"/>
              <w:ind w:right="393"/>
              <w:spacing w:after="0"/>
              <w:rPr>
                <w:sz w:val="20"/>
                <w:szCs w:val="20"/>
                <w:color w:val="auto"/>
              </w:rPr>
            </w:pPr>
            <w:r>
              <w:rPr>
                <w:rFonts w:ascii="Arial" w:cs="Arial" w:eastAsia="Arial" w:hAnsi="Arial"/>
                <w:sz w:val="18"/>
                <w:szCs w:val="18"/>
                <w:color w:val="auto"/>
              </w:rPr>
              <w:t>34,976</w:t>
            </w:r>
          </w:p>
        </w:tc>
        <w:tc>
          <w:tcPr>
            <w:tcW w:w="2100" w:type="dxa"/>
            <w:vAlign w:val="bottom"/>
          </w:tcPr>
          <w:p>
            <w:pPr>
              <w:jc w:val="right"/>
              <w:ind w:right="657"/>
              <w:spacing w:after="0"/>
              <w:rPr>
                <w:sz w:val="20"/>
                <w:szCs w:val="20"/>
                <w:color w:val="auto"/>
              </w:rPr>
            </w:pPr>
            <w:r>
              <w:rPr>
                <w:rFonts w:ascii="Arial" w:cs="Arial" w:eastAsia="Arial" w:hAnsi="Arial"/>
                <w:sz w:val="18"/>
                <w:szCs w:val="18"/>
                <w:color w:val="auto"/>
              </w:rPr>
              <w:t>34,976</w:t>
            </w:r>
          </w:p>
        </w:tc>
        <w:tc>
          <w:tcPr>
            <w:tcW w:w="1640" w:type="dxa"/>
            <w:vAlign w:val="bottom"/>
          </w:tcPr>
          <w:p>
            <w:pPr>
              <w:spacing w:after="0"/>
              <w:rPr>
                <w:sz w:val="20"/>
                <w:szCs w:val="20"/>
                <w:color w:val="auto"/>
              </w:rPr>
            </w:pPr>
          </w:p>
        </w:tc>
      </w:tr>
    </w:tbl>
    <w:p>
      <w:pPr>
        <w:spacing w:after="0" w:line="160" w:lineRule="exact"/>
        <w:rPr>
          <w:sz w:val="20"/>
          <w:szCs w:val="20"/>
          <w:color w:val="auto"/>
        </w:rPr>
      </w:pPr>
    </w:p>
    <w:p>
      <w:pPr>
        <w:ind w:left="620" w:hanging="423"/>
        <w:spacing w:after="0" w:line="258"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adjusted balance sheet data gives effect to (i) the conversion of our preferred shares into common shares on a one-for-one basis upon closing of this offering and (ii) the filing and effectiveness of our amended and restated articles of association.</w:t>
      </w:r>
    </w:p>
    <w:tbl>
      <w:tblPr>
        <w:tblLayout w:type="fixed"/>
        <w:tblInd w:w="200" w:type="dxa"/>
        <w:tblCellMar>
          <w:top w:w="0" w:type="dxa"/>
          <w:left w:w="0" w:type="dxa"/>
          <w:bottom w:w="0" w:type="dxa"/>
          <w:right w:w="0" w:type="dxa"/>
        </w:tblCellMar>
      </w:tblPr>
      <w:tr>
        <w:trPr>
          <w:trHeight w:val="203"/>
        </w:trPr>
        <w:tc>
          <w:tcPr>
            <w:tcW w:w="3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1"/>
              </w:rPr>
              <w:t>(2)</w:t>
            </w:r>
          </w:p>
        </w:tc>
        <w:tc>
          <w:tcPr>
            <w:tcW w:w="6020" w:type="dxa"/>
            <w:vAlign w:val="bottom"/>
            <w:gridSpan w:val="5"/>
          </w:tcPr>
          <w:p>
            <w:pPr>
              <w:ind w:left="100"/>
              <w:spacing w:after="0" w:line="203" w:lineRule="exact"/>
              <w:rPr>
                <w:sz w:val="20"/>
                <w:szCs w:val="20"/>
                <w:color w:val="auto"/>
              </w:rPr>
            </w:pPr>
            <w:r>
              <w:rPr>
                <w:rFonts w:ascii="Arial" w:cs="Arial" w:eastAsia="Arial" w:hAnsi="Arial"/>
                <w:sz w:val="18"/>
                <w:szCs w:val="18"/>
                <w:color w:val="auto"/>
                <w:w w:val="94"/>
              </w:rPr>
              <w:t>As further adjusted balance sheet data gives effect to our issuance and sale of</w:t>
            </w:r>
          </w:p>
        </w:tc>
        <w:tc>
          <w:tcPr>
            <w:tcW w:w="46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6"/>
              </w:rPr>
              <w:t>common shares in this offering, assuming an initial public</w:t>
            </w:r>
          </w:p>
        </w:tc>
      </w:tr>
      <w:tr>
        <w:trPr>
          <w:trHeight w:val="216"/>
        </w:trPr>
        <w:tc>
          <w:tcPr>
            <w:tcW w:w="3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offering price of $</w:t>
            </w:r>
          </w:p>
        </w:tc>
        <w:tc>
          <w:tcPr>
            <w:tcW w:w="9040" w:type="dxa"/>
            <w:vAlign w:val="bottom"/>
            <w:gridSpan w:val="4"/>
          </w:tcPr>
          <w:p>
            <w:pPr>
              <w:jc w:val="right"/>
              <w:ind w:right="390"/>
              <w:spacing w:after="0"/>
              <w:rPr>
                <w:sz w:val="20"/>
                <w:szCs w:val="20"/>
                <w:color w:val="auto"/>
              </w:rPr>
            </w:pPr>
            <w:r>
              <w:rPr>
                <w:rFonts w:ascii="Arial" w:cs="Arial" w:eastAsia="Arial" w:hAnsi="Arial"/>
                <w:sz w:val="18"/>
                <w:szCs w:val="18"/>
                <w:color w:val="auto"/>
                <w:w w:val="92"/>
              </w:rPr>
              <w:t>per common share, which is the midpoint of the range set forth on the cover page of this prospectus, after deducting</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rPr>
              <w:t>underwriting discounts and commissions and estimated offering expenses payable by us.</w:t>
            </w: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6020" w:type="dxa"/>
            <w:vAlign w:val="bottom"/>
            <w:gridSpan w:val="5"/>
          </w:tcPr>
          <w:p>
            <w:pPr>
              <w:ind w:left="10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4620" w:type="dxa"/>
            <w:vAlign w:val="bottom"/>
          </w:tcPr>
          <w:p>
            <w:pPr>
              <w:jc w:val="right"/>
              <w:spacing w:after="0"/>
              <w:rPr>
                <w:sz w:val="20"/>
                <w:szCs w:val="20"/>
                <w:color w:val="auto"/>
              </w:rPr>
            </w:pPr>
            <w:r>
              <w:rPr>
                <w:rFonts w:ascii="Arial" w:cs="Arial" w:eastAsia="Arial" w:hAnsi="Arial"/>
                <w:sz w:val="18"/>
                <w:szCs w:val="18"/>
                <w:color w:val="auto"/>
                <w:w w:val="97"/>
              </w:rPr>
              <w:t>per common share, which is the midpoint of the price range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9"/>
              </w:rPr>
              <w:t>set forth on the cover page of this prospectus, would increase (decrease) our as further adjusted cash and cash equivalents and as further adjusted</w:t>
            </w:r>
          </w:p>
        </w:tc>
      </w:tr>
      <w:tr>
        <w:trPr>
          <w:trHeight w:val="216"/>
        </w:trPr>
        <w:tc>
          <w:tcPr>
            <w:tcW w:w="320" w:type="dxa"/>
            <w:vAlign w:val="bottom"/>
          </w:tcPr>
          <w:p>
            <w:pPr>
              <w:spacing w:after="0"/>
              <w:rPr>
                <w:sz w:val="18"/>
                <w:szCs w:val="18"/>
                <w:color w:val="auto"/>
              </w:rPr>
            </w:pPr>
          </w:p>
        </w:tc>
        <w:tc>
          <w:tcPr>
            <w:tcW w:w="2600" w:type="dxa"/>
            <w:vAlign w:val="bottom"/>
            <w:gridSpan w:val="3"/>
          </w:tcPr>
          <w:p>
            <w:pPr>
              <w:ind w:left="100"/>
              <w:spacing w:after="0"/>
              <w:rPr>
                <w:sz w:val="20"/>
                <w:szCs w:val="20"/>
                <w:color w:val="auto"/>
              </w:rPr>
            </w:pPr>
            <w:r>
              <w:rPr>
                <w:rFonts w:ascii="Arial" w:cs="Arial" w:eastAsia="Arial" w:hAnsi="Arial"/>
                <w:sz w:val="18"/>
                <w:szCs w:val="18"/>
                <w:color w:val="auto"/>
              </w:rPr>
              <w:t>total shareholders’ equity by $</w:t>
            </w:r>
          </w:p>
        </w:tc>
        <w:tc>
          <w:tcPr>
            <w:tcW w:w="980" w:type="dxa"/>
            <w:vAlign w:val="bottom"/>
          </w:tcPr>
          <w:p>
            <w:pPr>
              <w:ind w:left="280"/>
              <w:spacing w:after="0"/>
              <w:rPr>
                <w:sz w:val="20"/>
                <w:szCs w:val="20"/>
                <w:color w:val="auto"/>
              </w:rPr>
            </w:pPr>
            <w:r>
              <w:rPr>
                <w:rFonts w:ascii="Arial" w:cs="Arial" w:eastAsia="Arial" w:hAnsi="Arial"/>
                <w:sz w:val="18"/>
                <w:szCs w:val="18"/>
                <w:color w:val="auto"/>
              </w:rPr>
              <w:t>(CHF</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w w:val="93"/>
              </w:rPr>
              <w:t>), assuming that the number of common shares offered by us, as set forth on the cover page of</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9"/>
              </w:rPr>
              <w:t>this prospectus, remains the same and after deducting estimated underwriting discounts and commissions and estimated offering expenses payable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8"/>
              </w:rPr>
              <w:t>by us. We may also increase or decrease the number of shares we are offering. An increase (decrease) of 1,000,000 in the number of shares we are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8"/>
              </w:rPr>
              <w:t>offering would increase (decrease) as further adjusted cash and cash equivalents and as further adjusted total shareholders’ equity by</w:t>
            </w:r>
          </w:p>
        </w:tc>
      </w:tr>
      <w:tr>
        <w:trPr>
          <w:trHeight w:val="230"/>
        </w:trPr>
        <w:tc>
          <w:tcPr>
            <w:tcW w:w="32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ind w:left="280"/>
              <w:spacing w:after="0"/>
              <w:rPr>
                <w:sz w:val="20"/>
                <w:szCs w:val="20"/>
                <w:color w:val="auto"/>
              </w:rPr>
            </w:pPr>
            <w:r>
              <w:rPr>
                <w:rFonts w:ascii="Arial" w:cs="Arial" w:eastAsia="Arial" w:hAnsi="Arial"/>
                <w:sz w:val="18"/>
                <w:szCs w:val="18"/>
                <w:color w:val="auto"/>
              </w:rPr>
              <w:t>(CHF</w:t>
            </w:r>
          </w:p>
        </w:tc>
        <w:tc>
          <w:tcPr>
            <w:tcW w:w="9040" w:type="dxa"/>
            <w:vAlign w:val="bottom"/>
            <w:gridSpan w:val="4"/>
          </w:tcPr>
          <w:p>
            <w:pPr>
              <w:jc w:val="right"/>
              <w:ind w:right="90"/>
              <w:spacing w:after="0"/>
              <w:rPr>
                <w:sz w:val="20"/>
                <w:szCs w:val="20"/>
                <w:color w:val="auto"/>
              </w:rPr>
            </w:pPr>
            <w:r>
              <w:rPr>
                <w:rFonts w:ascii="Arial" w:cs="Arial" w:eastAsia="Arial" w:hAnsi="Arial"/>
                <w:sz w:val="18"/>
                <w:szCs w:val="18"/>
                <w:color w:val="auto"/>
                <w:w w:val="92"/>
              </w:rPr>
              <w:t>), assuming that the assumed initial public offering price remains the same and after deducting the underwriting discount</w:t>
            </w:r>
          </w:p>
        </w:tc>
      </w:tr>
    </w:tbl>
    <w:p>
      <w:pPr>
        <w:ind w:left="620"/>
        <w:spacing w:after="0"/>
        <w:rPr>
          <w:sz w:val="20"/>
          <w:szCs w:val="20"/>
          <w:color w:val="auto"/>
        </w:rPr>
      </w:pPr>
      <w:r>
        <w:rPr>
          <w:rFonts w:ascii="Arial" w:cs="Arial" w:eastAsia="Arial" w:hAnsi="Arial"/>
          <w:sz w:val="18"/>
          <w:szCs w:val="18"/>
          <w:color w:val="auto"/>
        </w:rPr>
        <w:t>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b w:val="1"/>
          <w:bCs w:val="1"/>
          <w:i w:val="1"/>
          <w:iCs w:val="1"/>
          <w:color w:val="auto"/>
        </w:rPr>
        <w:t>We depend heavily on the success of crenezumab, and, to a lesser extent, ACI-24 for AD and ACI-35, all of which are in clinical development. If our clinical studies are unsuccessful, we or our collaboration partner do not obtain regulatory approval or we are unable to commercialize crenezumab, ACI-24 for AD and ACI-35, or we experience significant delays in doing so, our business, financial condition and results of operations will be materially adversely affected.</w:t>
      </w:r>
    </w:p>
    <w:p>
      <w:pPr>
        <w:spacing w:after="0" w:line="79"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crenezumab, ACI-24 for AD and ACI-35,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We currently generate no revenues from sales of any drugs, and we may never be able to develop or commercialize a marketable drug. The success of our current and future product candidates will depend on several factors, including the following:</w:t>
      </w:r>
    </w:p>
    <w:p>
      <w:pPr>
        <w:spacing w:after="0" w:line="64"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completing clinical studies that demonstrate the efficacy and safety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competing effectively with other therapies; and</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qualifying for, obtaining, maintaining, enforcing and defending our intellectual property rights and claims and not infringing on third parties’ intellectual property rights.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or our collaboration partner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Positive or timely results from preclinical or early stage studies do not ensure positive or timely results in late stage clinical studies or product approval by the U.S. Food and Drug Administration, or the FDA, the European Medicines Agency, or the EMA, or comparable foreign regulatory authorities. Products that show positive preclinical or early clinical results may not show sufficient safety or efficacy in later stage clinical studies and therefore may fail to obtain regulatory approvals. For example, we and our collaboration partner Genentech may fail to achieve success in Phase 3 clinical studies of crenezumab. In addition, preclinical and clinical data are often susceptible to varying interpretations and analyses. Many companies that believed their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product candidates performed satisfactorily in preclinical and clinical studies have nonetheless failed to obtain marketing approval 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7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 stage clinical product candidates, results may differ in general on the basis of the larger number of clinical study sites and additional countries and languages involved in Phase 3 clinical studies.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7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may have the exclusive right to commercialize our product candidates or allow our competitors to bring products to market before we do or shorten any periods during which we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273"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6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Drug Price Competition and Patent Term Restoration Act of 1984, or the Hatch-Waxman Act, a pharmaceutical manufacturer may file an abbreviated new drug application, or ANDA, seeking approval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generic copy of an approved innovator product. Under the Hatch-Waxman Act, a manufacturer may also submit a new drug application, or NDA, under section 505(b)(2) that references the FDA’s prior approval of the innovator product. A 505(b)(2) NDA product may be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8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Accordingly, if crenezumab, ACI-24 and ACI-35 are approved, competitors could file ANDAs for generic versions of crenezumab, ACI-24 and ACI-35, or 505(b)(2) NDAs that reference crenezumab, ACI-24 and ACI-35, respectively. If there are patents listed for crenezumab, ACI-24 and ACI-35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5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29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Roche, the parent company of our collaboration partner Genentech, is evaluating gantenerumab, which is a product candidate in the same indication as our lead product candidate crenezumab.</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collaboration partner Genentech is a subsidiary of Roche, which is evaluating gantenerumab, a product candidate for the same indication as our lead product candidate crenezumab.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Roche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297"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6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7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29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may not be able to generate product revenues, which will materially adversely affect our business, financial condition and results of operations.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Even if the FDA, the EMA or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may not generate significant product revenues or any profits from operations. The degree of market acceptance of our product candidates that are approved for commercial sale will depend on a variety of factors, including:</w:t>
      </w:r>
    </w:p>
    <w:p>
      <w:pPr>
        <w:spacing w:after="0" w:line="78"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revenue may be limited and it may be more difficult for us to achieve or maintain profitability.</w:t>
      </w:r>
    </w:p>
    <w:p>
      <w:pPr>
        <w:spacing w:after="0" w:line="286"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availability of competing clinical studies, the availability of new drugs approved for the indication the clinical study is investigating, and clinicians’ and patients’ perceptions as to the potential advantages of the drug being studied in relation to other available therapies. In the Phase 3 clinical studies of crenezumab, we and our collaboration partner Genentech will seek to enroll patients in the early stages of AD and we may be unable to successfully identify an adequate number of eligible patients.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specific target population of patients and therapeutic time windows may make it difficult for us to enroll enough patients to complete our clinical studies in a timely and cost-effective manner. 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296" w:lineRule="exact"/>
        <w:rPr>
          <w:sz w:val="20"/>
          <w:szCs w:val="20"/>
          <w:color w:val="auto"/>
        </w:rPr>
      </w:pPr>
    </w:p>
    <w:p>
      <w:pPr>
        <w:ind w:left="240" w:right="6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5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 stage testing have later been found to cause side effects that restricted their use and prevented further development of the compound for larger indications.</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the clinical studies of crenezumab initiated to date, adverse events have included inflammation of the throat and nasal passages, urinary tract infections and upper respiratory infections. Although considered unlikely related to the treatment, two serious adverse events were observed in one patient during clinical studies of ACI-35, though we cannot assure you that the serious adverse events were not drug related. Non-drug related serious adverse effects observed during clinical studies of ACI-24 were acute chest pain, death, colonic cancer, wound infections and pneumonia. Occurrence of serious procedure-or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any approved products off the market;</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studies or change the labeling of the product;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limitations in how we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9"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6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believe that our key competitor product candidates are (i) aducanumab (Biogen), solanezumab (Eli Lilly), gantenerumab (Roche) and bapineuzumab (Elan, Pfizer and Johnson &amp; Johnson) for crenezumab; (ii) CAD-106 (Novartis) for ACI-24; and (iii) AADVAC1 (Axon Neurosciences) for ACI-35, as described under “Business—Competition.”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7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333"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key element of our strategy is to use and expand our Morphomer and SupraAntigen proprietary technology platforms to create unique drug therapies for conformational diseases, such as Alzheimer’s Disease, and progress these product candidates through clinical development. Although our research and development efforts to date have resulted in a pipeline of product candidates, we may not be able to develop product candidates that are safe and effective. Even if we are successful in continuing to build our pipelines,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the price of our common shares.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5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jc w:val="center"/>
        <w:ind w:left="5620" w:right="1260" w:hanging="5045"/>
        <w:spacing w:after="0" w:line="449" w:lineRule="auto"/>
        <w:tabs>
          <w:tab w:leader="none" w:pos="8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 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14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began our operations in 2003. Our operations to date have been limited to financing and staffing our company, developing our technology and developing crenezumab and our other product candidates. We have not yet demonstrated an ability successfully to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product candidates.</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Loss of our laboratory facilities through fire or other causes could have an adverse effect on our ability to continue to conduct our business. We currently have insurance coverage to compensate us for such business interruptions; however, such coverage may prove insufficient to fully compensate us for the damage to our business resulting from any significant property or casualty loss to our facilities.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1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Andreas Muhs, our Chief Scientific Officer; Dr. Wolfgang Barth, our Director of Development; George Pavey, our Chief Financial Officer; and Jean-Fabian Monin, our Chief Administrative Officer.</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new legislation affecting public companies has been passed that, among other things,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 In addition, the competition for qualified personnel in the biopharmaceutical and pharmaceutical field is intense, and our future success depends upon our ability to attract, retain and motivate highly-skilled scientific, technical and managerial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employees. We face competition for personnel from other companies, universities, public and private research institutions and other organizations. If our recruitment and retention efforts are unsuccessful in the future, it may be difficult for us to implement business strategy, which could have a material adverse effect on our business.</w:t>
      </w:r>
    </w:p>
    <w:p>
      <w:pPr>
        <w:spacing w:after="0" w:line="289"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expect to experience growth in the number of our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purchase liability insurance in connection with the clinical studies that we undertake.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356"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7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developing the drug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8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As such, we are currently primarily focused on the development of ACI-24 and ACI-35 for the treatment of AD.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information technology systems could face serious disruptions that could adversely affect our business.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with our partners and delays in our research and development work. The loss of product development or clinical study data could result in delays in our regulatory approval efforts and significantly increase our costs.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spacing w:after="0" w:line="273" w:lineRule="exact"/>
        <w:rPr>
          <w:sz w:val="20"/>
          <w:szCs w:val="20"/>
          <w:color w:val="auto"/>
        </w:rPr>
      </w:pPr>
    </w:p>
    <w:p>
      <w:pPr>
        <w:ind w:left="240" w:right="10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62"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21" w:lineRule="exact"/>
        <w:rPr>
          <w:sz w:val="20"/>
          <w:szCs w:val="20"/>
          <w:color w:val="auto"/>
        </w:rPr>
      </w:pPr>
    </w:p>
    <w:p>
      <w:pPr>
        <w:ind w:left="240" w:right="62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strategic relationships with Genentech, Janssen and Piramal, our business, commercialization prospects and financial condition may be materially adversely affected.</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two partnerships with Genentech. In 2006, we granted Genentech an exclusive, worldwide license for crenezumab. In 2012, we entered into a second partnership to commercialize our anti-tau antibodies for use as immunotherapies. We partner with Janssen to develop and commercialize therapeutic anti-tau vaccines for the treatment of Alzheimer’s Disease and potentially other tauopathies. We also have a diagnostic partnership with Piramal Imaging for a compound from our Morphomer chemical library that binds pathogenic tau for use as a positron emission tomography, or PET, tracer. Genentech has the right to terminate its agreements with us at any time and for any reason upon providing us with a certain amount of notice. After a specified amount of time, Janssen and Piramal will also each have the right to terminate their agreements with us for any reason upon providing us with a certain amount of notice. If Genentech, Janssen or Piramal terminate their respective agreements with us at any time, it could delay or prevent development of our product candidates and materially harm our business, financial condition, commercialization prospects and results of operations.</w:t>
      </w:r>
    </w:p>
    <w:p>
      <w:pPr>
        <w:spacing w:after="0" w:line="16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Good relationships with Genentech, Janssen and Piramal are important for our business prospects. If our relationships with Genentech, Janssen or Piramal were to deteriorate substantially or Genentech, Janssen or Piramal were to challenge our use of their intellectual property or our calculations of the payments we owe under our agreements, our business, financial condition, commercialization prospects and results of operations could be materially adversely affected.</w:t>
      </w:r>
    </w:p>
    <w:p>
      <w:pPr>
        <w:spacing w:after="0" w:line="187"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Lastly, our collaboration agreement with Genentech for crenezumab provides Genentech with control over, and responsibility for, the clinical development process, including obtaining regulatory and marketing approvals, manufacturing costs and sales and marketing costs. Our other existing collaboration agreements provide 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collaboration partners with similar control over the clinical development process and future collaboration agreements may also relinquish development control to our partners. Genentech or our other current or future collaboration partners may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prospectus or results of operations.</w:t>
      </w:r>
    </w:p>
    <w:p>
      <w:pPr>
        <w:spacing w:after="0" w:line="297" w:lineRule="exact"/>
        <w:rPr>
          <w:sz w:val="20"/>
          <w:szCs w:val="20"/>
          <w:color w:val="auto"/>
        </w:rPr>
      </w:pPr>
    </w:p>
    <w:p>
      <w:pPr>
        <w:ind w:left="240" w:right="28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and may require expertise, such as sales and marketing expertise, which we do not currently possess. Therefore, in addition to our relationships with Genentech, Janssen and Piramal,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5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and document.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83"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not be able to control the amount and timing of resources that the collaboration partner devotes to the product development program;</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complete our obligations under any arrangement.</w:t>
      </w:r>
    </w:p>
    <w:p>
      <w:pPr>
        <w:spacing w:after="0" w:line="279"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7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80" w:lineRule="exact"/>
        <w:rPr>
          <w:sz w:val="20"/>
          <w:szCs w:val="20"/>
          <w:color w:val="auto"/>
        </w:rPr>
      </w:pPr>
    </w:p>
    <w:p>
      <w:pPr>
        <w:ind w:left="240" w:right="18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3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6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were unable to find adequate replacement or another acceptable solution in time, our clinical studies could be delayed or our commercial activities could be harmed.</w:t>
      </w:r>
    </w:p>
    <w:p>
      <w:pPr>
        <w:spacing w:after="0" w:line="1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ability to commercialize any products that receive marketing approval on a timely and competitive basis.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Our collaboration arrangements with our strategic partners may make us an attractive target for potential acquisitions under certain circumstances.</w:t>
      </w:r>
    </w:p>
    <w:p>
      <w:pPr>
        <w:spacing w:after="0" w:line="14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 prospects. For example, under our collaboration arrangements with Genentech and Janssen, we may become entitled to substantial milestone payments and royalties. As a result, rather than paying the milestone payments or royalties, Genentech or Janssen, or one of their affiliates including Roche or Johnson &amp; Johnson, may choose to acquire us.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patent term extensions under the Hatch-Waxman Act, in the United States and under supplementary protection certificates in Europe may be available to extend the patent exclusivity term for our products, we 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275" w:lineRule="exact"/>
        <w:rPr>
          <w:sz w:val="20"/>
          <w:szCs w:val="20"/>
          <w:color w:val="auto"/>
        </w:rPr>
      </w:pPr>
    </w:p>
    <w:p>
      <w:pPr>
        <w:ind w:left="240" w:right="58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Competitors may infringe our patents or the patents of our licensors. To counter such infringement, we may be required to file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we infringe the defendant’s patents.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6"/>
          <w:szCs w:val="16"/>
          <w:i w:val="1"/>
          <w:iCs w:val="1"/>
          <w:color w:val="auto"/>
        </w:rPr>
        <w:t>, inter partes</w:t>
      </w:r>
      <w:r>
        <w:rPr>
          <w:rFonts w:ascii="Arial" w:cs="Arial" w:eastAsia="Arial" w:hAnsi="Arial"/>
          <w:sz w:val="16"/>
          <w:szCs w:val="16"/>
          <w:color w:val="auto"/>
        </w:rPr>
        <w:t xml:space="preserve"> review, derivation proceedings and equivalent proceedings in foreign jurisdictions.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materially harmed if the prevailing party does not offer us a license on commercially reasonable terms or at all.</w:t>
      </w:r>
    </w:p>
    <w:p>
      <w:pPr>
        <w:spacing w:after="0" w:line="18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defense of litigation or interference proceedings may fail and, even if successful, may result in substantial costs and distract our management and other employees from their normal responsibilities. Such litigation or proceedings could substantially increase our operating losses and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licensors or collaboration partners, misappropriation of our intellectual property rights, particularly in countries where the laws may not protect those rights as fully as in the United States.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295" w:lineRule="exact"/>
        <w:rPr>
          <w:sz w:val="20"/>
          <w:szCs w:val="20"/>
          <w:color w:val="auto"/>
        </w:rPr>
      </w:pPr>
    </w:p>
    <w:p>
      <w:pPr>
        <w:jc w:val="both"/>
        <w:ind w:left="240" w:right="260"/>
        <w:spacing w:after="0" w:line="340" w:lineRule="auto"/>
        <w:rPr>
          <w:sz w:val="20"/>
          <w:szCs w:val="20"/>
          <w:color w:val="auto"/>
        </w:rPr>
      </w:pPr>
      <w:r>
        <w:rPr>
          <w:rFonts w:ascii="Arial" w:cs="Arial" w:eastAsia="Arial" w:hAnsi="Arial"/>
          <w:sz w:val="15"/>
          <w:szCs w:val="15"/>
          <w:b w:val="1"/>
          <w:bCs w:val="1"/>
          <w:i w:val="1"/>
          <w:iCs w:val="1"/>
          <w:color w:val="auto"/>
        </w:rPr>
        <w:t>If we or our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ability to successfully commercialize our products and technology may be adversely affected.</w:t>
      </w:r>
    </w:p>
    <w:p>
      <w:pPr>
        <w:spacing w:after="0" w:line="23"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and product candidates. Our success depends in large part on our and our collaboration partners’ ability to obtain and maintain patent and other intellectual property protection in the United States and in other countries with respect to our proprietary technologies and product candidates.</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patents or pending patent applications, nor can we know whether those from whom we license patents were the first to make the inventions claimed or were the first to file.</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inability to manufacture or commercialize products without infringing third 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7"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effects of these changes on the operation of our business are currently unclear as, among other reasons, the USPTO must still implement various regulations.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66"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6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if applicable, material transfer agreements, consulting agreements or other similar agreements with our advisors, employees, contractors, consultants, collaboration partners, and other third parties.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parties, the need to share intellectual property and other confidential information increases the risk that such confidential information becomes known by our competitors, are inadvertently incorporated into the product development of others or are disclosed or used in violation of these agreements.</w:t>
      </w:r>
    </w:p>
    <w:p>
      <w:pPr>
        <w:spacing w:after="0" w:line="17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with third parties, where we may not have adequate remedies for any breach, independent development or publication of information by any of our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we would have no right to prevent such competitor from using that technology or information to compete with us. A competitor’s discovery of our intellectual property would impair our competitive position and have a material adverse effect on our business.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280" w:lineRule="exact"/>
        <w:rPr>
          <w:sz w:val="20"/>
          <w:szCs w:val="20"/>
          <w:color w:val="auto"/>
        </w:rPr>
      </w:pPr>
    </w:p>
    <w:p>
      <w:pPr>
        <w:jc w:val="both"/>
        <w:ind w:left="240" w:right="4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future licensing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74" w:lineRule="exact"/>
        <w:rPr>
          <w:sz w:val="20"/>
          <w:szCs w:val="20"/>
          <w:color w:val="auto"/>
        </w:rPr>
      </w:pPr>
    </w:p>
    <w:p>
      <w:pPr>
        <w:ind w:left="240" w:right="160"/>
        <w:spacing w:after="0" w:line="264"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73"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We are a party to a number of intellectual property license and co-ownership agreements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7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intellectual property of the licensor or partner that is not subject to the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diligence, development and commercialization obligations under the agreement and what activities satisfy those obligations;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or partners and us and our licensors or collaborators;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disputes over intellectual property and other rights that we have licensed or co-own prevent or impair our ability to maintain our current licensing or exclusivity arrangements on acceptable terms, we may be unable to successfully develop and commercialize the affected product candidates.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2"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1"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232" w:lineRule="exact"/>
        <w:rPr>
          <w:sz w:val="20"/>
          <w:szCs w:val="20"/>
          <w:color w:val="auto"/>
        </w:rPr>
      </w:pPr>
    </w:p>
    <w:p>
      <w:pPr>
        <w:ind w:left="240" w:right="124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prevent or delay our development and commercialization efforts.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Our commercial success depends on our ability and the ability of our collaborators to develop, manufacture, market and sell our product candidates and use our proprietary technology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patent infringement lawsuits, interferences, oppositions, reexamination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derivation proceedings and post grant review before the USPTO and corresponding foreign patent offices.</w:t>
      </w:r>
    </w:p>
    <w:p>
      <w:pPr>
        <w:spacing w:after="0" w:line="17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Numerous U.S. and foreign issued patents and pending patent applications, which are owned by third parties, exist in the fields in which we are developing product candidates. For example, we are aware of third party patents that may be construed to cover one or more of our product candidates. If these patents are asserted against us or our collaboration partners and either we or our collaboration partners are found to infringe any of these patents, and are unsuccessful in demonstrating that such patents are invalid or unenforceable, then we and our collaboration partners could be required to pay substantial monetary damages or cease further development or commercialization of one or more of our product candidates. There may also be other third-party 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7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ability to commercialize our product candidates or technologies covered by the asserted third party patents.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use to make substantial payments to the licensor.</w:t>
      </w:r>
    </w:p>
    <w:p>
      <w:pPr>
        <w:spacing w:after="0" w:line="16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Parties making claims against us may also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parties, which may be impossible or require substantial time and monetary expenditure. Any of the foregoing could have a material and adverse effect on our business, financial conditions, results of operations and prospects.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301" w:lineRule="exact"/>
        <w:rPr>
          <w:sz w:val="20"/>
          <w:szCs w:val="20"/>
          <w:color w:val="auto"/>
        </w:rPr>
      </w:pPr>
    </w:p>
    <w:p>
      <w:pPr>
        <w:ind w:left="24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employ and utilize the services of individuals who were previously employed or provided services to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 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15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 clinical-stage biopharmaceutical company. Since 2003, while we have received upfront and milestone payments from our collaboration partners and certain other revenue, we have also incurred significant operating losses. For example, we incurred net losses (defined as net loss attributable to owners of the company) of CHF 11.2 million for the year ended December 31, 2013 and net losses of CHF 4.6 million for the six months ended June 30, 2014. In addition, we had an accumulated deficit of CHF 54.9 million as at June 30, 2015.</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To date, we have financed our operations through private placements of preferred securities, in addition to upfront and milestone payments from our collaboration partners and certain other revenue.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296" w:lineRule="exact"/>
        <w:rPr>
          <w:sz w:val="20"/>
          <w:szCs w:val="20"/>
          <w:color w:val="auto"/>
        </w:rPr>
      </w:pPr>
    </w:p>
    <w:p>
      <w:pPr>
        <w:ind w:left="240" w:right="560"/>
        <w:spacing w:after="0" w:line="277" w:lineRule="auto"/>
        <w:rPr>
          <w:sz w:val="20"/>
          <w:szCs w:val="20"/>
          <w:color w:val="auto"/>
        </w:rPr>
      </w:pPr>
      <w:r>
        <w:rPr>
          <w:rFonts w:ascii="Arial" w:cs="Arial" w:eastAsia="Arial" w:hAnsi="Arial"/>
          <w:sz w:val="18"/>
          <w:szCs w:val="18"/>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6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While we have generated revenue from upfront and milestone payments related to our collaboration agreements, we have no products approved for commercialization and have never generated any revenue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success in many areas, including but not limited to:</w:t>
      </w:r>
    </w:p>
    <w:p>
      <w:pPr>
        <w:spacing w:after="0" w:line="64" w:lineRule="exact"/>
        <w:rPr>
          <w:sz w:val="20"/>
          <w:szCs w:val="20"/>
          <w:color w:val="auto"/>
        </w:rPr>
      </w:pPr>
    </w:p>
    <w:p>
      <w:pPr>
        <w:ind w:left="900" w:right="8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 including successfully completing a Phase 3 clinical study of crenezumab, a Phase 1/2a clinical study of ACI-24 for AD and a Phase 1b clinical study of ACI-35;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crenezumab, ACI-24 for AD or ACI-35, for which we complete clinical studies;</w:t>
      </w:r>
    </w:p>
    <w:p>
      <w:pPr>
        <w:spacing w:after="0" w:line="75" w:lineRule="exact"/>
        <w:rPr>
          <w:rFonts w:ascii="Arial" w:cs="Arial" w:eastAsia="Arial" w:hAnsi="Arial"/>
          <w:sz w:val="18"/>
          <w:szCs w:val="18"/>
          <w:color w:val="auto"/>
        </w:rPr>
      </w:pPr>
    </w:p>
    <w:p>
      <w:pPr>
        <w:ind w:left="900" w:right="340" w:hanging="446"/>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295"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expect that we will need substantial additional funding before we can expect to become profitable from sales of our products. If we are unable to raise capital when needed, we could be forced to delay, reduce or eliminate our product development programs or commercialization efforts.</w:t>
      </w:r>
    </w:p>
    <w:p>
      <w:pPr>
        <w:spacing w:after="0" w:line="7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are currently advancing our product candidates through clinical development, either together with a collaboration partner (crenezumab and ACI-35) or independently (ACI-24 for AD). We expect our research and development expenses to continue to increase in connection with our ongoing activities, particularly as we and/or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our collaboration partners continue our ongoing studies and initiate new studies of crenezumab, ACI-24 for AD and ACI-35 and initiate preclinical and clinical development of our other product candidates. As at June 30, 2015, our cash and cash equivalents were CHF 19.3 million. We currently believe that our existing capital resources, not including potential milestone payments and the proceeds we receive from this offering, will be sufficient to meet our</w:t>
      </w:r>
    </w:p>
    <w:p>
      <w:pPr>
        <w:spacing w:after="0" w:line="255" w:lineRule="auto"/>
        <w:rPr>
          <w:sz w:val="20"/>
          <w:szCs w:val="20"/>
          <w:color w:val="auto"/>
        </w:rPr>
      </w:pPr>
      <w:r>
        <w:rPr>
          <w:rFonts w:ascii="Arial" w:cs="Arial" w:eastAsia="Arial" w:hAnsi="Arial"/>
          <w:sz w:val="18"/>
          <w:szCs w:val="18"/>
          <w:color w:val="auto"/>
        </w:rPr>
        <w:t>projected operating requirements for at least through the end of fiscal year . We have based this estimate on assumptions that may prove to be wrong, and we could exhaust our capital resources sooner than we currently expect. Our future funding requirements will depend on many factors, including but not limited to:</w:t>
      </w:r>
    </w:p>
    <w:p>
      <w:pPr>
        <w:spacing w:after="0" w:line="9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existing product candidates and any other products we may develop;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 the future, as well as our existing such arrangements, including any required milestone and royalty payments thereunder;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expect that we will require additional capital to commercialize our product candidates. If we receive regulatory approval for our current and future product candidates, and if we have not already licensed such product candidate to a collaboration partner and if we choose to commercialize such product candidate independently, we expect to incur significant commercialization expenses related to product manufacturing, sales, marketing and distribution, depending on where we choose to commercialize. We also expect to incur additional costs associated with operating as a public company following this offering.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286"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6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grants and license and development agreements in connection with collaborations. We do not have any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declaring dividends.</w:t>
      </w:r>
    </w:p>
    <w:p>
      <w:pPr>
        <w:spacing w:after="0" w:line="178"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117"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As of December 31, 2014, we reported tax loss carryforwards from financial years 2007 until 2014 for purposes of Swiss corporate income tax in the aggregate amount of CHF 49.3 million that could be available to offset future taxable income. If not used, these tax losses will expire seven years after the year in which they were incurred. Due to our limited income, there is a high risk that the tax loss carryforwards will expire partly or entirely.</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our existing agreements, we receive a significant amount of payments in USD, Swiss Francs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 applicable exchange rates. We also expect that in the future, a significant portion of our revenues and expenses will be denominated in Swiss Franc, USD and euro. Therefore, unfavorable developments in the value of the Swiss Franc as compared to the euro or any other currency could have a material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121" w:lineRule="exact"/>
        <w:rPr>
          <w:sz w:val="20"/>
          <w:szCs w:val="20"/>
          <w:color w:val="auto"/>
        </w:rPr>
      </w:pPr>
    </w:p>
    <w:p>
      <w:pPr>
        <w:ind w:left="240" w:right="104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future success is dependent on our ability to successfully develop, obtain regulatory approval for, and then successfully commercialize one or more product candidates. We currently have one product candidate that has completed Phase 2 clinical studies. Enrollment in Phase 3 clinical studies of crenezumab initiated by our collaboration partner Genentech is expected to begin in the first quarter of 2016, but may be delayed and no assurance is given that the studies will begin on that time frame.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58"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52"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142"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United States or elsewhere;</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0"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generally plan to seek regulatory approval to commercialize our product candidates in the United States, the European Union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conditional and results of operation.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287" w:lineRule="exact"/>
        <w:rPr>
          <w:sz w:val="20"/>
          <w:szCs w:val="20"/>
          <w:color w:val="auto"/>
        </w:rPr>
      </w:pPr>
    </w:p>
    <w:p>
      <w:pPr>
        <w:ind w:left="240" w:right="4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73"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79"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 date, neither we nor our collaboration partners have completed all clinical studies required for the approval of any of our product candidates. Crenezumab has completed Phase 2 clinical testing, ACI-24 for AD is in a combined Phase 1/2a clinical study, and ACI-35 is in Phase 1b clinical studies. The development of our other product candidates is less advanced and studies have not yet started.</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76" w:lineRule="exact"/>
        <w:rPr>
          <w:sz w:val="20"/>
          <w:szCs w:val="20"/>
          <w:color w:val="auto"/>
        </w:rPr>
      </w:pPr>
    </w:p>
    <w:p>
      <w:pPr>
        <w:ind w:left="900" w:right="62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a clinical study at a prospective study site or changes in regulatory requirements, policies and guidelines;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295"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Sales of our approved drugs will be subject to U.S. and non-U.S. regulatory requirements governing clinical studies and regulatory approval, and we plan to seek regulatory approval to commercialize our drug candidates in the United States, the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we intend to charge for a drug is also subject to approval. Regulatory authorities in other countries also have their own requirements for approval of drug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291"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8" w:lineRule="exact"/>
        <w:rPr>
          <w:sz w:val="20"/>
          <w:szCs w:val="20"/>
          <w:color w:val="auto"/>
        </w:rPr>
      </w:pPr>
    </w:p>
    <w:p>
      <w:pPr>
        <w:ind w:left="900" w:right="38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89" w:lineRule="exact"/>
        <w:rPr>
          <w:sz w:val="20"/>
          <w:szCs w:val="20"/>
          <w:color w:val="auto"/>
        </w:rPr>
      </w:pPr>
    </w:p>
    <w:p>
      <w:pPr>
        <w:ind w:left="240" w:right="36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conducted and may in the future choose to conduct one or more of our clinical studies outside the United States, including in Germany, Austria, Denmark, Sweden and Finland. The acceptance of study data from 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 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where the studies are conducted. There can be no assurance the FDA or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296"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the United States and the European Union, there have been a number of legislative and regulatory changes and proposed changes regarding the healthcare system. These changes could prevent or delay marketing approval of our product candidates, restrict or regulate post-approval activities and affect our ability to profitably sell any products for which we obtain marketing approval.</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More recently, in March 2010,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6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Moreover, other legislative changes have also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President Obama signed into law the American Taxpayer 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18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European Union, proposed new clinical study regulations will centralize clinical study approval, which eliminates redundancy, but in some cases this may extend timelines for clinical study approvals due to potentially longer wait times. Proposals to require specific consents for use of data in research, among other measures, may increase the costs and timelines for our product development efforts. Austerity measures in certain European nations may also affect the prices we are able to seek if our products are approved, as discussed below.</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295" w:lineRule="exact"/>
        <w:rPr>
          <w:sz w:val="20"/>
          <w:szCs w:val="20"/>
          <w:color w:val="auto"/>
        </w:rPr>
      </w:pPr>
    </w:p>
    <w:p>
      <w:pPr>
        <w:ind w:left="240" w:right="80"/>
        <w:spacing w:after="0" w:line="342" w:lineRule="auto"/>
        <w:rPr>
          <w:sz w:val="20"/>
          <w:szCs w:val="20"/>
          <w:color w:val="auto"/>
        </w:rPr>
      </w:pPr>
      <w:r>
        <w:rPr>
          <w:rFonts w:ascii="Arial" w:cs="Arial" w:eastAsia="Arial" w:hAnsi="Arial"/>
          <w:sz w:val="16"/>
          <w:szCs w:val="16"/>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255"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60" w:lineRule="exact"/>
        <w:rPr>
          <w:sz w:val="20"/>
          <w:szCs w:val="20"/>
          <w:color w:val="auto"/>
        </w:rPr>
      </w:pPr>
    </w:p>
    <w:p>
      <w:pPr>
        <w:ind w:left="900" w:right="2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900" w:right="340" w:hanging="446"/>
        <w:spacing w:after="0" w:line="34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92" w:lineRule="exact"/>
        <w:rPr>
          <w:rFonts w:ascii="Arial" w:cs="Arial" w:eastAsia="Arial" w:hAnsi="Arial"/>
          <w:sz w:val="18"/>
          <w:szCs w:val="18"/>
          <w:color w:val="auto"/>
        </w:rPr>
      </w:pPr>
    </w:p>
    <w:p>
      <w:pPr>
        <w:ind w:left="900" w:right="180" w:hanging="446"/>
        <w:spacing w:after="0" w:line="25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analogous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88"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6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275"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18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We will adopt a code of conduct in connection with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activities may be subject to the Foreign Corrupt Practices Act, or FCPA, and similar anti-bribery and anti-corruption laws.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29"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25" w:lineRule="exact"/>
        <w:rPr>
          <w:sz w:val="20"/>
          <w:szCs w:val="20"/>
          <w:color w:val="auto"/>
        </w:rPr>
      </w:pPr>
    </w:p>
    <w:p>
      <w:pPr>
        <w:ind w:right="760" w:firstLine="456"/>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289" w:lineRule="exact"/>
        <w:rPr>
          <w:sz w:val="20"/>
          <w:szCs w:val="20"/>
          <w:color w:val="auto"/>
        </w:rPr>
      </w:pPr>
    </w:p>
    <w:p>
      <w:pPr>
        <w:ind w:left="240" w:right="460"/>
        <w:spacing w:after="0" w:line="277" w:lineRule="auto"/>
        <w:rPr>
          <w:sz w:val="20"/>
          <w:szCs w:val="20"/>
          <w:color w:val="auto"/>
        </w:rPr>
      </w:pPr>
      <w:r>
        <w:rPr>
          <w:rFonts w:ascii="Arial" w:cs="Arial" w:eastAsia="Arial" w:hAnsi="Arial"/>
          <w:sz w:val="18"/>
          <w:szCs w:val="18"/>
          <w:b w:val="1"/>
          <w:bCs w:val="1"/>
          <w:i w:val="1"/>
          <w:iCs w:val="1"/>
          <w:color w:val="auto"/>
        </w:rPr>
        <w:t>There was no public market for our common shares prior to this offering, and an active market in our common shares may not develop in which investors can resell our common shares.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Prior to this offering there was no public market for our common shares. We cannot predict the extent to which an active market for our common shares will develop or be sustained after this offering, or how the development of such a market might affect the market price for our common shares. The initial public offering price of our common shares in this offering was agreed between us and the underwriter based on a number of factors, including market conditions in effect at the time of this offering, which may not be indicative of the price at which our common shares will trade following completion of this offering. Investors may not be able to sell their common shares at or above the initial public offering price.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will continue to be able to exercise significant control over us, and your interests may conflict with the interests of our existing shareholders.</w:t>
      </w:r>
    </w:p>
    <w:p>
      <w:pPr>
        <w:spacing w:after="0" w:line="62"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Following completion of this offering, our existing shareholders are expected to own approximately %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w:t>
      </w:r>
    </w:p>
    <w:p>
      <w:pPr>
        <w:spacing w:after="0" w:line="46"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common shares. Following the completion of this offering, we will have common shares outstanding (assuming no exercise of the underwriter’s over-allotment option) based on common shares outstanding as at June 30, 2015 and additional common shares issuable upon the automatic</w:t>
      </w:r>
    </w:p>
    <w:p>
      <w:pPr>
        <w:ind w:right="20"/>
        <w:spacing w:after="0" w:line="267" w:lineRule="auto"/>
        <w:rPr>
          <w:sz w:val="20"/>
          <w:szCs w:val="20"/>
          <w:color w:val="auto"/>
        </w:rPr>
      </w:pPr>
      <w:r>
        <w:rPr>
          <w:rFonts w:ascii="Arial" w:cs="Arial" w:eastAsia="Arial" w:hAnsi="Arial"/>
          <w:sz w:val="17"/>
          <w:szCs w:val="17"/>
          <w:color w:val="auto"/>
        </w:rPr>
        <w:t>conversion of all of our outstanding preferred shares into common shares. This includes the common shares in this offering, which may be resold in the public market immediately upon the closing of this offering without restriction, unless purchased by our affiliates. Approximately % of the common shares outstanding are expected to be held by affiliates (or % if existing investors, executives and directors purchase all the shares they have indicated an interest in purchasing in this offering). All of these common shares will be subject to the lock-up agreements described in the “Underwriting” section of this prospectus. If, after the end of such lock-up agreements, these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intend to enter into a registration rights agreement upon consummation of this offering pursuant to which we will agree under certain circumstances to file a registration statement to register the resale of the common shares held by certain of our existing shareholders, as well as to cooperate in certain public offerings of such common shares. In addition, following the completion of this offering, we intend to cease any new grants under our existing equity incentive plans and to adopt a new omnibus equity incentive plan under which we would have the discretion to grant a broad range of equity-based awards to eligible participants. We intend to register all common shares that we may issue under this equity compensation plan. Once we register these common shares, they can be freely sold in the public market upon issuance, subject to volume limitations applicable to affiliates and the lock-up agreements described in the “Underwriting” section of this prospectus.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you purchase common shares in this offering, you will suffer immediate dilution of your investment.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initial public offering price of our common shares is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To the extent outstanding options are exercised, you will incur further dilution. Based on the initial public offering price of</w:t>
      </w:r>
    </w:p>
    <w:p>
      <w:pPr>
        <w:ind w:left="680" w:hanging="672"/>
        <w:spacing w:after="0"/>
        <w:tabs>
          <w:tab w:leader="none" w:pos="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per common share, which is the midpoint of the price range set forth on the cover page of this prospectus, you will experience immediate dilution of</w:t>
      </w:r>
    </w:p>
    <w:p>
      <w:pPr>
        <w:spacing w:after="0" w:line="32" w:lineRule="exact"/>
        <w:rPr>
          <w:sz w:val="20"/>
          <w:szCs w:val="20"/>
          <w:color w:val="auto"/>
        </w:rPr>
      </w:pPr>
    </w:p>
    <w:p>
      <w:pPr>
        <w:spacing w:after="0"/>
        <w:tabs>
          <w:tab w:leader="none" w:pos="960" w:val="left"/>
          <w:tab w:leader="none" w:pos="1660" w:val="left"/>
        </w:tabs>
        <w:rPr>
          <w:sz w:val="20"/>
          <w:szCs w:val="20"/>
          <w:color w:val="auto"/>
        </w:rPr>
      </w:pPr>
      <w:r>
        <w:rPr>
          <w:rFonts w:ascii="Arial" w:cs="Arial" w:eastAsia="Arial" w:hAnsi="Arial"/>
          <w:sz w:val="18"/>
          <w:szCs w:val="18"/>
          <w:color w:val="auto"/>
        </w:rPr>
        <w:t>CHF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per common share, representing the difference between our as adjusted net tangible book value per common share after giving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-19050</wp:posOffset>
            </wp:positionV>
            <wp:extent cx="8096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jc w:val="both"/>
        <w:ind w:right="80"/>
        <w:spacing w:after="0" w:line="255" w:lineRule="auto"/>
        <w:rPr>
          <w:sz w:val="20"/>
          <w:szCs w:val="20"/>
          <w:color w:val="auto"/>
        </w:rPr>
      </w:pPr>
      <w:r>
        <w:rPr>
          <w:rFonts w:ascii="Arial" w:cs="Arial" w:eastAsia="Arial" w:hAnsi="Arial"/>
          <w:sz w:val="18"/>
          <w:szCs w:val="18"/>
          <w:color w:val="auto"/>
        </w:rPr>
        <w:t>to this offering and the initial public offering price. In addition, purchasers of common shares in this offering will have contributed approximately % of the aggregate price paid by all purchasers of our common shares but will own only approximately % of our common shares outstanding after this offering. See “Dilution.”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of our product candidates. Pending their use, we may invest the net proceeds from this offering in a manner that does not produce income or that loses value.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jurisdictions.</w:t>
      </w:r>
    </w:p>
    <w:p>
      <w:pPr>
        <w:spacing w:after="0" w:line="10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 See “Description of Share Capital and Articles of Association” and “Comparison of Delaware Law and Swiss Law.”</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shareholders’ resolution regarding the authorized share capital increase may be challenged.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offering is based upon and subject to a resolution regarding the authorized share capital increase that was approved by the shareholders at the</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shareholders’ meeting held on , 2015. As with all share capital increases in Switzerland, the registration of the capital increase in the commercial register of the Canton of Zurich may be blocked by a shareholder and, therefore, prevent or delay the completion of this offering.</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w:t>
      </w:r>
    </w:p>
    <w:p>
      <w:pPr>
        <w:spacing w:after="0" w:line="10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are organized under the laws of Switzerland. A further summary of applicable Swiss company law is contained in this prospectus, see “Description of Share Capital and Articles of Association” and “Comparison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Delaware Law and Swiss Law.” However, there can be no assurance that Swiss law will not change in the future or that it will serve to protect investors in a similar fashion afforded under corporate law principles in the U.S., which could adversely affect the rights of investors.</w:t>
      </w:r>
    </w:p>
    <w:p>
      <w:pPr>
        <w:spacing w:after="0" w:line="279"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7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registered share capital—the aggregate par value of a company’s registered shares—only by way of a capital reduction. As</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of the date of the Distribution, we expect the Company to have CHF of qualifying capital contributions and CHF of registered share capital on its audited statutory balance sheet. We expect the aggregate of these amounts (less the minimum registered share capital of CHF 100,000)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form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7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Generally, Swiss withholding tax of 35% is due on dividends and similar distributions to our shareholders, regardless of the place of residency of the shareholder, unless the distribution is made to shareholders out of (i) a reduction of par value or (ii) assuming certain conditions are met, qualifying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qualifying capital contributions to pay dividends free from Swiss withholding tax, or that Swiss withholding rules will not be changed in the future. In addition, we cannot provide assurance that the current Swiss law with respect to distributions out of qualifying capital contributions will not be changed or that a change in Swiss law will not adversely affect us or our shareholders, in particular as a result of distributions out of qualifying capital contributions becoming subject to additional corporate law or other restrictions. There are currently motions pending in the Swiss Parliament that purport to limit the distribution of qualifying capital contributions. In addition, over the long term, the amount of par value available to us for par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value reductions or qualifying capital contributions available to us to pay out as distributions is limited. If we are unable to make a distribution through a reduction in par value or out of qualifying capital contributions, we may not be able to make distributions without subjecting our shareholders to Swiss withholding taxes.</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present Swiss tax laws, repurchases of shares for the purposes of cancellation are treated as a partial liquidation subject to 35% Swiss withholding tax on the difference between the repurchase price and the par value except, since January 1, 2011, to the extent attributable to qualifying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if any, and to the extent that, the repurchase of shares is out of retained earnings or other taxable reserves, the Swiss withholding becomes due.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301"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International Private Law. This statute provides that the application of provisions of non-Swiss law by the courts in Switzerland shall be precluded if the result is incompatible with Swiss public policy. Also, mandatory provisions of Swiss law may be applicable regardless of any other law that would otherwise apply.</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279" w:lineRule="exact"/>
        <w:rPr>
          <w:sz w:val="20"/>
          <w:szCs w:val="20"/>
          <w:color w:val="auto"/>
        </w:rPr>
      </w:pPr>
    </w:p>
    <w:p>
      <w:pPr>
        <w:ind w:left="240" w:right="24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6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and “Comparison of Delaware Law and Swiss Law.”</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proposal to pay future dividends to shareholders will effectively be at the discretion of our board of directors and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See “Taxation—Swiss Tax Considerations” for a summary of certain Swiss tax consequences regarding dividends distributed to holders of the our common shares.</w:t>
      </w:r>
    </w:p>
    <w:p>
      <w:pPr>
        <w:spacing w:after="0" w:line="286"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consummation of this offering, we will report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299"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will rely on certain home country governance practices rather than the corporate governance requirements of NASDAQ.</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be a foreign private issuer as of the effective date of this registration statement. As a result, in accordance with NASDAQ Listing Rule 5615(a)</w:t>
      </w:r>
    </w:p>
    <w:p>
      <w:pPr>
        <w:spacing w:after="0" w:line="4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(3), we will comply with home country governance requirements and certain exemptions thereunder rather than complying with certain of the corporate governance requirements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NASDAQ. Swiss law does not require that a majority of our board of directors consist of independent directors. Our board of directors therefore may include fewer independent directors than would be required if we were subject to NASDAQ Listing Rule 5605(b)(1). In addition, we will not be subject to NASDAQ Listing Rule 5605(b)(2), which requires that independent directors must regularly have scheduled meetings at which only independent directors are present.</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Although Swiss law also requires that we adopt a compensation committee, we will follow home country requirements with respect to such committee and such committee will also be tasked with certain director nomination and governance responsibilities as described under “Management—Committees of the Board of Directors.”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8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 As a result of the above, you may not have the same protections afforded to shareholders of companies that are not foreign private issuers.</w:t>
      </w:r>
    </w:p>
    <w:p>
      <w:pPr>
        <w:spacing w:after="0" w:line="279"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are a foreign private issuer and therefore we are not required to comply with all of the periodic disclosure and current reporting requirements of the Exchange Act applicable to U.S. domestic issuers. We may no longer be a foreign private issuer as at June 30, 2016 (the end of our second fiscal quarter in the fiscal year after this offering), which would require us to comply with all of the periodic disclosure and current reporting requirements of the Exchange Act applicable to U.S. domestic issuers as of January 1, 2017.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9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As an “emerging growth company” in our initial registration statement we are required to report only two years of financial results and selected financial data compared to three and five years, respectively, for comparable data reported by other public companies. We could be an “emerging growth company” for up to five years, although circumstances could cause us to lose that status earlier, including if the market value of our common shares held by non-affiliates exceeds $700 million as of any June 30 (the end of our second fiscal quarter) before that time,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281" w:lineRule="exact"/>
        <w:rPr>
          <w:sz w:val="20"/>
          <w:szCs w:val="20"/>
          <w:color w:val="auto"/>
        </w:rPr>
      </w:pPr>
    </w:p>
    <w:p>
      <w:pPr>
        <w:ind w:left="240" w:right="46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will incur additional costs and we may not manage to comply with our internal control procedures and corporate governance structures.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public company, we will incur additional legal, insurance, accounting and other expenses that we did not incur as a private company.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301" w:lineRule="exact"/>
        <w:rPr>
          <w:sz w:val="20"/>
          <w:szCs w:val="20"/>
          <w:color w:val="auto"/>
        </w:rPr>
      </w:pPr>
    </w:p>
    <w:p>
      <w:pPr>
        <w:ind w:left="240" w:right="80"/>
        <w:spacing w:after="0" w:line="259" w:lineRule="auto"/>
        <w:rPr>
          <w:sz w:val="20"/>
          <w:szCs w:val="20"/>
          <w:color w:val="auto"/>
        </w:rPr>
      </w:pPr>
      <w:r>
        <w:rPr>
          <w:rFonts w:ascii="Arial" w:cs="Arial" w:eastAsia="Arial" w:hAnsi="Arial"/>
          <w:sz w:val="18"/>
          <w:szCs w:val="18"/>
          <w:b w:val="1"/>
          <w:bCs w:val="1"/>
          <w:i w:val="1"/>
          <w:iCs w:val="1"/>
          <w:color w:val="auto"/>
        </w:rPr>
        <w:t>In connection with the audit of our financial statements as at and for the year ended December 31, 2014, we and our independent registered public accounting firm have identified a material weakness in our internal control over financial reporting. If we fail to maintain an effective system of internal control over financial reporting, we may be unable to accurately report our financial results or prevent fraud, and investor confidence in our company and the market price of our shares may be adversely affected.</w:t>
      </w:r>
    </w:p>
    <w:p>
      <w:pPr>
        <w:spacing w:after="0" w:line="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Prior to this offering, we have been a private company with limited accounting personnel and other resources with which to address our internal control over financial reporting. Further, our reporting obligations as a public company will continue to place a significant strain on our management, operational and financial resources and systems for the foreseeable future. In connection with our preparation and the audit of our financial statements as at and for the year ended December 31, 2014, we and our independent registered public accounting firm have identified a material weakness as defined under the Exchange Act and by the U.S. Public Company Accounting Oversight Board, or PCAOB, in our internal control over financial reporting. A material weakness is a deficiency, or a combination of deficiencies, in internal control over financial reporting, such that there is a</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reasonable possibility that a material misstatement of the company’s annual financial statements will not be prevented or detected on a timely basis. The material weakness identified relates specifically to the accounting for and disclosure of non-routine and complex accounting transactions and the related internal controls and processes supporting these areas. In light of the material weakness that was identified, we believe it is possible that, had we performed a formal assessment of our internal control over financial reporting or had our independent registered public accounting firm performed an audit of our internal control over financial reporting in accordance with PCAOB standards, additional control deficiencies may have been identified.</w:t>
      </w:r>
    </w:p>
    <w:p>
      <w:pPr>
        <w:spacing w:after="0" w:line="17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Once public, we will be subject to reporting obligations under U.S. securities laws and the Sarbanes-Oxley Act of 2002. Section 404 of the Sarbanes-Oxley Act will require that we include a report from management on the effectiveness of our internal control over financial reporting in our annual report on Form 20-F beginning with our annual report for the fiscal year ending December 31, 2016. If we fail to remediate the material weakness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begun taking measures and plan to continue to take measures to remediate this material weakness. However, the implementation of these measures may not fully address this material weakness in our internal control over financial reporting, and therefore we would not be able to conclude that it has been fully remedied. Our failure to correct this material weakness or our failure to discover and address any other control deficiencies could result in inaccuracies in our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shares, may be materially and adversely affected.</w:t>
      </w:r>
    </w:p>
    <w:p>
      <w:pPr>
        <w:spacing w:after="0" w:line="301"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If in the future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As discussed above, in connection with the audits of our financial statements as and at the year ended December 31, 2014, we have identified a material weakness in our internal control over financial reporting.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8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will be required to disclose changes made in our internal controls and procedures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common shares would likely be negatively affected. In the event securities or industry analysts initiate coverage,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273" w:lineRule="exact"/>
        <w:rPr>
          <w:sz w:val="20"/>
          <w:szCs w:val="20"/>
          <w:color w:val="auto"/>
        </w:rPr>
      </w:pPr>
    </w:p>
    <w:p>
      <w:pPr>
        <w:ind w:left="240" w:right="16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2014 and we do not expect to be a PFIC in the immediately foreseeable future, if we were a PFIC U.S. shareholders may be subject to adverse U.S. federal income tax consequences.</w:t>
      </w:r>
    </w:p>
    <w:p>
      <w:pPr>
        <w:spacing w:after="0" w:line="7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2014 taxable year and do not expect to be a PFIC in the immediately foreseeable future. However, there can be no assurance that the IRS will agree with our conclusion. In addition, whether we will be a PFIC in 2015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6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right="20" w:firstLine="8"/>
        <w:spacing w:after="0" w:line="261" w:lineRule="auto"/>
        <w:tabs>
          <w:tab w:leader="none" w:pos="3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(“QEF”) election that could mitigate the adverse U.S. federal income tax consequences should we be classified as a PFIC.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see “Taxation—Material U.S. Federal Income Tax Considerations for U.S. 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121" w:lineRule="exact"/>
        <w:rPr>
          <w:sz w:val="20"/>
          <w:szCs w:val="20"/>
          <w:color w:val="auto"/>
        </w:rPr>
      </w:pPr>
    </w:p>
    <w:p>
      <w:pPr>
        <w:ind w:left="900" w:right="24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Morphomer and SupraAntigen proprietary technology platforms and their success in building additional product candidates for our pipeline;</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FDA’s and applicable foreign regulatory authorities’ acceptance of data from studies we conduct outside the United States in the future;</w:t>
      </w:r>
    </w:p>
    <w:p>
      <w:pPr>
        <w:spacing w:after="0" w:line="169"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0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00"/>
          </w:cols>
          <w:pgMar w:left="24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that they contain has been obtained from sources believed to be reliable, although they do not guarantee the accuracy or completeness of such information. While we believe that each of these publications and third-party studies is reliable, we have not independently verified the market and industry data obtained from these third-party sources. While we believe our internal research is reliable and the definition of our market and industry are appropriate, neither such research nor these definitions have been verified by any independent source. In each case, you are cautioned not to give undue weight to this information.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Table of Contents</w:t>
              </w:r>
            </w:hyperlink>
          </w:p>
        </w:tc>
        <w:tc>
          <w:tcPr>
            <w:tcW w:w="27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400" w:type="dxa"/>
            <w:vAlign w:val="bottom"/>
          </w:tcPr>
          <w:p>
            <w:pPr>
              <w:ind w:left="620"/>
              <w:spacing w:after="0"/>
              <w:rPr>
                <w:sz w:val="20"/>
                <w:szCs w:val="20"/>
                <w:color w:val="auto"/>
              </w:rPr>
            </w:pPr>
            <w:r>
              <w:rPr>
                <w:rFonts w:ascii="Arial" w:cs="Arial" w:eastAsia="Arial" w:hAnsi="Arial"/>
                <w:sz w:val="18"/>
                <w:szCs w:val="18"/>
                <w:b w:val="1"/>
                <w:bCs w:val="1"/>
                <w:color w:val="auto"/>
              </w:rPr>
              <w:t>USE OF PROCEEDS</w:t>
            </w:r>
          </w:p>
        </w:tc>
        <w:tc>
          <w:tcPr>
            <w:tcW w:w="2740" w:type="dxa"/>
            <w:vAlign w:val="bottom"/>
          </w:tcPr>
          <w:p>
            <w:pPr>
              <w:spacing w:after="0"/>
              <w:rPr>
                <w:sz w:val="24"/>
                <w:szCs w:val="24"/>
                <w:color w:val="auto"/>
              </w:rPr>
            </w:pPr>
          </w:p>
        </w:tc>
      </w:tr>
      <w:tr>
        <w:trPr>
          <w:trHeight w:val="418"/>
        </w:trPr>
        <w:tc>
          <w:tcPr>
            <w:tcW w:w="4260" w:type="dxa"/>
            <w:vAlign w:val="bottom"/>
            <w:gridSpan w:val="3"/>
          </w:tcPr>
          <w:p>
            <w:pPr>
              <w:ind w:left="460"/>
              <w:spacing w:after="0"/>
              <w:rPr>
                <w:sz w:val="20"/>
                <w:szCs w:val="20"/>
                <w:color w:val="auto"/>
              </w:rPr>
            </w:pPr>
            <w:r>
              <w:rPr>
                <w:rFonts w:ascii="Arial" w:cs="Arial" w:eastAsia="Arial" w:hAnsi="Arial"/>
                <w:sz w:val="18"/>
                <w:szCs w:val="18"/>
                <w:color w:val="auto"/>
                <w:w w:val="93"/>
              </w:rPr>
              <w:t>We estimate that the net proceeds from the sale of</w:t>
            </w:r>
          </w:p>
        </w:tc>
        <w:tc>
          <w:tcPr>
            <w:tcW w:w="4400" w:type="dxa"/>
            <w:vAlign w:val="bottom"/>
          </w:tcPr>
          <w:p>
            <w:pPr>
              <w:ind w:left="200"/>
              <w:spacing w:after="0"/>
              <w:rPr>
                <w:sz w:val="20"/>
                <w:szCs w:val="20"/>
                <w:color w:val="auto"/>
              </w:rPr>
            </w:pPr>
            <w:r>
              <w:rPr>
                <w:rFonts w:ascii="Arial" w:cs="Arial" w:eastAsia="Arial" w:hAnsi="Arial"/>
                <w:sz w:val="18"/>
                <w:szCs w:val="18"/>
                <w:color w:val="auto"/>
                <w:w w:val="96"/>
              </w:rPr>
              <w:t>common shares in this offering will be approximately $</w:t>
            </w:r>
          </w:p>
        </w:tc>
        <w:tc>
          <w:tcPr>
            <w:tcW w:w="2740" w:type="dxa"/>
            <w:vAlign w:val="bottom"/>
          </w:tcPr>
          <w:p>
            <w:pPr>
              <w:ind w:left="200"/>
              <w:spacing w:after="0"/>
              <w:rPr>
                <w:sz w:val="20"/>
                <w:szCs w:val="20"/>
                <w:color w:val="auto"/>
              </w:rPr>
            </w:pPr>
            <w:r>
              <w:rPr>
                <w:rFonts w:ascii="Arial" w:cs="Arial" w:eastAsia="Arial" w:hAnsi="Arial"/>
                <w:sz w:val="18"/>
                <w:szCs w:val="18"/>
                <w:color w:val="auto"/>
                <w:w w:val="92"/>
              </w:rPr>
              <w:t>million at an assumed initial public</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offering price of $</w:t>
            </w:r>
          </w:p>
        </w:tc>
        <w:tc>
          <w:tcPr>
            <w:tcW w:w="9860" w:type="dxa"/>
            <w:vAlign w:val="bottom"/>
            <w:gridSpan w:val="3"/>
          </w:tcPr>
          <w:p>
            <w:pPr>
              <w:ind w:left="180"/>
              <w:spacing w:after="0"/>
              <w:rPr>
                <w:sz w:val="20"/>
                <w:szCs w:val="20"/>
                <w:color w:val="auto"/>
              </w:rPr>
            </w:pPr>
            <w:r>
              <w:rPr>
                <w:rFonts w:ascii="Arial" w:cs="Arial" w:eastAsia="Arial" w:hAnsi="Arial"/>
                <w:sz w:val="18"/>
                <w:szCs w:val="18"/>
                <w:color w:val="auto"/>
                <w:w w:val="93"/>
              </w:rPr>
              <w:t>per share (which is the midpoint of the price range set forth on the cover page of this prospectus), after deducting the underwriting</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discount and estimated offering expenses payable by us. If the underwriter exercises its over-allotment option in full, we estimate that the net proceeds will be</w:t>
      </w:r>
    </w:p>
    <w:p>
      <w:pPr>
        <w:spacing w:after="0" w:line="38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after deducting the underwriting discount and estimated offering expenses payable by us.</w:t>
      </w:r>
    </w:p>
    <w:p>
      <w:pPr>
        <w:spacing w:after="0" w:line="225" w:lineRule="exact"/>
        <w:rPr>
          <w:sz w:val="20"/>
          <w:szCs w:val="20"/>
          <w:color w:val="auto"/>
        </w:rPr>
      </w:pPr>
    </w:p>
    <w:p>
      <w:pPr>
        <w:ind w:left="460"/>
        <w:spacing w:after="0"/>
        <w:tabs>
          <w:tab w:leader="none" w:pos="650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5"/>
          <w:szCs w:val="15"/>
          <w:color w:val="auto"/>
        </w:rPr>
        <w:t>per share would increase (decrease) our net proceeds by</w:t>
      </w:r>
    </w:p>
    <w:p>
      <w:pPr>
        <w:spacing w:after="0" w:line="23" w:lineRule="exact"/>
        <w:rPr>
          <w:sz w:val="20"/>
          <w:szCs w:val="20"/>
          <w:color w:val="auto"/>
        </w:rPr>
      </w:pPr>
    </w:p>
    <w:p>
      <w:pPr>
        <w:ind w:right="280" w:firstLine="8"/>
        <w:spacing w:after="0" w:line="281" w:lineRule="auto"/>
        <w:tabs>
          <w:tab w:leader="none" w:pos="4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as set forth on the cover of this prospectus, remains the same and after deducting the underwriting discount and estimated offering expenses payable by us. We may also increase or decrease the number of shares we are offering. An increase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(decrease) of 1,000,000 in the number of shares we are offering would increase (decrease) the net proceeds to us from this offering, after deducting the</w:t>
      </w:r>
    </w:p>
    <w:p>
      <w:pPr>
        <w:spacing w:after="0" w:line="2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underwriting discount and estimated offering expenses payable by us, by approximately $ million, assuming the assumed initial public offering price stays the same.</w:t>
      </w:r>
    </w:p>
    <w:p>
      <w:pPr>
        <w:spacing w:after="0" w:line="170"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We are undertaking this offering in order to access the public capital markets and to increase our liquidity. At June 30, 2015, we had cash and cash equivalents of CHF 19.3 million and a receivable related to milestone payments of CHF 14.0 million for which we received payment in July 2015 and a</w:t>
      </w:r>
    </w:p>
    <w:p>
      <w:pPr>
        <w:ind w:right="240"/>
        <w:spacing w:after="0" w:line="261" w:lineRule="auto"/>
        <w:rPr>
          <w:sz w:val="20"/>
          <w:szCs w:val="20"/>
          <w:color w:val="auto"/>
        </w:rPr>
      </w:pPr>
      <w:r>
        <w:rPr>
          <w:rFonts w:ascii="Arial" w:cs="Arial" w:eastAsia="Arial" w:hAnsi="Arial"/>
          <w:sz w:val="18"/>
          <w:szCs w:val="18"/>
          <w:color w:val="auto"/>
        </w:rPr>
        <w:t>further $25.9 million payment received in July 2015. We intend to use the net proceeds of this offering over the next years, together with our existing cash and cash equivalents, as follows:</w:t>
      </w:r>
    </w:p>
    <w:p>
      <w:pPr>
        <w:spacing w:after="0" w:line="89" w:lineRule="exact"/>
        <w:rPr>
          <w:sz w:val="20"/>
          <w:szCs w:val="20"/>
          <w:color w:val="auto"/>
        </w:rPr>
      </w:pPr>
    </w:p>
    <w:p>
      <w:pPr>
        <w:ind w:left="900" w:right="360" w:hanging="325"/>
        <w:spacing w:after="0" w:line="308"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approximately $ million to fund our share of the costs for the further development of our therapeutic and diagnostics product candidates under collaboration agreements (crenezumab, ACI-35, anti-tau antibodies and tau PET tracers) in the next five years;</w:t>
      </w:r>
    </w:p>
    <w:p>
      <w:pPr>
        <w:spacing w:after="0" w:line="51" w:lineRule="exact"/>
        <w:rPr>
          <w:rFonts w:ascii="Arial" w:cs="Arial" w:eastAsia="Arial" w:hAnsi="Arial"/>
          <w:sz w:val="17"/>
          <w:szCs w:val="17"/>
          <w:color w:val="auto"/>
        </w:rPr>
      </w:pPr>
    </w:p>
    <w:p>
      <w:pPr>
        <w:ind w:left="900" w:right="40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approximately $ million for the further development of ACI-24 for AD through the remainder of the Phase 1/2a study and the Phase 2b study and for our ongoing Phase 1 study of ACI-24 for Down syndrome;</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approximately $ million for funding further pre-clinical development and commencement of Phase 1 clinical studies and other of our PD focused programs, including ACI-870 and our alpha-synuclein diagnostic product candidate;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for the further development of non-AD and non-PD programs, including programs targeting neuro-orphan diseases;</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approximately $ million for new research and development initiatives that are complementary to our existing and planned research initiatives;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However, due to the uncertainties inherent in the product development process, it is difficult to estimate with certainty the exact amounts of the net proceeds from this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this offering, and investors will be relying on our judgment regarding the application of the net proceeds. In addition, we might decide to postpone or not pursue certain preclinical activities or clinical studies if the net proceeds from this offering and our other sources of cash are less than expected.</w:t>
      </w:r>
    </w:p>
    <w:p>
      <w:pPr>
        <w:spacing w:after="0" w:line="18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direct or guaranteed obligations of the U.S. and Swiss governments. We are likely to convert a substantial amount of the proceeds into CHF shortly after the closing of this offering.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46"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the dividend proposal of our board of directors conforms to Swiss statutory law and our articles of incorporation. A Swiss corporation may pay dividends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only if it has sufficient distributable profits brought forward from the previous business years (“</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or if it has distributable reserves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reserves required by Swiss law and its articles of association have been deducted. Distributable reserves are generally booked either as “free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libres</w:t>
      </w:r>
      <w:r>
        <w:rPr>
          <w:rFonts w:ascii="Arial" w:cs="Arial" w:eastAsia="Arial" w:hAnsi="Arial"/>
          <w:sz w:val="16"/>
          <w:szCs w:val="16"/>
          <w:color w:val="auto"/>
        </w:rPr>
        <w:t>”) or as “reserve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Distributions out of issued share capital, which is the aggregate nominal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a corporation’s issued shares, may be made only by way of a share capital reduction. See “Description of Share Capital and Articles of Association.”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cash and cash equivalents and our total capitalization (defined as the sum of total debt and shareholders’ equity) as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derived from our unaudited interim financial statements prepared in accordance with IFRS:</w:t>
      </w:r>
    </w:p>
    <w:p>
      <w:pPr>
        <w:spacing w:after="0" w:line="116"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an as adjusted basis to reflect: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conversion of all outstanding shares of our preferred stock into an aggregate of 136,248 common shares; and</w:t>
      </w:r>
    </w:p>
    <w:p>
      <w:pPr>
        <w:spacing w:after="0" w:line="117" w:lineRule="exact"/>
        <w:rPr>
          <w:rFonts w:ascii="Arial" w:cs="Arial" w:eastAsia="Arial" w:hAnsi="Arial"/>
          <w:sz w:val="18"/>
          <w:szCs w:val="18"/>
          <w:color w:val="auto"/>
        </w:rPr>
      </w:pPr>
    </w:p>
    <w:p>
      <w:pPr>
        <w:ind w:left="1760" w:hanging="268"/>
        <w:spacing w:after="0"/>
        <w:tabs>
          <w:tab w:leader="none" w:pos="17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incorporation; and</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an as further adjusted basis to further reflect the receipt of the estimated net proceeds from the sale of common shares in this offering at an assumed initial public offering price of $ per share (which is the midpoint of the range set forth on the cover page of this prospectus), after deducting the underwriting discount and estimated expenses payable by us.</w:t>
      </w:r>
    </w:p>
    <w:p>
      <w:pPr>
        <w:spacing w:after="0" w:line="181"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right="160" w:firstLine="456"/>
        <w:spacing w:after="0" w:line="264" w:lineRule="auto"/>
        <w:rPr>
          <w:sz w:val="20"/>
          <w:szCs w:val="20"/>
          <w:color w:val="auto"/>
        </w:rPr>
      </w:pPr>
      <w:r>
        <w:rPr>
          <w:rFonts w:ascii="Arial" w:cs="Arial" w:eastAsia="Arial" w:hAnsi="Arial"/>
          <w:sz w:val="18"/>
          <w:szCs w:val="18"/>
          <w:color w:val="auto"/>
        </w:rPr>
        <w:t>You should read this table in conjunction with our unaudited condensed interim financial statements included in this prospectus as well as “Use of Proceeds,” “Selected Financial and Other Information” and “Management’s Discussion and Analysis of Financial Condition and Results of Operations” and our financial statements included elsewhere in this prospectus.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As at June 30, 2015</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0"/>
                <w:szCs w:val="10"/>
                <w:color w:val="auto"/>
              </w:rPr>
            </w:pPr>
          </w:p>
        </w:tc>
        <w:tc>
          <w:tcPr>
            <w:tcW w:w="10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As</w:t>
            </w:r>
          </w:p>
        </w:tc>
        <w:tc>
          <w:tcPr>
            <w:tcW w:w="7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As Further</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3"/>
              </w:rPr>
              <w:t>Adjusted</w:t>
            </w: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Adjusted(1)</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w w:val="92"/>
              </w:rPr>
              <w:t>(in CHF thousands)</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w w:val="87"/>
              </w:rPr>
              <w:t>Cash and cash equivalents</w:t>
            </w:r>
          </w:p>
        </w:tc>
        <w:tc>
          <w:tcPr>
            <w:tcW w:w="3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19,355</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920" w:type="dxa"/>
            <w:vAlign w:val="bottom"/>
            <w:vMerge w:val="continue"/>
          </w:tcPr>
          <w:p>
            <w:pPr>
              <w:spacing w:after="0"/>
              <w:rPr>
                <w:sz w:val="24"/>
                <w:szCs w:val="24"/>
                <w:color w:val="auto"/>
              </w:rPr>
            </w:pPr>
          </w:p>
        </w:tc>
        <w:tc>
          <w:tcPr>
            <w:tcW w:w="3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32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Common shares nominal value CHF 5.00 per share, 34,787 shares issued and outstanding;</w:t>
            </w:r>
          </w:p>
        </w:tc>
        <w:tc>
          <w:tcPr>
            <w:tcW w:w="2080" w:type="dxa"/>
            <w:vAlign w:val="bottom"/>
            <w:gridSpan w:val="3"/>
            <w:shd w:val="clear" w:color="auto" w:fill="CCEEFF"/>
          </w:tcPr>
          <w:p>
            <w:pPr>
              <w:jc w:val="right"/>
              <w:ind w:right="1500"/>
              <w:spacing w:after="0" w:line="201" w:lineRule="exact"/>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authorized,</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shares issued and outstanding, as adjusted; and</w:t>
            </w:r>
          </w:p>
        </w:tc>
        <w:tc>
          <w:tcPr>
            <w:tcW w:w="17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shares authorized,</w:t>
            </w:r>
          </w:p>
        </w:tc>
        <w:tc>
          <w:tcPr>
            <w:tcW w:w="208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issued and outstanding, as further adjusted</w:t>
            </w:r>
          </w:p>
        </w:tc>
        <w:tc>
          <w:tcPr>
            <w:tcW w:w="172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855</w:t>
            </w:r>
          </w:p>
        </w:tc>
        <w:tc>
          <w:tcPr>
            <w:tcW w:w="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400" w:type="dxa"/>
            <w:vAlign w:val="bottom"/>
            <w:gridSpan w:val="6"/>
          </w:tcPr>
          <w:p>
            <w:pPr>
              <w:ind w:left="360"/>
              <w:spacing w:after="0" w:line="201" w:lineRule="exact"/>
              <w:rPr>
                <w:sz w:val="20"/>
                <w:szCs w:val="20"/>
                <w:color w:val="auto"/>
              </w:rPr>
            </w:pPr>
            <w:r>
              <w:rPr>
                <w:rFonts w:ascii="Arial" w:cs="Arial" w:eastAsia="Arial" w:hAnsi="Arial"/>
                <w:sz w:val="18"/>
                <w:szCs w:val="18"/>
                <w:color w:val="auto"/>
              </w:rPr>
              <w:t>Preferred shares nominal value CHF 5.00 per share, 136,248 authorized preferred shares, 136,248 preferred</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gridSpan w:val="6"/>
          </w:tcPr>
          <w:p>
            <w:pPr>
              <w:ind w:left="540"/>
              <w:spacing w:after="0"/>
              <w:rPr>
                <w:sz w:val="20"/>
                <w:szCs w:val="20"/>
                <w:color w:val="auto"/>
              </w:rPr>
            </w:pPr>
            <w:r>
              <w:rPr>
                <w:rFonts w:ascii="Arial" w:cs="Arial" w:eastAsia="Arial" w:hAnsi="Arial"/>
                <w:sz w:val="18"/>
                <w:szCs w:val="18"/>
                <w:color w:val="auto"/>
              </w:rPr>
              <w:t>shares issued and outstanding; no shares authorized or issued and outstanding, as adjusted or as further</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540"/>
              <w:spacing w:after="0"/>
              <w:rPr>
                <w:sz w:val="20"/>
                <w:szCs w:val="20"/>
                <w:color w:val="auto"/>
              </w:rPr>
            </w:pPr>
            <w:r>
              <w:rPr>
                <w:rFonts w:ascii="Arial" w:cs="Arial" w:eastAsia="Arial" w:hAnsi="Arial"/>
                <w:sz w:val="18"/>
                <w:szCs w:val="18"/>
                <w:color w:val="auto"/>
              </w:rPr>
              <w:t>adjusted</w:t>
            </w:r>
          </w:p>
        </w:tc>
        <w:tc>
          <w:tcPr>
            <w:tcW w:w="3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36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83,077</w:t>
            </w:r>
          </w:p>
        </w:tc>
        <w:tc>
          <w:tcPr>
            <w:tcW w:w="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83,077</w:t>
            </w: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1720" w:type="dxa"/>
            <w:vAlign w:val="bottom"/>
          </w:tcPr>
          <w:p>
            <w:pPr>
              <w:spacing w:after="0"/>
              <w:rPr>
                <w:sz w:val="18"/>
                <w:szCs w:val="18"/>
                <w:color w:val="auto"/>
              </w:rPr>
            </w:pPr>
          </w:p>
        </w:tc>
        <w:tc>
          <w:tcPr>
            <w:tcW w:w="2080" w:type="dxa"/>
            <w:vAlign w:val="bottom"/>
            <w:gridSpan w:val="3"/>
          </w:tcPr>
          <w:p>
            <w:pPr>
              <w:jc w:val="right"/>
              <w:ind w:right="20"/>
              <w:spacing w:after="0"/>
              <w:rPr>
                <w:sz w:val="20"/>
                <w:szCs w:val="20"/>
                <w:color w:val="auto"/>
              </w:rPr>
            </w:pPr>
            <w:r>
              <w:rPr>
                <w:rFonts w:ascii="Arial" w:cs="Arial" w:eastAsia="Arial" w:hAnsi="Arial"/>
                <w:sz w:val="18"/>
                <w:szCs w:val="18"/>
                <w:color w:val="auto"/>
              </w:rPr>
              <w:t>(54,928)</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(54,928)</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36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1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29,004</w:t>
            </w:r>
          </w:p>
        </w:tc>
        <w:tc>
          <w:tcPr>
            <w:tcW w:w="3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60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172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29,004</w:t>
            </w:r>
          </w:p>
        </w:tc>
        <w:tc>
          <w:tcPr>
            <w:tcW w:w="80" w:type="dxa"/>
            <w:vAlign w:val="bottom"/>
          </w:tcPr>
          <w:p>
            <w:pPr>
              <w:spacing w:after="0"/>
              <w:rPr>
                <w:sz w:val="24"/>
                <w:szCs w:val="24"/>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29,004</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right="260" w:hanging="459"/>
        <w:spacing w:after="0" w:line="291" w:lineRule="auto"/>
        <w:tabs>
          <w:tab w:leader="none" w:pos="440" w:val="left"/>
        </w:tabs>
        <w:rPr>
          <w:sz w:val="20"/>
          <w:szCs w:val="20"/>
          <w:color w:val="auto"/>
        </w:rPr>
      </w:pPr>
      <w:r>
        <w:rPr>
          <w:rFonts w:ascii="Arial" w:cs="Arial" w:eastAsia="Arial" w:hAnsi="Arial"/>
          <w:sz w:val="16"/>
          <w:szCs w:val="16"/>
          <w:color w:val="auto"/>
        </w:rPr>
        <w:t>(1)</w:t>
        <w:tab/>
        <w:t>A $1.00 increase (decrease) in the assumed initial public offering price of $ per share would increase (decrease) each of as further adjusted cash and cash equivalents, additional paid-in capital, total capitalization and shareholders’ equity by $ million, assuming that the number of shares</w:t>
      </w:r>
    </w:p>
    <w:p>
      <w:pPr>
        <w:ind w:left="460" w:right="20"/>
        <w:spacing w:after="0" w:line="281" w:lineRule="auto"/>
        <w:rPr>
          <w:sz w:val="20"/>
          <w:szCs w:val="20"/>
          <w:color w:val="auto"/>
        </w:rPr>
      </w:pPr>
      <w:r>
        <w:rPr>
          <w:rFonts w:ascii="Arial" w:cs="Arial" w:eastAsia="Arial" w:hAnsi="Arial"/>
          <w:sz w:val="16"/>
          <w:szCs w:val="16"/>
          <w:color w:val="auto"/>
        </w:rPr>
        <w:t>offered by us, as set forth on the cover page of this prospectus, remains the same, and after deducting the underwriting discount and estimated offering expenses payable by us. We may also increase or decrease the number of shares we are offering. Each increase (decrease) of 1,000,000 in the number of shares offered by us would increase (decrease) as further adjusted cash and cash equivalents, additional paid-in capital, total shareholders’ equity and</w:t>
      </w:r>
    </w:p>
    <w:p>
      <w:pPr>
        <w:spacing w:after="0" w:line="2" w:lineRule="exact"/>
        <w:rPr>
          <w:sz w:val="20"/>
          <w:szCs w:val="20"/>
          <w:color w:val="auto"/>
        </w:rPr>
      </w:pPr>
    </w:p>
    <w:p>
      <w:pPr>
        <w:ind w:left="460" w:right="280"/>
        <w:spacing w:after="0" w:line="261" w:lineRule="auto"/>
        <w:rPr>
          <w:sz w:val="20"/>
          <w:szCs w:val="20"/>
          <w:color w:val="auto"/>
        </w:rPr>
      </w:pPr>
      <w:r>
        <w:rPr>
          <w:rFonts w:ascii="Arial" w:cs="Arial" w:eastAsia="Arial" w:hAnsi="Arial"/>
          <w:sz w:val="18"/>
          <w:szCs w:val="18"/>
          <w:color w:val="auto"/>
        </w:rPr>
        <w:t>capitalization by $ million, assuming an initial public offering price of $ per share, after deducting the underwriting discount and estimated offering expenses payable by 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common shares in the table above excludes:</w:t>
      </w:r>
    </w:p>
    <w:p>
      <w:pPr>
        <w:spacing w:after="0" w:line="131" w:lineRule="exact"/>
        <w:rPr>
          <w:sz w:val="20"/>
          <w:szCs w:val="20"/>
          <w:color w:val="auto"/>
        </w:rPr>
      </w:pPr>
    </w:p>
    <w:p>
      <w:pPr>
        <w:ind w:left="90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of our common shares reserved for future issuance under our new omnibus equity incentive plan that we intend to adopt in connection with this offering; and</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of our common shares issuable upon the exercise of options outstanding under our existing equity incentive plans as at June 30, 2015 at an exercise price of CHF 36.37 per common share.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you invest in our common shares, your interest will be diluted to the extent of the difference between the initial public offering price per share and the as adjusted net tangible book value per share of our common shares immediately after this offering.</w:t>
      </w:r>
    </w:p>
    <w:p>
      <w:pPr>
        <w:spacing w:after="0" w:line="170" w:lineRule="exact"/>
        <w:rPr>
          <w:sz w:val="20"/>
          <w:szCs w:val="20"/>
          <w:color w:val="auto"/>
        </w:rPr>
      </w:pPr>
    </w:p>
    <w:p>
      <w:pPr>
        <w:ind w:right="260" w:firstLine="456"/>
        <w:spacing w:after="0" w:line="288" w:lineRule="auto"/>
        <w:rPr>
          <w:sz w:val="20"/>
          <w:szCs w:val="20"/>
          <w:color w:val="auto"/>
        </w:rPr>
      </w:pPr>
      <w:r>
        <w:rPr>
          <w:rFonts w:ascii="Arial" w:cs="Arial" w:eastAsia="Arial" w:hAnsi="Arial"/>
          <w:sz w:val="16"/>
          <w:szCs w:val="16"/>
          <w:color w:val="auto"/>
        </w:rPr>
        <w:t>Net tangible book value is determined by dividing our total tangible assets less our total liabilities by the number of our common shares outstanding. Our historical net tangible book value as at June 30, 2015 was CHF 29.0 ($31.0) million, or CHF 833.76 ($892.04), per common share (on a fully diluted basis). Our as adjusted net tangible book value as at June 30, 2015, before giving effect to this offering was CHF 29.0 ($31.0) million, or CHF</w:t>
      </w:r>
    </w:p>
    <w:p>
      <w:pPr>
        <w:ind w:right="40"/>
        <w:spacing w:after="0" w:line="261" w:lineRule="auto"/>
        <w:rPr>
          <w:sz w:val="20"/>
          <w:szCs w:val="20"/>
          <w:color w:val="auto"/>
        </w:rPr>
      </w:pPr>
      <w:r>
        <w:rPr>
          <w:rFonts w:ascii="Arial" w:cs="Arial" w:eastAsia="Arial" w:hAnsi="Arial"/>
          <w:sz w:val="18"/>
          <w:szCs w:val="18"/>
          <w:color w:val="auto"/>
        </w:rPr>
        <w:t>169.58 ($181.43) per common share, based on the total number of our common shares outstanding as at June 30, 2015, after giving effect to the conversion of all outstanding preferred stock into an aggregate of 136,248 common shares.</w:t>
      </w:r>
    </w:p>
    <w:p>
      <w:pPr>
        <w:spacing w:after="0" w:line="184"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Dilution per share to new investors represents the difference between the amount per share paid by purchasers of common shares in this offering and the as further adjusted net tangible book value per common share immediately after completion of this offering. After giving effect to our sale of common</w:t>
      </w:r>
    </w:p>
    <w:p>
      <w:pPr>
        <w:ind w:right="300"/>
        <w:spacing w:after="0" w:line="281" w:lineRule="auto"/>
        <w:rPr>
          <w:sz w:val="20"/>
          <w:szCs w:val="20"/>
          <w:color w:val="auto"/>
        </w:rPr>
      </w:pPr>
      <w:r>
        <w:rPr>
          <w:rFonts w:ascii="Arial" w:cs="Arial" w:eastAsia="Arial" w:hAnsi="Arial"/>
          <w:sz w:val="16"/>
          <w:szCs w:val="16"/>
          <w:color w:val="auto"/>
        </w:rPr>
        <w:t>shares in this offering at an assumed initial public offering price of $ per share (the midpoint of the price range set forth on the cover page of this prospectus), after deducting the underwriting discount and estimated expenses payable by us, our as further adjusted net tangible book value as at June 30,</w:t>
      </w:r>
    </w:p>
    <w:tbl>
      <w:tblPr>
        <w:tblLayout w:type="fixed"/>
        <w:tblInd w:w="0" w:type="dxa"/>
        <w:tblCellMar>
          <w:top w:w="0" w:type="dxa"/>
          <w:left w:w="0" w:type="dxa"/>
          <w:bottom w:w="0" w:type="dxa"/>
          <w:right w:w="0" w:type="dxa"/>
        </w:tblCellMar>
      </w:tblPr>
      <w:tr>
        <w:trPr>
          <w:trHeight w:val="203"/>
        </w:trPr>
        <w:tc>
          <w:tcPr>
            <w:tcW w:w="2240" w:type="dxa"/>
            <w:vAlign w:val="bottom"/>
            <w:gridSpan w:val="3"/>
          </w:tcPr>
          <w:p>
            <w:pPr>
              <w:spacing w:after="0" w:line="203" w:lineRule="exact"/>
              <w:rPr>
                <w:sz w:val="20"/>
                <w:szCs w:val="20"/>
                <w:color w:val="auto"/>
              </w:rPr>
            </w:pPr>
            <w:r>
              <w:rPr>
                <w:rFonts w:ascii="Arial" w:cs="Arial" w:eastAsia="Arial" w:hAnsi="Arial"/>
                <w:sz w:val="18"/>
                <w:szCs w:val="18"/>
                <w:color w:val="auto"/>
                <w:w w:val="99"/>
              </w:rPr>
              <w:t>2015 would have been CHF</w:t>
            </w:r>
          </w:p>
        </w:tc>
        <w:tc>
          <w:tcPr>
            <w:tcW w:w="5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640" w:type="dxa"/>
            <w:vAlign w:val="bottom"/>
          </w:tcPr>
          <w:p>
            <w:pPr>
              <w:ind w:left="180"/>
              <w:spacing w:after="0" w:line="203" w:lineRule="exact"/>
              <w:rPr>
                <w:sz w:val="20"/>
                <w:szCs w:val="20"/>
                <w:color w:val="auto"/>
              </w:rPr>
            </w:pPr>
            <w:r>
              <w:rPr>
                <w:rFonts w:ascii="Arial" w:cs="Arial" w:eastAsia="Arial" w:hAnsi="Arial"/>
                <w:sz w:val="18"/>
                <w:szCs w:val="18"/>
                <w:color w:val="auto"/>
              </w:rPr>
              <w:t>) million, or CHF</w:t>
            </w:r>
          </w:p>
        </w:tc>
        <w:tc>
          <w:tcPr>
            <w:tcW w:w="5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6480" w:type="dxa"/>
            <w:vAlign w:val="bottom"/>
            <w:gridSpan w:val="7"/>
          </w:tcPr>
          <w:p>
            <w:pPr>
              <w:ind w:left="180"/>
              <w:spacing w:after="0" w:line="203" w:lineRule="exact"/>
              <w:rPr>
                <w:sz w:val="20"/>
                <w:szCs w:val="20"/>
                <w:color w:val="auto"/>
              </w:rPr>
            </w:pPr>
            <w:r>
              <w:rPr>
                <w:rFonts w:ascii="Arial" w:cs="Arial" w:eastAsia="Arial" w:hAnsi="Arial"/>
                <w:sz w:val="18"/>
                <w:szCs w:val="18"/>
                <w:color w:val="auto"/>
                <w:w w:val="94"/>
              </w:rPr>
              <w:t>) per share. This represents an immediate increase in as adjusted net tangible book</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value of CHF</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420" w:type="dxa"/>
            <w:vAlign w:val="bottom"/>
            <w:gridSpan w:val="5"/>
          </w:tcPr>
          <w:p>
            <w:pPr>
              <w:ind w:left="180"/>
              <w:spacing w:after="0"/>
              <w:rPr>
                <w:sz w:val="20"/>
                <w:szCs w:val="20"/>
                <w:color w:val="auto"/>
              </w:rPr>
            </w:pPr>
            <w:r>
              <w:rPr>
                <w:rFonts w:ascii="Arial" w:cs="Arial" w:eastAsia="Arial" w:hAnsi="Arial"/>
                <w:sz w:val="18"/>
                <w:szCs w:val="18"/>
                <w:color w:val="auto"/>
                <w:w w:val="94"/>
              </w:rPr>
              <w:t>) per share to existing shareholders and an immediate dilution of CHF</w:t>
            </w:r>
          </w:p>
        </w:tc>
        <w:tc>
          <w:tcPr>
            <w:tcW w:w="800" w:type="dxa"/>
            <w:vAlign w:val="bottom"/>
          </w:tcPr>
          <w:p>
            <w:pPr>
              <w:ind w:left="200"/>
              <w:spacing w:after="0"/>
              <w:rPr>
                <w:sz w:val="20"/>
                <w:szCs w:val="20"/>
                <w:color w:val="auto"/>
              </w:rPr>
            </w:pPr>
            <w:r>
              <w:rPr>
                <w:rFonts w:ascii="Arial" w:cs="Arial" w:eastAsia="Arial" w:hAnsi="Arial"/>
                <w:sz w:val="18"/>
                <w:szCs w:val="18"/>
                <w:color w:val="auto"/>
              </w:rPr>
              <w:t>(USD</w:t>
            </w:r>
          </w:p>
        </w:tc>
        <w:tc>
          <w:tcPr>
            <w:tcW w:w="3480" w:type="dxa"/>
            <w:vAlign w:val="bottom"/>
            <w:gridSpan w:val="5"/>
          </w:tcPr>
          <w:p>
            <w:pPr>
              <w:ind w:left="180"/>
              <w:spacing w:after="0"/>
              <w:rPr>
                <w:sz w:val="20"/>
                <w:szCs w:val="20"/>
                <w:color w:val="auto"/>
              </w:rPr>
            </w:pPr>
            <w:r>
              <w:rPr>
                <w:rFonts w:ascii="Arial" w:cs="Arial" w:eastAsia="Arial" w:hAnsi="Arial"/>
                <w:sz w:val="18"/>
                <w:szCs w:val="18"/>
                <w:color w:val="auto"/>
                <w:w w:val="96"/>
              </w:rPr>
              <w:t>) per share to investors participating in this</w:t>
            </w:r>
          </w:p>
        </w:tc>
      </w:tr>
      <w:tr>
        <w:trPr>
          <w:trHeight w:val="230"/>
        </w:trPr>
        <w:tc>
          <w:tcPr>
            <w:tcW w:w="4400" w:type="dxa"/>
            <w:vAlign w:val="bottom"/>
            <w:gridSpan w:val="5"/>
          </w:tcPr>
          <w:p>
            <w:pPr>
              <w:spacing w:after="0"/>
              <w:rPr>
                <w:sz w:val="20"/>
                <w:szCs w:val="20"/>
                <w:color w:val="auto"/>
              </w:rPr>
            </w:pPr>
            <w:r>
              <w:rPr>
                <w:rFonts w:ascii="Arial" w:cs="Arial" w:eastAsia="Arial" w:hAnsi="Arial"/>
                <w:sz w:val="18"/>
                <w:szCs w:val="18"/>
                <w:color w:val="auto"/>
              </w:rPr>
              <w:t>offering, as illustrated in the following table:</w:t>
            </w:r>
          </w:p>
        </w:tc>
        <w:tc>
          <w:tcPr>
            <w:tcW w:w="5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(in USD)</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(in CHF)</w:t>
            </w:r>
          </w:p>
        </w:tc>
      </w:tr>
      <w:tr>
        <w:trPr>
          <w:trHeight w:val="196"/>
        </w:trPr>
        <w:tc>
          <w:tcPr>
            <w:tcW w:w="4400" w:type="dxa"/>
            <w:vAlign w:val="bottom"/>
            <w:tcBorders>
              <w:top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Assumed initial public offering price per share</w:t>
            </w:r>
          </w:p>
        </w:tc>
        <w:tc>
          <w:tcPr>
            <w:tcW w:w="54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gridSpan w:val="6"/>
          </w:tcPr>
          <w:p>
            <w:pPr>
              <w:ind w:left="360"/>
              <w:spacing w:after="0"/>
              <w:rPr>
                <w:sz w:val="20"/>
                <w:szCs w:val="20"/>
                <w:color w:val="auto"/>
              </w:rPr>
            </w:pPr>
            <w:r>
              <w:rPr>
                <w:rFonts w:ascii="Arial" w:cs="Arial" w:eastAsia="Arial" w:hAnsi="Arial"/>
                <w:sz w:val="18"/>
                <w:szCs w:val="18"/>
                <w:color w:val="auto"/>
                <w:w w:val="94"/>
              </w:rPr>
              <w:t>Historical net tangible book value per share at June 30, 2015</w:t>
            </w:r>
          </w:p>
        </w:tc>
        <w:tc>
          <w:tcPr>
            <w:tcW w:w="2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892.04</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833.76</w:t>
            </w:r>
          </w:p>
        </w:tc>
        <w:tc>
          <w:tcPr>
            <w:tcW w:w="100" w:type="dxa"/>
            <w:vAlign w:val="bottom"/>
          </w:tcPr>
          <w:p>
            <w:pPr>
              <w:spacing w:after="0"/>
              <w:rPr>
                <w:sz w:val="18"/>
                <w:szCs w:val="18"/>
                <w:color w:val="auto"/>
              </w:rPr>
            </w:pPr>
          </w:p>
        </w:tc>
      </w:tr>
      <w:tr>
        <w:trPr>
          <w:trHeight w:val="216"/>
        </w:trPr>
        <w:tc>
          <w:tcPr>
            <w:tcW w:w="7940" w:type="dxa"/>
            <w:vAlign w:val="bottom"/>
            <w:gridSpan w:val="8"/>
            <w:shd w:val="clear" w:color="auto" w:fill="CCEEFF"/>
          </w:tcPr>
          <w:p>
            <w:pPr>
              <w:ind w:left="360"/>
              <w:spacing w:after="0"/>
              <w:rPr>
                <w:sz w:val="20"/>
                <w:szCs w:val="20"/>
                <w:color w:val="auto"/>
              </w:rPr>
            </w:pPr>
            <w:r>
              <w:rPr>
                <w:rFonts w:ascii="Arial" w:cs="Arial" w:eastAsia="Arial" w:hAnsi="Arial"/>
                <w:sz w:val="18"/>
                <w:szCs w:val="18"/>
                <w:color w:val="auto"/>
                <w:w w:val="96"/>
              </w:rPr>
              <w:t>As adjusted net tangible book value per share at June 30, 2015, before giving effect to this offering</w:t>
            </w:r>
          </w:p>
        </w:tc>
        <w:tc>
          <w:tcPr>
            <w:tcW w:w="2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181.43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169.58</w:t>
            </w:r>
          </w:p>
        </w:tc>
      </w:tr>
    </w:tbl>
    <w:p>
      <w:pPr>
        <w:ind w:left="360"/>
        <w:spacing w:after="0"/>
        <w:rPr>
          <w:sz w:val="20"/>
          <w:szCs w:val="20"/>
          <w:color w:val="auto"/>
        </w:rPr>
      </w:pPr>
      <w:r>
        <w:rPr>
          <w:rFonts w:ascii="Arial" w:cs="Arial" w:eastAsia="Arial" w:hAnsi="Arial"/>
          <w:sz w:val="18"/>
          <w:szCs w:val="18"/>
          <w:color w:val="auto"/>
        </w:rPr>
        <w:t>Increase in as adjusted net tangible book value per share attributable to new investors purchasing shares in this offering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further adjusted net tangible book value per share after giving effect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Dilution per share to investors participating in this offering</w:t>
      </w:r>
    </w:p>
    <w:p>
      <w:pPr>
        <w:spacing w:after="0" w:line="211" w:lineRule="exact"/>
        <w:rPr>
          <w:sz w:val="20"/>
          <w:szCs w:val="20"/>
          <w:color w:val="auto"/>
        </w:rPr>
      </w:pPr>
    </w:p>
    <w:p>
      <w:pPr>
        <w:ind w:right="260" w:firstLine="456"/>
        <w:spacing w:after="0" w:line="271" w:lineRule="auto"/>
        <w:rPr>
          <w:sz w:val="20"/>
          <w:szCs w:val="20"/>
          <w:color w:val="auto"/>
        </w:rPr>
      </w:pPr>
      <w:r>
        <w:rPr>
          <w:rFonts w:ascii="Arial" w:cs="Arial" w:eastAsia="Arial" w:hAnsi="Arial"/>
          <w:sz w:val="17"/>
          <w:szCs w:val="17"/>
          <w:color w:val="auto"/>
        </w:rPr>
        <w:t>Each $1.00 increase (decrease) in the assumed initial public offering price of $ (CHF ) per share would increase (decrease) our as further adjusted net tangible book value by approximately $ (CHF ) million, or approximately $ (CHF ) per share, and the dilution per share to investors in this offering by approximately $ (CHF ) per share, assuming that the number of shares offered by us, as set forth on the cover page of</w:t>
      </w:r>
    </w:p>
    <w:p>
      <w:pPr>
        <w:ind w:right="280"/>
        <w:spacing w:after="0" w:line="281" w:lineRule="auto"/>
        <w:rPr>
          <w:sz w:val="20"/>
          <w:szCs w:val="20"/>
          <w:color w:val="auto"/>
        </w:rPr>
      </w:pPr>
      <w:r>
        <w:rPr>
          <w:rFonts w:ascii="Arial" w:cs="Arial" w:eastAsia="Arial" w:hAnsi="Arial"/>
          <w:sz w:val="16"/>
          <w:szCs w:val="16"/>
          <w:color w:val="auto"/>
        </w:rPr>
        <w:t>this prospectus, remains the same and after deducting the underwriting discount and estimated offering expenses payable by us. We may also increase or decrease the number of shares we are offering. An increase (decrease) of 1,000,000 shares in the number of shares offered by us would increase (decrease)</w:t>
      </w:r>
    </w:p>
    <w:p>
      <w:pPr>
        <w:spacing w:after="0" w:line="1" w:lineRule="exact"/>
        <w:rPr>
          <w:sz w:val="20"/>
          <w:szCs w:val="20"/>
          <w:color w:val="auto"/>
        </w:rPr>
      </w:pPr>
    </w:p>
    <w:p>
      <w:pPr>
        <w:spacing w:after="0"/>
        <w:tabs>
          <w:tab w:leader="none" w:pos="5180" w:val="left"/>
          <w:tab w:leader="none" w:pos="5960" w:val="left"/>
          <w:tab w:leader="none" w:pos="8440" w:val="left"/>
          <w:tab w:leader="none" w:pos="9220" w:val="left"/>
        </w:tabs>
        <w:rPr>
          <w:sz w:val="20"/>
          <w:szCs w:val="20"/>
          <w:color w:val="auto"/>
        </w:rPr>
      </w:pPr>
      <w:r>
        <w:rPr>
          <w:rFonts w:ascii="Arial" w:cs="Arial" w:eastAsia="Arial" w:hAnsi="Arial"/>
          <w:sz w:val="18"/>
          <w:szCs w:val="18"/>
          <w:color w:val="auto"/>
        </w:rPr>
        <w:t>our as further adjusted net tangible book value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8"/>
          <w:szCs w:val="18"/>
          <w:color w:val="auto"/>
        </w:rPr>
        <w:t>) million, or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5"/>
          <w:szCs w:val="15"/>
          <w:color w:val="auto"/>
        </w:rPr>
        <w:t>) per share, and decrease the</w:t>
      </w:r>
    </w:p>
    <w:p>
      <w:pPr>
        <w:spacing w:after="0" w:line="9" w:lineRule="exact"/>
        <w:rPr>
          <w:sz w:val="20"/>
          <w:szCs w:val="20"/>
          <w:color w:val="auto"/>
        </w:rPr>
      </w:pPr>
    </w:p>
    <w:p>
      <w:pPr>
        <w:spacing w:after="0"/>
        <w:tabs>
          <w:tab w:leader="none" w:pos="5920" w:val="left"/>
          <w:tab w:leader="none" w:pos="6700" w:val="left"/>
        </w:tabs>
        <w:rPr>
          <w:sz w:val="20"/>
          <w:szCs w:val="20"/>
          <w:color w:val="auto"/>
        </w:rPr>
      </w:pPr>
      <w:r>
        <w:rPr>
          <w:rFonts w:ascii="Arial" w:cs="Arial" w:eastAsia="Arial" w:hAnsi="Arial"/>
          <w:sz w:val="18"/>
          <w:szCs w:val="18"/>
          <w:color w:val="auto"/>
        </w:rPr>
        <w:t>as adjusted dilution per share to investors in this offering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assuming an initial public offering price of</w:t>
      </w:r>
    </w:p>
    <w:p>
      <w:pPr>
        <w:spacing w:after="0" w:line="9" w:lineRule="exact"/>
        <w:rPr>
          <w:sz w:val="20"/>
          <w:szCs w:val="20"/>
          <w:color w:val="auto"/>
        </w:rPr>
      </w:pPr>
    </w:p>
    <w:p>
      <w:pPr>
        <w:spacing w:after="0"/>
        <w:tabs>
          <w:tab w:leader="none" w:pos="480" w:val="left"/>
          <w:tab w:leader="none" w:pos="1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after deducting the underwriting discount and estimated offering expenses payable by us. The as further adjusted information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discussed above is illustrative only and will be adjusted based on the actual initial public offering price and other terms of this offering determined at pricing.</w:t>
      </w:r>
    </w:p>
    <w:p>
      <w:pPr>
        <w:spacing w:after="0" w:line="234"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If the underwriter’s over-allotment option is exercised in full, the as further adjusted net tangible book value per share after this offering would be $ (CHF ) per share, the increase in as further adjusted net tangible book value per share to existing shareholders would be $ (CHF ) per share and the dilution to new investors purchasing shares in this offering would be $ (CHF ) per share.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following table presents, on an as further adjusted basis described above, the difference between the existing shareholders and the purchasers of shares in this offering with respect to the number of shares purchased from us, the total consideration paid, which includes net proceeds received from the issuance of common and preferred stock and cash received from the exercise of stock options.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Total Consideration</w:t>
            </w:r>
          </w:p>
        </w:tc>
        <w:tc>
          <w:tcPr>
            <w:tcW w:w="17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Total Consideration</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8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per</w:t>
            </w:r>
          </w:p>
        </w:tc>
        <w:tc>
          <w:tcPr>
            <w:tcW w:w="6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4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Total Shares</w:t>
            </w:r>
          </w:p>
        </w:tc>
        <w:tc>
          <w:tcPr>
            <w:tcW w:w="400" w:type="dxa"/>
            <w:vAlign w:val="bottom"/>
            <w:vMerge w:val="restart"/>
          </w:tcPr>
          <w:p>
            <w:pPr>
              <w:spacing w:after="0"/>
              <w:rPr>
                <w:sz w:val="5"/>
                <w:szCs w:val="5"/>
                <w:color w:val="auto"/>
              </w:rPr>
            </w:pPr>
          </w:p>
        </w:tc>
        <w:tc>
          <w:tcPr>
            <w:tcW w:w="8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w w:val="92"/>
              </w:rPr>
              <w:t>(USD)</w:t>
            </w: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6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(CHF)</w:t>
            </w:r>
          </w:p>
        </w:tc>
        <w:tc>
          <w:tcPr>
            <w:tcW w:w="400" w:type="dxa"/>
            <w:vAlign w:val="bottom"/>
            <w:vMerge w:val="restart"/>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4540" w:type="dxa"/>
            <w:vAlign w:val="bottom"/>
          </w:tcPr>
          <w:p>
            <w:pPr>
              <w:spacing w:after="0"/>
              <w:rPr>
                <w:sz w:val="9"/>
                <w:szCs w:val="9"/>
                <w:color w:val="auto"/>
              </w:rPr>
            </w:pPr>
          </w:p>
        </w:tc>
        <w:tc>
          <w:tcPr>
            <w:tcW w:w="1420" w:type="dxa"/>
            <w:vAlign w:val="bottom"/>
            <w:tcBorders>
              <w:bottom w:val="single" w:sz="8" w:color="auto"/>
            </w:tcBorders>
            <w:gridSpan w:val="3"/>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880" w:type="dxa"/>
            <w:vAlign w:val="bottom"/>
            <w:tcBorders>
              <w:bottom w:val="single" w:sz="8" w:color="auto"/>
            </w:tcBorders>
            <w:gridSpan w:val="2"/>
            <w:vMerge w:val="continue"/>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tcBorders>
              <w:bottom w:val="single" w:sz="8" w:color="auto"/>
            </w:tcBorders>
            <w:gridSpan w:val="3"/>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8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Share</w:t>
            </w:r>
          </w:p>
        </w:tc>
        <w:tc>
          <w:tcPr>
            <w:tcW w:w="6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86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w w:val="85"/>
              </w:rPr>
              <w:t>Percent</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w w:val="89"/>
              </w:rPr>
              <w:t>Percent</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w w:val="89"/>
              </w:rPr>
              <w:t>Percent</w:t>
            </w:r>
          </w:p>
        </w:tc>
        <w:tc>
          <w:tcPr>
            <w:tcW w:w="88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5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(USD)</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(CHF)</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 before this offering</w:t>
            </w: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171,035</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89,799</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83,932</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525.03</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Investors participating in this offering</w:t>
            </w:r>
          </w:p>
        </w:tc>
        <w:tc>
          <w:tcPr>
            <w:tcW w:w="6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8"/>
              </w:rPr>
              <w:t>100.0%</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8"/>
              </w:rPr>
              <w:t>100.0%</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360" w:type="dxa"/>
            <w:vAlign w:val="bottom"/>
            <w:gridSpan w:val="5"/>
          </w:tcPr>
          <w:p>
            <w:pPr>
              <w:ind w:left="46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(CHF</w:t>
            </w:r>
          </w:p>
        </w:tc>
        <w:tc>
          <w:tcPr>
            <w:tcW w:w="3520" w:type="dxa"/>
            <w:vAlign w:val="bottom"/>
            <w:gridSpan w:val="8"/>
          </w:tcPr>
          <w:p>
            <w:pPr>
              <w:ind w:left="100"/>
              <w:spacing w:after="0"/>
              <w:rPr>
                <w:sz w:val="20"/>
                <w:szCs w:val="20"/>
                <w:color w:val="auto"/>
              </w:rPr>
            </w:pPr>
            <w:r>
              <w:rPr>
                <w:rFonts w:ascii="Arial" w:cs="Arial" w:eastAsia="Arial" w:hAnsi="Arial"/>
                <w:sz w:val="18"/>
                <w:szCs w:val="18"/>
                <w:color w:val="auto"/>
                <w:w w:val="90"/>
              </w:rPr>
              <w:t>) per share, would increase (decrease) the total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40" w:type="dxa"/>
            <w:vAlign w:val="bottom"/>
            <w:gridSpan w:val="7"/>
          </w:tcPr>
          <w:p>
            <w:pPr>
              <w:spacing w:after="0"/>
              <w:rPr>
                <w:sz w:val="20"/>
                <w:szCs w:val="20"/>
                <w:color w:val="auto"/>
              </w:rPr>
            </w:pPr>
            <w:r>
              <w:rPr>
                <w:rFonts w:ascii="Arial" w:cs="Arial" w:eastAsia="Arial" w:hAnsi="Arial"/>
                <w:sz w:val="18"/>
                <w:szCs w:val="18"/>
                <w:color w:val="auto"/>
                <w:w w:val="90"/>
              </w:rPr>
              <w:t>consideration paid to us by new investors and total consideration paid to us by all shareholders by $</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(CHF</w:t>
            </w:r>
          </w:p>
        </w:tc>
        <w:tc>
          <w:tcPr>
            <w:tcW w:w="3300" w:type="dxa"/>
            <w:vAlign w:val="bottom"/>
            <w:gridSpan w:val="8"/>
          </w:tcPr>
          <w:p>
            <w:pPr>
              <w:ind w:left="280"/>
              <w:spacing w:after="0"/>
              <w:rPr>
                <w:sz w:val="20"/>
                <w:szCs w:val="20"/>
                <w:color w:val="auto"/>
              </w:rPr>
            </w:pPr>
            <w:r>
              <w:rPr>
                <w:rFonts w:ascii="Arial" w:cs="Arial" w:eastAsia="Arial" w:hAnsi="Arial"/>
                <w:sz w:val="18"/>
                <w:szCs w:val="18"/>
                <w:color w:val="auto"/>
                <w:w w:val="99"/>
              </w:rPr>
              <w:t>) million, assuming that the number of</w:t>
            </w:r>
          </w:p>
        </w:tc>
        <w:tc>
          <w:tcPr>
            <w:tcW w:w="0" w:type="dxa"/>
            <w:vAlign w:val="bottom"/>
          </w:tcPr>
          <w:p>
            <w:pPr>
              <w:spacing w:after="0"/>
              <w:rPr>
                <w:sz w:val="1"/>
                <w:szCs w:val="1"/>
                <w:color w:val="auto"/>
              </w:rPr>
            </w:pPr>
          </w:p>
        </w:tc>
      </w:tr>
    </w:tbl>
    <w:p>
      <w:pPr>
        <w:ind w:right="120"/>
        <w:spacing w:after="0" w:line="280" w:lineRule="auto"/>
        <w:rPr>
          <w:sz w:val="20"/>
          <w:szCs w:val="20"/>
          <w:color w:val="auto"/>
        </w:rPr>
      </w:pPr>
      <w:r>
        <w:rPr>
          <w:rFonts w:ascii="Arial" w:cs="Arial" w:eastAsia="Arial" w:hAnsi="Arial"/>
          <w:sz w:val="16"/>
          <w:szCs w:val="16"/>
          <w:color w:val="auto"/>
        </w:rPr>
        <w:t>shares offered by us, as set forth on the cover page of this prospectus, remains the same and after deducting the underwriting discount and estimated offering expenses payable by us. An increase (decrease) of 1,000,000 shares in the number of shares offered by us would increase (decrease) the total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paid to us by new investors and total consideration paid to us by all shareholders by approximately $ (CHF ) million, assuming an initial public offering price of $ (CHF ) per share, after deducting the underwriting discount and estimated offering expenses payable by us.</w:t>
      </w:r>
    </w:p>
    <w:p>
      <w:pPr>
        <w:sectPr>
          <w:pgSz w:w="11900" w:h="16838" w:orient="portrait"/>
          <w:cols w:equalWidth="0" w:num="1">
            <w:col w:w="11420"/>
          </w:cols>
          <w:pgMar w:left="240" w:top="459" w:right="239" w:bottom="1440" w:gutter="0" w:footer="0" w:header="0"/>
        </w:sectPr>
      </w:pP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calculations above are based 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preferred stock into common shares and exclude: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shares outstanding as at June 30, 2015 after giving effect to the conversion of all outstanding shares of</w:t>
      </w:r>
    </w:p>
    <w:p>
      <w:pPr>
        <w:spacing w:after="0" w:line="369" w:lineRule="exact"/>
        <w:rPr>
          <w:sz w:val="20"/>
          <w:szCs w:val="20"/>
          <w:color w:val="auto"/>
        </w:rPr>
      </w:pPr>
    </w:p>
    <w:p>
      <w:pPr>
        <w:sectPr>
          <w:pgSz w:w="11900" w:h="16838" w:orient="portrait"/>
          <w:cols w:equalWidth="0" w:num="2">
            <w:col w:w="3540" w:space="120"/>
            <w:col w:w="7760"/>
          </w:cols>
          <w:pgMar w:left="240" w:top="459" w:right="239" w:bottom="1440" w:gutter="0" w:footer="0" w:header="0"/>
          <w:type w:val="continuous"/>
        </w:sectPr>
      </w:pPr>
    </w:p>
    <w:p>
      <w:pPr>
        <w:ind w:left="900" w:right="18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 our common shares reserved for future issuance under our new omnibus equity incentive plan that we intend to adopt in connection with this offering; and</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 our common shares issuable upon the exercise of options outstanding under our existing equity incentive plans as at June 30, 2015 at an exercise price of CHF 36.37 per common share.</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To the extent that any outstanding options are exercised, new options are issued under our stock-based compensation plans or we issue additional common shares in the future, there will be further dilution to investors participating in this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RATES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table sets forth, for the periods indicated, the high, low, average and period-end exchange rates for the purchase of U.S. dollars expressed in CHF per U.S. dollar. The average rate is calculated by using the average of the U.S. Federal Reserve Bank’s reported exchange rates on each day during a monthly period and on the last day of each month during an annual period. On August 21, 2015, the exchange rate as reported by the U.S. Federal Reserve Bank was CHF 0.9488 to $1.00. In this prospectus, translations from CHF to U.S. dollars were made at the rate of 0.9346 to $1.00, the official exchange rate quoted as at June 30, 2015 by the U.S. Federal Reserve Bank.</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0"/>
              </w:rPr>
              <w:t>Period-end</w:t>
            </w: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rPr>
              <w:t>Average for</w:t>
            </w:r>
          </w:p>
        </w:tc>
        <w:tc>
          <w:tcPr>
            <w:tcW w:w="10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rPr>
              <w:t>(CHF per U.S. dollar)</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Ended December 31:</w:t>
            </w:r>
          </w:p>
        </w:tc>
        <w:tc>
          <w:tcPr>
            <w:tcW w:w="2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2010</w:t>
            </w:r>
          </w:p>
        </w:tc>
        <w:tc>
          <w:tcPr>
            <w:tcW w:w="3280" w:type="dxa"/>
            <w:vAlign w:val="bottom"/>
            <w:gridSpan w:val="2"/>
          </w:tcPr>
          <w:p>
            <w:pPr>
              <w:jc w:val="right"/>
              <w:ind w:right="168"/>
              <w:spacing w:after="0"/>
              <w:rPr>
                <w:sz w:val="20"/>
                <w:szCs w:val="20"/>
                <w:color w:val="auto"/>
              </w:rPr>
            </w:pPr>
            <w:r>
              <w:rPr>
                <w:rFonts w:ascii="Arial" w:cs="Arial" w:eastAsia="Arial" w:hAnsi="Arial"/>
                <w:sz w:val="18"/>
                <w:szCs w:val="18"/>
                <w:color w:val="auto"/>
              </w:rPr>
              <w:t>0.9369</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1.0354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0.9369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2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0.9374</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0.8802</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0.7296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0.9755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2012</w:t>
            </w:r>
          </w:p>
        </w:tc>
        <w:tc>
          <w:tcPr>
            <w:tcW w:w="3280" w:type="dxa"/>
            <w:vAlign w:val="bottom"/>
            <w:gridSpan w:val="2"/>
          </w:tcPr>
          <w:p>
            <w:pPr>
              <w:jc w:val="right"/>
              <w:ind w:right="168"/>
              <w:spacing w:after="0"/>
              <w:rPr>
                <w:sz w:val="20"/>
                <w:szCs w:val="20"/>
                <w:color w:val="auto"/>
              </w:rPr>
            </w:pPr>
            <w:r>
              <w:rPr>
                <w:rFonts w:ascii="Arial" w:cs="Arial" w:eastAsia="Arial" w:hAnsi="Arial"/>
                <w:sz w:val="18"/>
                <w:szCs w:val="18"/>
                <w:color w:val="auto"/>
              </w:rPr>
              <w:t>0.9155</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0.9331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0.8949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0.9957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2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0.8904</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0.9241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0.8856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0.9814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2014</w:t>
            </w:r>
          </w:p>
        </w:tc>
        <w:tc>
          <w:tcPr>
            <w:tcW w:w="3280" w:type="dxa"/>
            <w:vAlign w:val="bottom"/>
            <w:gridSpan w:val="2"/>
          </w:tcPr>
          <w:p>
            <w:pPr>
              <w:jc w:val="right"/>
              <w:ind w:right="168"/>
              <w:spacing w:after="0"/>
              <w:rPr>
                <w:sz w:val="20"/>
                <w:szCs w:val="20"/>
                <w:color w:val="auto"/>
              </w:rPr>
            </w:pPr>
            <w:r>
              <w:rPr>
                <w:rFonts w:ascii="Arial" w:cs="Arial" w:eastAsia="Arial" w:hAnsi="Arial"/>
                <w:sz w:val="18"/>
                <w:szCs w:val="18"/>
                <w:color w:val="auto"/>
              </w:rPr>
              <w:t>0.9934</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0.9195</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0.8712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Months Ended:</w:t>
            </w:r>
          </w:p>
        </w:tc>
        <w:tc>
          <w:tcPr>
            <w:tcW w:w="2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February 28, 2015</w:t>
            </w:r>
          </w:p>
        </w:tc>
        <w:tc>
          <w:tcPr>
            <w:tcW w:w="3280" w:type="dxa"/>
            <w:vAlign w:val="bottom"/>
            <w:gridSpan w:val="2"/>
          </w:tcPr>
          <w:p>
            <w:pPr>
              <w:jc w:val="right"/>
              <w:ind w:right="168"/>
              <w:spacing w:after="0"/>
              <w:rPr>
                <w:sz w:val="20"/>
                <w:szCs w:val="20"/>
                <w:color w:val="auto"/>
              </w:rPr>
            </w:pPr>
            <w:r>
              <w:rPr>
                <w:rFonts w:ascii="Arial" w:cs="Arial" w:eastAsia="Arial" w:hAnsi="Arial"/>
                <w:sz w:val="18"/>
                <w:szCs w:val="18"/>
                <w:color w:val="auto"/>
              </w:rPr>
              <w:t>0.9513</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0.9361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0.9228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0.9540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March 31, 2015</w:t>
            </w:r>
          </w:p>
        </w:tc>
        <w:tc>
          <w:tcPr>
            <w:tcW w:w="32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0.9712</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0.9798</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0.9553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April 30, 2015</w:t>
            </w:r>
          </w:p>
        </w:tc>
        <w:tc>
          <w:tcPr>
            <w:tcW w:w="3280" w:type="dxa"/>
            <w:vAlign w:val="bottom"/>
            <w:gridSpan w:val="2"/>
          </w:tcPr>
          <w:p>
            <w:pPr>
              <w:jc w:val="right"/>
              <w:ind w:right="168"/>
              <w:spacing w:after="0"/>
              <w:rPr>
                <w:sz w:val="20"/>
                <w:szCs w:val="20"/>
                <w:color w:val="auto"/>
              </w:rPr>
            </w:pPr>
            <w:r>
              <w:rPr>
                <w:rFonts w:ascii="Arial" w:cs="Arial" w:eastAsia="Arial" w:hAnsi="Arial"/>
                <w:sz w:val="18"/>
                <w:szCs w:val="18"/>
                <w:color w:val="auto"/>
              </w:rPr>
              <w:t>0.9410</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0.9595</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0.9358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0.9807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May 31, 2015</w:t>
            </w:r>
          </w:p>
        </w:tc>
        <w:tc>
          <w:tcPr>
            <w:tcW w:w="32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0.9404</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0.9316</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0.9146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0.9508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June 30, 2015</w:t>
            </w:r>
          </w:p>
        </w:tc>
        <w:tc>
          <w:tcPr>
            <w:tcW w:w="3280" w:type="dxa"/>
            <w:vAlign w:val="bottom"/>
            <w:gridSpan w:val="2"/>
          </w:tcPr>
          <w:p>
            <w:pPr>
              <w:jc w:val="right"/>
              <w:ind w:right="168"/>
              <w:spacing w:after="0"/>
              <w:rPr>
                <w:sz w:val="20"/>
                <w:szCs w:val="20"/>
                <w:color w:val="auto"/>
              </w:rPr>
            </w:pPr>
            <w:r>
              <w:rPr>
                <w:rFonts w:ascii="Arial" w:cs="Arial" w:eastAsia="Arial" w:hAnsi="Arial"/>
                <w:sz w:val="18"/>
                <w:szCs w:val="18"/>
                <w:color w:val="auto"/>
              </w:rPr>
              <w:t>0.9346</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0.9321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0.9188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0.9467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July 31, 2015</w:t>
            </w:r>
          </w:p>
        </w:tc>
        <w:tc>
          <w:tcPr>
            <w:tcW w:w="32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0.9636</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0.9547</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0.9456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0.9636</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August 2015 (through August 21, 2015)</w:t>
            </w:r>
          </w:p>
        </w:tc>
        <w:tc>
          <w:tcPr>
            <w:tcW w:w="3280" w:type="dxa"/>
            <w:vAlign w:val="bottom"/>
            <w:gridSpan w:val="2"/>
          </w:tcPr>
          <w:p>
            <w:pPr>
              <w:jc w:val="right"/>
              <w:ind w:right="168"/>
              <w:spacing w:after="0"/>
              <w:rPr>
                <w:sz w:val="20"/>
                <w:szCs w:val="20"/>
                <w:color w:val="auto"/>
              </w:rPr>
            </w:pPr>
            <w:r>
              <w:rPr>
                <w:rFonts w:ascii="Arial" w:cs="Arial" w:eastAsia="Arial" w:hAnsi="Arial"/>
                <w:sz w:val="18"/>
                <w:szCs w:val="18"/>
                <w:color w:val="auto"/>
              </w:rPr>
              <w:t>0.9488</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0.9743</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0.9488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0.9869</w:t>
            </w:r>
          </w:p>
        </w:tc>
        <w:tc>
          <w:tcPr>
            <w:tcW w:w="0" w:type="dxa"/>
            <w:vAlign w:val="bottom"/>
          </w:tcPr>
          <w:p>
            <w:pPr>
              <w:spacing w:after="0"/>
              <w:rPr>
                <w:sz w:val="1"/>
                <w:szCs w:val="1"/>
                <w:color w:val="auto"/>
              </w:rPr>
            </w:pPr>
          </w:p>
        </w:tc>
      </w:tr>
      <w:tr>
        <w:trPr>
          <w:trHeight w:val="350"/>
        </w:trPr>
        <w:tc>
          <w:tcPr>
            <w:tcW w:w="4040" w:type="dxa"/>
            <w:vAlign w:val="bottom"/>
          </w:tcPr>
          <w:p>
            <w:pPr>
              <w:spacing w:after="0"/>
              <w:rPr>
                <w:sz w:val="24"/>
                <w:szCs w:val="24"/>
                <w:color w:val="auto"/>
              </w:rPr>
            </w:pPr>
          </w:p>
        </w:tc>
        <w:tc>
          <w:tcPr>
            <w:tcW w:w="2340" w:type="dxa"/>
            <w:vAlign w:val="bottom"/>
          </w:tcPr>
          <w:p>
            <w:pPr>
              <w:jc w:val="right"/>
              <w:ind w:right="950"/>
              <w:spacing w:after="0"/>
              <w:rPr>
                <w:sz w:val="20"/>
                <w:szCs w:val="20"/>
                <w:color w:val="auto"/>
              </w:rPr>
            </w:pPr>
            <w:r>
              <w:rPr>
                <w:rFonts w:ascii="Arial" w:cs="Arial" w:eastAsia="Arial" w:hAnsi="Arial"/>
                <w:sz w:val="18"/>
                <w:szCs w:val="18"/>
                <w:color w:val="auto"/>
              </w:rPr>
              <w:t>63</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INFORMATION</w:t>
      </w:r>
    </w:p>
    <w:p>
      <w:pPr>
        <w:spacing w:after="0" w:line="22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following tables summarize our financial data as at the dates and for the periods indicated. The financial data for the years ended December 31, 2014 and 2013 have been derived from our audited financial statements, which have been prepared in accordance with International Financial Reporting Standards, or IFRS, as issued by the International Accounting Standards Board, or IASB, and audited in accordance with the standards of the U.S. Public Company Accounting Oversight Board, and included elsewhere in this prospectus.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financial data as at June 30, 2015 and for the six months ended June 30, 2015 and 2014 have been derived from our unaudited interim financial statements included elsewhere in this prospectus. The unaudited interim financial statements have been prepared on the same basis as our audited financial statements and include all normal recurring adjustments that we consider necessary for a fair statement of our financial position and operating results as at the dates and for the periods presented. We maintain our books and records in, and our financial statements are prepared and presented in, Swiss Francs, our presentation currency.</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Our interim financial results for the periods presented are not necessarily indicative of results for a full year or for any subsequent interim period. The following summary financial data should be read in conjunction with “Management’s Discussion and Analysis of Financial Condition and Results of Operations” and our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92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3"/>
              </w:rPr>
              <w:t>For the Six Months Ended</w:t>
            </w:r>
          </w:p>
        </w:tc>
        <w:tc>
          <w:tcPr>
            <w:tcW w:w="16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For the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16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12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3420" w:type="dxa"/>
            <w:vAlign w:val="bottom"/>
            <w:gridSpan w:val="8"/>
          </w:tcPr>
          <w:p>
            <w:pPr>
              <w:jc w:val="right"/>
              <w:ind w:right="391"/>
              <w:spacing w:after="0" w:line="119" w:lineRule="exact"/>
              <w:rPr>
                <w:sz w:val="20"/>
                <w:szCs w:val="20"/>
                <w:color w:val="auto"/>
              </w:rPr>
            </w:pPr>
            <w:r>
              <w:rPr>
                <w:rFonts w:ascii="Arial" w:cs="Arial" w:eastAsia="Arial" w:hAnsi="Arial"/>
                <w:sz w:val="13"/>
                <w:szCs w:val="13"/>
                <w:b w:val="1"/>
                <w:bCs w:val="1"/>
                <w:color w:val="auto"/>
              </w:rPr>
              <w:t>(in CHF thousands except for share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per share data)</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30,269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7,190</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7,194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16,116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900" w:type="dxa"/>
            <w:vAlign w:val="bottom"/>
            <w:gridSpan w:val="2"/>
          </w:tcPr>
          <w:p>
            <w:pPr>
              <w:spacing w:after="0"/>
              <w:rPr>
                <w:sz w:val="20"/>
                <w:szCs w:val="20"/>
                <w:color w:val="auto"/>
              </w:rPr>
            </w:pPr>
            <w:r>
              <w:rPr>
                <w:rFonts w:ascii="Arial" w:cs="Arial" w:eastAsia="Arial" w:hAnsi="Arial"/>
                <w:sz w:val="18"/>
                <w:szCs w:val="18"/>
                <w:color w:val="auto"/>
              </w:rPr>
              <w:t>Operating income / (loss)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5,469</w:t>
            </w:r>
          </w:p>
        </w:tc>
        <w:tc>
          <w:tcPr>
            <w:tcW w:w="18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(4,623)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10,717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Finance costs—net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900" w:type="dxa"/>
            <w:vAlign w:val="bottom"/>
            <w:gridSpan w:val="2"/>
          </w:tcPr>
          <w:p>
            <w:pPr>
              <w:spacing w:after="0"/>
              <w:rPr>
                <w:sz w:val="20"/>
                <w:szCs w:val="20"/>
                <w:color w:val="auto"/>
              </w:rPr>
            </w:pPr>
            <w:r>
              <w:rPr>
                <w:rFonts w:ascii="Arial" w:cs="Arial" w:eastAsia="Arial" w:hAnsi="Arial"/>
                <w:sz w:val="18"/>
                <w:szCs w:val="18"/>
                <w:color w:val="auto"/>
              </w:rPr>
              <w:t>Net income / (loss) before tax</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5,623</w:t>
            </w:r>
          </w:p>
        </w:tc>
        <w:tc>
          <w:tcPr>
            <w:tcW w:w="18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(4,619)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10,744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900" w:type="dxa"/>
            <w:vAlign w:val="bottom"/>
            <w:gridSpan w:val="2"/>
          </w:tcPr>
          <w:p>
            <w:pPr>
              <w:spacing w:after="0"/>
              <w:rPr>
                <w:sz w:val="20"/>
                <w:szCs w:val="20"/>
                <w:color w:val="auto"/>
              </w:rPr>
            </w:pPr>
            <w:r>
              <w:rPr>
                <w:rFonts w:ascii="Arial" w:cs="Arial" w:eastAsia="Arial" w:hAnsi="Arial"/>
                <w:sz w:val="18"/>
                <w:szCs w:val="18"/>
                <w:color w:val="auto"/>
              </w:rPr>
              <w:t>Net income / (loss) for the period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5,623</w:t>
            </w:r>
          </w:p>
        </w:tc>
        <w:tc>
          <w:tcPr>
            <w:tcW w:w="18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(4,619)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10,744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Earnings / (loss) per share (basic)(1)</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Earnings / (loss) per share (fully diluted)(1)</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30.98</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(24.84)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58.38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earnings / (loss) per share basic</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170,901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170,707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170,739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162,356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Weighted-average number of shares used to compute earnings / (loss) per share fully diluted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181,514</w:t>
            </w: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185,939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184,048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179,638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preferred shares, which will be converted on a one-for-one basis upon the closing of this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gridSpan w:val="2"/>
          </w:tcPr>
          <w:p>
            <w:pPr>
              <w:jc w:val="center"/>
              <w:ind w:right="408"/>
              <w:spacing w:after="0"/>
              <w:rPr>
                <w:sz w:val="20"/>
                <w:szCs w:val="20"/>
                <w:color w:val="auto"/>
              </w:rPr>
            </w:pPr>
            <w:r>
              <w:rPr>
                <w:rFonts w:ascii="Arial" w:cs="Arial" w:eastAsia="Arial" w:hAnsi="Arial"/>
                <w:sz w:val="14"/>
                <w:szCs w:val="14"/>
                <w:b w:val="1"/>
                <w:bCs w:val="1"/>
                <w:color w:val="auto"/>
                <w:w w:val="91"/>
              </w:rPr>
              <w:t>As at June 30,</w:t>
            </w:r>
          </w:p>
        </w:tc>
        <w:tc>
          <w:tcPr>
            <w:tcW w:w="1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As at December 31,</w:t>
            </w:r>
          </w:p>
        </w:tc>
      </w:tr>
      <w:tr>
        <w:trPr>
          <w:trHeight w:val="142"/>
        </w:trPr>
        <w:tc>
          <w:tcPr>
            <w:tcW w:w="3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gridSpan w:val="2"/>
          </w:tcPr>
          <w:p>
            <w:pPr>
              <w:jc w:val="right"/>
              <w:ind w:right="95"/>
              <w:spacing w:after="0" w:line="142" w:lineRule="exact"/>
              <w:rPr>
                <w:sz w:val="20"/>
                <w:szCs w:val="20"/>
                <w:color w:val="auto"/>
              </w:rPr>
            </w:pPr>
            <w:r>
              <w:rPr>
                <w:rFonts w:ascii="Arial" w:cs="Arial" w:eastAsia="Arial" w:hAnsi="Arial"/>
                <w:sz w:val="14"/>
                <w:szCs w:val="14"/>
                <w:b w:val="1"/>
                <w:bCs w:val="1"/>
                <w:color w:val="auto"/>
                <w:w w:val="97"/>
              </w:rPr>
              <w:t>(in CHF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6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19,355</w:t>
            </w:r>
          </w:p>
        </w:tc>
        <w:tc>
          <w:tcPr>
            <w:tcW w:w="9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3,306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11,251</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assets</w:t>
            </w:r>
          </w:p>
        </w:tc>
        <w:tc>
          <w:tcPr>
            <w:tcW w:w="4460" w:type="dxa"/>
            <w:vAlign w:val="bottom"/>
            <w:gridSpan w:val="3"/>
          </w:tcPr>
          <w:p>
            <w:pPr>
              <w:jc w:val="right"/>
              <w:ind w:right="408"/>
              <w:spacing w:after="0"/>
              <w:rPr>
                <w:sz w:val="20"/>
                <w:szCs w:val="20"/>
                <w:color w:val="auto"/>
              </w:rPr>
            </w:pPr>
            <w:r>
              <w:rPr>
                <w:rFonts w:ascii="Arial" w:cs="Arial" w:eastAsia="Arial" w:hAnsi="Arial"/>
                <w:sz w:val="18"/>
                <w:szCs w:val="18"/>
                <w:color w:val="auto"/>
              </w:rPr>
              <w:t>34,976</w:t>
            </w:r>
          </w:p>
        </w:tc>
        <w:tc>
          <w:tcPr>
            <w:tcW w:w="980" w:type="dxa"/>
            <w:vAlign w:val="bottom"/>
          </w:tcPr>
          <w:p>
            <w:pPr>
              <w:jc w:val="right"/>
              <w:ind w:right="275"/>
              <w:spacing w:after="0"/>
              <w:rPr>
                <w:sz w:val="20"/>
                <w:szCs w:val="20"/>
                <w:color w:val="auto"/>
              </w:rPr>
            </w:pPr>
            <w:r>
              <w:rPr>
                <w:rFonts w:ascii="Arial" w:cs="Arial" w:eastAsia="Arial" w:hAnsi="Arial"/>
                <w:sz w:val="18"/>
                <w:szCs w:val="18"/>
                <w:color w:val="auto"/>
              </w:rPr>
              <w:t>30,296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12,751</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46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color w:val="auto"/>
              </w:rPr>
              <w:t>(54,928)</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w w:val="98"/>
              </w:rPr>
              <w:t>(60,445)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(70,092)</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4460" w:type="dxa"/>
            <w:vAlign w:val="bottom"/>
            <w:gridSpan w:val="3"/>
          </w:tcPr>
          <w:p>
            <w:pPr>
              <w:jc w:val="right"/>
              <w:ind w:right="408"/>
              <w:spacing w:after="0"/>
              <w:rPr>
                <w:sz w:val="20"/>
                <w:szCs w:val="20"/>
                <w:color w:val="auto"/>
              </w:rPr>
            </w:pPr>
            <w:r>
              <w:rPr>
                <w:rFonts w:ascii="Arial" w:cs="Arial" w:eastAsia="Arial" w:hAnsi="Arial"/>
                <w:sz w:val="18"/>
                <w:szCs w:val="18"/>
                <w:color w:val="auto"/>
              </w:rPr>
              <w:t>29,004</w:t>
            </w:r>
          </w:p>
        </w:tc>
        <w:tc>
          <w:tcPr>
            <w:tcW w:w="980" w:type="dxa"/>
            <w:vAlign w:val="bottom"/>
          </w:tcPr>
          <w:p>
            <w:pPr>
              <w:jc w:val="right"/>
              <w:ind w:right="275"/>
              <w:spacing w:after="0"/>
              <w:rPr>
                <w:sz w:val="20"/>
                <w:szCs w:val="20"/>
                <w:color w:val="auto"/>
              </w:rPr>
            </w:pPr>
            <w:r>
              <w:rPr>
                <w:rFonts w:ascii="Arial" w:cs="Arial" w:eastAsia="Arial" w:hAnsi="Arial"/>
                <w:sz w:val="18"/>
                <w:szCs w:val="18"/>
                <w:color w:val="auto"/>
              </w:rPr>
              <w:t>23,467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3,931</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446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34,976</w:t>
            </w:r>
          </w:p>
        </w:tc>
        <w:tc>
          <w:tcPr>
            <w:tcW w:w="9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30,296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12,751</w:t>
            </w:r>
          </w:p>
        </w:tc>
      </w:tr>
      <w:tr>
        <w:trPr>
          <w:trHeight w:val="365"/>
        </w:trPr>
        <w:tc>
          <w:tcPr>
            <w:tcW w:w="3300" w:type="dxa"/>
            <w:vAlign w:val="bottom"/>
          </w:tcPr>
          <w:p>
            <w:pPr>
              <w:spacing w:after="0"/>
              <w:rPr>
                <w:sz w:val="24"/>
                <w:szCs w:val="24"/>
                <w:color w:val="auto"/>
              </w:rPr>
            </w:pPr>
          </w:p>
        </w:tc>
        <w:tc>
          <w:tcPr>
            <w:tcW w:w="3120" w:type="dxa"/>
            <w:vAlign w:val="bottom"/>
          </w:tcPr>
          <w:p>
            <w:pPr>
              <w:jc w:val="right"/>
              <w:ind w:right="1450"/>
              <w:spacing w:after="0"/>
              <w:rPr>
                <w:sz w:val="20"/>
                <w:szCs w:val="20"/>
                <w:color w:val="auto"/>
              </w:rPr>
            </w:pPr>
            <w:r>
              <w:rPr>
                <w:rFonts w:ascii="Arial" w:cs="Arial" w:eastAsia="Arial" w:hAnsi="Arial"/>
                <w:sz w:val="18"/>
                <w:szCs w:val="18"/>
                <w:color w:val="auto"/>
              </w:rPr>
              <w:t>64</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“Selected Financial and Other Information,” and our financial statements included elsewhere in this prospectus. We present our financial statements in Swiss Francs and in accordance with International Financial Reporting Standards, or IFRS, as issued by the International Accounting Standards Board, or IASB.</w:t>
      </w:r>
    </w:p>
    <w:p>
      <w:pPr>
        <w:spacing w:after="0" w:line="16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strategy,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“Risk Factors” and “Cautionary Statement Regarding Forward-Looking Statements” in this prospectus. Our actual results may differ materially from those contained in or implied by any forward-looking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Alzheimer’s disease, or AD. We are advancing crenezumab under a collaboration agreement with Genentech, Inc., or Genentech, for the treatment of AD.</w:t>
      </w:r>
    </w:p>
    <w:p>
      <w:pPr>
        <w:spacing w:after="0" w:line="19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right="260" w:hanging="325"/>
        <w:spacing w:after="0" w:line="34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ACI-24 is our wholly-owned anti-Abeta vaccine candidate currently in a Phase 1/2a study. We expect to complete this study and announce top line results in the second half of 2016. ACI-24 is also being studied in patients with Down syndrome, a population that is at high risk for AD.</w:t>
      </w:r>
    </w:p>
    <w:p>
      <w:pPr>
        <w:spacing w:after="0" w:line="29" w:lineRule="exact"/>
        <w:rPr>
          <w:rFonts w:ascii="Arial" w:cs="Arial" w:eastAsia="Arial" w:hAnsi="Arial"/>
          <w:sz w:val="16"/>
          <w:szCs w:val="16"/>
          <w:color w:val="auto"/>
        </w:rPr>
      </w:pPr>
    </w:p>
    <w:p>
      <w:pPr>
        <w:ind w:left="900" w:right="18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ACI-35 is an anti-tau vaccine candidate that we are developing under a collaboration agreement with Janssen. We expect to complete our Phase 1b clinical study in the fourth quarter of 2016 and to begin Phase 2 clinical studies thereafter in 2017.</w:t>
      </w:r>
    </w:p>
    <w:p>
      <w:pPr>
        <w:spacing w:after="0" w:line="170"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We are also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14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To date, we have primarily financed our operations through private placements of preferred securities, in addition to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candidate approved for commercialization and we begin to generate revenue and royalties from product sales. Since our inception, while we have received upfront and milestone payments from our collaboration partners and certain other revenue. We have also incurred significant operating losses. For example, we incurred net losses of CHF 11.2 million for the year ended December 31, 2013 and net losses of CHF 4.6 million for the six months ended June 30, 2014. In addition, we had an accumulated deficit of CHF 54.9 million as at June 30,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Since our inception, we have entered into strategic collaboration agreements with a range of partners covering a number of our product candidates. We entered into a strategic collaboration with Genentech in November 2006 (as amended in May 2015) regarding the development, manufacture and commercialization of crenezumab, and we refer to this agreement as the 2006 Genentech agreement. In June 2012, we entered into an additional strategic collaboration agreement with Genentech regarding the development, manufacture and commercialization of our anti-tau antibodies, and we refer to this agreement as the 2012 Genentech agreement. We expect to capitalize on Genentech’s drug development and regulatory expertise and commercial capabilities to bring our partnered therapeutic products to market. In May 2014, we entered into a collaboration agreement with Piramal Imaging, a leader in imaging agents, covering our tau PET Imaging tracer. In December 2014,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Crenezumab—Collaboration with Genentech</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the 2006 Genentech agreement, we may become entitled to receive upfront and milestone payments in excess of $300 million, excluding royalties. We received an upfront payment of $25 million in 2006 and are entitled to various milestone payments based on the achievement of specified development and commercialization milestones. To date, we have received payments totaling $65 million from Genentech, including the $25 million upfront payment and milestone payments totaling $40 million for crenezumab entering into Phase 1, Phase 2 and Phase 3 clinical studies. Under the 2006 Genentech agreement, we are entitled to various regulatory and marketing approval milestone payments. If crenezumab receives regulatory approval, we will be entitled to receive royalties that are tied to annual sales volumes with different royalty rates applicable in the U.S. and Europe. These percentage rates range from the low double-digits to the mid-teens.</w:t>
      </w:r>
    </w:p>
    <w:p>
      <w:pPr>
        <w:spacing w:after="0" w:line="18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2006 Genentech agreement also provides for a second indication for which we would be eligible to receive clinical milestone payments payable upon commencement of each of Phase 2 and 3 of clinical development as well as regulatory and marketing milestone payments similar to those applicable to crenezumab. If this second indication receives regulatory approval, we will be entitled to receive royalties that are tied to annual sales volumes at the same rates applicable to crenezumab.</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Antibodies—Collaboration with Genentech</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Under the 2012 Genentech agreement, we are entitled to receive upfront and milestone payments in excess of CHF 400 million, excluding royalties. We received an upfront payment of CHF 17 million in 2012 and are entitled to various milestone payments based on the achievement of specified clinical, regulatory and commercialization milestones. To date, we have received payments totaling CHF 31 million from Genentech. In addition to milestones, we will be eligible to receive royalties on sales at a percentage rate ranging from the mid-single digits to low double digits.</w:t>
      </w:r>
    </w:p>
    <w:p>
      <w:pPr>
        <w:spacing w:after="0" w:line="17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2012 Genentech agreement also provides for a second indication for which we would be eligible to receive clinical milestone payments payable upon commencement of each of Phase 2 and 3 of clinical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development as well as regulatory and marketing milestone payments. If this second indication receives regulatory approval, we will be entitled to receive royalties that are tied to annual sales volumes at the same rates applicable to the lead indication.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Tau PET Imaging Tracer—Collaboration with Piramal Imaging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our agreement with Piramal Imaging covering our anti-tau PET imaging agent, we received an upfront payment of €0.5 million in May 2014 and are entitled to various clinical milestone payments totaling up to €7 million based on the achievement of specified development milestones. In addition, we are entitled to further regulatory and sales-based milestones totaling €150.0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ACI-35—Collaboration with Janssen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collaboration agreement with Janssen regarding the development of ACI-35, we may become entitled to receive upfront and milestone payments totaling up to CHF 500 million, plus royalties on sales at a percentage rate ranging from low double digits to mid-teens. To date, we have received an upfront payment of CHF 25.9 million. The total future payments that we would be entitled to under the agreement for clinical milestones amounts to CHF 83.5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September 2011, we were included in a research study focused on Huntington’s disease as part of the 7</w:t>
      </w:r>
      <w:r>
        <w:rPr>
          <w:rFonts w:ascii="Arial" w:cs="Arial" w:eastAsia="Arial" w:hAnsi="Arial"/>
          <w:sz w:val="14"/>
          <w:szCs w:val="14"/>
          <w:color w:val="auto"/>
        </w:rPr>
        <w:t>th</w:t>
      </w:r>
      <w:r>
        <w:rPr>
          <w:rFonts w:ascii="Arial" w:cs="Arial" w:eastAsia="Arial" w:hAnsi="Arial"/>
          <w:sz w:val="17"/>
          <w:szCs w:val="17"/>
          <w:color w:val="auto"/>
        </w:rPr>
        <w:t xml:space="preserve"> Framework Program of the European Union under the Marie Currie Actions program. This research study was coordinated by the University of Tübingen and ran over a 3 year period between September 2011 and September 2014. We recognized revenues from this grant on a straight-line basis over the study period.</w:t>
      </w:r>
    </w:p>
    <w:p>
      <w:pPr>
        <w:spacing w:after="0" w:line="166"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In February 2015, we were awarded a grant from the Michael J. Fox Parkinson’s Foundation for the further research and development of an alpha-synuclein diagnostic imaging agent. Under the terms of the grant, we retain all rights, results and intellectual property relating to the program. The grant covers research and development work over a 1.5 year period. We recognize revenues from this grant on a straight line basis over the life of the grant.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Given our stage of development, we have not generated any revenue from product sales. Our revenue to date has been derived primarily from four separate collaboration agreements on some of our product candidates in various stages of pre-clinical and clinical developments and a number of research grants we have secured. 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above are not met, we recognize the upfront payments ratably over the term of our estimated period of performance under each agreement. For all of our collaboration agreements, in addition to receiving upfront payments, we are entitled to milestone and other contingent payments upon achieving pre-defined objectives. Revenue from milestones, if they are non-refundable and deemed substantive, are recognized upon successful accomplishment of the milestones. To the extent that non-substantive milestones are achieved and we have remaining performance obligations, milestones are deferred and recognized as revenue over the estimated remaining period of performance.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Our revenues have experienced significant fluctuations over the past three years as a result of securing new collaboration agreements, the timing of milestone achievement and the size of each milestone payment. We expect that any revenue we generate from our two collaboration agreements with Genentech, our collaboration agreements with each of Janssen and Piramal Imaging, research and development grants, and any future collaboration partners will fluctuate from year to year as a result of the timing and amount of milestones and other payments.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Research and development expenses comprise direct research costs, including the use of CROs, consultants and experts hired to assist on our research and development activities, consumables used for research and development purposes, employment compensation for our research and development, intellectual property, regulatory affairs, quality control and manufacturing personnel, as well as expenses related to regulatory affairs and quality control. Our research and development costs include the costs associated with our recurrent maintenance costs associated with our portfolio of intellectual property including patents. In addition, research and development expenditures include the depreciation of fixed assets used in research and development.</w:t>
      </w:r>
    </w:p>
    <w:p>
      <w:pPr>
        <w:spacing w:after="0" w:line="15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largest component of our total operating expenses has historically been, and will continue to be, our investment in research and development activities, including the clinical development of our product candidates. Historically, research and development expenses have represented over 80%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Genentech, Janssen and Piramal Imaging. We recognize all research and development costs as they are incurred. Clinical study costs, contract manufacturing and other development costs incurred by third parties are expensed as the contracted work is performed. At present, our research activities comprise five major areas:</w:t>
      </w:r>
    </w:p>
    <w:p>
      <w:pPr>
        <w:spacing w:after="0" w:line="83"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Non-AD therapies that are not neuro-orphans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Neuro-orphan disease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Diagnostics;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New discovery projects.</w:t>
      </w:r>
    </w:p>
    <w:p>
      <w:pPr>
        <w:spacing w:after="0" w:line="225"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Due to the limited financial resources of the Company, we have historically allocated over 70% of our research and development budget to AD therapies. We expect our research and development expenses to increase substantially in the future and expect to fund a broader number of projects. Specifically, the planned capital raising will impact our research strategy in four key ways:</w:t>
      </w:r>
    </w:p>
    <w:p>
      <w:pPr>
        <w:spacing w:after="0" w:line="87" w:lineRule="exact"/>
        <w:rPr>
          <w:sz w:val="20"/>
          <w:szCs w:val="20"/>
          <w:color w:val="auto"/>
        </w:rPr>
      </w:pPr>
    </w:p>
    <w:p>
      <w:pPr>
        <w:ind w:left="90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225"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As a result, research initiatives targeting AD will continue to be the primary focus of our research efforts. However, other indications including PD, selected neuro-orphans and diagnostics are likely to consume an increasing share of the total research and development expenditures.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table below provides a breakdown of our research and development costs, including direct research and development costs and employment costs, by major development program for the periods covered by this “Management’s Discussion and Analysis of Financial Condition and Results of Operations” section. With the exception of ACI-35, research costs that are subject to collaboration agreements (for example, crenezumab for all periods, anti-tau antibodies for the years ended December 31, 2013 and 2014 and the tau PET tracer for the year ended December 31, 2014) typically have a limited amount research expenses since our partners bear most or all of the research and development costs. We have shown below our research and development costs associated with advancing ACI-35, the tau vaccine candidate that is being developed jointly with Janssen, since pursuant to our agreement we are required to provide significant research support for this program until the end of 2016. Our research and development costs for ACI-24 for AD and Down syndrome are expected to increase significantly in the coming years as we fund Phase 2b and Phase 1 clinical studies for ACI-24 in AD and ACI-24 in Down syndrome, respectively. Research and development costs for our alpha-synuclein PET tracer diagnostics program and other new discovery areas are also likely to rise substantially in the coming years.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Program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Six Months Ended</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15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66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2040" w:type="dxa"/>
            <w:vAlign w:val="bottom"/>
            <w:tcBorders>
              <w:top w:val="single" w:sz="8" w:color="auto"/>
            </w:tcBorders>
            <w:gridSpan w:val="4"/>
          </w:tcPr>
          <w:p>
            <w:pPr>
              <w:ind w:left="420"/>
              <w:spacing w:after="0" w:line="142" w:lineRule="exact"/>
              <w:rPr>
                <w:sz w:val="20"/>
                <w:szCs w:val="20"/>
                <w:color w:val="auto"/>
              </w:rPr>
            </w:pPr>
            <w:r>
              <w:rPr>
                <w:rFonts w:ascii="Arial" w:cs="Arial" w:eastAsia="Arial" w:hAnsi="Arial"/>
                <w:sz w:val="14"/>
                <w:szCs w:val="14"/>
                <w:b w:val="1"/>
                <w:bCs w:val="1"/>
                <w:color w:val="auto"/>
              </w:rPr>
              <w:t>(in CHF thousands)</w:t>
            </w:r>
          </w:p>
        </w:tc>
        <w:tc>
          <w:tcPr>
            <w:tcW w:w="3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Programs subject to collaboration agreements(1)</w:t>
            </w:r>
          </w:p>
        </w:tc>
        <w:tc>
          <w:tcPr>
            <w:tcW w:w="6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819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ACI-35</w:t>
            </w:r>
          </w:p>
        </w:tc>
        <w:tc>
          <w:tcPr>
            <w:tcW w:w="660" w:type="dxa"/>
            <w:vAlign w:val="bottom"/>
          </w:tcPr>
          <w:p>
            <w:pPr>
              <w:jc w:val="right"/>
              <w:ind w:right="117"/>
              <w:spacing w:after="0"/>
              <w:rPr>
                <w:sz w:val="20"/>
                <w:szCs w:val="20"/>
                <w:color w:val="auto"/>
              </w:rPr>
            </w:pPr>
            <w:r>
              <w:rPr>
                <w:rFonts w:ascii="Arial" w:cs="Arial" w:eastAsia="Arial" w:hAnsi="Arial"/>
                <w:sz w:val="18"/>
                <w:szCs w:val="18"/>
                <w:color w:val="auto"/>
                <w:w w:val="97"/>
              </w:rPr>
              <w:t>1,253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1,294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2,389</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2,787</w:t>
            </w:r>
          </w:p>
        </w:tc>
        <w:tc>
          <w:tcPr>
            <w:tcW w:w="3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ACI-24 (for AD and Down syndrome)</w:t>
            </w:r>
          </w:p>
        </w:tc>
        <w:tc>
          <w:tcPr>
            <w:tcW w:w="6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554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2,689</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PD (therapeutics and diagnostics)</w:t>
            </w:r>
          </w:p>
        </w:tc>
        <w:tc>
          <w:tcPr>
            <w:tcW w:w="660" w:type="dxa"/>
            <w:vAlign w:val="bottom"/>
          </w:tcPr>
          <w:p>
            <w:pPr>
              <w:jc w:val="right"/>
              <w:ind w:right="117"/>
              <w:spacing w:after="0"/>
              <w:rPr>
                <w:sz w:val="20"/>
                <w:szCs w:val="20"/>
                <w:color w:val="auto"/>
              </w:rPr>
            </w:pPr>
            <w:r>
              <w:rPr>
                <w:rFonts w:ascii="Arial" w:cs="Arial" w:eastAsia="Arial" w:hAnsi="Arial"/>
                <w:sz w:val="18"/>
                <w:szCs w:val="18"/>
                <w:color w:val="auto"/>
              </w:rPr>
              <w:t>221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(94)</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685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172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New discovery programs</w:t>
            </w:r>
          </w:p>
        </w:tc>
        <w:tc>
          <w:tcPr>
            <w:tcW w:w="6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441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2,846</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ind w:right="117"/>
              <w:spacing w:after="0"/>
              <w:rPr>
                <w:sz w:val="20"/>
                <w:szCs w:val="20"/>
                <w:color w:val="auto"/>
              </w:rPr>
            </w:pPr>
            <w:r>
              <w:rPr>
                <w:rFonts w:ascii="Arial" w:cs="Arial" w:eastAsia="Arial" w:hAnsi="Arial"/>
                <w:sz w:val="18"/>
                <w:szCs w:val="18"/>
                <w:color w:val="auto"/>
                <w:w w:val="97"/>
              </w:rPr>
              <w:t>3,288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3,655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(367)</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8,325</w:t>
            </w:r>
          </w:p>
        </w:tc>
        <w:tc>
          <w:tcPr>
            <w:tcW w:w="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9,266</w:t>
            </w:r>
          </w:p>
        </w:tc>
        <w:tc>
          <w:tcPr>
            <w:tcW w:w="32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600" w:hanging="452"/>
        <w:spacing w:after="0" w:line="27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research and development expenditures for crenezumab, anti-tau antibodies and tau PET imaging tracer. Does not include research and development expenditures for ACI-35.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those of any national securities exchange on which our securities are then traded (including the NASDAQ on which we intend to list our common shares in connection with this offering), additional insurance expenses, investor relations activities and other administrative and professional services.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expenses are bank fees associated with charges levied by banks on foreign payments and foreign exchange transactions.</w:t>
      </w:r>
    </w:p>
    <w:p>
      <w:pPr>
        <w:spacing w:after="0" w:line="225"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Interest income consists of interest received from banks on our cash balances. Other financial income relates principally to gains that we have made historically on foreign currency transactions, which arise from the fact that some of our collaboration agreements such as the collaboration agreements with Janssen and Piramal Imaging are in currencies other than Swiss Francs, and selected purchases, which we effect in foreign currencies.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We are subject to corporate taxation in Switzerland. In 2005, the Canton of Vaud granted us a ten year tax holiday for all income and capital taxes on a communal and cantonal level commencing in fiscal 2005 and valid through to 2014. In 2005, under a ruling created by the Swiss Federal Government to encourage the creation of new enterprises, we were granted a tax holiday of nine years from inception. Both tax holidays expired on December 31, 2014.</w:t>
      </w:r>
    </w:p>
    <w:p>
      <w:pPr>
        <w:spacing w:after="0" w:line="14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are also entitled under Swiss laws to carry forward any losses incurred for a period of seven years and can offset our losses carried forward against future taxes. As at December 31, 2014, we had tax loss carryforwards totaling CHF 49.3 million. There is no certainty that we will make sufficient profits to avail ourselves of these tax loss carryforwards.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corporate tax rate in the Canton of Vaud where we are domiciled is currently 22.5% The Canton does from time to time, amend the level of taxation levied on corporations and there is no certainty that the tax rate currently in effect will not change in the future. At present, there are discussions on lowering the corporate tax rate in the Canton of Vaud to below 15% by 2021.</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Value Added Tax, or VAT, is charged on all qualifying goods and services by VAT-registered businesses. An amount of 8.0% of the value of the goods or services is added to all sales invoices and is payable to the Swiss tax authorities. Similarly, VAT paid on purchase invoices is reclaimable from the Swiss tax authorities.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First Six Months Ended June 30, 2015 and June 30,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first six months ended June 30,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7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1780" w:type="dxa"/>
            <w:vAlign w:val="bottom"/>
            <w:gridSpan w:val="5"/>
          </w:tcPr>
          <w:p>
            <w:pPr>
              <w:ind w:left="440"/>
              <w:spacing w:after="0"/>
              <w:rPr>
                <w:sz w:val="20"/>
                <w:szCs w:val="20"/>
                <w:color w:val="auto"/>
              </w:rPr>
            </w:pPr>
            <w:r>
              <w:rPr>
                <w:rFonts w:ascii="Arial" w:cs="Arial" w:eastAsia="Arial" w:hAnsi="Arial"/>
                <w:sz w:val="14"/>
                <w:szCs w:val="14"/>
                <w:b w:val="1"/>
                <w:bCs w:val="1"/>
                <w:color w:val="auto"/>
              </w:rPr>
              <w:t>June 30,</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4"/>
              </w:rPr>
              <w:t>(in CHF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Research collaborations and license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4,008</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Milestones</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14,000</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14,000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75"/>
        </w:trPr>
        <w:tc>
          <w:tcPr>
            <w:tcW w:w="71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14,401</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4,060</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10,341</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Total revenues rose to CHF 14.4 million for the six months ended June 30, 2015 from CHF 4.1 million for the six months ended June 30, 2014, an increase of CHF 10.3 million. The increase was principally due to revenues recognized in connection with a CHF 14.0 million milestone payment from Genentech pursuant to our collaboration agreement for the anti-tau antibody vaccine. Income related to research collaborations declined to CHF 0.2 million in the six months ended June 30, 2015 from CHF 4.0 million in the six months ended June 30, 2014. The figure for 2014 includes a portion of the original upfront payment we received in connection with the anti-tau antibody collaboration agreement, which we recognized over a three year period.</w:t>
      </w:r>
    </w:p>
    <w:p>
      <w:pPr>
        <w:spacing w:after="0" w:line="173"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Grant revenue totaled CHF 0.1 million for the first six months of 2015, up CHF 0.1 million from the same period in 2014. The amounts recognized in the six months ended June 30, 2014 relate to a research grant we had with the University of Tübingen for Huntington’s disease, which expired in 2014. The grant income recorded in our income statement for the six months ended June 30, 2015 relates to a grant we were awarded by the Michael J. Fox Foundation to conduct research on an alpha-synuclein PET imaging product, which commenced in February 2015 and is expected to run to July 2016.</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six months ended June 30,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8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18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48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2015</w:t>
            </w:r>
          </w:p>
        </w:tc>
        <w:tc>
          <w:tcPr>
            <w:tcW w:w="9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9"/>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4,434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480" w:type="dxa"/>
            <w:vAlign w:val="bottom"/>
          </w:tcPr>
          <w:p>
            <w:pPr>
              <w:jc w:val="right"/>
              <w:spacing w:after="0"/>
              <w:rPr>
                <w:sz w:val="20"/>
                <w:szCs w:val="20"/>
                <w:color w:val="auto"/>
              </w:rPr>
            </w:pPr>
            <w:r>
              <w:rPr>
                <w:rFonts w:ascii="Arial" w:cs="Arial" w:eastAsia="Arial" w:hAnsi="Arial"/>
                <w:sz w:val="18"/>
                <w:szCs w:val="18"/>
                <w:color w:val="auto"/>
              </w:rPr>
              <w:t>3,038</w:t>
            </w:r>
          </w:p>
        </w:tc>
        <w:tc>
          <w:tcPr>
            <w:tcW w:w="1400" w:type="dxa"/>
            <w:vAlign w:val="bottom"/>
            <w:gridSpan w:val="3"/>
          </w:tcPr>
          <w:p>
            <w:pPr>
              <w:jc w:val="right"/>
              <w:ind w:right="460"/>
              <w:spacing w:after="0"/>
              <w:rPr>
                <w:sz w:val="20"/>
                <w:szCs w:val="20"/>
                <w:color w:val="auto"/>
              </w:rPr>
            </w:pPr>
            <w:r>
              <w:rPr>
                <w:rFonts w:ascii="Arial" w:cs="Arial" w:eastAsia="Arial" w:hAnsi="Arial"/>
                <w:sz w:val="18"/>
                <w:szCs w:val="18"/>
                <w:color w:val="auto"/>
              </w:rPr>
              <w:t>2,612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1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480" w:type="dxa"/>
            <w:vAlign w:val="bottom"/>
          </w:tcPr>
          <w:p>
            <w:pPr>
              <w:jc w:val="right"/>
              <w:spacing w:after="0"/>
              <w:rPr>
                <w:sz w:val="20"/>
                <w:szCs w:val="20"/>
                <w:color w:val="auto"/>
              </w:rPr>
            </w:pPr>
            <w:r>
              <w:rPr>
                <w:rFonts w:ascii="Arial" w:cs="Arial" w:eastAsia="Arial" w:hAnsi="Arial"/>
                <w:sz w:val="18"/>
                <w:szCs w:val="18"/>
                <w:color w:val="auto"/>
              </w:rPr>
              <w:t>7,190</w:t>
            </w:r>
          </w:p>
        </w:tc>
        <w:tc>
          <w:tcPr>
            <w:tcW w:w="460" w:type="dxa"/>
            <w:vAlign w:val="bottom"/>
          </w:tcPr>
          <w:p>
            <w:pPr>
              <w:spacing w:after="0"/>
              <w:rPr>
                <w:sz w:val="24"/>
                <w:szCs w:val="2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7,194</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research and development expenses totaled CHF 7.2 million for the six months ended June 30, 2015, which is in line with the CHF 7.2 million of research and development expenses incurred in the six months ended June 30, 2014.</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research and development operating expenses declined to CHF 4.0 million in the six months ended June 30, 2015, a decrease of CHF 0.4 million as compared to the six months ended June 30, 2014 due principally to a reduction in the amount of prepaid supplies. In the first six months of 2015, salaries and related compensation costs amounted to CHF 3.0 million, which represents a CHF 0.4 million increase over the CHF 2.6 million recorded in the first six months of 2014. The increase is primarily due to the initial ramp up of joint research activity on ACI-35 with Janssen and higher performance-related bonus payments to our employees.</w:t>
      </w:r>
    </w:p>
    <w:p>
      <w:pPr>
        <w:spacing w:after="0" w:line="18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expect a significant increase in research and development expenses in the second half of 2015. This is due to the fact that we have agreed with Janssen, our partner for ACI-35, to increase the scale and scope of our clinical studies for ACI-35 product candidate. Beyond 2015, we would expect our research and development expenses to continue to rise as we seek to increase the number of projects we are funding into later-stage research and development.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six months ended June 30,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4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(in CHF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986</w:t>
            </w: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894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756</w:t>
            </w: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595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75"/>
        </w:trPr>
        <w:tc>
          <w:tcPr>
            <w:tcW w:w="69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w:t>
            </w: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1,489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General and administrative expenses rose by CHF 0.3 million to CHF 1.7 million for the six months ended June 30, 2015. The increase was driven principally by costs associated with us preparing for becoming a public company and seeking to raise capital.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six months ended June 30, 2015 and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160" w:type="dxa"/>
            <w:vAlign w:val="bottom"/>
            <w:gridSpan w:val="8"/>
          </w:tcPr>
          <w:p>
            <w:pPr>
              <w:jc w:val="center"/>
              <w:ind w:right="54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gridSpan w:val="7"/>
          </w:tcPr>
          <w:p>
            <w:pPr>
              <w:jc w:val="center"/>
              <w:ind w:right="100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7"/>
          </w:tcPr>
          <w:p>
            <w:pPr>
              <w:ind w:left="300"/>
              <w:spacing w:after="0" w:line="142" w:lineRule="exact"/>
              <w:rPr>
                <w:sz w:val="20"/>
                <w:szCs w:val="20"/>
                <w:color w:val="auto"/>
              </w:rPr>
            </w:pPr>
            <w:r>
              <w:rPr>
                <w:rFonts w:ascii="Arial" w:cs="Arial" w:eastAsia="Arial" w:hAnsi="Arial"/>
                <w:sz w:val="14"/>
                <w:szCs w:val="14"/>
                <w:b w:val="1"/>
                <w:bCs w:val="1"/>
                <w:color w:val="auto"/>
              </w:rPr>
              <w:t>(in CHF thousands)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122</w:t>
            </w: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Interest income</w:t>
            </w:r>
          </w:p>
        </w:tc>
        <w:tc>
          <w:tcPr>
            <w:tcW w:w="920" w:type="dxa"/>
            <w:vAlign w:val="bottom"/>
            <w:gridSpan w:val="2"/>
          </w:tcPr>
          <w:p>
            <w:pPr>
              <w:jc w:val="right"/>
              <w:ind w:right="408"/>
              <w:spacing w:after="0"/>
              <w:rPr>
                <w:sz w:val="20"/>
                <w:szCs w:val="20"/>
                <w:color w:val="auto"/>
              </w:rPr>
            </w:pPr>
            <w:r>
              <w:rPr>
                <w:rFonts w:ascii="Arial" w:cs="Arial" w:eastAsia="Arial" w:hAnsi="Arial"/>
                <w:sz w:val="18"/>
                <w:szCs w:val="18"/>
                <w:color w:val="auto"/>
              </w:rPr>
              <w:t>32</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154</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Years Ended December 31, 2014 and 2013</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7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00" w:type="dxa"/>
            <w:vAlign w:val="bottom"/>
            <w:gridSpan w:val="2"/>
          </w:tcPr>
          <w:p>
            <w:pPr>
              <w:ind w:left="460"/>
              <w:spacing w:after="0"/>
              <w:rPr>
                <w:sz w:val="20"/>
                <w:szCs w:val="20"/>
                <w:color w:val="auto"/>
              </w:rPr>
            </w:pPr>
            <w:r>
              <w:rPr>
                <w:rFonts w:ascii="Arial" w:cs="Arial" w:eastAsia="Arial" w:hAnsi="Arial"/>
                <w:sz w:val="18"/>
                <w:szCs w:val="18"/>
                <w:color w:val="auto"/>
                <w:w w:val="90"/>
              </w:rPr>
              <w:t>The following table summarizes our revenues during the years ended December 31, 2014 and 2013:</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1"/>
              </w:rPr>
              <w:t>Years Ended</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6"/>
          </w:tcPr>
          <w:p>
            <w:pPr>
              <w:spacing w:after="0" w:line="142" w:lineRule="exact"/>
              <w:rPr>
                <w:sz w:val="20"/>
                <w:szCs w:val="20"/>
                <w:color w:val="auto"/>
              </w:rPr>
            </w:pPr>
            <w:r>
              <w:rPr>
                <w:rFonts w:ascii="Arial" w:cs="Arial" w:eastAsia="Arial" w:hAnsi="Arial"/>
                <w:sz w:val="14"/>
                <w:szCs w:val="14"/>
                <w:b w:val="1"/>
                <w:bCs w:val="1"/>
                <w:color w:val="auto"/>
                <w:w w:val="94"/>
              </w:rPr>
              <w:t>(in CHF thousands)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Collaboration and license revenue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30,179</w:t>
            </w:r>
          </w:p>
        </w:tc>
        <w:tc>
          <w:tcPr>
            <w:tcW w:w="1220" w:type="dxa"/>
            <w:vAlign w:val="bottom"/>
            <w:gridSpan w:val="5"/>
          </w:tcPr>
          <w:p>
            <w:pPr>
              <w:jc w:val="right"/>
              <w:ind w:right="380"/>
              <w:spacing w:after="0"/>
              <w:rPr>
                <w:sz w:val="20"/>
                <w:szCs w:val="20"/>
                <w:color w:val="auto"/>
              </w:rPr>
            </w:pPr>
            <w:r>
              <w:rPr>
                <w:rFonts w:ascii="Arial" w:cs="Arial" w:eastAsia="Arial" w:hAnsi="Arial"/>
                <w:sz w:val="18"/>
                <w:szCs w:val="18"/>
                <w:color w:val="auto"/>
              </w:rPr>
              <w:t>8,520</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21,659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20" w:type="dxa"/>
            <w:vAlign w:val="bottom"/>
            <w:gridSpan w:val="5"/>
          </w:tcPr>
          <w:p>
            <w:pPr>
              <w:jc w:val="right"/>
              <w:ind w:right="3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920" w:type="dxa"/>
            <w:vAlign w:val="bottom"/>
          </w:tcPr>
          <w:p>
            <w:pPr>
              <w:spacing w:after="0"/>
              <w:rPr>
                <w:sz w:val="6"/>
                <w:szCs w:val="6"/>
                <w:color w:val="auto"/>
              </w:rPr>
            </w:pPr>
          </w:p>
        </w:tc>
        <w:tc>
          <w:tcPr>
            <w:tcW w:w="6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30,269</w:t>
            </w:r>
          </w:p>
        </w:tc>
        <w:tc>
          <w:tcPr>
            <w:tcW w:w="12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8,637</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21,632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Total revenues rose to CHF 30.3 million for the year ended December 31, 2014 from CHF 8.6 million for the year ended December 31, 2013, an increase of CHF 21.6 million. The increase was principally due to collaboration and license revenues rising to CHF 30.2 million for the year ended December 31, 2014 from CHF 8.5 million for the year ended December 31, 2013. In 2014, we recognized revenue from three collaboration and license agreements including a CHF 25.9 million upfront payment from Janssen in connection with the collaboration agreement on ACI-35 tau vaccine, CHF 3.9 million related to the portion of the upfront fee associated with the Genentech collaboration agreement for our anti-tau antibody started in 2012, and CHF 0.6 million related to the portion of the upfront payment pursuant to our collaboration agreement with Piramal Imaging attributable to this period.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8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2"/>
              </w:rPr>
              <w:t>(in CHF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9,990</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11,301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5,828</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5,586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16,116</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17,180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research and development expenses declined to CHF 16.1 million for the year ended December 31, 2014 from CHF 17.2 million, a decrease of CHF 1.1 million, as compared to the year ended December 31, 2013.</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For the year ended December 31, 2014 our research and development operating costs decreased by CHF 1.3 million to CHF 10.0 million due principally to the transfer of costs within the collaboration with Genentech on the anti-tau antibodies program in 2014 and the collaboration-related costs occurred in 2013.</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salaries and related costs related to our research and development activities remained relatively stable, rising to CHF 5.8 million in the year ended December 31, 2014 from CHF 5.6 million in the year ended December 31, 2013, a CHF 0.2 million increase. This increase is due to an average increase in base compensation of 1% and a slight increase in stock based compensation.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agreement with Janssen requires us to significantly increase our research and development expenses related to the Phase 1b studies for ACI-35.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Over a two year period, we have committed to spend over CHF 13.8 million to support the on-going clinical development of ACI-35.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left="377"/>
              <w:spacing w:after="0" w:line="142" w:lineRule="exact"/>
              <w:rPr>
                <w:sz w:val="20"/>
                <w:szCs w:val="20"/>
                <w:color w:val="auto"/>
              </w:rPr>
            </w:pPr>
            <w:r>
              <w:rPr>
                <w:rFonts w:ascii="Arial" w:cs="Arial" w:eastAsia="Arial" w:hAnsi="Arial"/>
                <w:sz w:val="14"/>
                <w:szCs w:val="14"/>
                <w:b w:val="1"/>
                <w:bCs w:val="1"/>
                <w:color w:val="auto"/>
                <w:w w:val="96"/>
              </w:rPr>
              <w:t>2013</w:t>
            </w:r>
          </w:p>
        </w:tc>
        <w:tc>
          <w:tcPr>
            <w:tcW w:w="5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(in CHF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1,999</w:t>
            </w:r>
          </w:p>
        </w:tc>
        <w:tc>
          <w:tcPr>
            <w:tcW w:w="14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8"/>
              </w:rPr>
              <w:t>1,813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1,437</w:t>
            </w:r>
          </w:p>
        </w:tc>
        <w:tc>
          <w:tcPr>
            <w:tcW w:w="148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1,142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75"/>
        </w:trPr>
        <w:tc>
          <w:tcPr>
            <w:tcW w:w="69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3,436</w:t>
            </w:r>
          </w:p>
        </w:tc>
        <w:tc>
          <w:tcPr>
            <w:tcW w:w="14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8"/>
              </w:rPr>
              <w:t>2,955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General and administrative expenses were CHF 3.4 million for the year ended December 31, 2014, an increase of CHF 0.5 million from CHF 3.0 million for the year ended December 31, 2013. The increase was primarily due to an increase in operating expenses associated with commencing initial preparations for becoming a public company in the United States.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00"/>
          </w:cols>
          <w:pgMar w:left="240" w:top="459"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5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1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334"/>
              <w:spacing w:after="0" w:line="142" w:lineRule="exact"/>
              <w:rPr>
                <w:sz w:val="20"/>
                <w:szCs w:val="20"/>
                <w:color w:val="auto"/>
              </w:rPr>
            </w:pPr>
            <w:r>
              <w:rPr>
                <w:rFonts w:ascii="Arial" w:cs="Arial" w:eastAsia="Arial" w:hAnsi="Arial"/>
                <w:sz w:val="14"/>
                <w:szCs w:val="14"/>
                <w:b w:val="1"/>
                <w:bCs w:val="1"/>
                <w:color w:val="auto"/>
                <w:w w:val="96"/>
              </w:rPr>
              <w:t>(in CHF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62</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197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2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255</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Net financial income declined to CHF 27 thousand for the year ended December 31, 2014 from CHF 0.3 million in 2013, a decline of CHF 0.2 million compared to the year ended December 31, 2013. The decline was driven primarily by a reduction in gains related to foreign exchange and a decline in interest income driven by the decrease in our cash balances.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operations have been financed primarily from proceeds from the collaboration and license agreements we have with a number of partners, including Genentech, Janssen and Piramal Imaging, research grants awarded to us and net proceeds from the issuance of preferred shares. At June 30, 2015 we had cash and cash equivalents of CHF 19.4 million.</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2b study, ACI-24 in Down syndrome and a number of research initiatives focused on neurodegenerative orphan diseases other than AD.</w:t>
      </w:r>
    </w:p>
    <w:p>
      <w:pPr>
        <w:spacing w:after="0" w:line="19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or selectively partnering for clinical development and commercialization. The sale of additional equity would result in additional dilution to our shareholders.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First Six Months Ended June 30, 2015 and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44"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Six Months Ended</w:t>
      </w:r>
    </w:p>
    <w:p>
      <w:pPr>
        <w:jc w:val="center"/>
        <w:ind w:left="69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60" w:type="dxa"/>
            <w:vAlign w:val="bottom"/>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(in CHF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16,059</w:t>
            </w:r>
          </w:p>
        </w:tc>
        <w:tc>
          <w:tcPr>
            <w:tcW w:w="3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4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(117)</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560" w:type="dxa"/>
            <w:vAlign w:val="bottom"/>
          </w:tcPr>
          <w:p>
            <w:pPr>
              <w:spacing w:after="0"/>
              <w:rPr>
                <w:sz w:val="6"/>
                <w:szCs w:val="6"/>
                <w:color w:val="auto"/>
              </w:rPr>
            </w:pPr>
          </w:p>
        </w:tc>
        <w:tc>
          <w:tcPr>
            <w:tcW w:w="35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15,952</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520" w:type="dxa"/>
            <w:vAlign w:val="bottom"/>
            <w:vMerge w:val="restart"/>
          </w:tcPr>
          <w:p>
            <w:pPr>
              <w:jc w:val="right"/>
              <w:ind w:right="2590"/>
              <w:spacing w:after="0"/>
              <w:rPr>
                <w:sz w:val="20"/>
                <w:szCs w:val="20"/>
                <w:color w:val="auto"/>
              </w:rPr>
            </w:pPr>
            <w:r>
              <w:rPr>
                <w:rFonts w:ascii="Arial" w:cs="Arial" w:eastAsia="Arial" w:hAnsi="Arial"/>
                <w:sz w:val="18"/>
                <w:szCs w:val="18"/>
                <w:color w:val="auto"/>
              </w:rPr>
              <w:t>74</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Net cash generated in operating activities was CHF 16.1 million for the six months ended June 30, 2015 compared with net cash used in operating activities of CHF 9.2 million for the six months ended June 30, 2014. The significant increase in cash generated from operating activities in the first half of 2015 was due to (i) the Company generating a CHF 5.6 million net income in the first six months of 2015 driven by the anti-tau antibody milestone payment compared with a CHF 4.6 million loss during the same period in 2014, and (ii) receipt of payment of the upfront payment associated with the collaboration with Janssen on ACI-35. In June 2015, we were also eligible for a milestone payment associated with our collaboration with Genentech on the anti-tau program but as at June 30 2015, had not yet received the funds associated with this milestone. We received these funds in August 2015. As a result, we had a significant increase in the amount of other trade receivables of CHF 11.7 million, up from CHF 0.1 million as at June 30,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Net cash used in investing activities was broadly unchanged at CHF 0.1 million for the six months ended June 30, 2015 compared with cash used in investing activities of CHF 0.1 million in the first six months of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Net cash provided by financing activities was CHF 10 thousand for the six months ended June 30, 2015, compared with CHF 9.7 million for the six months ended June 30, 2014. The 2014 figure contains the proceeds from a CHF 9.9 million capital increase net of expenses associated with the issuance of preferred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2014 and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20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62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(in CHF thousands)</w:t>
            </w: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w w:val="98"/>
              </w:rPr>
              <w:t>(17,624)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(19,804)</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(131)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620" w:type="dxa"/>
            <w:vAlign w:val="bottom"/>
          </w:tcPr>
          <w:p>
            <w:pPr>
              <w:jc w:val="right"/>
              <w:spacing w:after="0"/>
              <w:rPr>
                <w:sz w:val="20"/>
                <w:szCs w:val="20"/>
                <w:color w:val="auto"/>
              </w:rPr>
            </w:pPr>
            <w:r>
              <w:rPr>
                <w:rFonts w:ascii="Arial" w:cs="Arial" w:eastAsia="Arial" w:hAnsi="Arial"/>
                <w:sz w:val="18"/>
                <w:szCs w:val="18"/>
                <w:color w:val="auto"/>
              </w:rPr>
              <w:t>9,801</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10,008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75"/>
        </w:trPr>
        <w:tc>
          <w:tcPr>
            <w:tcW w:w="690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(7,954)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(10,045)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net cash used in operating activities declined from CHF 19.8 million for the year ended December 31, 2013 to CHF 17.6 million for the year ended December 31, 2014, a decline of CHF 2.0 million. The decline is primarily related to three factors: (i) we generated net income of CHF 10.7 million in the year ended December 31, 2014 compared with a CHF 11.2 million net loss in the year ended December 31, 2013, (ii) a significant increase in other current receivables from CHF 0.2 million at December 31, 2013 to CHF 25.9 million at December 31, 2014, and (iii) a reduction in deferred revenue, which declined from CHF 8.5 million to CHF 3.7 million for the years ended December 31, 2013 and 2014, respectively. The changes discussed in clauses (i) and (ii) above were primarily due to the upfront fee associated with ACI-35 under the collaboration agreement that we signed with Janssen in December 2014, which fee was recognized as revenue in the year ended December 31, 2014 but was not actually paid until January 2015.</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Net cash used in investing activities was CHF 0.1 million for the year ended December 31, 2014, compared to CHF 0.2 million for the year ended December 31, 2013. The decrease in net cash used was primarily the result of a deliberate policy in 2014 of reducing investments in fixed assets in the laboratory to a minimum.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Net cash provided by financing activities was CHF 9.8 million for the year ended December 31, 2014, compared with CHF 10.0 million for the year ended December 31, 2013. The decrease was primarily related to higher costs associated with the issuance of new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117"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We do not expect to generate revenues from royalties based on product sales unless and until our partners obtain regulatory approval of and commercialize our current or any future product candidates. As at June 30, 2015, we had cash balances totaling CHF 19.4 million. Since then, we have received milestone payments associated with our collaboration with Genentech for our anti-tau antibody program and a milestone payment following Genentech’s announcement that it intends to move crenezumab into Phase 3 clinical studies. These two milestone payments totaled CHF 38.3 million.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and expenditures and assuming our receipt of the net proceeds from this offering in the amount of</w:t>
      </w:r>
    </w:p>
    <w:p>
      <w:pPr>
        <w:spacing w:after="0" w:line="3"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the midpoint of the range set forth in the cover of this prospectus), we believe that our existing capital resources will be sufficient to meet</w:t>
      </w:r>
    </w:p>
    <w:p>
      <w:pPr>
        <w:spacing w:after="0" w:line="32" w:lineRule="exact"/>
        <w:rPr>
          <w:sz w:val="20"/>
          <w:szCs w:val="20"/>
          <w:color w:val="auto"/>
        </w:rPr>
      </w:pPr>
    </w:p>
    <w:p>
      <w:pPr>
        <w:spacing w:after="0"/>
        <w:tabs>
          <w:tab w:leader="none" w:pos="3840" w:val="left"/>
        </w:tabs>
        <w:rPr>
          <w:sz w:val="20"/>
          <w:szCs w:val="20"/>
          <w:color w:val="auto"/>
        </w:rPr>
      </w:pPr>
      <w:r>
        <w:rPr>
          <w:rFonts w:ascii="Arial" w:cs="Arial" w:eastAsia="Arial" w:hAnsi="Arial"/>
          <w:sz w:val="18"/>
          <w:szCs w:val="18"/>
          <w:color w:val="auto"/>
        </w:rPr>
        <w:t>our projected operating requirements through</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Upon closing of this offering, we expect to incur additional costs associated with operating a public company and we anticipate that we will need substantial additional funding in connection with our continuing operations.</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If we need to raise additional capital to fund our operations and complete our ongoing and planned clinical studies, funding may not be available to us on acceptable terms, or at all.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13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20"/>
          </w:cols>
          <w:pgMar w:left="24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preparing our financial statements as at and for the year ended December 31, 2014, a material weakness in our internal control over financial reporting was identified, as defined in the SEC guidelines for public companies. The material weakness identified relates specifically to the accounting for and disclosure of non-routine and complex accounting transactions and the related internal controls and processes supporting these areas. As a result, there is a reasonable possibility that a material misstatement of our consolidated financial statements will not be prevented or detected on a timely basis.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process of implementing improvements and remedial measures in response to these assessments and recommendations, including:</w:t>
      </w:r>
    </w:p>
    <w:p>
      <w:pPr>
        <w:spacing w:after="0" w:line="154" w:lineRule="exact"/>
        <w:rPr>
          <w:sz w:val="20"/>
          <w:szCs w:val="20"/>
          <w:color w:val="auto"/>
        </w:rPr>
      </w:pPr>
    </w:p>
    <w:p>
      <w:pPr>
        <w:ind w:left="90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assembling a team from our finance department to be responsible for the preparation of financial statements under U.S. Securities laws, including hiring additional qualified personnel as necessary;</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organizing regular training sessions on IFRS for our finance department in the form of workshops, seminars and newsletters as well as requiring our finance personnel to participate in annual in-house or public IFRS training courses; and</w:t>
      </w:r>
    </w:p>
    <w:p>
      <w:pPr>
        <w:spacing w:after="0" w:line="75" w:lineRule="exact"/>
        <w:rPr>
          <w:rFonts w:ascii="Arial" w:cs="Arial" w:eastAsia="Arial" w:hAnsi="Arial"/>
          <w:sz w:val="18"/>
          <w:szCs w:val="18"/>
          <w:color w:val="auto"/>
        </w:rPr>
      </w:pPr>
    </w:p>
    <w:p>
      <w:pPr>
        <w:ind w:left="900" w:right="60" w:hanging="325"/>
        <w:spacing w:after="0" w:line="25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setting up an internal audit department to review our internal control processes, policies and procedures to ensure compliance with the Sarbanes-Oxley Act.</w:t>
      </w:r>
    </w:p>
    <w:p>
      <w:pPr>
        <w:spacing w:after="0" w:line="1" w:lineRule="exact"/>
        <w:rPr>
          <w:sz w:val="20"/>
          <w:szCs w:val="20"/>
          <w:color w:val="auto"/>
        </w:rPr>
      </w:pPr>
    </w:p>
    <w:p>
      <w:pPr>
        <w:ind w:right="400" w:firstLine="456"/>
        <w:spacing w:after="0" w:line="261" w:lineRule="auto"/>
        <w:rPr>
          <w:sz w:val="20"/>
          <w:szCs w:val="20"/>
          <w:color w:val="auto"/>
        </w:rPr>
      </w:pPr>
      <w:r>
        <w:rPr>
          <w:rFonts w:ascii="Arial" w:cs="Arial" w:eastAsia="Arial" w:hAnsi="Arial"/>
          <w:sz w:val="18"/>
          <w:szCs w:val="18"/>
          <w:color w:val="auto"/>
        </w:rPr>
        <w:t>Although we are implementing these measures, the implementation of these measures may not fully address this material weakness in our internal control over financial reporting, and we therefore may not be able to conclude that it has been fully remedied.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historically generated revenues from funds received under collaboration and license agreements as well as research grants. Revenues from research activities made under collaboration arrangements are recognized when there is persuasive evidence that an arrangement exists, services have been rendered, the price is fixed or determinable and collectability is reasonably assured. Since our inception, we have entered into strategic collaboration agreements with a range of partners covering a number of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are not met, we recognize the upfront payments ratably over the term of our estimated period of performance under each agreement.</w:t>
      </w:r>
    </w:p>
    <w:p>
      <w:pPr>
        <w:spacing w:after="0" w:line="189"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Milestones are considered substantive if all of the following conditions are met: (i) the milestone is non-refundable, (ii) achievement of the milestone was not reasonably assured at the inception of the arrangement, (iii) substantive effort is involved to achieve the milestone and (iv) the amount of the milestone appears reasonable in relation to the effort expended, and the other milestones in the arrangement and the related risk associated with the achievement of the milestone and any ongoing research and development or other services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are priced at fair value. Such payments that are contingent upon achievement of a substantive milestone are recognized entirely as revenues in the period in which the milestone is achieved. To the extent that non-substantive milestones are achieved and we have remaining performance obligations, milestones are deferred and recognized as revenue over the estimated remaining period of performance. If there are no remaining performance obligations, we recognize the revenue in the period it is earned.</w:t>
      </w:r>
    </w:p>
    <w:p>
      <w:pPr>
        <w:spacing w:after="0" w:line="18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 We intend to continue to evaluate pursuing additional grant opportunities on a case-by-case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liabilities on the balance sheets and within research and development expenses in the statement of operations and comprehensive income. These costs are a significant component of our research and development expenses. We record accrued expenses for these costs based on the estimated amount of work completed in accordance with agreements established with these third parties.</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estimate the amount of work completed through discussions with our project leaders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CROs and other third-party service providers. To date, there have been no material differences from our accrued expenses to actual expenses.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recorded share-based compensation expense related to options granted of CHF 0.2 million and CHF 0.3 million in each of the years ended December 31, 2013 and 2014,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The expected term represents the period that share-based awards are expected to be outstanding. We used the simplified method to determine the expected term, which is calculated as the mid-point between the vesting date and the end of the contractual term of the options.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Since we are not yet a public company and do not have any trading history for our common shares, the expected volatility was estimated based on the average historical volatilities of common shares of comparable publicly traded entities over a period equal to the expected term of the stock option grants. The comparable companies were chosen based on similar geographic location, similar size, and similar stage in the life cycle or area of specialty. We will continue to apply this process until a sufficient amount of historical information regarding the volatility of our own stock price becomes available.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risk-free rate is based on long dated Swiss government zero coupon bond issues in effect at the time of the grant for periods corresponding with the expected term of the option.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never paid dividends on our common shares and have no plans to pay dividends on our common shares. Therefore, we used an expected dividend yield of zero percent.</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to Black-Scholes assumptions, we estimate our forfeiture rate based on our actual forfeitures and continue to evaluate the adequacy of the forfeiture rate based on the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share-based compensation in future periods.</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Historically, for all periods prior to this offering, the fair value of the common shares underlying our share-based awards were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companies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marketability of our common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2015 Option Plan</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2015, we changed the character of our current option scheme. Historically, we have granted options at the outset of the award period with the options vesting over a four year period. In line with IFRS accounting principles for option awards, we expensed the fair value of the awards on a straight line basis over the four year vesting period of the options. Starting in 2015, we changed the nature of our option awards such that only one quarter of the total options awarded are issued at the end first year, with a further quarter of the options granted issued at the end of year two, three and four. This requires us to change the way we account for our options. Specifically, rather than recognizing as an expense one quarter of the option value each year over four years, accounting rules require us to recognize that four separate options with four separate option periods were issued. Specifically, in year one, we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need to expense (i) the fair value of the awards issued in the first year, (ii) one half of the fair value of the awards to be issued in year two, (iii) one third of the value of the awards to be issued in year three and (iv) one quarter of the fair value of the options issued to be in year four. The result in the change in the way we expense options means that we are recognizing a larger expense in years one and two (relative to the traditional straight line expensing method) while recognizing a smaller expense in years three and four (relative to the traditional straight line expensing method).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Plan A Stock Option Plan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2015, we amended the Plan A stock option plan that we developed in 2004. Two key amendments were made to the program: (i) the duration of the stock option plan was increased by two years from 10.5 to 12.5 years and (ii) the strike price of the option was reduced from CHF 232.97 to CHF 36.37. The lengthening of the plan’s term and lowering of the strike price was effected to bring the plan in line with our other plans, and resulted in a material increase in the value of the options to the option holders and required us to recognize the impact of the transfer in value on our accounts in the first half of 2015. The impact of the amendment of the Plan A stock option plan totaled CHF 0.4 million. There are no further expenses that we need to recognize in the future associated with this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 of Options Issued Prior to July 2014</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board of directors has the authority to accelerate the vesting of all outstanding unvested options granted to employees prior to July 2014, in the event of an initial public offering. If we are successful in completing this offering and if the board elects to make such an election to accelerate the vesting of all such outstanding options, then such unvested shares will vest immediately upon completion of this offering and will be eligible to be exercised for our common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material off-balance sheet arrangements or commitments.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Market risk arises from our exposure to fluctuation in interest rates and currency exchange rates. We are exposed to market risks in the ordinary course of our business, which are principally limited to foreign currency exchange rate fluctuations and to a lesser degree, interest rate fluctuations.</w:t>
      </w:r>
    </w:p>
    <w:p>
      <w:pPr>
        <w:spacing w:after="0" w:line="147" w:lineRule="exact"/>
        <w:rPr>
          <w:sz w:val="20"/>
          <w:szCs w:val="20"/>
          <w:color w:val="auto"/>
        </w:rPr>
      </w:pPr>
    </w:p>
    <w:p>
      <w:pPr>
        <w:jc w:val="both"/>
        <w:ind w:right="620" w:firstLine="456"/>
        <w:spacing w:after="0" w:line="286" w:lineRule="auto"/>
        <w:rPr>
          <w:sz w:val="20"/>
          <w:szCs w:val="20"/>
          <w:color w:val="auto"/>
        </w:rPr>
      </w:pPr>
      <w:r>
        <w:rPr>
          <w:rFonts w:ascii="Arial" w:cs="Arial" w:eastAsia="Arial" w:hAnsi="Arial"/>
          <w:sz w:val="17"/>
          <w:szCs w:val="17"/>
          <w:color w:val="auto"/>
        </w:rPr>
        <w:t>As at June 30, 2015 we had cash and cash equivalents of CHF 19.4 million which consisted exclusively of bank deposits. Such interest-earning instruments carry a degree of interest rate risk. However, historical fluctuations of interest income have not been significant and have been principally impacted by the change in our cash balances as opposed to changes in interest rates received on the cash balances.</w:t>
      </w:r>
    </w:p>
    <w:p>
      <w:pPr>
        <w:spacing w:after="0" w:line="166"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have not been exposed nor do we anticipate being exposed to material risks due to changes in interest rates. A hypothetical 10% change in interest rates during any of the periods presented would not have had a material impact on our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including to parties outside of Switzerland and we purchase materials from suppliers outside of Switzerland. As a result, we are exposed to foreign exchange risk. Approximately 40%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60"/>
          </w:cols>
          <w:pgMar w:left="240" w:top="459" w:right="3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and three diagnostic candidates has the potential to drive a paradigm shift in the treatment of a broad spectrum of neurodegenerative and other diseases related to protein misfolding.</w:t>
      </w:r>
    </w:p>
    <w:p>
      <w:pPr>
        <w:spacing w:after="0" w:line="19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Our lead product candidate is crenezumab, a humanized, monoclonal, conformation-specific anti-Abeta antibody that we developed using our SupraAntigen™ platform. Crenezumab is expected to enter Phase 3 clinical studies in early 2016. We are advancing crenezumab under a collaboration agreement with Genentech, Inc., a wholly-owned subsidiary of Roche, or Genentech, for the treatment of AD, a progressive neurodegenerative disease that affected an estimated 9.0 million people in the United States, the United Kingdom, Western Europe, Japan, China and India in 2013. We believe our collaboration with Genentech validates our technology and crenezumab’s potential to become a best-in-class disease-modifying treatment for AD. We are eligible to receive over $300 million in total payments from Genentech, as well as sales royalties. Crenezumab has received Fast Track designation from the U.S. Food and Drug Administration, or FDA. In 2012, crenezumab was independently selected by the National Institute of Health, or NIH, the Banner Alzheimer’s Institute and Genentech for use in the first-ever AD prevention study, which serves as the cornerstone of the global Alzheimer’s Prevention Initiative.</w:t>
      </w:r>
    </w:p>
    <w:p>
      <w:pPr>
        <w:spacing w:after="0" w:line="19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the key advantages of crenezumab include:</w:t>
      </w:r>
    </w:p>
    <w:p>
      <w:pPr>
        <w:spacing w:after="0" w:line="87"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480" w:right="640" w:hanging="446"/>
        <w:spacing w:after="0" w:line="277"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ind w:left="1480" w:right="40" w:hanging="446"/>
        <w:spacing w:after="0" w:line="277"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ABBY cognition study: the high-dose crenezumab arm showed a statistically significant 35% reduction in the rate of cognitive decline in the milder AD patient population.</w:t>
      </w:r>
    </w:p>
    <w:p>
      <w:pPr>
        <w:spacing w:after="0" w:line="75" w:lineRule="exact"/>
        <w:rPr>
          <w:rFonts w:ascii="Arial" w:cs="Arial" w:eastAsia="Arial" w:hAnsi="Arial"/>
          <w:sz w:val="18"/>
          <w:szCs w:val="18"/>
          <w:color w:val="auto"/>
        </w:rPr>
      </w:pPr>
    </w:p>
    <w:p>
      <w:pPr>
        <w:ind w:left="1480" w:right="20" w:hanging="446"/>
        <w:spacing w:after="0" w:line="264"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in cerebrospinal fluid, or CSF,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an accumulation of fluid in the brain that can lead to headaches, loss of coordination and disorientation.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and to help define the optimal Phase 3 clinical study design.</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hanging="325"/>
        <w:spacing w:after="0" w:line="276"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ACI-24 is our wholly-owned anti-Abeta vaccine candidate that is T-cell independent, meaning it can generate an antibody response in the absence of T-cells. This product candidate is currently in a Phase 1/2a clinical study to evaluate safety, tolerability, immunogenicity and biomarker endpoints in patients with mild to moderate AD in Europe. We expect to complete our Phase 1/2a clinical study of ACI-24 and announce top line results in the second half of 2016. ACI-24 is also being studied in patients with Down syndrome, a population which is at high risk for AD, and we currently have an open Investigational New Drug Application, or IND, for ACI-24 in Down syndrome.</w:t>
      </w:r>
    </w:p>
    <w:p>
      <w:pPr>
        <w:spacing w:after="0" w:line="77" w:lineRule="exact"/>
        <w:rPr>
          <w:rFonts w:ascii="Arial" w:cs="Arial" w:eastAsia="Arial" w:hAnsi="Arial"/>
          <w:sz w:val="17"/>
          <w:szCs w:val="17"/>
          <w:color w:val="auto"/>
        </w:rPr>
      </w:pPr>
    </w:p>
    <w:p>
      <w:pPr>
        <w:ind w:left="900" w:right="80" w:hanging="325"/>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ACI-35 is an anti-tau vaccine candidate that is T-cell independent. We are developing ACI-35 under a collaboration agreement with Janssen, which we entered into in December 2014. A Phase 1b clinical study to evaluate the safety, tolerability and immunogenicity of ACI-35 in patients with mild to moderate AD is ongoing in Europe. We expect to complete the Phase 1b clinical studies in the fourth quarter of 2016 and to begin Phase 2 clinical studies thereafter in 2017.</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 candidates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900" w:right="40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tau PET imaging agent is currently in a First-in-Man study and being developed under a collaboration agreement with Piramal Imaging. Piramal Imaging is expecting to advance this program into Phase 1 clinical development in 2016.</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are also developing PET imaging diagnostics for diseases resulting from the misfolding of alpha-synuclein proteins, such as PD.</w:t>
      </w:r>
    </w:p>
    <w:p>
      <w:pPr>
        <w:spacing w:after="0" w:line="225"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 Neurodegenerative diseases, such as AD and PD as well as other neuro-orphan diseases, such as progressive supranuclear palsy, amyotrophic lateral sclerosis, or ALS, and Huntington’s disease, are all associated with pathologies that involve misfolded proteins. Research has shown that misfolded proteins are unable to carry out their normal functions and aggregate to form certain types of deposits such as Abeta plaques or tau tangles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88585" cy="30016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88585"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71" w:lineRule="exact"/>
        <w:rPr>
          <w:sz w:val="20"/>
          <w:szCs w:val="20"/>
          <w:color w:val="auto"/>
        </w:rPr>
      </w:pPr>
    </w:p>
    <w:p>
      <w:pPr>
        <w:ind w:left="900" w:right="40" w:hanging="446"/>
        <w:spacing w:after="0" w:line="255"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 is the most common form of dementia, which affects an estimated worldwide patient population of 47 million in 2015, and is expected to grow to 75 million by 2030 and 132 million by 2050, according to the World Alzheimer Report 2015. The estimated aggregate cost of prevention and treatments in the United States was $172 billion in 2010 and is estimated by Alzheimer’s Disease International, or ADI, to grow to $408 billion in 2030 and $1,078 billion in 2050. ADI estimated that the cost of prevention and treatments in the United States could be reduced from over a trillion dollars to $631 billion in 2050 if the onset of AD could be delayed by five years in the patient population. In addition, at autopsy, AD has been reported in 80% of people with Down syndrome over age 40 and 100% over age 60. Down syndrome affects approximately one in 1,000 live births worldwide.</w:t>
      </w:r>
    </w:p>
    <w:p>
      <w:pPr>
        <w:spacing w:after="0" w:line="81" w:lineRule="exact"/>
        <w:rPr>
          <w:sz w:val="20"/>
          <w:szCs w:val="20"/>
          <w:color w:val="auto"/>
        </w:rPr>
      </w:pPr>
    </w:p>
    <w:p>
      <w:pPr>
        <w:ind w:left="920" w:right="300"/>
        <w:spacing w:after="0" w:line="257" w:lineRule="auto"/>
        <w:rPr>
          <w:sz w:val="20"/>
          <w:szCs w:val="20"/>
          <w:color w:val="auto"/>
        </w:rPr>
      </w:pPr>
      <w:r>
        <w:rPr>
          <w:rFonts w:ascii="Arial" w:cs="Arial" w:eastAsia="Arial" w:hAnsi="Arial"/>
          <w:sz w:val="18"/>
          <w:szCs w:val="18"/>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The clinical benefit derived from these symptomatic treatments is typically incomplete. Only between 40 and 70 percent of patients with AD benefit from taking symptomatic treatments and the symptoms improve for 6 to 12 months in most cases.</w:t>
      </w:r>
    </w:p>
    <w:p>
      <w:pPr>
        <w:spacing w:after="0" w:line="80" w:lineRule="exact"/>
        <w:rPr>
          <w:sz w:val="20"/>
          <w:szCs w:val="20"/>
          <w:color w:val="auto"/>
        </w:rPr>
      </w:pPr>
    </w:p>
    <w:p>
      <w:pPr>
        <w:ind w:left="920" w:right="220"/>
        <w:spacing w:after="0" w:line="286" w:lineRule="auto"/>
        <w:rPr>
          <w:sz w:val="20"/>
          <w:szCs w:val="20"/>
          <w:color w:val="auto"/>
        </w:rPr>
      </w:pPr>
      <w:r>
        <w:rPr>
          <w:rFonts w:ascii="Arial" w:cs="Arial" w:eastAsia="Arial" w:hAnsi="Arial"/>
          <w:sz w:val="17"/>
          <w:szCs w:val="17"/>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342" w:lineRule="auto"/>
        <w:rPr>
          <w:sz w:val="20"/>
          <w:szCs w:val="20"/>
          <w:color w:val="auto"/>
        </w:rPr>
      </w:pPr>
      <w:r>
        <w:rPr>
          <w:rFonts w:ascii="Arial" w:cs="Arial" w:eastAsia="Arial" w:hAnsi="Arial"/>
          <w:sz w:val="16"/>
          <w:szCs w:val="16"/>
          <w:color w:val="auto"/>
        </w:rPr>
        <w:t>cognitive metrics. Diagnostics therefore have a crucial role in selecting more uniform and stage-specific clinical study subjects, tracking patient progress and results, managing patients receiving treatment and ultimately diagnosing the disease at its earliest stage for immediate treatment.</w:t>
      </w:r>
    </w:p>
    <w:p>
      <w:pPr>
        <w:spacing w:after="0" w:line="29" w:lineRule="exact"/>
        <w:rPr>
          <w:sz w:val="20"/>
          <w:szCs w:val="20"/>
          <w:color w:val="auto"/>
        </w:rPr>
      </w:pPr>
    </w:p>
    <w:p>
      <w:pPr>
        <w:ind w:left="900" w:right="80" w:hanging="446"/>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remains a significant unmet medical need for reliable and accurate diagnostics to enable early diagnosis and disease-modifying treatments that slow the progress of neurodegenerative diseases.</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3" w:lineRule="exact"/>
        <w:rPr>
          <w:sz w:val="20"/>
          <w:szCs w:val="20"/>
          <w:color w:val="auto"/>
        </w:rPr>
      </w:pPr>
    </w:p>
    <w:p>
      <w:pPr>
        <w:ind w:left="900" w:right="960" w:hanging="325"/>
        <w:spacing w:after="0" w:line="282"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Advance our product candidates, in partnership or alone, through clinical development to regulatory approval and potential commercialization.</w:t>
      </w:r>
    </w:p>
    <w:p>
      <w:pPr>
        <w:spacing w:after="0" w:line="71" w:lineRule="exact"/>
        <w:rPr>
          <w:rFonts w:ascii="Arial" w:cs="Arial" w:eastAsia="Arial" w:hAnsi="Arial"/>
          <w:sz w:val="18"/>
          <w:szCs w:val="18"/>
          <w:color w:val="auto"/>
        </w:rPr>
      </w:pPr>
    </w:p>
    <w:p>
      <w:pPr>
        <w:ind w:left="1480" w:right="140" w:hanging="446"/>
        <w:spacing w:after="0" w:line="264"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Crenezumab</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with our collaboration partner, Genentech, will advance crenezumab into Phase 3 clinical studies and seek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together. We believe that crenezumab’s efficacy, coupled with its safety profile, has the potential to become a best-in-class disease-modifying treatment for AD.</w:t>
      </w:r>
    </w:p>
    <w:p>
      <w:pPr>
        <w:spacing w:after="0" w:line="86" w:lineRule="exact"/>
        <w:rPr>
          <w:rFonts w:ascii="Arial" w:cs="Arial" w:eastAsia="Arial" w:hAnsi="Arial"/>
          <w:sz w:val="18"/>
          <w:szCs w:val="18"/>
          <w:color w:val="auto"/>
        </w:rPr>
      </w:pPr>
    </w:p>
    <w:p>
      <w:pPr>
        <w:ind w:left="1480" w:right="20" w:hanging="446"/>
        <w:spacing w:after="0" w:line="255"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ACI-24</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continue to advance ACI-24, both through completion of an ongoing Phase 1/2a clinical study to evaluate the safety,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tolerability, immunogenicity and biomarker endpoints in patients with mild to moderate AD and, if the Phase 1/2a results are favorable, through a Phase 2/3 clinical study in patients with Down syndrome. We expect top line results from our Phase 1/2a clinical study in the second half of 2016. Our Phase 1 clinical study of ACI-24 in patients with Down syndrome is intended to assess safety and is expected to commence in the fourth quarter of 2015. We own the global rights to ACI-24 and we intend to continue to develop ACI-24 in-house as a therapeutic candidate.</w:t>
      </w:r>
    </w:p>
    <w:p>
      <w:pPr>
        <w:spacing w:after="0" w:line="98" w:lineRule="exact"/>
        <w:rPr>
          <w:rFonts w:ascii="Arial" w:cs="Arial" w:eastAsia="Arial" w:hAnsi="Arial"/>
          <w:sz w:val="18"/>
          <w:szCs w:val="18"/>
          <w:color w:val="auto"/>
        </w:rPr>
      </w:pPr>
    </w:p>
    <w:p>
      <w:pPr>
        <w:ind w:left="1480" w:right="140" w:hanging="446"/>
        <w:spacing w:after="0" w:line="308" w:lineRule="auto"/>
        <w:tabs>
          <w:tab w:leader="none" w:pos="1480"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ACI-35</w:t>
      </w:r>
      <w:r>
        <w:rPr>
          <w:rFonts w:ascii="Arial" w:cs="Arial" w:eastAsia="Arial" w:hAnsi="Arial"/>
          <w:sz w:val="17"/>
          <w:szCs w:val="17"/>
          <w:color w:val="auto"/>
        </w:rPr>
        <w:t>. We will continue to advance ACI-35 through Phase 1b clinical studies in collaboration with Janssen. If the Phase 1b results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favorable, Janssen will advance ACI-35 through the additional clinical development stages in collaboration with us.</w:t>
      </w:r>
    </w:p>
    <w:p>
      <w:pPr>
        <w:spacing w:after="0" w:line="51" w:lineRule="exact"/>
        <w:rPr>
          <w:rFonts w:ascii="Arial" w:cs="Arial" w:eastAsia="Arial" w:hAnsi="Arial"/>
          <w:sz w:val="17"/>
          <w:szCs w:val="17"/>
          <w:color w:val="auto"/>
        </w:rPr>
      </w:pPr>
    </w:p>
    <w:p>
      <w:pPr>
        <w:ind w:left="1480" w:right="160" w:hanging="446"/>
        <w:spacing w:after="0" w:line="308" w:lineRule="auto"/>
        <w:tabs>
          <w:tab w:leader="none" w:pos="1480"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Diagnostic candidates</w:t>
      </w:r>
      <w:r>
        <w:rPr>
          <w:rFonts w:ascii="Arial" w:cs="Arial" w:eastAsia="Arial" w:hAnsi="Arial"/>
          <w:sz w:val="17"/>
          <w:szCs w:val="17"/>
          <w:color w:val="auto"/>
        </w:rPr>
        <w:t>. In addition to the above product candidates, we will continue to develop our complementary diagnostic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and to advance these through clinical development, either independently or with collaboration partners.</w:t>
      </w:r>
    </w:p>
    <w:p>
      <w:pPr>
        <w:spacing w:after="0" w:line="47" w:lineRule="exact"/>
        <w:rPr>
          <w:rFonts w:ascii="Arial" w:cs="Arial" w:eastAsia="Arial" w:hAnsi="Arial"/>
          <w:sz w:val="17"/>
          <w:szCs w:val="17"/>
          <w:color w:val="auto"/>
        </w:rPr>
      </w:pPr>
    </w:p>
    <w:p>
      <w:pPr>
        <w:ind w:left="900" w:right="360" w:hanging="325"/>
        <w:spacing w:after="0" w:line="282"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Expand into other neurodegenerative and neuro-orphan diseases. </w:t>
      </w:r>
      <w:r>
        <w:rPr>
          <w:rFonts w:ascii="Arial" w:cs="Arial" w:eastAsia="Arial" w:hAnsi="Arial"/>
          <w:sz w:val="18"/>
          <w:szCs w:val="18"/>
          <w:color w:val="auto"/>
        </w:rPr>
        <w:t>We intend to leverage our proprietary technology platforms to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that share the same disease targets as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160"/>
        <w:spacing w:after="0" w:line="259" w:lineRule="auto"/>
        <w:rPr>
          <w:sz w:val="20"/>
          <w:szCs w:val="20"/>
          <w:color w:val="auto"/>
        </w:rPr>
      </w:pPr>
      <w:r>
        <w:rPr>
          <w:rFonts w:ascii="Arial" w:cs="Arial" w:eastAsia="Arial" w:hAnsi="Arial"/>
          <w:sz w:val="18"/>
          <w:szCs w:val="18"/>
          <w:color w:val="auto"/>
        </w:rPr>
        <w:t>misfolded Abeta, tau and alpha-synuclein proteins, which are the key features in the pathology of many neurodegenerative diseases. We plan to pursue selected neuro-orphan indications, such as PSP and 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w:t>
      </w:r>
    </w:p>
    <w:p>
      <w:pPr>
        <w:spacing w:after="0" w:line="88" w:lineRule="exact"/>
        <w:rPr>
          <w:sz w:val="20"/>
          <w:szCs w:val="20"/>
          <w:color w:val="auto"/>
        </w:rPr>
      </w:pPr>
    </w:p>
    <w:p>
      <w:pPr>
        <w:ind w:left="900" w:right="80" w:hanging="325"/>
        <w:spacing w:after="0" w:line="25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Accelerate the advancement of our diagnostic portfolio. </w:t>
      </w:r>
      <w:r>
        <w:rPr>
          <w:rFonts w:ascii="Arial" w:cs="Arial" w:eastAsia="Arial" w:hAnsi="Arial"/>
          <w:sz w:val="18"/>
          <w:szCs w:val="18"/>
          <w:color w:val="auto"/>
        </w:rPr>
        <w:t>We are also developing a complementary diagnostic portfolio. We currently have</w:t>
      </w:r>
      <w:r>
        <w:rPr>
          <w:rFonts w:ascii="Arial" w:cs="Arial" w:eastAsia="Arial" w:hAnsi="Arial"/>
          <w:sz w:val="18"/>
          <w:szCs w:val="18"/>
          <w:b w:val="1"/>
          <w:bCs w:val="1"/>
          <w:color w:val="auto"/>
        </w:rPr>
        <w:t xml:space="preserve"> </w:t>
      </w:r>
      <w:r>
        <w:rPr>
          <w:rFonts w:ascii="Arial" w:cs="Arial" w:eastAsia="Arial" w:hAnsi="Arial"/>
          <w:sz w:val="18"/>
          <w:szCs w:val="18"/>
          <w:color w:val="auto"/>
        </w:rPr>
        <w:t>three diagnostics candidates in our pipeline that we developed using our Morphomer and SupraAntigen platforms. Our tau PET imaging agent is currently undergoing First-in-Man studies and we intend to work with our partner, Piramal Imaging, to advance this product candidate through the clinical development process. We are also developing PET imaging diagnostics for diseases resulting from the misfolding of alpha-synuclein proteins.</w:t>
      </w:r>
    </w:p>
    <w:p>
      <w:pPr>
        <w:spacing w:after="0" w:line="89"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duality of our therapeutic and diagnostic approaches to become the leader in personalized treatment of neurodegenerative diseases. </w:t>
      </w:r>
      <w:r>
        <w:rPr>
          <w:rFonts w:ascii="Arial" w:cs="Arial" w:eastAsia="Arial" w:hAnsi="Arial"/>
          <w:sz w:val="16"/>
          <w:szCs w:val="16"/>
          <w:color w:val="auto"/>
        </w:rPr>
        <w:t>Personalized medicine involves the development of diagnostics, therapies and treatment procedures best suited for an individual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taking into consideration the stage of the disease, as well as genetic and environmental factors.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65"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Strategically collaborate or selectively partner for the development and commercialization of product candidates. </w:t>
      </w:r>
      <w:r>
        <w:rPr>
          <w:rFonts w:ascii="Arial" w:cs="Arial" w:eastAsia="Arial" w:hAnsi="Arial"/>
          <w:sz w:val="16"/>
          <w:szCs w:val="16"/>
          <w:color w:val="auto"/>
        </w:rPr>
        <w:t>Historically,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Treating Diseases Related to Protein Misfolding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146050</wp:posOffset>
            </wp:positionV>
            <wp:extent cx="4373880" cy="18694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73880"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diagram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 causing normal proteins to misfold in a process known as seeding. This process eventually leads to cell death in various areas of the brain and is linked to a decline in cognitive function.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targeting misfolded proteins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central challenge in targeting misfolded proteins for therapeutic effect is a product’s ability to differentiate, or conformationally select, between a misfolded protein and a normally-folded protein. This ability to conformationally select for the misfolded protein prevents the therapeutic candidate from interfering with the function of the normally-folded protein, thereby reducing the risk of side effects.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also promote disaggregation of already formed pathological protein aggregates.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130810</wp:posOffset>
            </wp:positionV>
            <wp:extent cx="5145405" cy="19551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540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above shows how we believe our therapies aim to intervene in the key pathology steps involved in neurodegenerative diseases: (1) prevent misfolding; (2) promote disaggregation; (3) inhibit spreading; and (4) prevent seeding in healthy cells.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Paradigm for Neurodegenerative Disease</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four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79"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had led to the conclusion that early intervention is necessary to slow the disease progression and that disease-modifying therapies should be studied in patients with milder stages of the disease. As a result of this, in recent years, there has been a movement towards early intervention in clinical development. Early intervention, however, requires accurate disease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detection prior to physical manifestation of symptoms, using new and sophisticated technologies that are superior to the subjective rating scales currently used to assess patients. Thus, new diagnostic technologies are critical to the clinical development process of disease-modifying therapies and ultimately better disease management of patients with neurodegenerative diseases.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for AC Immune in Neurodegenerative Diseases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change the way that neurodegenerative diseases are treated by combining reliable diagnostic tools that facilitate intervening at earlier stages of the disease with therapies that treat the underlying disease process, as shown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our lead product candidate, crenezumab, is ideally positioned to be at the forefront of disease-modifying and preventative medicine due to its demonstrated efficacy in milder AD subjects and favorable safety profile. Unlike the current standard of care, crenezumab seeks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PSP, ALS and Huntington’s disease. We believe that the future treatment paradigm for neurodegenerative diseases will involve different disease-modifying treatments used at various points in the progression of the disease. One such combination may be passive immunization targeting Abeta, such as crenezumab together with anti-tau antibodies or immunotherapies and small molecules targeting Abeta or tau.</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We believe that we are a leader in discovering new PET imaging agents to improve the timing and accuracy of diagnoses in neurodegenerative diseases. We have three diagnostic candidates in our pipeline that were developed through our Morphomer and SupraAntigen platforms and that target Abeta, tau and alpha-synuclein. We believe our tau-PET imaging program has received external validation through our partnership with Piramal Imaging, a leader in imaging agents. We are also developing an Abeta and tau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agent for AD and an alpha-synuclein PET imaging agent for PD. We believe that our diagnostic product candidate pipeline will complement our disease-modifying treatment product candidate pipeline, with the ultimate goal of reshaping the clinical course and treatment of neurodegenerative diseases.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Our research and development program is based on our two unique proprietary technology platforms: our SupraAntigen platform, which is our biological and immunological platform, and our Morphomer platform,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which is our small molecule, chemical platform. These platforms are designed to generate antibodies and small molecules, respectively, which selectively bind to misfolded proteins which are common in a broad range of neurodegenerative diseases.</w:t>
      </w:r>
    </w:p>
    <w:p>
      <w:pPr>
        <w:spacing w:after="0" w:line="17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SupraAntigen platform generates humanized monoclonal antibodies and vaccines for use as passive and active immunotherapies that are highly specific for pathological, or misfolded, forms of Abeta and tau typically found in AD and certain other neurodegenerative diseases. In addition to the high target specificity, the generated antibodies clear the misfolded proteins from the brain without generating inflammation. This characteristic was clinically confirmed in the Phase 2 clinical studies of crenezumab, where a favorable safety profile was demonstrated. Similarly, ACI-35 and ACI-24 have been well tolerated in their respective Phase 1b and 1/2a clinical studies. Our diagnostic portfolio is also an important part of our strategy, as PET and molecular diagnostics should enable earlier diagnosis of neurodegeneration than current approaches that are based on clinical symptoms, a result that we believe will result in better clinical outcomes.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Research has shown that misfolded proteins are not only unable to carry out their normal functions but that they also aggregate to form deposits commonly known as plaques and tangles that damage neuronal tissue and lead to cell death. Our SupraAntigen and Morphomer platforms seek to produce conformationally specific molecules, which are molecules that are able to differentiate between misfolded proteins and normally-folded proteins, and target misfolded proteins with minimal side effects on normally-folded proteins. We believe that our platforms can also generate compounds in indications related to protein misfolding outside of neurodegenerative disease, such as in glaucoma where aggregated Abeta peptides and tau proteins have been shown to cause damage to the optic nerve.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platforms address two key issues in the development of drugs against diseases of protein misfolding:</w:t>
      </w:r>
    </w:p>
    <w:p>
      <w:pPr>
        <w:spacing w:after="0" w:line="131" w:lineRule="exact"/>
        <w:rPr>
          <w:sz w:val="20"/>
          <w:szCs w:val="20"/>
          <w:color w:val="auto"/>
        </w:rPr>
      </w:pPr>
    </w:p>
    <w:p>
      <w:pPr>
        <w:ind w:left="900" w:right="18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body does not make antibodies against misfolded proteins because, although pathogenic, they are still recognized as “self-proteins” and do not trigger an immune response.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difference between a normal protein and a pathological protein is only related to a conformational change in protein structure making drug specificity difficult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134620</wp:posOffset>
            </wp:positionV>
            <wp:extent cx="3696335" cy="18694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9633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diagram above shows the process by which conformationally-specific molecules break down the aggregation of misfolded proteins. We expect that antibodies and Morphomers should prevent or disrupt the formation of insoluble plaques and stabilize soluble non-pathological proteins.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205740</wp:posOffset>
            </wp:positionV>
            <wp:extent cx="2607310" cy="1560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0731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SupraAntigen platform was created by our scientific founders Dr. Claude Nicolau in collaboration with Dr. Fred Van Leuven. This technology generates conformation-sensitive antibodies and is used by us to create product candidates for both passive and active immunization. Passive immunization involves the application of therapeutic antibodies, whereas active immunization stimulates the human body to make its own antibodies against pathological proteins, as shown in the diagram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Active Immunization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 approach is based on the ability of antigens attached to liposomes to elicit the immune system to produce antibodies against self-proteins. The liposome is constructed of cholesterol, phospholipids and monophospholipid-A as an adjuvant. The liposome can accommodate antigens, or peptides, of different lengths that are chemically modified with palmitic acids to “anchor” them in the liposomal membrane. The interaction between the charged liposome surface and the peptides force the peptide into the pathological conformation that mimics the targeted misfolded proteins. The diagram below shows the vaccine construct which is used as a basis for ACI-24 and ACI-35 vaccine candidates. ACI-24 and ACI-35 are vaccine candidates developed using our SupraAntigen platform for active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-5080</wp:posOffset>
            </wp:positionV>
            <wp:extent cx="3078480" cy="24098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07848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Passive Immunization</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SupraAntigen platform can also be used to develop passive immunization product candidates. The antibodies are created by injecting the SupraAntigen constructs in mice and by selecting the antibodies for their ability to break up aggregated fibers. The antibodies eliminate protein aggregates such as plaques and tangles by changing the equilibrium from the insoluble pathological to the soluble fibers which are depleted by the antibodies. Both crenezumab and the anti-tau antibodies were derived from this platform.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Morphomer Platform</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Our Morphomer platform represents a highly promising technology to identify and develop therapeutic small molecules for the treatment of diseases resulting from misfolded proteins. This proprietary platform enables us to generate small molecules that bind to their target and break up neurotoxic protein aggregates. As of June 30, 2015, the Morphomer library consisted of more than 2,400 compounds. Our key platform assets have been validated for selective binding to Abeta, tau and alpha-synuclein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efficacy studies and have a validated mechanism of action through reproducible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for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146050</wp:posOffset>
            </wp:positionV>
            <wp:extent cx="4168140" cy="3078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16814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figure above shows a Morphomer blocking amyloid growth. Only one end of aggregated amyloid fibers grows, and these molecules are designed to inhibit that growing end as shown in the above diagram.</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Most molecules involved in neurodegenerative diseases follow the same overall disease development and aggregation process, including Abeta in AD, alpha-synuclein in PD and huntingtin in Huntington’s disease.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advantages of our Morphomer platform include:</w:t>
      </w:r>
    </w:p>
    <w:p>
      <w:pPr>
        <w:spacing w:after="0" w:line="131"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High specificity for the targeted misfolded protein;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One Morphomer can inhibit multiple protein units in oligomers and fibers;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Early inhibition of aggregation and seeding.</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Morphomer platform was developed through a collaboration of our scientific founders Dr. Jean-Marie Lehn, a recipient of the Nobel Prize in chemistry, and Dr. Claude Nicolau, a former Harvard University professor.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Crenezumab is a humanized, conformation-specific monoclonal antibody that targets the misfolded version of Abeta and has a broad binding profile. Crenezumab was developed using our proprietary SupraAntigen platform. In 2006, we licensed crenezumab to Genentech and a company with a long history of developing and commercializing innovative biologics.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Abeta is produced by the breakdown of a larger protein called amyloid precursor protein, or APP. The Abeta fragment containing 42 amino acids, or Abeta</w:t>
      </w:r>
      <w:r>
        <w:rPr>
          <w:rFonts w:ascii="Arial" w:cs="Arial" w:eastAsia="Arial" w:hAnsi="Arial"/>
          <w:sz w:val="14"/>
          <w:szCs w:val="14"/>
          <w:color w:val="auto"/>
        </w:rPr>
        <w:t>1–42</w:t>
      </w:r>
      <w:r>
        <w:rPr>
          <w:rFonts w:ascii="Arial" w:cs="Arial" w:eastAsia="Arial" w:hAnsi="Arial"/>
          <w:sz w:val="17"/>
          <w:szCs w:val="17"/>
          <w:color w:val="auto"/>
        </w:rPr>
        <w:t>, is believed to be associated with the highest toxicity of the Abeta fragments. Misfolded Abeta subunits combine to form oligomers and fibrils that are found in amyloid plaques. Data resulting from preclinical and clinical studies show that crenezumab binds with high affinity to amino acids 12–24 of Abeta</w:t>
      </w:r>
      <w:r>
        <w:rPr>
          <w:rFonts w:ascii="Arial" w:cs="Arial" w:eastAsia="Arial" w:hAnsi="Arial"/>
          <w:sz w:val="14"/>
          <w:szCs w:val="14"/>
          <w:color w:val="auto"/>
        </w:rPr>
        <w:t>1–42</w:t>
      </w:r>
      <w:r>
        <w:rPr>
          <w:rFonts w:ascii="Arial" w:cs="Arial" w:eastAsia="Arial" w:hAnsi="Arial"/>
          <w:sz w:val="17"/>
          <w:szCs w:val="17"/>
          <w:color w:val="auto"/>
        </w:rPr>
        <w:t>, as well as multiple forms of Abeta, including monomers, oligomers, and fibrils, which reduces Abeta</w:t>
      </w:r>
      <w:r>
        <w:rPr>
          <w:rFonts w:ascii="Arial" w:cs="Arial" w:eastAsia="Arial" w:hAnsi="Arial"/>
          <w:sz w:val="14"/>
          <w:szCs w:val="14"/>
          <w:color w:val="auto"/>
        </w:rPr>
        <w:t>1–42</w:t>
      </w:r>
      <w:r>
        <w:rPr>
          <w:rFonts w:ascii="Arial" w:cs="Arial" w:eastAsia="Arial" w:hAnsi="Arial"/>
          <w:sz w:val="17"/>
          <w:szCs w:val="17"/>
          <w:color w:val="auto"/>
        </w:rPr>
        <w:t xml:space="preserve"> induced cytotoxicity. Furthermore, these data indicate that crenezumab enhances the uptake of neurotoxic Abeta oligomers by microglial cells, the resident immune cells of the brain, which normally respond to neuronal damage and remove the damaged cells for subsequent disposal and clearance from the brain.</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challenge with agents acting to remove Abeta is the potential to induce inflammation leading to vasogenic edema, which is accumulation of fluid in the brain that can lead to headaches, loss of coordination and disorientation. The fluid can be seen clearly on MRI scans and is referred to as Amyloid Related Imaging Abnormality-Edema, or ARIA-E. Crenezumab is engineered on an IgG4 backbone, which was selected because IgG4 antibodies are associated with a greatly reduced risk of causing inflammation. As a result, crenezumab’s IgG4 structure activates microglial cells to clear Abeta without producing inflammation and associated vasogenic edema, as demonstrated in the Phase 2 clinical studies. In contrast, ARIA-E and other inflammation-related side effects have been observed in other antibodies with an IgG1 backbone.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crenezumab may have the following important competitive advantages relative to other drugs targeting Abeta in development</w:t>
      </w:r>
      <w:r>
        <w:rPr>
          <w:rFonts w:ascii="Arial" w:cs="Arial" w:eastAsia="Arial" w:hAnsi="Arial"/>
          <w:sz w:val="17"/>
          <w:szCs w:val="17"/>
          <w:i w:val="1"/>
          <w:iCs w:val="1"/>
          <w:color w:val="auto"/>
        </w:rPr>
        <w:t>:</w:t>
      </w:r>
    </w:p>
    <w:p>
      <w:pPr>
        <w:spacing w:after="0" w:line="142"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right="280" w:hanging="446"/>
        <w:spacing w:after="0" w:line="264"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Crenezumab recognizes and binds to multiple forms of Abeta, including monomeric, oligomeric and fibrillar Abeta that are found in amyloid plaques. In contrast, certain other antibodies in development such as solanezumab and aducanumab have only been shown in studies to recognize a subset of Abeta forms.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Due to its high affinity to the multiple forms of Abeta, crenezumab also protects against oligomer-induced neurotoxicity.</w:t>
      </w:r>
    </w:p>
    <w:p>
      <w:pPr>
        <w:spacing w:after="0" w:line="130" w:lineRule="exact"/>
        <w:rPr>
          <w:rFonts w:ascii="Arial" w:cs="Arial" w:eastAsia="Arial" w:hAnsi="Arial"/>
          <w:sz w:val="18"/>
          <w:szCs w:val="18"/>
          <w:color w:val="auto"/>
        </w:rPr>
      </w:pPr>
    </w:p>
    <w:p>
      <w:pPr>
        <w:ind w:left="1480" w:right="480" w:hanging="446"/>
        <w:spacing w:after="0" w:line="277"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Linked to its unique epitope, crenezumab has been shown to promote disaggregation of existing Abeta aggregates and disrupt their assembly to prevent amyloid plaque formation.</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Crenezumab has been designed with an IgG4 backbone to reduce effector function on microglia and to clear Abeta from the brain while limiting inflammation.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205740</wp:posOffset>
            </wp:positionV>
            <wp:extent cx="4090670" cy="2075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090670"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(MMSE 22-26):</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(Mini-Mental State Examination score, or MMSE, of 22-26).</w:t>
      </w:r>
    </w:p>
    <w:p>
      <w:pPr>
        <w:spacing w:after="0" w:line="75" w:lineRule="exact"/>
        <w:rPr>
          <w:rFonts w:ascii="Arial" w:cs="Arial" w:eastAsia="Arial" w:hAnsi="Arial"/>
          <w:sz w:val="18"/>
          <w:szCs w:val="18"/>
          <w:color w:val="auto"/>
        </w:rPr>
      </w:pPr>
    </w:p>
    <w:p>
      <w:pPr>
        <w:ind w:left="1480" w:right="80" w:hanging="446"/>
        <w:spacing w:after="0" w:line="277"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milder AD patient population (MMSE 22-26) for the high-dose arm.</w:t>
      </w:r>
    </w:p>
    <w:p>
      <w:pPr>
        <w:spacing w:after="0" w:line="75"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the BLAZE biomarker study, the high-dose arm showed a consistent trend of reduced Abeta accumulation in the brain over time, as shown in two independent exploratory analyses of florbetapir-PET data. In addition, it has been shown that crenezumab has the ability to enhance the removal of these proteins from the brain as evidenced by a significant increase in CSF Abeta, confirming target engagement by crenezumab.</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240" w:hanging="446"/>
        <w:spacing w:after="0" w:line="264"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Phase 2 data from ABBY and BLAZE studies suggested that there were no imbalances in overall rate of Adverse Events, or AEs, and overall rate of AEs was not dose-related, with only one case of asymptomatic ARIA-E (0.4% in ABBY, 0.3% on active pooled) in crenezumab patients.</w:t>
      </w:r>
    </w:p>
    <w:p>
      <w:pPr>
        <w:spacing w:after="0" w:line="86" w:lineRule="exact"/>
        <w:rPr>
          <w:rFonts w:ascii="Arial" w:cs="Arial" w:eastAsia="Arial" w:hAnsi="Arial"/>
          <w:sz w:val="18"/>
          <w:szCs w:val="18"/>
          <w:color w:val="auto"/>
        </w:rPr>
      </w:pPr>
    </w:p>
    <w:p>
      <w:pPr>
        <w:ind w:left="1480" w:right="80" w:hanging="446"/>
        <w:spacing w:after="0" w:line="302" w:lineRule="auto"/>
        <w:tabs>
          <w:tab w:leader="none" w:pos="14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Crenezumab is a member of the IgG4 isotype subclass of antibodies. This isotype was selected because IgG4 antibodies are associated with a greatly reduced ability to cause inflammation. By contrast, all other antibody products currently in development that target Abeta are of the IgG1 isotype subclass, which is associated with a higher incidence of inflammation-related ARIA-E. Dose limiting toxicities are a major risk for failure of competing antibody products. Potential safety at high doses is a key product feature of crenezumab.</w:t>
      </w:r>
    </w:p>
    <w:p>
      <w:pPr>
        <w:spacing w:after="0" w:line="59" w:lineRule="exact"/>
        <w:rPr>
          <w:rFonts w:ascii="Arial" w:cs="Arial" w:eastAsia="Arial" w:hAnsi="Arial"/>
          <w:sz w:val="16"/>
          <w:szCs w:val="16"/>
          <w:color w:val="auto"/>
        </w:rPr>
      </w:pPr>
    </w:p>
    <w:p>
      <w:pPr>
        <w:ind w:left="1480" w:right="180" w:hanging="446"/>
        <w:spacing w:after="0" w:line="277"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Due to its favorable safety profile, there is an ongoing Phase 1 study in which crenezumab is currently being studied at higher doses to potentially increase its efficacy signal.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459" w:right="3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relative incidence of ARIA-E of crenezumab and other competitive product candidates.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Antibody</w:t>
            </w:r>
          </w:p>
        </w:tc>
        <w:tc>
          <w:tcPr>
            <w:tcW w:w="3220" w:type="dxa"/>
            <w:vAlign w:val="bottom"/>
            <w:gridSpan w:val="2"/>
          </w:tcPr>
          <w:p>
            <w:pPr>
              <w:ind w:left="820"/>
              <w:spacing w:after="0"/>
              <w:rPr>
                <w:sz w:val="20"/>
                <w:szCs w:val="20"/>
                <w:color w:val="auto"/>
              </w:rPr>
            </w:pPr>
            <w:r>
              <w:rPr>
                <w:rFonts w:ascii="Arial" w:cs="Arial" w:eastAsia="Arial" w:hAnsi="Arial"/>
                <w:sz w:val="14"/>
                <w:szCs w:val="14"/>
                <w:b w:val="1"/>
                <w:bCs w:val="1"/>
                <w:color w:val="auto"/>
              </w:rPr>
              <w:t>Stage of development</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Isotype</w:t>
            </w:r>
          </w:p>
        </w:tc>
        <w:tc>
          <w:tcPr>
            <w:tcW w:w="2900" w:type="dxa"/>
            <w:vAlign w:val="bottom"/>
          </w:tcPr>
          <w:p>
            <w:pPr>
              <w:ind w:left="940"/>
              <w:spacing w:after="0"/>
              <w:rPr>
                <w:sz w:val="20"/>
                <w:szCs w:val="20"/>
                <w:color w:val="auto"/>
              </w:rPr>
            </w:pPr>
            <w:r>
              <w:rPr>
                <w:rFonts w:ascii="Arial" w:cs="Arial" w:eastAsia="Arial" w:hAnsi="Arial"/>
                <w:sz w:val="14"/>
                <w:szCs w:val="14"/>
                <w:b w:val="1"/>
                <w:bCs w:val="1"/>
                <w:color w:val="auto"/>
              </w:rPr>
              <w:t>ARIA-E (safety)</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8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Crenezumab</w:t>
            </w:r>
          </w:p>
        </w:tc>
        <w:tc>
          <w:tcPr>
            <w:tcW w:w="296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Phase 3</w:t>
            </w:r>
          </w:p>
        </w:tc>
        <w:tc>
          <w:tcPr>
            <w:tcW w:w="260" w:type="dxa"/>
            <w:vAlign w:val="bottom"/>
            <w:vMerge w:val="continue"/>
            <w:shd w:val="clear" w:color="auto" w:fill="CCEEFF"/>
          </w:tcPr>
          <w:p>
            <w:pPr>
              <w:spacing w:after="0"/>
              <w:rPr>
                <w:sz w:val="15"/>
                <w:szCs w:val="15"/>
                <w:color w:val="auto"/>
              </w:rPr>
            </w:pPr>
          </w:p>
        </w:tc>
        <w:tc>
          <w:tcPr>
            <w:tcW w:w="46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IgG4</w:t>
            </w:r>
          </w:p>
        </w:tc>
        <w:tc>
          <w:tcPr>
            <w:tcW w:w="340" w:type="dxa"/>
            <w:vAlign w:val="bottom"/>
            <w:vMerge w:val="continue"/>
            <w:shd w:val="clear" w:color="auto" w:fill="CCEEFF"/>
          </w:tcPr>
          <w:p>
            <w:pPr>
              <w:spacing w:after="0"/>
              <w:rPr>
                <w:sz w:val="15"/>
                <w:szCs w:val="15"/>
                <w:color w:val="auto"/>
              </w:rPr>
            </w:pPr>
          </w:p>
        </w:tc>
        <w:tc>
          <w:tcPr>
            <w:tcW w:w="290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&lt; 0.3% in Ph2</w:t>
            </w:r>
          </w:p>
        </w:tc>
        <w:tc>
          <w:tcPr>
            <w:tcW w:w="0" w:type="dxa"/>
            <w:vAlign w:val="bottom"/>
          </w:tcPr>
          <w:p>
            <w:pPr>
              <w:spacing w:after="0"/>
              <w:rPr>
                <w:sz w:val="1"/>
                <w:szCs w:val="1"/>
                <w:color w:val="auto"/>
              </w:rPr>
            </w:pPr>
          </w:p>
        </w:tc>
      </w:tr>
      <w:tr>
        <w:trPr>
          <w:trHeight w:val="241"/>
        </w:trPr>
        <w:tc>
          <w:tcPr>
            <w:tcW w:w="3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(Genentech / AC Immune)</w:t>
            </w:r>
          </w:p>
        </w:tc>
        <w:tc>
          <w:tcPr>
            <w:tcW w:w="29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Solanezumab</w:t>
            </w:r>
          </w:p>
        </w:tc>
        <w:tc>
          <w:tcPr>
            <w:tcW w:w="3220" w:type="dxa"/>
            <w:vAlign w:val="bottom"/>
            <w:gridSpan w:val="2"/>
          </w:tcPr>
          <w:p>
            <w:pPr>
              <w:spacing w:after="0" w:line="198" w:lineRule="exact"/>
              <w:rPr>
                <w:sz w:val="20"/>
                <w:szCs w:val="20"/>
                <w:color w:val="auto"/>
              </w:rPr>
            </w:pPr>
            <w:r>
              <w:rPr>
                <w:rFonts w:ascii="Arial" w:cs="Arial" w:eastAsia="Arial" w:hAnsi="Arial"/>
                <w:sz w:val="18"/>
                <w:szCs w:val="18"/>
                <w:color w:val="auto"/>
              </w:rPr>
              <w:t>Phase 3</w:t>
            </w:r>
          </w:p>
        </w:tc>
        <w:tc>
          <w:tcPr>
            <w:tcW w:w="800" w:type="dxa"/>
            <w:vAlign w:val="bottom"/>
            <w:gridSpan w:val="2"/>
          </w:tcPr>
          <w:p>
            <w:pPr>
              <w:spacing w:after="0" w:line="198" w:lineRule="exact"/>
              <w:rPr>
                <w:sz w:val="20"/>
                <w:szCs w:val="20"/>
                <w:color w:val="auto"/>
              </w:rPr>
            </w:pPr>
            <w:r>
              <w:rPr>
                <w:rFonts w:ascii="Arial" w:cs="Arial" w:eastAsia="Arial" w:hAnsi="Arial"/>
                <w:sz w:val="18"/>
                <w:szCs w:val="18"/>
                <w:color w:val="auto"/>
              </w:rPr>
              <w:t>IgG1</w:t>
            </w:r>
          </w:p>
        </w:tc>
        <w:tc>
          <w:tcPr>
            <w:tcW w:w="2900" w:type="dxa"/>
            <w:vAlign w:val="bottom"/>
          </w:tcPr>
          <w:p>
            <w:pPr>
              <w:spacing w:after="0" w:line="198" w:lineRule="exact"/>
              <w:rPr>
                <w:sz w:val="20"/>
                <w:szCs w:val="20"/>
                <w:color w:val="auto"/>
              </w:rPr>
            </w:pPr>
            <w:r>
              <w:rPr>
                <w:rFonts w:ascii="Arial" w:cs="Arial" w:eastAsia="Arial" w:hAnsi="Arial"/>
                <w:sz w:val="18"/>
                <w:szCs w:val="18"/>
                <w:color w:val="auto"/>
              </w:rPr>
              <w:t>0.9% in Ph3</w:t>
            </w:r>
          </w:p>
        </w:tc>
        <w:tc>
          <w:tcPr>
            <w:tcW w:w="0" w:type="dxa"/>
            <w:vAlign w:val="bottom"/>
          </w:tcPr>
          <w:p>
            <w:pPr>
              <w:spacing w:after="0"/>
              <w:rPr>
                <w:sz w:val="1"/>
                <w:szCs w:val="1"/>
                <w:color w:val="auto"/>
              </w:rPr>
            </w:pPr>
          </w:p>
        </w:tc>
      </w:tr>
      <w:tr>
        <w:trPr>
          <w:trHeight w:val="241"/>
        </w:trPr>
        <w:tc>
          <w:tcPr>
            <w:tcW w:w="3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(Eli Lilly)</w:t>
            </w:r>
          </w:p>
        </w:tc>
        <w:tc>
          <w:tcPr>
            <w:tcW w:w="2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Gantenerumab</w:t>
            </w:r>
          </w:p>
        </w:tc>
        <w:tc>
          <w:tcPr>
            <w:tcW w:w="32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Phase 3</w:t>
            </w:r>
          </w:p>
        </w:tc>
        <w:tc>
          <w:tcPr>
            <w:tcW w:w="8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IgG1</w:t>
            </w:r>
          </w:p>
        </w:tc>
        <w:tc>
          <w:tcPr>
            <w:tcW w:w="2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1"/>
              </w:rPr>
              <w:t>~10% in Ph1 Multiple Ascending Doses</w:t>
            </w:r>
          </w:p>
        </w:tc>
        <w:tc>
          <w:tcPr>
            <w:tcW w:w="0" w:type="dxa"/>
            <w:vAlign w:val="bottom"/>
          </w:tcPr>
          <w:p>
            <w:pPr>
              <w:spacing w:after="0"/>
              <w:rPr>
                <w:sz w:val="1"/>
                <w:szCs w:val="1"/>
                <w:color w:val="auto"/>
              </w:rPr>
            </w:pPr>
          </w:p>
        </w:tc>
      </w:tr>
      <w:tr>
        <w:trPr>
          <w:trHeight w:val="241"/>
        </w:trPr>
        <w:tc>
          <w:tcPr>
            <w:tcW w:w="3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(Roche)</w:t>
            </w:r>
          </w:p>
        </w:tc>
        <w:tc>
          <w:tcPr>
            <w:tcW w:w="29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Aducanumab</w:t>
            </w:r>
          </w:p>
        </w:tc>
        <w:tc>
          <w:tcPr>
            <w:tcW w:w="3220" w:type="dxa"/>
            <w:vAlign w:val="bottom"/>
            <w:gridSpan w:val="2"/>
          </w:tcPr>
          <w:p>
            <w:pPr>
              <w:spacing w:after="0" w:line="198" w:lineRule="exact"/>
              <w:rPr>
                <w:sz w:val="20"/>
                <w:szCs w:val="20"/>
                <w:color w:val="auto"/>
              </w:rPr>
            </w:pPr>
            <w:r>
              <w:rPr>
                <w:rFonts w:ascii="Arial" w:cs="Arial" w:eastAsia="Arial" w:hAnsi="Arial"/>
                <w:sz w:val="18"/>
                <w:szCs w:val="18"/>
                <w:color w:val="auto"/>
                <w:w w:val="96"/>
              </w:rPr>
              <w:t>Phase 1b completed moving into Phase 3</w:t>
            </w:r>
          </w:p>
        </w:tc>
        <w:tc>
          <w:tcPr>
            <w:tcW w:w="800" w:type="dxa"/>
            <w:vAlign w:val="bottom"/>
            <w:gridSpan w:val="2"/>
          </w:tcPr>
          <w:p>
            <w:pPr>
              <w:spacing w:after="0" w:line="198" w:lineRule="exact"/>
              <w:rPr>
                <w:sz w:val="20"/>
                <w:szCs w:val="20"/>
                <w:color w:val="auto"/>
              </w:rPr>
            </w:pPr>
            <w:r>
              <w:rPr>
                <w:rFonts w:ascii="Arial" w:cs="Arial" w:eastAsia="Arial" w:hAnsi="Arial"/>
                <w:sz w:val="18"/>
                <w:szCs w:val="18"/>
                <w:color w:val="auto"/>
              </w:rPr>
              <w:t>IgG1</w:t>
            </w:r>
          </w:p>
        </w:tc>
        <w:tc>
          <w:tcPr>
            <w:tcW w:w="2900" w:type="dxa"/>
            <w:vAlign w:val="bottom"/>
          </w:tcPr>
          <w:p>
            <w:pPr>
              <w:spacing w:after="0" w:line="198" w:lineRule="exact"/>
              <w:rPr>
                <w:sz w:val="20"/>
                <w:szCs w:val="20"/>
                <w:color w:val="auto"/>
              </w:rPr>
            </w:pPr>
            <w:r>
              <w:rPr>
                <w:rFonts w:ascii="Arial" w:cs="Arial" w:eastAsia="Arial" w:hAnsi="Arial"/>
                <w:sz w:val="18"/>
                <w:szCs w:val="18"/>
                <w:color w:val="auto"/>
              </w:rPr>
              <w:t>41% in Ph1b</w:t>
            </w:r>
          </w:p>
        </w:tc>
        <w:tc>
          <w:tcPr>
            <w:tcW w:w="0" w:type="dxa"/>
            <w:vAlign w:val="bottom"/>
          </w:tcPr>
          <w:p>
            <w:pPr>
              <w:spacing w:after="0"/>
              <w:rPr>
                <w:sz w:val="1"/>
                <w:szCs w:val="1"/>
                <w:color w:val="auto"/>
              </w:rPr>
            </w:pPr>
          </w:p>
        </w:tc>
      </w:tr>
      <w:tr>
        <w:trPr>
          <w:trHeight w:val="241"/>
        </w:trPr>
        <w:tc>
          <w:tcPr>
            <w:tcW w:w="3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(Biogen)</w:t>
            </w:r>
          </w:p>
        </w:tc>
        <w:tc>
          <w:tcPr>
            <w:tcW w:w="2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Bapineuzumab</w:t>
            </w:r>
          </w:p>
        </w:tc>
        <w:tc>
          <w:tcPr>
            <w:tcW w:w="32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Terminated after Phase 3</w:t>
            </w:r>
          </w:p>
        </w:tc>
        <w:tc>
          <w:tcPr>
            <w:tcW w:w="8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IgG1</w:t>
            </w:r>
          </w:p>
        </w:tc>
        <w:tc>
          <w:tcPr>
            <w:tcW w:w="2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 in Ph3</w:t>
            </w:r>
          </w:p>
        </w:tc>
        <w:tc>
          <w:tcPr>
            <w:tcW w:w="0" w:type="dxa"/>
            <w:vAlign w:val="bottom"/>
          </w:tcPr>
          <w:p>
            <w:pPr>
              <w:spacing w:after="0"/>
              <w:rPr>
                <w:sz w:val="1"/>
                <w:szCs w:val="1"/>
                <w:color w:val="auto"/>
              </w:rPr>
            </w:pPr>
          </w:p>
        </w:tc>
      </w:tr>
      <w:tr>
        <w:trPr>
          <w:trHeight w:val="248"/>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(Elan / Pfizer / J&amp;J)</w:t>
            </w:r>
          </w:p>
        </w:tc>
        <w:tc>
          <w:tcPr>
            <w:tcW w:w="2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2 Studies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2 Study Design Overview</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studies were not designed or powered to achieve statistical significance at the p=0.05 level, meaning, as is common in a Phase 2 study, there was an insufficient number of patients relative to the expected clinical benefit to verify the dose response.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Amyloid Related Imaging Abnormalities, both vasogenic edema and hemorrhages.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Design</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ABBY study was a randomized, double-blind, parallel group, placebo-controlled study to evaluate the safety and efficacy of crenezumab in patients with mild to moderate AD, with an MMSE score at screening of 18-26 points. 444 patients were enrolled into the study with 431 patients participating in the full study and 13 patients participating in the safety run-in cohort and were not included in the primary efficacy analysis. 431 patients were randomized separately to receive crenezumab, either subcutaneously at a dose of 300 mg every two weeks (low dose) or intravenously at a dose of 15 mg/kg once every 4 weeks (high-dose), with a 2:1 active:placebo ratio in each dose group. In the subcutaneous injection dose arm, 122 patients received crenezumab and 62 patients received placebo. In the intravenous dose arm, 163 patients received crenezumab and 84 patients received placebo.</w:t>
      </w:r>
    </w:p>
    <w:p>
      <w:pPr>
        <w:spacing w:after="0" w:line="16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Co-primary endpoints were cognition assessed using the Alzheimer Disease Assessment Scale-Cognitive Subscale, or ADAS-cog 12 scale, and global function assessed by the Clinical Dementia Rating-Sum of Boxes. Secondary endpoints such as the MMSE score and Digit Symbol Substitution Test, or DSST, were also included in the study.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96840" cy="3319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96840"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Results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diagram below. The milder group was not pre-specified, meaning the group of milder AD patients was not identified before commencing the Phase 2 clinical studies.</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20"/>
          </w:cols>
          <w:pgMar w:left="24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0165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3985" cy="501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An exploratory subanalysis in patients with milder symptoms (MMSE 22-26) showed a 35.4% reduction in cognitive decline (p=0.036). The study was not powered to detect statistically significant results. In the pre-specified subgroup analysis in patients with mild AD (MMSE 20-26), treatment with high-dose intravenous crenezumab led to a 23.8% reduction in cognitive decline (p=0.13). In patients with mild-to-moderate AD (MMSE 18-26) treated with high-dose intravenous crenezumab, there was a 16.8% reduction in cognitive decline (p=0.19). Effect sizes and p-values for exploratory analyses were not adjusted for multiplicity.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ABBY High Dose Arm: Change in DSST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171450</wp:posOffset>
            </wp:positionV>
            <wp:extent cx="5213985" cy="54025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3985" cy="540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ABBY high-dose arm result for DSST was significant in the milder patient sub-group (MMSE 22-26). The mild and milder patients that were given crenezumab intravenously showed no further cognitive deterioration between 12 and 18 months.</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ABBY study, patients in the high-dose crenezumab arm showed less decline on the measure of global function, CDR-Sum of boxes, as compared to placebo. In mild-to-moderate AD (MMSE 18-26), a non-significant 3.1% reduction in global functional decline was observed. In the pre-specified subgroup analysis in patients with mild AD (MMSE 20-26), treatment with high-dose intravenous crenezumab did not show reduction in global functional decline (1.0% reduction; p=0.96). An exploratory analysis in patients with milder symptoms (MMSE 22-26) showed a 19.6% reduction in global functional decline (p=0.42). Although the results were not statistically significant, the study was not powered to detect statistically significant differences from placebo.</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Trends favoring crenezumab were not observed in the activities of daily living scale (ADCS-ADL) although the study was significantly underpowered for this type of assessment.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Design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Other endpoints included changes from baseline in other biomarkers (CSF, volumetric MRI), cognition (ADAS-cog12), global function (CDR-SOB), and activities of daily living (ADCS-ADL). Enrollment required florbetapir-PET positive scans, or patients who were amyloid positive. Ninety-one patients were included in the study.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BLAZE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172085</wp:posOffset>
            </wp:positionV>
            <wp:extent cx="4673600" cy="28644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67360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Results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primary end point of change in brain amyloid load by florbetapir-PET was not met, but the study was not powered to detect statistically significant results. The optimal reference region for detecting changes over time in beta-amyloid levels in the brain are better evaluated using a white matter rather than cerebellar reference region. Taking this into account, the exploratory analyses of the BLAZE amyloid PET results using white matter reference region were conducted independently by two laboratories, the Banner Alzheimer’s Institute and MNI Laboratories. The analyses produced analogous results where a trend in the reduction of Abeta accumulation was observed in the high-dose arm.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205740</wp:posOffset>
            </wp:positionV>
            <wp:extent cx="5213985" cy="26327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398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we believe confirms target engagement by crenezumab. Similar results were observed in the ABBY study where CSF was assessed in 49 patients. These results suggest that Abeta is being eliminated from the brain when treated with crenezumab.</w:t>
      </w: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BLAZE High Dose Arm: Crenezumab Increases CSF Total Abeta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172085</wp:posOffset>
            </wp:positionV>
            <wp:extent cx="2538730" cy="2324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3873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BLAZE Study Results: Effects on Cognition and Global Function</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 similar and consistent pattern of response was observed in the BLAZE study with slowing of loss of cognition compared to placebo observed at the high-dose intravenous crenezumab arm, and having the most effect in patients with more mild MMSE scores. There was no significant cognitive change in patients who</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60"/>
          </w:cols>
          <w:pgMar w:left="240" w:top="459" w:right="3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received low-dose subcutaneous crenezumab. Importantly, the study was not powered to detect statistically significant results. BLAZE study results suggest that Abeta is being eliminated from the brain as patients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confirms target engagement by crenezumab.</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BLAZE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25730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398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right="100"/>
        <w:spacing w:after="0" w:line="276" w:lineRule="auto"/>
        <w:rPr>
          <w:sz w:val="20"/>
          <w:szCs w:val="20"/>
          <w:color w:val="auto"/>
        </w:rPr>
      </w:pPr>
      <w:r>
        <w:rPr>
          <w:rFonts w:ascii="Arial" w:cs="Arial" w:eastAsia="Arial" w:hAnsi="Arial"/>
          <w:sz w:val="17"/>
          <w:szCs w:val="17"/>
          <w:color w:val="auto"/>
        </w:rPr>
        <w:t>The BLAZE high-dose arm showed increasing separation over time of the curves of decline on ADAS-Cog 12 for placebo (dashed line) and intravenous crenezumab (solid line) in the mild subgroup of patients (MMSE 20-26). In a post-hoc analysis of a group of patients with mild AD (MMSE 20-26) treated with high-dose intravenous crenezumab, there was a 52.0% reduction in cognitive decline (p=0.29). In patients with mild-to-moderate AD (MMSE 18-26) treated with high-dose intravenous crenezumab, there was a 10.3% reduction in cognitive decline (p=0.84). Importantly, the study was not powered to detect statistically significant results. Effect sizes and p-values were not adjusted for multiplicity.</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BLAZE study, patients in the high-dose crenezumab arm showed less cognitive decline on the measure of global function, CDR-Sum of boxes, as compared to placebo. In mild-to-moderate AD (MMSE 18-26), a 7.4% reduction in global functional decline (p=0.84) was observed. In a post-hoc analysis in patients with mild AD (MMSE 20-26), treatment with high-dose intravenous crenezumab resulted in a 41.5% reduction in global functional decline (p=0.44). Although the results were not statistically significant, the study was not powered to detect statistically significant results.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117"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Since dose limiting toxicities are a potential reason for the failure of other antibodies to demonstrate efficacy, crenuzamab’s potential safety at high doses is a key distinguishing product feature.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There was no imbalance in the overall rate of AEs. AEs were observed in 91.3% of patients treated with crenezumab versus 90.3% of patients who received placebo. AEs were generally mild-to-moderate and transient. AEs did not appear to be related to crenezumab exposure. Five deaths occurred during ABBY and BLAZE, all in patients who received crenezumab during the randomized placebo-controlled period (1.4% of the crenezumab-treated population). The overall rate of deaths is consistent with the background rate of death in the elderly AD population. There was no consistent pattern for the cause of death and none were considered by the investigators to be related to crenezumab. It was reported that 3.2% of crenezumab-treated patients developed pneumonia versus 0.6% in placebo-treated patients in ABBY and BLAZE, but the rate of pneumonia cases in crenezumab-treated patients is consistent with the expected rate in the elderly population (2.5%–4.4%) and no drug-related mechanism for pneumonia was identified.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1 Study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To explore safety at higher doses, crenezumab is currently being tested in a Phase 1 clinical study conducted in the United States. This randomized, placebo-controlled, double-blind, four parallel-arm study will evaluate the safety and tolerability of two doses of intravenous crenezumab in approximately 24 patients with mild to moderate AD (MMSE 18-28) between the ages of 50 to 90. An optional open-label extension stage will be offered to patients after completion of the double-blind stage of the study. The final data collection date for the primary outcome measure is planned for September 2015. This study is expected to be completed in July 2016.</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2 AD Prevention Study</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2012, crenezumab was independently selected from among twenty five product candidates for use in the first-ever AD prevention study. The study, a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The five-year study has cognitive endpoints. An interim analysis is expected in 2017, but the data and results of that analysis may not be made public given patient sensitivity.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Planned Phase 3 Study</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Genentech has announced that it plans to enter Phase 3 clinical development of crenezumab in early 2016. The design and number of studies have not yet been disclosed but will take into account results of the Phase 2 studies as well as the additional ongoing Phase 1 study of higher doses, which is expected to be completed in September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ACI-24 is a vaccine candidate that is in a combined Phase 1/2a clinical study for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inflammation and a mechanism of action independent of inflammatory T-cells.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1/2a Study</w:t>
      </w:r>
    </w:p>
    <w:p>
      <w:pPr>
        <w:spacing w:after="0" w:line="11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Phase 1 part of the combined Phase 1/2a study is currently ongoing. The efficacy, tolerability and immunogenicity of ACI-24 are being tested in mild to moderate AD patients with four different doses. It is a randomized, placebo controlled, double blind study. The different doses are tested via an ascending dose design in four consecutive cohorts with 12 patients each (9 on active, 3 on placebo treatment). ACI-24 is administered by subcutaneous injection with multiple injections per cohort. Each dose cohort is followed by a two-year treatment-free safety follow-up period.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treatment of the first three cohorts has been completed. The treatment of the fourth cohort is ongoing. To date, ACI-24 has shown a favorable safety profile and has been well tolerated. None of the observed serious adverse events were considered related to the administration of ACI-24. The Phase 2a study of the combined Phase 1/2a study will focus on safety, tolerability and efficacy and will be conducted after all data of Phase 1 are available.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Pre-clinical results showed that ACI-24 induced a rapid and significant anti-Abeta antibody response in a T-cell independent manner, which is linked to a more favorable safety profile. The antibody response following treatment with ACI-24 reduced the Abeta brain burden and restored the memory capacity in double-transgenic AD mice. Anti-Abeta antibodies induced by ACI-24 preferentially bind to both pathologically aggregated Abeta species such as oligomers and fibrils. Relative to other anti-Abeta vaccines currently or previously in clinical development ACI-24 has shown differentiation in pre-clinical studies on the basis of mechanism of action, safety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13985" cy="2075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398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shown in the diagram above, immunization of an AD mouse model with ACI-24 led to a significant decrease of insoluble, plaque-related (black bars) and soluble (grey bars) oligomeric Abeta</w:t>
      </w:r>
      <w:r>
        <w:rPr>
          <w:rFonts w:ascii="Arial" w:cs="Arial" w:eastAsia="Arial" w:hAnsi="Arial"/>
          <w:sz w:val="15"/>
          <w:szCs w:val="15"/>
          <w:color w:val="auto"/>
        </w:rPr>
        <w:t>1-40</w:t>
      </w:r>
      <w:r>
        <w:rPr>
          <w:rFonts w:ascii="Arial" w:cs="Arial" w:eastAsia="Arial" w:hAnsi="Arial"/>
          <w:sz w:val="18"/>
          <w:szCs w:val="18"/>
          <w:color w:val="auto"/>
        </w:rPr>
        <w:t xml:space="preserve"> and Abeta</w:t>
      </w:r>
      <w:r>
        <w:rPr>
          <w:rFonts w:ascii="Arial" w:cs="Arial" w:eastAsia="Arial" w:hAnsi="Arial"/>
          <w:sz w:val="15"/>
          <w:szCs w:val="15"/>
          <w:color w:val="auto"/>
        </w:rPr>
        <w:t>1-42</w:t>
      </w:r>
      <w:r>
        <w:rPr>
          <w:rFonts w:ascii="Arial" w:cs="Arial" w:eastAsia="Arial" w:hAnsi="Arial"/>
          <w:sz w:val="18"/>
          <w:szCs w:val="18"/>
          <w:color w:val="auto"/>
        </w:rPr>
        <w:t>. This target engagement was accompanied by the significant improvement of cognitive memory capacity in the novel object recognition test, or ORT. In contrast, immunization with ACI-01, the vaccine candidate which did not present the antigen in its pathological conformation, did not result in any restoration of memory.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 in Down Syndrome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Individuals with Down syndrome have an extra copy of chromosome 21 where the gene for APP resides. These individuals have a rate of AD that is three to five times that of the general population and develop the disease at a much younger age. By the age of 40, 40% of the estimated 400,000 people in the United States with Down syndrome will develop AD and by the age of 60, 80% will have developed AD.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ACI-24 is a vaccine candidate against the pathological form of Abeta in plaques of AD patients. It contains a palmitic-acid Abeta peptide corresponding to amino acids 1-15 of the Abeta molecule anchored in liposomes and adopts the conformation of the pathological Abeta conformers found in plaques. ACI-24 has a novel mode of action whereby antibody production is induced through direct B-cell (antibody producing cell) activation that is independent of T-helper cells.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 IND to study the disease-modifying properties of ACI-24 for the prevention of cognitive decline with Down syndrome was filed and cleared by the FDA. ACI-24 is expected to enter Phase 1 clinical studies for Down syndrome at the end of 2015 after the authorization of the amended protocol. The study is supported by a substantial NIH grant and other grants from the LuMind Research Down Syndrome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141605</wp:posOffset>
            </wp:positionV>
            <wp:extent cx="4570730" cy="1912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57073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diagram above, based on unpublished work by AC Immune in collaboration with Dr. Mobley, shows in a Down syndrome mouse model (Ts65Dn) a 20% significant improvement of the memory (left) and a 27% reduction of Abeta in the brain following vaccination with ACI-DS-01, the mouse equivalent of ACI-24 (right).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ACI-35 is a vaccine candidate directed against another key component of the pathology of AD: phosphorylated tau proteins, or p-tau, found in tau tangles. ACI-35 is designed to stimulate a patient’s immune system to produce antibodies against the misfolded and phosphorylated pathogenic conformers of tau protein that aggregate to create the neurofibrillary tangles that characterize AD. ACI-35 is the first vaccine candidate against phosphorylated pathological tau in clinical studies, and is currently in Phase 1b clinical testing in patients with mild to moderate AD. In 2015, we entered into a partnership with Janssen Pharmaceuticals, a subsidiary of Johnson &amp; Johnson, for the clinical development of ACI-35 beyond Phase 1b.</w:t>
      </w:r>
    </w:p>
    <w:p>
      <w:pPr>
        <w:spacing w:after="0" w:line="173"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dendrites and axons, or nerve endings, of the neurons contain an elaborate series of thin tubes, or microtubules, which serve to support them and transport nutrients down to the nerve endings. Tau proteins are a key component of these microtubules, and, hence, are known as microtubule associated proteins.</w:t>
      </w:r>
    </w:p>
    <w:p>
      <w:pPr>
        <w:spacing w:after="0" w:line="18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In AD, tau protein is misfolded, becomes hyperphosphorylated and aggregates into neurotoxic oligomers that ultimately form neurofibrillary tangles within neurons. The degree of tau pathology correlates strongly with the degree of cognitive loss in AD. Approaches to reducing the level of abnormal tau proteins and slowing their build-up in the brain are considered important targets for new AD therapies.</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developed ACI-35 using our SupraAntigen technology. In pre-clinical testing, the vaccine candidate induced an antibody response that was highly specific to misfolded and phosphorylated tau. This antibody response resulted in a reduction of phosphorylated misfolded tau and an improvement in cognitive clinical parameters.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1b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1b Study Design</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Safety, tolerability and immunogenicity of ACI-35 are being tested in an ongoing Phase 1b study in mild to moderate AD patients. It is a randomized, placebo controlled double blind study, where ACI-35 is administered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via subcutaneous injection. Different doses and dosing schedules are being investigated in an ascending dose design. Multiple injections of ACI-35 are administered per cohort for active or placebo treatment in a three-to-one ratio. To date, ACI-35 has been generally safe and well tolerated.</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research and pre-clinical studies, ACI-35 demonstrated:</w:t>
      </w:r>
    </w:p>
    <w:p>
      <w:pPr>
        <w:spacing w:after="0" w:line="13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 high and specific anti-p-tau IgG antibody response in wild-type mice, tau transgenic mice and primates (cynomolgus and rhesus monkeys);</w:t>
      </w:r>
    </w:p>
    <w:p>
      <w:pPr>
        <w:spacing w:after="0" w:line="153"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induction of highly specific antibodies that are able to recognize p-tau over non-phosphorylated tau peptide and yield a 30-100 fold higher titer for p-tau over non-phosphorylated tau;</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favorable safety profile by showing that multiple doses in mice and monkeys induced strong antibody responses that were well tolerated and not associated with organ toxicity. The main adverse events were local reactions observed at the injection site and were consistent with a normal granulomatous inflammatory reaction after subcutaneous injection of a foreign body;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observable toxicity at the highest dose used in cynomolgus monkeys or mice;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cross-reactivity to any human tissue with the antibodies induced in monkeys by ACI-35 immunization.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ACI-35 generated antibodies that are phosphor-specific for the full-length p-tau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169545</wp:posOffset>
            </wp:positionV>
            <wp:extent cx="4690745" cy="14751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69074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left graph shows that the ACI-35 vaccination raised highly-specific antibodies against phosphorylated tau protein in both transgenic and wild type mice. On the other hand, the right graph shows that a classical vaccine, composed of a p-tau peptide adsorbed to aluminum phosphate, raised antibody responses that do not discriminate between phosphorylated tau and non-phosphorylated tau protein in both wild type and tau transgenic mice.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00"/>
          </w:cols>
          <w:pgMar w:left="240" w:top="459" w:right="3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Discovery Stage Therapeutic Programs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Using our SupraAntigen and Morphomer platforms, we have generated additional discovery and pre-clinical stage molecules targeting neurodegenerative diseases, and diagnostics targeting both Abeta and tau. We currently have four therapeutic product candidates and two diagnostic product candidates in various stages of pre-clinical development. A number of our therapeutic product candidates in pre-clinical development are focused on indications outside of AD and evidence our expansion strategy. Based on the data we have received to date, we believe that our technology platforms can be applied to misfolded proteins across a broad range of indications. The table below lists our four pre-clinical product candidates, the platform from which each candidate stems and the lead indication being pursued: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Product Candidate</w:t>
            </w:r>
          </w:p>
        </w:tc>
        <w:tc>
          <w:tcPr>
            <w:tcW w:w="2600" w:type="dxa"/>
            <w:vAlign w:val="bottom"/>
          </w:tcPr>
          <w:p>
            <w:pPr>
              <w:spacing w:after="0"/>
              <w:rPr>
                <w:sz w:val="16"/>
                <w:szCs w:val="16"/>
                <w:color w:val="auto"/>
              </w:rPr>
            </w:pPr>
          </w:p>
        </w:tc>
        <w:tc>
          <w:tcPr>
            <w:tcW w:w="18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Target</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Lead Indication</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Platform</w:t>
            </w:r>
          </w:p>
        </w:tc>
      </w:tr>
      <w:tr>
        <w:trPr>
          <w:trHeight w:val="191"/>
        </w:trPr>
        <w:tc>
          <w:tcPr>
            <w:tcW w:w="37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Anti-tau antibody</w:t>
            </w:r>
          </w:p>
        </w:tc>
        <w:tc>
          <w:tcPr>
            <w:tcW w:w="1840" w:type="dxa"/>
            <w:vAlign w:val="bottom"/>
          </w:tcPr>
          <w:p>
            <w:pPr>
              <w:spacing w:after="0" w:line="191" w:lineRule="exact"/>
              <w:rPr>
                <w:sz w:val="20"/>
                <w:szCs w:val="20"/>
                <w:color w:val="auto"/>
              </w:rPr>
            </w:pPr>
            <w:r>
              <w:rPr>
                <w:rFonts w:ascii="Arial" w:cs="Arial" w:eastAsia="Arial" w:hAnsi="Arial"/>
                <w:sz w:val="18"/>
                <w:szCs w:val="18"/>
                <w:color w:val="auto"/>
              </w:rPr>
              <w:t>tau</w:t>
            </w:r>
          </w:p>
        </w:tc>
        <w:tc>
          <w:tcPr>
            <w:tcW w:w="12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8"/>
                <w:szCs w:val="18"/>
                <w:color w:val="auto"/>
              </w:rPr>
              <w:t>AD</w:t>
            </w:r>
          </w:p>
        </w:tc>
        <w:tc>
          <w:tcPr>
            <w:tcW w:w="10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8"/>
                <w:szCs w:val="18"/>
                <w:color w:val="auto"/>
              </w:rPr>
              <w:t>Genentech</w:t>
            </w:r>
          </w:p>
        </w:tc>
        <w:tc>
          <w:tcPr>
            <w:tcW w:w="12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8"/>
                <w:szCs w:val="18"/>
                <w:color w:val="auto"/>
              </w:rPr>
              <w:t>SupraAntigen</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Morphomer tau</w:t>
            </w:r>
          </w:p>
        </w:tc>
        <w:tc>
          <w:tcPr>
            <w:tcW w:w="1840" w:type="dxa"/>
            <w:vAlign w:val="bottom"/>
          </w:tcPr>
          <w:p>
            <w:pPr>
              <w:spacing w:after="0"/>
              <w:rPr>
                <w:sz w:val="20"/>
                <w:szCs w:val="20"/>
                <w:color w:val="auto"/>
              </w:rPr>
            </w:pPr>
            <w:r>
              <w:rPr>
                <w:rFonts w:ascii="Arial" w:cs="Arial" w:eastAsia="Arial" w:hAnsi="Arial"/>
                <w:sz w:val="18"/>
                <w:szCs w:val="18"/>
                <w:color w:val="auto"/>
              </w:rPr>
              <w:t>tau</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AD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ACI-260</w:t>
            </w:r>
          </w:p>
        </w:tc>
        <w:tc>
          <w:tcPr>
            <w:tcW w:w="1840" w:type="dxa"/>
            <w:vAlign w:val="bottom"/>
          </w:tcPr>
          <w:p>
            <w:pPr>
              <w:spacing w:after="0"/>
              <w:rPr>
                <w:sz w:val="20"/>
                <w:szCs w:val="20"/>
                <w:color w:val="auto"/>
              </w:rPr>
            </w:pPr>
            <w:r>
              <w:rPr>
                <w:rFonts w:ascii="Arial" w:cs="Arial" w:eastAsia="Arial" w:hAnsi="Arial"/>
                <w:sz w:val="18"/>
                <w:szCs w:val="18"/>
                <w:color w:val="auto"/>
              </w:rPr>
              <w:t>Abeta</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Glaucoma</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ACI-870</w:t>
            </w:r>
          </w:p>
        </w:tc>
        <w:tc>
          <w:tcPr>
            <w:tcW w:w="1840" w:type="dxa"/>
            <w:vAlign w:val="bottom"/>
          </w:tcPr>
          <w:p>
            <w:pPr>
              <w:spacing w:after="0"/>
              <w:rPr>
                <w:sz w:val="20"/>
                <w:szCs w:val="20"/>
                <w:color w:val="auto"/>
              </w:rPr>
            </w:pPr>
            <w:r>
              <w:rPr>
                <w:rFonts w:ascii="Arial" w:cs="Arial" w:eastAsia="Arial" w:hAnsi="Arial"/>
                <w:sz w:val="18"/>
                <w:szCs w:val="18"/>
                <w:color w:val="auto"/>
              </w:rPr>
              <w:t>alpha-synuclein</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PD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bl>
    <w:p>
      <w:pPr>
        <w:spacing w:after="0" w:line="20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b w:val="1"/>
          <w:bCs w:val="1"/>
          <w:i w:val="1"/>
          <w:iCs w:val="1"/>
          <w:color w:val="auto"/>
        </w:rPr>
        <w:t xml:space="preserve">Anti-tau antibody: </w:t>
      </w:r>
      <w:r>
        <w:rPr>
          <w:rFonts w:ascii="Arial" w:cs="Arial" w:eastAsia="Arial" w:hAnsi="Arial"/>
          <w:sz w:val="17"/>
          <w:szCs w:val="17"/>
          <w:color w:val="auto"/>
        </w:rPr>
        <w:t>Our anti-tau monoclonal antibody program uses the SupraAntigen platform to generate humanized monoclonal antibodies for use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passive immunotherapies that are highly specific for pathological forms of tau found in AD brains and other tauopathies. Results from studies conducted in pre-clinical development demonstrate a significant reduction in pathological tau with reduced effector function, meaning decreased ability to affect the function of tau, as well as improvement of long-term spatial memory. A lead development candidate has been selected, and Genentech, our collaboration partner for the anti-tau antibody program, announced that it intends to move this program into Phase 1 clinical studies in late 2016.</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Anti-tau Morphomers are small molecule compounds designed to inhibit tau aggregation with the aim of interacting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beta sheet conformation present in misfolded aggregated tau protein. Our anti-tau Morphomers show a significant inhibition of full length tau aggregation, size-reduction and solubilization of full length tau aggregates and intracellular target engagement by reduction of cellular, aggregated and phosphorylated tau. Importantly, research data show that our compounds reduce cytotoxicity induced by tau. These data were further confirmed by the reduction of misfolded tau in the brain and memory improvement in a tau disease mouse model.</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ACI-260: </w:t>
      </w:r>
      <w:r>
        <w:rPr>
          <w:rFonts w:ascii="Arial" w:cs="Arial" w:eastAsia="Arial" w:hAnsi="Arial"/>
          <w:sz w:val="18"/>
          <w:szCs w:val="18"/>
          <w:color w:val="auto"/>
        </w:rPr>
        <w:t>Our ACI-260 product candidate is a small molecule that inhibits and disrupts Abeta propagation and aggregation, and is currently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evaluated for the treatment of glaucoma, where its anti-Abeta properties represent a novel mechanism of action for that disease. In pre-clinical testing, ACI-260 demonstrated a strong ability to protect the eyes of rats exposed to increased ocular pressure and chronic ocular hypertension which are clinical features of glaucoma. This molecule is expected to enter Phase 1 clinical studies in 2017.</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ACI-870: </w:t>
      </w:r>
      <w:r>
        <w:rPr>
          <w:rFonts w:ascii="Arial" w:cs="Arial" w:eastAsia="Arial" w:hAnsi="Arial"/>
          <w:sz w:val="18"/>
          <w:szCs w:val="18"/>
          <w:color w:val="auto"/>
        </w:rPr>
        <w:t>Our ACI-870 product candidate is small molecule that reduces the cytotoxicity of alpha-synuclein aggregates by a decrease in their beta sheet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content. In pre-clinical studies, ACI-870 significantly reduced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 formation of alpha-synuclein pathological structures accompanied by improvement of a neuronal marker relevant to PD. Ongoing activities are focused on increasing potency and pharmacokinetic properties and preparing compounds for pre-clinical development activities. In a mouse model of tauopathies, our lead compounds show improvement of learning and memory deficit and reduce brain atrophy.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Scientists increasingly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 amount of cognitive function before it is irreversibly lost. Most clinical studies now target mild stages of the disease increasing the need for accurate diagnosis that is independent of potentially subjective cognitive metrics.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least one study estimates that as many as one-third of patients in previous AD studies did not in fact have AD. Accurate and early diagnosis of AD is thus a substantial unmet market need, and diagnostic products will have a 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developing two diagnostic product candidates using our Morphomer technology platform. These product candidates are PET ligands, that are tracers that can be used to target tau and alpha-synuclein aggregates. In May 2014, we established a licensing collaboration for our tau-PET imaging program with Piramal Imaging. Our tau-PET imaging agent is currently in a First-in-Man clinical study. Piramal Imaging is expecting to advance this program into Phase 1 clinical development in 2016.</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PET tracers are designed to bind specifically to tau tangles and have demonstrated their ability to cross the blood-brain barrier. The severity of cognitive impairment in AD patients is correlated with the presence of tau protein tangles, leading us to believe that an imaging agent for tau is equally important. Our tau-PET tracers are more selective for tau than Abeta when compared to current published tau-PET agents in development and can be readily radiolabelled. While PET imaging has improved the diagnosis of AD by targeting Abeta, tau imaging will further enhance the diagnosis of early AD. To date, there are no approved tau tracers.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88585" cy="22212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8858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diagrams above show that our lead tau-PET imaging compound has high selectivity and can identify tau aggregates as early as stage one of the six stages of the Braak scale, which is the pre-symptomatic stage (as indicated with arrows in the far left diagram), and have a favorable uptake in the brain (right diagram).</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2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collectively called synucleinopathies, such as Lewy Body Dementia and Multiple System Atrophy, making it a priority target for drug development. We have identified molecules from our Morphomer library that stain selectively alpha-synuclein pathological structures in human PD brain sections. Ongoing work to optimize the potency, selectivity and pharmacokinetics of these tracers is being funded by the Michael J. Fox Foundation for Parkinson’s Research.</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w:t>
      </w:r>
    </w:p>
    <w:p>
      <w:pPr>
        <w:spacing w:after="0" w:line="52" w:lineRule="exact"/>
        <w:rPr>
          <w:sz w:val="20"/>
          <w:szCs w:val="20"/>
          <w:color w:val="auto"/>
        </w:rPr>
      </w:pPr>
    </w:p>
    <w:p>
      <w:pPr>
        <w:ind w:left="900" w:right="38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diagnosis of PD at much earlier premotor stages than is now possible, thereby enabling early therapeutic intervention and corresponding better patient outcomes;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use of alpha-synuclein as a surrogate marker in clinical studies of novel therapeutic regimens designed to slow or halt progression of PD;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diagnosis of sub-populations of PD and other synucleinopathies.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These applications of alpha-synuclein PET imaging agents have the potential to fundamentally change the approach of treating PD and other similar diseases.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PD market size is estimated to grow from $3.6 billion in 2012 to approximately $5.3 billion in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Down syndrome. Select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77" w:lineRule="exact"/>
        <w:rPr>
          <w:sz w:val="20"/>
          <w:szCs w:val="20"/>
          <w:color w:val="auto"/>
        </w:rPr>
      </w:pPr>
    </w:p>
    <w:p>
      <w:pPr>
        <w:ind w:left="900" w:right="20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May 2015) for crenezumab for AD, under which we may become eligible to receive payments in excess of $300 million, excluding royalties.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for anti-tau antibodies for AD, under which we may become eligible to receive payments totaling up to $418 million, excluding royalties.</w:t>
      </w:r>
    </w:p>
    <w:p>
      <w:pPr>
        <w:spacing w:after="0" w:line="75" w:lineRule="exact"/>
        <w:rPr>
          <w:rFonts w:ascii="Arial" w:cs="Arial" w:eastAsia="Arial" w:hAnsi="Arial"/>
          <w:sz w:val="18"/>
          <w:szCs w:val="18"/>
          <w:color w:val="auto"/>
        </w:rPr>
      </w:pPr>
    </w:p>
    <w:p>
      <w:pPr>
        <w:ind w:left="900" w:right="740" w:hanging="325"/>
        <w:spacing w:after="0" w:line="308"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worldwide licensing agreement with Janssen signed in December 2014 for therapeutic anti-tau vaccines for AD, and potentially other tauopathies, under which we may become eligible to receive payments totaling up to CHF 500 million, excluding royalties.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worldwide licensing agreement with Piramal Imaging signed in May 2014 for small molecule tau ligands for use as PET tracers under which we may become eligible to receive payments totaling up to €157 million, excluding royalties.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Crenezumab Collaboration Agreement of 2006</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signed our first agreement with Genentech in November 2006 and amended the agreement in May 2015. This is an exclusive, worldwide licensing agreement for crenezumab, our humanized monoclonal antibody targeting misfolded Abeta. The agreement provides for a second therapeutic product based on the same intellectual property and anti-Abeta antibody compound, as well as an anti-Abeta diagnostic product. Genentech recently announced that it intends to commence Phase 3 clinical studies for crenezumab in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Under the agreement with Genentech, we may become eligible to receive payments in excess of $300 million, excluding royalties. The agreement includes upfront and milestone payments. In addition, we will receive royalties on sales. The structure of the collaboration agreement is as follows:</w:t>
      </w:r>
    </w:p>
    <w:p>
      <w:pPr>
        <w:spacing w:after="0" w:line="29"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are payable upon commencement of each of Phase 1 and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and Europe, respectively, and milestone payments upon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approval in each of the U.S. and Europe. In addition, for a second indication, additional regulatory and approval milestones would be payable.</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different royalty rates applicable in the U.S. and Europe. Royalty levels are tied to annual sales volumes. We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sales of crenezumab with the percentage rates ranging from low double-digits to the mid-teens.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date, we have received total payments of $65 million which comprise upfront and clinical milestone payments. We received a $25 million upfront payment at the time of signing of the collaboration agreement and have since then obtained three milestone payments totaling $40 million including the Phase 3 milestone payment we received in July 2015.</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Genentech may terminate the agreement at any time by providing three months’ notice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Collaboration Agreement of 2012</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percentage rates ranging from the mid-single digits to high single digits. The agreement also provides for collaboration on two additional indications built on the same anti-tau antibody program, as well as a potential anti-tau diagnostic product.</w:t>
      </w:r>
    </w:p>
    <w:p>
      <w:pPr>
        <w:spacing w:after="0" w:line="15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associated with the recent selection of the lead candidate to be taken forward into Phase 1 clinical studies. Genentech recently announced that it intends to commence Phase 1 clinical studies for this product candidate in 2016.</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Preclinical and clinical milestone payments </w:t>
      </w:r>
      <w:r>
        <w:rPr>
          <w:rFonts w:ascii="Arial" w:cs="Arial" w:eastAsia="Arial" w:hAnsi="Arial"/>
          <w:sz w:val="18"/>
          <w:szCs w:val="18"/>
          <w:color w:val="auto"/>
        </w:rPr>
        <w:t>upon selection of a lead candidate, commencement of each of Phase 1, 2 and 3 of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addition, for a second indication, clinical milestone payments would be payable upon commencement of each of Phase 2 and 3 of clinical development.</w:t>
      </w:r>
    </w:p>
    <w:p>
      <w:pPr>
        <w:spacing w:after="0" w:line="86"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milestones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w:t>
      </w:r>
    </w:p>
    <w:p>
      <w:pPr>
        <w:spacing w:after="0" w:line="75"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Japan which are triggered by the first commercial sale for the second indication in each of those jurisdictions.</w:t>
      </w:r>
    </w:p>
    <w:p>
      <w:pPr>
        <w:spacing w:after="0" w:line="131"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source of the intellectual property underlying the commercial product.</w:t>
      </w:r>
    </w:p>
    <w:p>
      <w:pPr>
        <w:spacing w:after="0" w:line="19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terms of the agreement, Genentech bears all the costs of developing the anti-tau antibody compound through the clinical phases. In addition, Genentech is responsible for the costs associated with 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Genentech may terminate the agreement at any time by providing three months’ notice to 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Pharmaceuticals</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to develop and commercialize therapeutic anti-tau vaccines for the treatment of AD and potentially other tauopathies. The partnership includes a worldwide exclusive license and research collaboration. We and Janssen will co-develop the lead therapeutic vaccine candidate, ACI-35, through Phase 1b completion. At Phase 2 and onward, Janssen will assume responsibility for the clinical development, manufacturing and commercialization of ACI-35. ACI-35 is an active therapeutic vaccine candidate stimulating the patient’s immune system to produce a polyclonal antibody response against phosphorylated tau protein. The agreement also allows for the collaboration to be expanded to include a second indication based on the same anti-tau vaccine program and intellectual property related to this program.</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received an upfront payment of about CHF 25.9 million and are eligible to receive development, regulatory and commercialization milestone payments potentially totaling up to CHF 500 million for AD and a potential second indication outside of AD. Additionally, we will receive royalties on sales at a percentage rate ranging from the low double digits to mid-teens. We have entered into a three-year joint research collaboration to further characterize and develop novel vaccine therapies for the treatment of tauopathies.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jc w:val="both"/>
        <w:ind w:left="900" w:right="540" w:hanging="325"/>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completion of Phase 1b, commencement of each of Phase 2 and 3 of clinical development. For a second</w:t>
      </w:r>
      <w:r>
        <w:rPr>
          <w:rFonts w:ascii="Arial" w:cs="Arial" w:eastAsia="Arial" w:hAnsi="Arial"/>
          <w:sz w:val="18"/>
          <w:szCs w:val="18"/>
          <w:i w:val="1"/>
          <w:iCs w:val="1"/>
          <w:color w:val="auto"/>
        </w:rPr>
        <w:t xml:space="preserve"> </w:t>
      </w:r>
      <w:r>
        <w:rPr>
          <w:rFonts w:ascii="Arial" w:cs="Arial" w:eastAsia="Arial" w:hAnsi="Arial"/>
          <w:sz w:val="18"/>
          <w:szCs w:val="18"/>
          <w:color w:val="auto"/>
        </w:rPr>
        <w:t>cohort, a milestone payment is payable to us upon commencement of Phase 2 clinical studies. In addition, for a second indication, clinical milestone payments would be payable upon commencement of Phase 3 clinical studies.</w:t>
      </w:r>
    </w:p>
    <w:p>
      <w:pPr>
        <w:spacing w:after="0" w:line="86"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 Also, for a second indication, additional regulatory milestone payments are payable by Janssen to us upon receipt of each of the regulatory approvals in the U.S., Europe and Japan.</w:t>
      </w:r>
    </w:p>
    <w:p>
      <w:pPr>
        <w:spacing w:after="0" w:line="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level of annual sales.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Under the terms of the agreement, Janssen may terminate the agreement at any time after completion of the Phase 1b clinical study by providing 90 days’ notice to us.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Piramal Imaging</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to pathogenic tau for use as a PET tracer.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exclusive, worldwide licensing agreement with Piramal Imaging includes upfront and milestone payments totaling up to €157 million, plus royalties on sales at percentage rates ranging from mid-single digits to low teens.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the commencement of Phase 1, 2 and 3 for the lead indication. We would be entitled to further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payments for the commencement of Phase 2 and 3 for a second indication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Regulatory approval and marketing approval milestones </w:t>
      </w:r>
      <w:r>
        <w:rPr>
          <w:rFonts w:ascii="Arial" w:cs="Arial" w:eastAsia="Arial" w:hAnsi="Arial"/>
          <w:sz w:val="18"/>
          <w:szCs w:val="18"/>
          <w:color w:val="auto"/>
        </w:rPr>
        <w:t>upon filing and approval in each of the U.S. and Europe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Sales milestones </w:t>
      </w:r>
      <w:r>
        <w:rPr>
          <w:rFonts w:ascii="Arial" w:cs="Arial" w:eastAsia="Arial" w:hAnsi="Arial"/>
          <w:sz w:val="18"/>
          <w:szCs w:val="18"/>
          <w:color w:val="auto"/>
        </w:rPr>
        <w:t>tied to specific total sales amounts</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believe the tau tracer will complement Piramal’s already marketed Abeta tracer product Neuraceq and could be commercially available within five years. Piramal Imaging may terminate the agreement at any time after the first eighteen months from the effective date of this agreement by providing three months’ notice to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Health/Banner Alzheimer’s Institute</w:t>
      </w:r>
    </w:p>
    <w:p>
      <w:pPr>
        <w:spacing w:after="0" w:line="11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2013, the NIH and Banner Alzheimer’s Institute selected crenezumab for the first ever AD prevention study before onset of symptoms in highest-risk individuals. This landmark study is being performed on a family clan in Colombia with Paisa mutation leading to Abeta accumulation and early onset AD. The $100 million multi-year study is being funded with grants from the NIH, Banner Alzheimer’s Institute and our partner, Genentech. Interim results from this study are expected to be available in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2015, we were awarded an important grant from the Michael J. Fox Foundation for Parkinson’s Research. The grant is funding the development of a diagnostic imaging agent capable of detecting PD at an early stage. The project focuses on alpha-synuclein PET tracers. We have identified molecules from our Morphomer library that stain selectively alpha-synuclein pathological structures in human PD brain sections. We are optimizing the potency, selectivity and pharmacokinetics of these tracers and expect to select a lead candidate in the first quarter of 2016.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such class is monoclonal antibodies that target Abeta plaques, the same target as for our candidate product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crenezumab. Another target for monoclonal antibodies is tau protein aggregates. Therapeutic vaccines are a second class of disease-modifying therapies, and include our candidate products ACI-24, that targets Abeta plaque, and ACI-35, that targets aggregated tau protein.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87" w:lineRule="exact"/>
        <w:rPr>
          <w:sz w:val="20"/>
          <w:szCs w:val="20"/>
          <w:color w:val="auto"/>
        </w:rPr>
      </w:pPr>
    </w:p>
    <w:p>
      <w:pPr>
        <w:ind w:left="900" w:right="40" w:hanging="325"/>
        <w:spacing w:after="0" w:line="25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If crenezumab is approved, it would compete with other monoclonal antibody products that target Abeta plaques and act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disease-modifying agents. Currently, no product has been approved that is a disease-modifying agent targeting Abeta plaques; however, a number of such product candidates are in clinical development. These include solanezumab, gantenerumab and aducanumab, each of which is in Phase 3 clinical study and which are being advanced by Eli Lilly, Roche and Biogen, respectively. Biogen has a second product candidate known as BAN2401, which is currently in Phase 2 clinical study.</w:t>
      </w:r>
    </w:p>
    <w:p>
      <w:pPr>
        <w:spacing w:after="0" w:line="93" w:lineRule="exact"/>
        <w:rPr>
          <w:rFonts w:ascii="Arial" w:cs="Arial" w:eastAsia="Arial" w:hAnsi="Arial"/>
          <w:sz w:val="18"/>
          <w:szCs w:val="18"/>
          <w:color w:val="auto"/>
        </w:rPr>
      </w:pPr>
    </w:p>
    <w:p>
      <w:pPr>
        <w:ind w:left="900" w:right="100" w:hanging="325"/>
        <w:spacing w:after="0" w:line="302"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ACI-24 in AD: </w:t>
      </w:r>
      <w:r>
        <w:rPr>
          <w:rFonts w:ascii="Arial" w:cs="Arial" w:eastAsia="Arial" w:hAnsi="Arial"/>
          <w:sz w:val="16"/>
          <w:szCs w:val="16"/>
          <w:color w:val="auto"/>
        </w:rPr>
        <w:t>ACI-24, if approved, would compete with other approved anti-Abeta-targeting therapeutic vaccines. Several potential competing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candidates have not continued through the regulatory approval process, including ACC-001 (Janssen / Pfizer) and AN-1792 (Elan / Janssen), both of which were discontinued after completing Phase 2 studies. Other potential competing product candidates for ACI-24 include Affitope-AD-02 (AFFiRiS AG / GlaxoSmithKline) and CAD-106 (Novartis International AG), each of which has completed a Phase 2 study.</w:t>
      </w:r>
    </w:p>
    <w:p>
      <w:pPr>
        <w:spacing w:after="0" w:line="59" w:lineRule="exact"/>
        <w:rPr>
          <w:rFonts w:ascii="Arial" w:cs="Arial" w:eastAsia="Arial" w:hAnsi="Arial"/>
          <w:sz w:val="16"/>
          <w:szCs w:val="16"/>
          <w:color w:val="auto"/>
        </w:rPr>
      </w:pPr>
    </w:p>
    <w:p>
      <w:pPr>
        <w:ind w:left="900" w:right="28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in Down syndrome: </w:t>
      </w:r>
      <w:r>
        <w:rPr>
          <w:rFonts w:ascii="Arial" w:cs="Arial" w:eastAsia="Arial" w:hAnsi="Arial"/>
          <w:sz w:val="18"/>
          <w:szCs w:val="18"/>
          <w:color w:val="auto"/>
        </w:rPr>
        <w:t>ACI-24 is the first disease-modifying vaccine candidate addressing AD in Down syndrome, with a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preventive and therapeutic application. While there are symptomatic treatments of Down syndrome in clinical development, to our knowledge there are no other disease-modifying treatments for AD in Down syndrome.</w:t>
      </w:r>
    </w:p>
    <w:p>
      <w:pPr>
        <w:spacing w:after="0" w:line="86" w:lineRule="exact"/>
        <w:rPr>
          <w:rFonts w:ascii="Arial" w:cs="Arial" w:eastAsia="Arial" w:hAnsi="Arial"/>
          <w:sz w:val="18"/>
          <w:szCs w:val="18"/>
          <w:color w:val="auto"/>
        </w:rPr>
      </w:pPr>
    </w:p>
    <w:p>
      <w:pPr>
        <w:jc w:val="both"/>
        <w:ind w:left="900" w:right="42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ACI-35: </w:t>
      </w:r>
      <w:r>
        <w:rPr>
          <w:rFonts w:ascii="Arial" w:cs="Arial" w:eastAsia="Arial" w:hAnsi="Arial"/>
          <w:sz w:val="18"/>
          <w:szCs w:val="18"/>
          <w:color w:val="auto"/>
        </w:rPr>
        <w:t>ACI-35, if approved, would compete with other approved tau-targeting therapeutic vaccines. This includes AADVAC1, an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vaccine product candidate currently being advanced in the regulatory approval process by Axon Neurosciences. AADVAC1 entered Phase 1 clinical studies in May 2013.</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Antibodies: </w:t>
      </w:r>
      <w:r>
        <w:rPr>
          <w:rFonts w:ascii="Arial" w:cs="Arial" w:eastAsia="Arial" w:hAnsi="Arial"/>
          <w:sz w:val="18"/>
          <w:szCs w:val="18"/>
          <w:color w:val="auto"/>
        </w:rPr>
        <w:t>To our knowledge, there are no competing products currently in clinical development for AD. However, the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monoclonal antibodies BMS-986168 (Bristol-Myers Squibb Company) and ABBV-812E (AbbVie) are currently in Phase 1 clinical development in the orphan indication PSP, a tau protein-based neurodegenerative disease.</w:t>
      </w:r>
    </w:p>
    <w:p>
      <w:pPr>
        <w:spacing w:after="0" w:line="86"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 potential competitor to our anti-tau Morphomers is LMTX. LMTX is a methylene blue derivative that is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by TauRx Therapeutics and is intended to target tau protein aggregation. LMTX entered Phase 3 clinical study in September 2012. No clinical data read-out has been made available.</w:t>
      </w:r>
    </w:p>
    <w:p>
      <w:pPr>
        <w:spacing w:after="0" w:line="86"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Diagnostics: </w:t>
      </w:r>
      <w:r>
        <w:rPr>
          <w:rFonts w:ascii="Arial" w:cs="Arial" w:eastAsia="Arial" w:hAnsi="Arial"/>
          <w:sz w:val="18"/>
          <w:szCs w:val="18"/>
          <w:color w:val="auto"/>
        </w:rPr>
        <w:t>Currently, there are no approved tau PET imaging products. However, should our tau PET imaging agent be approved, it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 with other approved tau-PET agents. These include (i) 18F-AV-1451 (previously T807), which is being advanced by Eli Lilly subsidiary, Avid Radiopharmaceuticals, and is currently in Phase 2 clinical studies that began in December 2013, (ii) THK-5117, is being advanced by GE Healthcare under license from the Tohoku University School of Medicine and is currently in Phase 1/2 studies, (iii) PBB3, a product candidate in Phase 1 studies and being advanced by the National Institute of Radiological Services and (iv) Roche is evaluating internal tau PET imaging ligands in Phase 1 clinical studies in AD patients.</w:t>
      </w:r>
    </w:p>
    <w:p>
      <w:pPr>
        <w:spacing w:after="0" w:line="19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Many of our competitors have significantly greater financial, technical and human resources than we have available. Mergers and acquisitions in the pharmaceutical and biotechnology industries may result in even more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meaning that we would fund the planned Phase 2 and Phase 2/3 studies, respectively, from our 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diagnostic product candidates is granted marketing approval, we intend to focus our initial commercial efforts in the United States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Our Intellectual Property” for additional information.</w:t>
      </w:r>
    </w:p>
    <w:p>
      <w:pPr>
        <w:sectPr>
          <w:pgSz w:w="11900" w:h="16838" w:orient="portrait"/>
          <w:cols w:equalWidth="0" w:num="1">
            <w:col w:w="11400"/>
          </w:cols>
          <w:pgMar w:left="240" w:top="459" w:right="259" w:bottom="1440" w:gutter="0" w:footer="0" w:header="0"/>
        </w:sectPr>
      </w:pPr>
    </w:p>
    <w:p>
      <w:pPr>
        <w:spacing w:after="0" w:line="18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As of , 2015, we owned or co-owned issued U.S. patents and U.S. patent applications and pending foreign patent applications. As of</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both"/>
        <w:ind w:firstLine="282"/>
        <w:spacing w:after="0" w:line="274" w:lineRule="auto"/>
        <w:rPr>
          <w:sz w:val="20"/>
          <w:szCs w:val="20"/>
          <w:color w:val="auto"/>
        </w:rPr>
      </w:pPr>
      <w:r>
        <w:rPr>
          <w:rFonts w:ascii="Arial" w:cs="Arial" w:eastAsia="Arial" w:hAnsi="Arial"/>
          <w:sz w:val="17"/>
          <w:szCs w:val="17"/>
          <w:color w:val="auto"/>
        </w:rPr>
        <w:t>issued patents in other jurisdictions, as well as , 2015, we licensed issued U.S. patents and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both"/>
        <w:ind w:hanging="32"/>
        <w:spacing w:after="0" w:line="291" w:lineRule="auto"/>
        <w:rPr>
          <w:sz w:val="20"/>
          <w:szCs w:val="20"/>
          <w:color w:val="auto"/>
        </w:rPr>
      </w:pPr>
      <w:r>
        <w:rPr>
          <w:rFonts w:ascii="Arial" w:cs="Arial" w:eastAsia="Arial" w:hAnsi="Arial"/>
          <w:sz w:val="16"/>
          <w:szCs w:val="16"/>
          <w:color w:val="auto"/>
        </w:rPr>
        <w:t>pending pending</w:t>
      </w:r>
    </w:p>
    <w:p>
      <w:pPr>
        <w:spacing w:after="0" w:line="1" w:lineRule="exact"/>
        <w:rPr>
          <w:sz w:val="20"/>
          <w:szCs w:val="20"/>
          <w:color w:val="auto"/>
        </w:rPr>
      </w:pPr>
    </w:p>
    <w:p>
      <w:pPr>
        <w:sectPr>
          <w:pgSz w:w="11900" w:h="16838" w:orient="portrait"/>
          <w:cols w:equalWidth="0" w:num="3">
            <w:col w:w="6280" w:space="320"/>
            <w:col w:w="3640" w:space="580"/>
            <w:col w:w="58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U.S. patent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00"/>
          </w:cols>
          <w:pgMar w:left="240" w:top="459" w:right="25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534"/>
        </w:trPr>
        <w:tc>
          <w:tcPr>
            <w:tcW w:w="1980" w:type="dxa"/>
            <w:vAlign w:val="bottom"/>
            <w:gridSpan w:val="2"/>
          </w:tcPr>
          <w:p>
            <w:pPr>
              <w:spacing w:after="0"/>
              <w:rPr>
                <w:sz w:val="20"/>
                <w:szCs w:val="20"/>
                <w:color w:val="auto"/>
              </w:rPr>
            </w:pPr>
            <w:r>
              <w:rPr>
                <w:rFonts w:ascii="Arial" w:cs="Arial" w:eastAsia="Arial" w:hAnsi="Arial"/>
                <w:sz w:val="18"/>
                <w:szCs w:val="18"/>
                <w:color w:val="auto"/>
              </w:rPr>
              <w:t>applications, as well as</w:t>
            </w:r>
          </w:p>
        </w:tc>
        <w:tc>
          <w:tcPr>
            <w:tcW w:w="3480" w:type="dxa"/>
            <w:vAlign w:val="bottom"/>
          </w:tcPr>
          <w:p>
            <w:pPr>
              <w:ind w:left="320"/>
              <w:spacing w:after="0"/>
              <w:rPr>
                <w:sz w:val="20"/>
                <w:szCs w:val="20"/>
                <w:color w:val="auto"/>
              </w:rPr>
            </w:pPr>
            <w:r>
              <w:rPr>
                <w:rFonts w:ascii="Arial" w:cs="Arial" w:eastAsia="Arial" w:hAnsi="Arial"/>
                <w:sz w:val="18"/>
                <w:szCs w:val="18"/>
                <w:color w:val="auto"/>
                <w:w w:val="99"/>
              </w:rPr>
              <w:t>issued patents in other jurisdictions and</w:t>
            </w:r>
          </w:p>
        </w:tc>
        <w:tc>
          <w:tcPr>
            <w:tcW w:w="3480" w:type="dxa"/>
            <w:vAlign w:val="bottom"/>
            <w:gridSpan w:val="2"/>
          </w:tcPr>
          <w:p>
            <w:pPr>
              <w:ind w:left="320"/>
              <w:spacing w:after="0"/>
              <w:rPr>
                <w:sz w:val="20"/>
                <w:szCs w:val="20"/>
                <w:color w:val="auto"/>
              </w:rPr>
            </w:pPr>
            <w:r>
              <w:rPr>
                <w:rFonts w:ascii="Arial" w:cs="Arial" w:eastAsia="Arial" w:hAnsi="Arial"/>
                <w:sz w:val="18"/>
                <w:szCs w:val="18"/>
                <w:color w:val="auto"/>
              </w:rPr>
              <w:t>pending foreign patent applications</w:t>
            </w:r>
          </w:p>
        </w:tc>
      </w:tr>
      <w:tr>
        <w:trPr>
          <w:trHeight w:val="432"/>
        </w:trPr>
        <w:tc>
          <w:tcPr>
            <w:tcW w:w="6300" w:type="dxa"/>
            <w:vAlign w:val="bottom"/>
            <w:gridSpan w:val="4"/>
          </w:tcPr>
          <w:p>
            <w:pPr>
              <w:ind w:left="460"/>
              <w:spacing w:after="0"/>
              <w:rPr>
                <w:sz w:val="20"/>
                <w:szCs w:val="20"/>
                <w:color w:val="auto"/>
              </w:rPr>
            </w:pPr>
            <w:r>
              <w:rPr>
                <w:rFonts w:ascii="Arial" w:cs="Arial" w:eastAsia="Arial" w:hAnsi="Arial"/>
                <w:sz w:val="18"/>
                <w:szCs w:val="18"/>
                <w:color w:val="auto"/>
                <w:w w:val="97"/>
              </w:rPr>
              <w:t>The patent portfolios for our three most advanced product candidates as of</w:t>
            </w:r>
          </w:p>
        </w:tc>
        <w:tc>
          <w:tcPr>
            <w:tcW w:w="2640" w:type="dxa"/>
            <w:vAlign w:val="bottom"/>
          </w:tcPr>
          <w:p>
            <w:pPr>
              <w:ind w:left="480"/>
              <w:spacing w:after="0"/>
              <w:rPr>
                <w:sz w:val="20"/>
                <w:szCs w:val="20"/>
                <w:color w:val="auto"/>
              </w:rPr>
            </w:pPr>
            <w:r>
              <w:rPr>
                <w:rFonts w:ascii="Arial" w:cs="Arial" w:eastAsia="Arial" w:hAnsi="Arial"/>
                <w:sz w:val="18"/>
                <w:szCs w:val="18"/>
                <w:color w:val="auto"/>
                <w:w w:val="88"/>
              </w:rPr>
              <w:t>, 2015 are summarized below.</w:t>
            </w: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patent portfolio for crenezumab includes composition of matter claims (including for the humanized crenezumab monoclonal antibody, a fragment, polynucleotide, and epitope thereof, as well as the cell line used to produce the crenezumab antibody), claims for pharmaceutical compositions comprising crenezumab, claims for treating certain indications using crenezumab including Alzheimer’s disease, and claims for methods of manufacturing crenezumab. Our patent portfolio includes three patent families that are directed to a humanized IgG4 antibody, methods of using such humanized IgG4 antibody for ocular indications, and the murine antibody equivalent.</w:t>
      </w:r>
    </w:p>
    <w:p>
      <w:pPr>
        <w:spacing w:after="0" w:line="188" w:lineRule="exact"/>
        <w:rPr>
          <w:sz w:val="20"/>
          <w:szCs w:val="20"/>
          <w:color w:val="auto"/>
        </w:rPr>
      </w:pPr>
    </w:p>
    <w:p>
      <w:pPr>
        <w:jc w:val="center"/>
        <w:ind w:right="-39"/>
        <w:spacing w:after="0"/>
        <w:tabs>
          <w:tab w:leader="none" w:pos="620" w:val="left"/>
          <w:tab w:leader="none" w:pos="620" w:val="left"/>
        </w:tabs>
        <w:rPr>
          <w:sz w:val="20"/>
          <w:szCs w:val="20"/>
          <w:color w:val="auto"/>
        </w:rPr>
      </w:pPr>
      <w:r>
        <w:rPr>
          <w:rFonts w:ascii="Arial" w:cs="Arial" w:eastAsia="Arial" w:hAnsi="Arial"/>
          <w:sz w:val="18"/>
          <w:szCs w:val="18"/>
          <w:color w:val="auto"/>
        </w:rPr>
        <w:t>Our patent portfolio for crenezumab consists of</w:t>
      </w:r>
      <w:r>
        <w:rPr>
          <w:sz w:val="20"/>
          <w:szCs w:val="20"/>
          <w:color w:val="auto"/>
        </w:rPr>
        <w:tab/>
      </w:r>
      <w:r>
        <w:rPr>
          <w:rFonts w:ascii="Arial" w:cs="Arial" w:eastAsia="Arial" w:hAnsi="Arial"/>
          <w:sz w:val="18"/>
          <w:szCs w:val="18"/>
          <w:color w:val="auto"/>
        </w:rPr>
        <w:t>issued patents and</w:t>
      </w:r>
      <w:r>
        <w:rPr>
          <w:sz w:val="20"/>
          <w:szCs w:val="20"/>
          <w:color w:val="auto"/>
        </w:rPr>
        <w:tab/>
      </w:r>
      <w:r>
        <w:rPr>
          <w:rFonts w:ascii="Arial" w:cs="Arial" w:eastAsia="Arial" w:hAnsi="Arial"/>
          <w:sz w:val="16"/>
          <w:szCs w:val="16"/>
          <w:color w:val="auto"/>
        </w:rPr>
        <w:t>pending patent applications in 35 countries. With respect to the</w:t>
      </w:r>
    </w:p>
    <w:p>
      <w:pPr>
        <w:spacing w:after="0" w:line="23" w:lineRule="exact"/>
        <w:rPr>
          <w:sz w:val="20"/>
          <w:szCs w:val="20"/>
          <w:color w:val="auto"/>
        </w:rPr>
      </w:pPr>
    </w:p>
    <w:p>
      <w:pPr>
        <w:jc w:val="center"/>
        <w:ind w:right="20"/>
        <w:spacing w:after="0"/>
        <w:tabs>
          <w:tab w:leader="none" w:pos="620" w:val="left"/>
          <w:tab w:leader="none" w:pos="620" w:val="left"/>
        </w:tabs>
        <w:rPr>
          <w:sz w:val="20"/>
          <w:szCs w:val="20"/>
          <w:color w:val="auto"/>
        </w:rPr>
      </w:pPr>
      <w:r>
        <w:rPr>
          <w:rFonts w:ascii="Arial" w:cs="Arial" w:eastAsia="Arial" w:hAnsi="Arial"/>
          <w:sz w:val="18"/>
          <w:szCs w:val="18"/>
          <w:color w:val="auto"/>
        </w:rPr>
        <w:t>patent family directed to a humanized IgG4 antibody, we own</w:t>
      </w:r>
      <w:r>
        <w:rPr>
          <w:sz w:val="20"/>
          <w:szCs w:val="20"/>
          <w:color w:val="auto"/>
        </w:rPr>
        <w:tab/>
      </w:r>
      <w:r>
        <w:rPr>
          <w:rFonts w:ascii="Arial" w:cs="Arial" w:eastAsia="Arial" w:hAnsi="Arial"/>
          <w:sz w:val="18"/>
          <w:szCs w:val="18"/>
          <w:color w:val="auto"/>
        </w:rPr>
        <w:t>issued U.S. patents and</w:t>
      </w:r>
      <w:r>
        <w:rPr>
          <w:sz w:val="20"/>
          <w:szCs w:val="20"/>
          <w:color w:val="auto"/>
        </w:rPr>
        <w:tab/>
      </w:r>
      <w:r>
        <w:rPr>
          <w:rFonts w:ascii="Arial" w:cs="Arial" w:eastAsia="Arial" w:hAnsi="Arial"/>
          <w:sz w:val="16"/>
          <w:szCs w:val="16"/>
          <w:color w:val="auto"/>
        </w:rPr>
        <w:t>pending U.S. patent applications. The PCT patent filing</w:t>
      </w:r>
    </w:p>
    <w:p>
      <w:pPr>
        <w:spacing w:after="0" w:line="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date for such humanized IgG4 antibody patent family is July 13, 2007. The issued patents from this patent family, if the appropriate maintenance, renewal, annuity or other governmental fees are paid, are expected to expire in 2027, excluding any additional term for patent term adjustments or patent term extensions.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patent portfolio for ACI-24 includes composition of matter claims (including for the ACI-24 antigenic construct and an ACI-24 vaccine composition), claims for methods of manufacturing ACI-24, claims for treating certain indications using ACI-24 including Alzheimer’s disease, and claims for using ACI-24 to induce an immune response.</w:t>
      </w:r>
    </w:p>
    <w:p>
      <w:pPr>
        <w:sectPr>
          <w:pgSz w:w="11900" w:h="16838" w:orient="portrait"/>
          <w:cols w:equalWidth="0" w:num="1">
            <w:col w:w="11420"/>
          </w:cols>
          <w:pgMar w:left="240" w:top="446" w:right="239" w:bottom="144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own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hanging="483"/>
        <w:spacing w:after="0" w:line="308" w:lineRule="auto"/>
        <w:rPr>
          <w:sz w:val="20"/>
          <w:szCs w:val="20"/>
          <w:color w:val="auto"/>
        </w:rPr>
      </w:pPr>
      <w:r>
        <w:rPr>
          <w:rFonts w:ascii="Arial" w:cs="Arial" w:eastAsia="Arial" w:hAnsi="Arial"/>
          <w:sz w:val="17"/>
          <w:szCs w:val="17"/>
          <w:color w:val="auto"/>
        </w:rPr>
        <w:t>Our patent portfolio for ACI-24 consists of issued U.S. patents and have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left="-39"/>
        <w:spacing w:after="0"/>
        <w:rPr>
          <w:sz w:val="20"/>
          <w:szCs w:val="20"/>
          <w:color w:val="auto"/>
        </w:rPr>
      </w:pPr>
      <w:r>
        <w:rPr>
          <w:rFonts w:ascii="Arial" w:cs="Arial" w:eastAsia="Arial" w:hAnsi="Arial"/>
          <w:sz w:val="18"/>
          <w:szCs w:val="18"/>
          <w:color w:val="auto"/>
        </w:rPr>
        <w:t>issued patents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pending U.S. patent applications.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pending patent applications in 31 countries. With respect to the U.S., we</w:t>
      </w:r>
    </w:p>
    <w:p>
      <w:pPr>
        <w:spacing w:after="0" w:line="464" w:lineRule="exact"/>
        <w:rPr>
          <w:sz w:val="20"/>
          <w:szCs w:val="20"/>
          <w:color w:val="auto"/>
        </w:rPr>
      </w:pPr>
    </w:p>
    <w:p>
      <w:pPr>
        <w:sectPr>
          <w:pgSz w:w="11900" w:h="16838" w:orient="portrait"/>
          <w:cols w:equalWidth="0" w:num="4">
            <w:col w:w="320" w:space="620"/>
            <w:col w:w="2620" w:space="80"/>
            <w:col w:w="2380" w:space="120"/>
            <w:col w:w="5280"/>
          </w:cols>
          <w:pgMar w:left="240" w:top="446" w:right="239" w:bottom="1440" w:gutter="0" w:footer="0" w:header="0"/>
          <w:type w:val="continuous"/>
        </w:sectPr>
      </w:pPr>
    </w:p>
    <w:p>
      <w:pPr>
        <w:ind w:right="120" w:firstLine="456"/>
        <w:spacing w:after="0" w:line="264" w:lineRule="auto"/>
        <w:rPr>
          <w:sz w:val="20"/>
          <w:szCs w:val="20"/>
          <w:color w:val="auto"/>
        </w:rPr>
      </w:pPr>
      <w:r>
        <w:rPr>
          <w:rFonts w:ascii="Arial" w:cs="Arial" w:eastAsia="Arial" w:hAnsi="Arial"/>
          <w:sz w:val="18"/>
          <w:szCs w:val="18"/>
          <w:color w:val="auto"/>
        </w:rPr>
        <w:t>The patents in this patent portfolio have a PCT application filing date of December 8, 2006.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Our patent portfolio for ACI-35 includes composition of matter claims (including for the ACI-35 antigenic peptide and an ACI-35 vaccine composition), claims for treating certain indications using ACI-35 including Alzheimer’s disease, and claims for using ACI-35 to induce an immune response.</w:t>
      </w:r>
    </w:p>
    <w:p>
      <w:pPr>
        <w:sectPr>
          <w:pgSz w:w="11900" w:h="16838" w:orient="portrait"/>
          <w:cols w:equalWidth="0" w:num="1">
            <w:col w:w="11420"/>
          </w:cols>
          <w:pgMar w:left="240" w:top="446" w:right="239" w:bottom="1440" w:gutter="0" w:footer="0" w:header="0"/>
          <w:type w:val="continuous"/>
        </w:sect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own</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right"/>
        <w:spacing w:after="0" w:line="308" w:lineRule="auto"/>
        <w:rPr>
          <w:sz w:val="20"/>
          <w:szCs w:val="20"/>
          <w:color w:val="auto"/>
        </w:rPr>
      </w:pPr>
      <w:r>
        <w:rPr>
          <w:rFonts w:ascii="Arial" w:cs="Arial" w:eastAsia="Arial" w:hAnsi="Arial"/>
          <w:sz w:val="17"/>
          <w:szCs w:val="17"/>
          <w:color w:val="auto"/>
        </w:rPr>
        <w:t>Our patent portfolio for ACI-35 consists of       issued patents and issued U.S. patent and       pending U.S. patent application.</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pending patent applications in 28 countries. With respect to the U.S., we</w:t>
      </w:r>
    </w:p>
    <w:p>
      <w:pPr>
        <w:spacing w:after="0" w:line="464" w:lineRule="exact"/>
        <w:rPr>
          <w:sz w:val="20"/>
          <w:szCs w:val="20"/>
          <w:color w:val="auto"/>
        </w:rPr>
      </w:pPr>
    </w:p>
    <w:p>
      <w:pPr>
        <w:sectPr>
          <w:pgSz w:w="11900" w:h="16838" w:orient="portrait"/>
          <w:cols w:equalWidth="0" w:num="3">
            <w:col w:w="320" w:space="140"/>
            <w:col w:w="5040" w:space="640"/>
            <w:col w:w="5280"/>
          </w:cols>
          <w:pgMar w:left="240" w:top="446" w:right="239" w:bottom="1440" w:gutter="0" w:footer="0" w:header="0"/>
          <w:type w:val="continuous"/>
        </w:sectPr>
      </w:pPr>
    </w:p>
    <w:p>
      <w:pPr>
        <w:ind w:right="80" w:firstLine="456"/>
        <w:spacing w:after="0" w:line="264" w:lineRule="auto"/>
        <w:rPr>
          <w:sz w:val="20"/>
          <w:szCs w:val="20"/>
          <w:color w:val="auto"/>
        </w:rPr>
      </w:pPr>
      <w:r>
        <w:rPr>
          <w:rFonts w:ascii="Arial" w:cs="Arial" w:eastAsia="Arial" w:hAnsi="Arial"/>
          <w:sz w:val="18"/>
          <w:szCs w:val="18"/>
          <w:color w:val="auto"/>
        </w:rPr>
        <w:t>The patents in this patent portfolio have a PCT application filing date of April 1, 2010. The issued patents in this patent portfolio, if the appropriate maintenance, renewal, annuity or other governmental fees are paid, are expected to expire in 2030, excluding any additional term for patent term adjustments or patent term extensions.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46" w:right="23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manufacturing and supply of the clinical study materials are currently done in collaboration with our collaboration partners (</w:t>
      </w:r>
      <w:r>
        <w:rPr>
          <w:rFonts w:ascii="Arial" w:cs="Arial" w:eastAsia="Arial" w:hAnsi="Arial"/>
          <w:sz w:val="18"/>
          <w:szCs w:val="18"/>
          <w:i w:val="1"/>
          <w:iCs w:val="1"/>
          <w:color w:val="auto"/>
        </w:rPr>
        <w:t>e.g.</w:t>
      </w:r>
      <w:r>
        <w:rPr>
          <w:rFonts w:ascii="Arial" w:cs="Arial" w:eastAsia="Arial" w:hAnsi="Arial"/>
          <w:sz w:val="18"/>
          <w:szCs w:val="18"/>
          <w:color w:val="auto"/>
        </w:rPr>
        <w:t>, Genentech in the case of crenezumab and anti-tau antibodies and Piramal Imaging in the case of tau PET imaging) or contract manufacturing organizations (</w:t>
      </w:r>
      <w:r>
        <w:rPr>
          <w:rFonts w:ascii="Arial" w:cs="Arial" w:eastAsia="Arial" w:hAnsi="Arial"/>
          <w:sz w:val="18"/>
          <w:szCs w:val="18"/>
          <w:i w:val="1"/>
          <w:iCs w:val="1"/>
          <w:color w:val="auto"/>
        </w:rPr>
        <w:t>e.g.</w:t>
      </w:r>
      <w:r>
        <w:rPr>
          <w:rFonts w:ascii="Arial" w:cs="Arial" w:eastAsia="Arial" w:hAnsi="Arial"/>
          <w:sz w:val="18"/>
          <w:szCs w:val="18"/>
          <w:color w:val="auto"/>
        </w:rPr>
        <w:t>, for ACI-35 and ACI-24) for the supply of raw materials, drug substances and drug products.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Partners and Contract Manufacturing Organizations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Genentech, a leading biotech company with extensive experience in developing, producing and distributing products worldwide from pre-clinical to commercial stages of development, manufactures and supplies clinical study materials for crenezumab and anti-tau antibodies. Tau-PET imaging compounds are produced in collaboration with Piramal, a well-established Indian company with a strong chemical background supported by an India based contract manufacturing organization.</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ACI-24 and ACI-35 are produced by Bachem AG, an experienced company based in Switzerland. Drug products for the advancement of ACI-24 are manufactured by Polymun, a company based in Austria with significant experience in developing and producing Liposomal formulations, while drug products for the advancement of ACI-35 are produced by Northern Lipids, a company based in Canada with a strong and long experience in the field of liposomal formulation and production.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have established, with each contract manufacturing organization supplying drug substances or drug products, quality agreements and master service agreements. Quality agreements define the quality standards required to develop, produce and supply the product. Quality agreements also define the responsibilities related to the collaboration with regards to the quality related aspects. Master service agreements define the framework</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under which the quality agreements operate.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Interaction with collaboration partners and contract manufacturing organizations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131"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regulatory department has conducted four pre-IND meetings with the FDA (ACI-24 for AD and Down’s syndrome, ACI-91 and tau Imaging) and three Scientific Advice meetings, which are the European equivalent of pre-IND meetings (with German BfArM, Swedish Medical Products Agency and the European Medicines Agency). Since 2008, our regulatory department has filed a total of six clinical study applications in the EU (Germany, Austria, Denmark, Sweden and two in Finland) and one IND in the US. Given the seriousness of AD and public pressure for new therapeutics, we consider regulatory agencies to be important stakeholders in our clinical studies. We are committed to working closely with world regulatory authorities to adhere to and achieve the highest levels of safety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regulatory department contains a quality assurance, or QA, function. As every quality issue ultimately requires regulatory involvement and input, this approach is intended to lead to rapid resolution of issues and ensure full compliance to satisfy both the reviewers and the inspectors at the government health authorities. The mission of our QA function is to establish, maintain and manage the corporate quality management system. Our regulatory department is charged with keeping our entire organization directly or indirectly involved in the clinical study application process in a state of “inspection readiness.” To that end, we ensure that the study master file is complete and regularly updated. Our regulatory department is also tasked with generating our annual quality plan. The personnel tasked with QA have issued a set of approximately 30 standard operating procedures and continuously train the relevant staff. Our QA personnel conduct regular audits, including in-person audits of the contract manufacturers, contract research organizations and laboratories conducting primary end-point analysis. Other supervision by our QA function involves their service procedures standard operating procedures and periodic communication.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60"/>
          </w:cols>
          <w:pgMar w:left="240" w:top="45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117"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77"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Good Laboratory Practice, or GLP, regulations;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application for human clinical testing, which must become effective before human clinical studies commence;</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obtaining a positive opinion from the Ethics Committee (Europe) / Institutional Review Board (United States) to commence study on human subjects;</w:t>
      </w:r>
    </w:p>
    <w:p>
      <w:pPr>
        <w:spacing w:after="0" w:line="75" w:lineRule="exact"/>
        <w:rPr>
          <w:rFonts w:ascii="Arial" w:cs="Arial" w:eastAsia="Arial" w:hAnsi="Arial"/>
          <w:sz w:val="18"/>
          <w:szCs w:val="18"/>
          <w:color w:val="auto"/>
        </w:rPr>
      </w:pPr>
    </w:p>
    <w:p>
      <w:pPr>
        <w:ind w:left="900" w:right="360" w:hanging="446"/>
        <w:spacing w:after="0" w:line="308"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submission to the FDA of a New Drug Application, or NDA;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130"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current Good Manufacturing Practice, or cGMP,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United States; and</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8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Fast Track program is intended to expedite or facilitate the process for reviewing new drugs that meet certain criteria. Specifically, new drugs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7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protocol amendments must be submitted to the FDA as part of the IND. Further, each clinical study must be reviewed and approved by an independent institutional review board, or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 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66"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97" w:lineRule="exact"/>
        <w:rPr>
          <w:sz w:val="20"/>
          <w:szCs w:val="20"/>
          <w:color w:val="auto"/>
        </w:rPr>
      </w:pPr>
    </w:p>
    <w:p>
      <w:pPr>
        <w:ind w:left="1660" w:right="300" w:hanging="1431"/>
        <w:spacing w:after="0" w:line="264" w:lineRule="auto"/>
        <w:tabs>
          <w:tab w:leader="none" w:pos="1640" w:val="left"/>
        </w:tabs>
        <w:rPr>
          <w:sz w:val="20"/>
          <w:szCs w:val="20"/>
          <w:color w:val="auto"/>
        </w:rPr>
      </w:pPr>
      <w:r>
        <w:rPr>
          <w:rFonts w:ascii="Arial" w:cs="Arial" w:eastAsia="Arial" w:hAnsi="Arial"/>
          <w:sz w:val="18"/>
          <w:szCs w:val="18"/>
          <w:color w:val="auto"/>
        </w:rPr>
        <w:t>Phase 1.</w:t>
      </w:r>
      <w:r>
        <w:rPr>
          <w:sz w:val="20"/>
          <w:szCs w:val="20"/>
          <w:color w:val="auto"/>
        </w:rPr>
        <w:tab/>
      </w:r>
      <w:r>
        <w:rPr>
          <w:rFonts w:ascii="Arial" w:cs="Arial" w:eastAsia="Arial" w:hAnsi="Arial"/>
          <w:sz w:val="18"/>
          <w:szCs w:val="18"/>
          <w:color w:val="auto"/>
        </w:rPr>
        <w:t>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73" w:lineRule="exact"/>
        <w:rPr>
          <w:sz w:val="20"/>
          <w:szCs w:val="20"/>
          <w:color w:val="auto"/>
        </w:rPr>
      </w:pPr>
    </w:p>
    <w:p>
      <w:pPr>
        <w:ind w:left="1660" w:right="360" w:hanging="1431"/>
        <w:spacing w:after="0" w:line="264" w:lineRule="auto"/>
        <w:tabs>
          <w:tab w:leader="none" w:pos="1640" w:val="left"/>
        </w:tabs>
        <w:rPr>
          <w:sz w:val="20"/>
          <w:szCs w:val="20"/>
          <w:color w:val="auto"/>
        </w:rPr>
      </w:pPr>
      <w:r>
        <w:rPr>
          <w:rFonts w:ascii="Arial" w:cs="Arial" w:eastAsia="Arial" w:hAnsi="Arial"/>
          <w:sz w:val="18"/>
          <w:szCs w:val="18"/>
          <w:color w:val="auto"/>
        </w:rPr>
        <w:t>Phase 2.</w:t>
      </w:r>
      <w:r>
        <w:rPr>
          <w:sz w:val="20"/>
          <w:szCs w:val="20"/>
          <w:color w:val="auto"/>
        </w:rPr>
        <w:tab/>
      </w:r>
      <w:r>
        <w:rPr>
          <w:rFonts w:ascii="Arial" w:cs="Arial" w:eastAsia="Arial" w:hAnsi="Arial"/>
          <w:sz w:val="18"/>
          <w:szCs w:val="18"/>
          <w:color w:val="auto"/>
        </w:rPr>
        <w:t>Phase 2 clinical studies usually involve studies in a limited patient population to (1) evaluate the efficacy of the product candidate for specific indications, (2) determine dosage tolerance and optimal dosage and (3) identify possible adverse effects and safety risks.</w:t>
      </w:r>
    </w:p>
    <w:p>
      <w:pPr>
        <w:spacing w:after="0" w:line="73" w:lineRule="exact"/>
        <w:rPr>
          <w:sz w:val="20"/>
          <w:szCs w:val="20"/>
          <w:color w:val="auto"/>
        </w:rPr>
      </w:pPr>
    </w:p>
    <w:p>
      <w:pPr>
        <w:ind w:left="1660" w:right="520" w:hanging="1431"/>
        <w:spacing w:after="0" w:line="286" w:lineRule="auto"/>
        <w:tabs>
          <w:tab w:leader="none" w:pos="1640" w:val="left"/>
        </w:tabs>
        <w:rPr>
          <w:sz w:val="20"/>
          <w:szCs w:val="20"/>
          <w:color w:val="auto"/>
        </w:rPr>
      </w:pPr>
      <w:r>
        <w:rPr>
          <w:rFonts w:ascii="Arial" w:cs="Arial" w:eastAsia="Arial" w:hAnsi="Arial"/>
          <w:sz w:val="18"/>
          <w:szCs w:val="18"/>
          <w:color w:val="auto"/>
        </w:rPr>
        <w:t>Phase 3.</w:t>
      </w:r>
      <w:r>
        <w:rPr>
          <w:sz w:val="20"/>
          <w:szCs w:val="20"/>
          <w:color w:val="auto"/>
        </w:rPr>
        <w:tab/>
      </w:r>
      <w:r>
        <w:rPr>
          <w:rFonts w:ascii="Arial" w:cs="Arial" w:eastAsia="Arial" w:hAnsi="Arial"/>
          <w:sz w:val="17"/>
          <w:szCs w:val="17"/>
          <w:color w:val="auto"/>
        </w:rPr>
        <w:t>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66"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studies could result in withdrawal of approval.</w:t>
      </w:r>
    </w:p>
    <w:p>
      <w:pPr>
        <w:spacing w:after="0" w:line="14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7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24"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cost of preparing and submitting an NDA is substantial. Under federal law, NDAs are subject to substantial application user fees and the sponsor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approved NDA is also subject to annual product and establishment user fees. Under the Prescription Drug User Fee Act, or PDUFA, as amended,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NDA must be accompanied by a user fee. The FDA adjusts the PDUFA user fees on an annual basis. According to the FDA’s fee schedule, effective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2015, the user fee for each NDA application requiring clinical data is $2,335,200. PDUFA also imposes an annual product fee for drugs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($110,370), and an annual establishment fee ($569,200) on facilities used to manufacture prescription drugs. Fee waivers or reductions are available in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circumstances, including a waiver of the application fee for the first application filed by a small business. Additionally, no user fees are assessed on NDAs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designated as orphan drugs, unless the product also includes a non-orphan indication.</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 sponsor when requesting a SPA agreement change, are found to be false statements or misstatements, or are found to omit relevant facts. A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78"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Depending upon the timing, duration, and specifics of FDA approval of the use of our drug candidates, some of our U.S. patents may be eligible for limited patent term extension under the Drug Price Competition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specific scope varies, but fundamentally the FDCA provides a five-year period of non-patent marketing exclusivity within the United States to the first applicant to gain approval of an NDA for a new chemical entity never previously approved by the FDA either alone or in combination. For a new chemical entity that was issued orphan drug designation, the FDCA provides marketing exclusivity for the “same drug” and ‘‘same indication’’ for a period of seven years. A drug is a new chemical entity if the FDA has not previously approved any other new drug containing the same active moiety, which is the compound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trials,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trials and adequate and well-controlled clinical trials necessary to demonstrate safety and effectiveness.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17"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Regulatory approval in one country or jurisdiction does not ensure regulatory approval in another, but a failure or delay in obtaining regulatory approval in one country or jurisdiction may negatively impact the regulatory process in others.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Union Drug Review Approval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 in the European Union</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Studies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As is the case in the United States, the various phases of pre-clinical and clinical research in the European Union are subject to significant regulatory controls. The Clinical Trials Directive 2001/20/EC, as amended (and which will be replaced from May 2016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1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8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European Commission which drafts a decision. After consulting with the Member States, the European Commission adopts a decision and grants a marketing authorization, which is valid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for the whole of the European Economic Area, or EEA. The marketing authorization may be subject to certain conditions, which may include, without limitation, the performance of post-authorization safety and/or efficacy studies.</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European Union legislation also provides for a system of regulatory data and market exclusivity. According to Article 14(11) of Regulation (EC)</w:t>
      </w:r>
    </w:p>
    <w:p>
      <w:pPr>
        <w:spacing w:after="0" w:line="2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up to five years’ supplementary protection certification, or SPC, pursuant to Regulation (EC) No. 469/2009. Such SPCs extend the rights under the basic patent for the drug.</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Drug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154" w:lineRule="exact"/>
        <w:rPr>
          <w:sz w:val="20"/>
          <w:szCs w:val="20"/>
          <w:color w:val="auto"/>
        </w:rPr>
      </w:pPr>
    </w:p>
    <w:p>
      <w:pPr>
        <w:ind w:left="900" w:right="80" w:hanging="325"/>
        <w:spacing w:after="0" w:line="279"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7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six years if, at the end of the fifth year, it is established, with respect to the drug concerned, 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83"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Manufacturing and Manufacturers’ License</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Wholesale Distribution and License</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In the European Union, the promotion of prescription medicines is subject to intense regulation and control, including EU and national legislation as well as self-regulatory codes (industry codes). Advertising legislation inter alia includes a prohibition on direct-to-consumer advertising. All prescription medicines advertising must be consistent with the product’s approved summary of products characteristics, and must be factual, accurate,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Regulatory Requirements</w:t>
      </w:r>
    </w:p>
    <w:p>
      <w:pPr>
        <w:spacing w:after="0" w:line="11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an MAH include:</w:t>
      </w:r>
    </w:p>
    <w:p>
      <w:pPr>
        <w:spacing w:after="0" w:line="131" w:lineRule="exact"/>
        <w:rPr>
          <w:sz w:val="20"/>
          <w:szCs w:val="20"/>
          <w:color w:val="auto"/>
        </w:rPr>
      </w:pPr>
    </w:p>
    <w:p>
      <w:pPr>
        <w:ind w:left="900" w:right="60" w:hanging="325"/>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good manufacturing practices, with the product specifications and manufacturing conditions set out in the marketing authorization and that each batch of product is subject to appropriate release formalities.</w:t>
      </w:r>
    </w:p>
    <w:p>
      <w:pPr>
        <w:spacing w:after="0" w:line="86"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Availability and continuous supply</w:t>
      </w:r>
      <w:r>
        <w:rPr>
          <w:rFonts w:ascii="Arial" w:cs="Arial" w:eastAsia="Arial" w:hAnsi="Arial"/>
          <w:sz w:val="18"/>
          <w:szCs w:val="18"/>
          <w:color w:val="auto"/>
        </w:rPr>
        <w:t>—Pursuant to Directive 2001/83/EC, as transposed into the national laws of the Member States, the MAH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medicinal product and the distributors of the said medicinal product actually placed on the market in a Member State shall, within the limits of their responsibilities, ensure appropriate and continued supplies of that medicinal product to pharmacies and persons authorized to supply medicinal products so that the needs of patients in the Member State in question are covered.</w:t>
      </w:r>
    </w:p>
    <w:p>
      <w:pPr>
        <w:spacing w:after="0" w:line="92" w:lineRule="exact"/>
        <w:rPr>
          <w:rFonts w:ascii="Arial" w:cs="Arial" w:eastAsia="Arial" w:hAnsi="Arial"/>
          <w:sz w:val="18"/>
          <w:szCs w:val="18"/>
          <w:color w:val="auto"/>
        </w:rPr>
      </w:pPr>
    </w:p>
    <w:p>
      <w:pPr>
        <w:ind w:left="900" w:right="440" w:hanging="325"/>
        <w:spacing w:after="0" w:line="342"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submit safety reports to the regulators and comply with the good pharmacovigilance practice guidelines adopted by the EMA.</w:t>
      </w:r>
    </w:p>
    <w:p>
      <w:pPr>
        <w:spacing w:after="0" w:line="29"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its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its medicinal products to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regulators and patients. Legal representation and distributor issues. MAHs are responsible for regulatory actions or inactions of their distributors and agents.</w:t>
      </w:r>
    </w:p>
    <w:p>
      <w:pPr>
        <w:spacing w:after="0" w:line="86" w:lineRule="exact"/>
        <w:rPr>
          <w:rFonts w:ascii="Arial" w:cs="Arial" w:eastAsia="Arial" w:hAnsi="Arial"/>
          <w:sz w:val="18"/>
          <w:szCs w:val="18"/>
          <w:color w:val="auto"/>
        </w:rPr>
      </w:pPr>
    </w:p>
    <w:p>
      <w:pPr>
        <w:ind w:left="900" w:right="200" w:hanging="325"/>
        <w:spacing w:after="0" w:line="297"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Preparation, filing and maintenance of the application and subsequent marketing authorization</w:t>
      </w:r>
      <w:r>
        <w:rPr>
          <w:rFonts w:ascii="Arial" w:cs="Arial" w:eastAsia="Arial" w:hAnsi="Arial"/>
          <w:sz w:val="16"/>
          <w:szCs w:val="16"/>
          <w:color w:val="auto"/>
        </w:rPr>
        <w:t>— MAHs must maintain appropriate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Price and Reimbursement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8"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8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640" w:firstLine="456"/>
        <w:spacing w:after="0" w:line="312" w:lineRule="auto"/>
        <w:rPr>
          <w:sz w:val="20"/>
          <w:szCs w:val="20"/>
          <w:color w:val="auto"/>
        </w:rPr>
      </w:pPr>
      <w:r>
        <w:rPr>
          <w:rFonts w:ascii="Arial" w:cs="Arial" w:eastAsia="Arial" w:hAnsi="Arial"/>
          <w:sz w:val="16"/>
          <w:szCs w:val="16"/>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54"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the 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delivery system. Any proposed or actual changes could limit or eliminate our spending on development projects and affect our ultimate profitability.</w:t>
      </w:r>
    </w:p>
    <w:p>
      <w:pPr>
        <w:spacing w:after="0" w:line="23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March 2010, PPACA was signed into law. PPACA has the potential to substantially change the way healthcare is financed by both governmental and private insurers. PPACA,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8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June 30, 2015, we employed 54 employees, 10 of whom were part-time employees. 28 of our employees hold Ph.D. degrees and 10 hold M.Sc. degrees. Our 54 employees are from over 20 countries. We have never had a work stoppage, and none of our employees is represented by a labor organization or under any collective-bargaining arrangements. We consider our employee relations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lease approximately 10,700 square feet of space at the Innovation Park of the EPFL (École Polytechnique Fédérale Lausanne), Switzerland. This property serves as our corporate headquarters, our research facility and laboratories. We believe that using the EPFL facilities instead of building our own infrastructure helps us to maximize the value of our research and development capital and make efficient use of our funds as we continue to build and develop our pipeline. We believe that our existing facility is sufficient to meet our current needs and that suitable additional space is available as and when needed in the future on commercially reasonable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Board of Directors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following table presents information about our executive officers, other key employees and directors, including their ages, as of August 25, 2015. The term of each of our directors is one year and, accordingly, will expire one year from the date of our 2015 annual shareholder meeting held on April 14,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980" w:type="dxa"/>
            <w:vAlign w:val="bottom"/>
            <w:vMerge w:val="restart"/>
          </w:tcPr>
          <w:p>
            <w:pPr>
              <w:spacing w:after="0"/>
              <w:rPr>
                <w:sz w:val="14"/>
                <w:szCs w:val="14"/>
                <w:color w:val="auto"/>
              </w:rPr>
            </w:pPr>
          </w:p>
        </w:tc>
        <w:tc>
          <w:tcPr>
            <w:tcW w:w="1260" w:type="dxa"/>
            <w:vAlign w:val="bottom"/>
            <w:vMerge w:val="restart"/>
          </w:tcPr>
          <w:p>
            <w:pPr>
              <w:spacing w:after="0"/>
              <w:rPr>
                <w:sz w:val="14"/>
                <w:szCs w:val="14"/>
                <w:color w:val="auto"/>
              </w:rPr>
            </w:pPr>
          </w:p>
        </w:tc>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Initial Year of</w:t>
            </w:r>
          </w:p>
        </w:tc>
        <w:tc>
          <w:tcPr>
            <w:tcW w:w="0" w:type="dxa"/>
            <w:vAlign w:val="bottom"/>
          </w:tcPr>
          <w:p>
            <w:pPr>
              <w:spacing w:after="0"/>
              <w:rPr>
                <w:sz w:val="1"/>
                <w:szCs w:val="1"/>
                <w:color w:val="auto"/>
              </w:rPr>
            </w:pPr>
          </w:p>
        </w:tc>
      </w:tr>
      <w:tr>
        <w:trPr>
          <w:trHeight w:val="185"/>
        </w:trPr>
        <w:tc>
          <w:tcPr>
            <w:tcW w:w="380" w:type="dxa"/>
            <w:vAlign w:val="bottom"/>
            <w:vMerge w:val="continue"/>
          </w:tcPr>
          <w:p>
            <w:pPr>
              <w:spacing w:after="0"/>
              <w:rPr>
                <w:sz w:val="16"/>
                <w:szCs w:val="16"/>
                <w:color w:val="auto"/>
              </w:rPr>
            </w:pPr>
          </w:p>
        </w:tc>
        <w:tc>
          <w:tcPr>
            <w:tcW w:w="29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506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Appointment</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Andrea Pfeifer, Ph.D.</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Chief Executive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57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Andreas Muhs, Ph.D.</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George Pavey, CFA</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2"/>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Jean-Fabien Monin</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Chief Administrative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0"/>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Other Key Employees</w:t>
            </w: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Wolfgang Barth, Ph.D.</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Director of Development</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2"/>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David A. Lowe, Ph.D.</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Deputy 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20"/>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Martin Velasco</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Chairman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Hans-Beat Gürtler</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Detlev Riesner, Ph.D.</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74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30"/>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Mathias Hothum, Ph.D.</w:t>
            </w:r>
          </w:p>
        </w:tc>
        <w:tc>
          <w:tcPr>
            <w:tcW w:w="6320" w:type="dxa"/>
            <w:vAlign w:val="bottom"/>
            <w:gridSpan w:val="3"/>
          </w:tcPr>
          <w:p>
            <w:pPr>
              <w:ind w:left="1260"/>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and directors is AC Immune SA, EPFL Innovation Park, Building B, 1015 Lausanne, Switzerland.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Andrea Pfeifer, Ph.D., Co-Founder and Chief Executive Officer: </w:t>
      </w:r>
      <w:r>
        <w:rPr>
          <w:rFonts w:ascii="Arial" w:cs="Arial" w:eastAsia="Arial" w:hAnsi="Arial"/>
          <w:sz w:val="17"/>
          <w:szCs w:val="17"/>
          <w:color w:val="auto"/>
        </w:rPr>
        <w:t>Dr. Pfeifer co-founded AC Immune in April 2003. Prior to founding us, Dr. Pfeifer</w:t>
      </w:r>
      <w:r>
        <w:rPr>
          <w:rFonts w:ascii="Arial" w:cs="Arial" w:eastAsia="Arial" w:hAnsi="Arial"/>
          <w:sz w:val="17"/>
          <w:szCs w:val="17"/>
          <w:b w:val="1"/>
          <w:bCs w:val="1"/>
          <w:color w:val="auto"/>
        </w:rPr>
        <w:t xml:space="preserve"> </w:t>
      </w:r>
      <w:r>
        <w:rPr>
          <w:rFonts w:ascii="Arial" w:cs="Arial" w:eastAsia="Arial" w:hAnsi="Arial"/>
          <w:sz w:val="17"/>
          <w:szCs w:val="17"/>
          <w:color w:val="auto"/>
        </w:rPr>
        <w:t>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 Dr. Pfeifer is a member of the CEOi Initiative on Alzheimer’s Disease.</w:t>
      </w:r>
    </w:p>
    <w:p>
      <w:pPr>
        <w:spacing w:after="0" w:line="17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Ecole Polytechnique Fédérale de Lausanne (EPFL).</w:t>
      </w:r>
    </w:p>
    <w:p>
      <w:pPr>
        <w:spacing w:after="0" w:line="1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Andreas Muhs, Ph.D., Chief Scientific Officer: </w:t>
      </w:r>
      <w:r>
        <w:rPr>
          <w:rFonts w:ascii="Arial" w:cs="Arial" w:eastAsia="Arial" w:hAnsi="Arial"/>
          <w:sz w:val="18"/>
          <w:szCs w:val="18"/>
          <w:color w:val="auto"/>
        </w:rPr>
        <w:t>Dr. Muhs has served as our Chief Scientific Officer since 2005. Prior to joining AC Immune in 2005,</w:t>
      </w:r>
      <w:r>
        <w:rPr>
          <w:rFonts w:ascii="Arial" w:cs="Arial" w:eastAsia="Arial" w:hAnsi="Arial"/>
          <w:sz w:val="18"/>
          <w:szCs w:val="18"/>
          <w:b w:val="1"/>
          <w:bCs w:val="1"/>
          <w:color w:val="auto"/>
        </w:rPr>
        <w:t xml:space="preserve"> </w:t>
      </w:r>
      <w:r>
        <w:rPr>
          <w:rFonts w:ascii="Arial" w:cs="Arial" w:eastAsia="Arial" w:hAnsi="Arial"/>
          <w:sz w:val="18"/>
          <w:szCs w:val="18"/>
          <w:color w:val="auto"/>
        </w:rPr>
        <w:t>he was responsible for the development of the cardiac stem cell-based program to treat myocardial infarction, including worldwide pre-clinical program collaborations and technology transfers at ViaCell Inc., Cambridge, MA. Prior to ViaCell Inc., he was the Director of Pharmacology and Histology at Cardion AG where he developed research projects with translation into clinical applications in the fields of heart and circulation, angiogenesis and immunology and based on gene-, protein- and stem cell therapies. Dr. Muhs holds a Ph.D. in Biology from the University Düsseldorf, Germany, where he worked on regulation of endothelial barrier functions.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George Pavey, CFA, Chief Financial Officer: </w:t>
      </w:r>
      <w:r>
        <w:rPr>
          <w:rFonts w:ascii="Arial" w:cs="Arial" w:eastAsia="Arial" w:hAnsi="Arial"/>
          <w:sz w:val="18"/>
          <w:szCs w:val="18"/>
          <w:color w:val="auto"/>
        </w:rPr>
        <w:t>Mr. Pavey has served as our Chief Financial Officer since July 2015. Before joining AC Immune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Mr. Pavey was an independent financial advisor to a broad range of private and public companies from June 2013 to July 2015. Between 1991 and 2012, Mr. Pavey was an investment banker at various financial institutions including Credit Suisse, UBS and HSBC. His most recent role at Credit Suisse was that of Co-Head of the Global Markets Solutions Group for Asia-Pacific at Credit Suisse where he was responsible for Credit Suisse’s equity and debt capital markets businesses and structured products business across Asia-Pacific. He has a degree in Bachelor of Arts from the Richard Ivey School of Business, Canada. He is also a Chartered Financial Analyst.</w:t>
      </w:r>
    </w:p>
    <w:p>
      <w:pPr>
        <w:spacing w:after="0" w:line="18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w:t>
      </w:r>
    </w:p>
    <w:p>
      <w:pPr>
        <w:spacing w:after="0" w:line="117"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Wolfgang Barth, Ph.D., Director of Development: </w:t>
      </w:r>
      <w:r>
        <w:rPr>
          <w:rFonts w:ascii="Arial" w:cs="Arial" w:eastAsia="Arial" w:hAnsi="Arial"/>
          <w:sz w:val="18"/>
          <w:szCs w:val="18"/>
          <w:color w:val="auto"/>
        </w:rPr>
        <w:t>Dr. Barth has served as our Director of Development since June 2010. Prior to joining AC</w:t>
      </w:r>
      <w:r>
        <w:rPr>
          <w:rFonts w:ascii="Arial" w:cs="Arial" w:eastAsia="Arial" w:hAnsi="Arial"/>
          <w:sz w:val="18"/>
          <w:szCs w:val="18"/>
          <w:b w:val="1"/>
          <w:bCs w:val="1"/>
          <w:color w:val="auto"/>
        </w:rPr>
        <w:t xml:space="preserve"> </w:t>
      </w:r>
      <w:r>
        <w:rPr>
          <w:rFonts w:ascii="Arial" w:cs="Arial" w:eastAsia="Arial" w:hAnsi="Arial"/>
          <w:sz w:val="18"/>
          <w:szCs w:val="18"/>
          <w:color w:val="auto"/>
        </w:rPr>
        <w:t>Immune, he was the Head of Development at TRIN-Pharma. Previous to TRIN-Pharma, Dr. Barth was at Bayer Healthcare, where he was the responsible project leader of numerous preclinical and clinical development projects. The most important project was the development of the PDE5 inhibitor Levitra which he led from the start of preclinical development until market launch. Wolfgang Barth holds a Ph.D. in Chemistry from the University of Marburg and received a NATO stipend for a postdoctoral staff position at the Ohio State University.</w:t>
      </w:r>
    </w:p>
    <w:p>
      <w:pPr>
        <w:spacing w:after="0" w:line="184"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 xml:space="preserve">David A. Lowe, Ph.D., Deputy Chief Scientific Officer: </w:t>
      </w:r>
      <w:r>
        <w:rPr>
          <w:rFonts w:ascii="Arial" w:cs="Arial" w:eastAsia="Arial" w:hAnsi="Arial"/>
          <w:sz w:val="17"/>
          <w:szCs w:val="17"/>
          <w:color w:val="auto"/>
        </w:rPr>
        <w:t>Dr. Lowe has served as our Deputy Chief Scientific Officer since January 2014 and leads our</w:t>
      </w:r>
      <w:r>
        <w:rPr>
          <w:rFonts w:ascii="Arial" w:cs="Arial" w:eastAsia="Arial" w:hAnsi="Arial"/>
          <w:sz w:val="17"/>
          <w:szCs w:val="17"/>
          <w:b w:val="1"/>
          <w:bCs w:val="1"/>
          <w:color w:val="auto"/>
        </w:rPr>
        <w:t xml:space="preserve"> </w:t>
      </w:r>
      <w:r>
        <w:rPr>
          <w:rFonts w:ascii="Arial" w:cs="Arial" w:eastAsia="Arial" w:hAnsi="Arial"/>
          <w:sz w:val="17"/>
          <w:szCs w:val="17"/>
          <w:color w:val="auto"/>
        </w:rPr>
        <w:t>Parkinson’s Disease Therapeutics and Imaging programs. Previously, Dr. Lowe was the Chief Scientific Officer at PsychoGenics Inc., Chief Scientific Officer at Memory Pharmaceuticals (acquired by Roche), Executive Vice President and Chief Scientific Officer at Fidelity Biosciences Group in Boston, president, CEO and director of Envivo Pharmaceuticals (now Forum Pharmaceuticals), Vice President and therapeutic area head at Roche Bioscience in Palo Alto, Vice President and global therapeutic area head at Bayer AG, and head of CNS Biology and deputy head of CNS Research at Sandoz Ltd (now Novartis). He received his Ph.D. in Neurobiology from the University of Leeds, UK.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11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color w:val="auto"/>
        </w:rPr>
        <w:t xml:space="preserve">Martin Velasco, Chairman and Director: </w:t>
      </w:r>
      <w:r>
        <w:rPr>
          <w:rFonts w:ascii="Arial" w:cs="Arial" w:eastAsia="Arial" w:hAnsi="Arial"/>
          <w:sz w:val="16"/>
          <w:szCs w:val="16"/>
          <w:color w:val="auto"/>
        </w:rPr>
        <w:t>Mr. Velasco has served on our board of directors since December 2003. Martin Velasco is an entrepreneur</w:t>
      </w:r>
      <w:r>
        <w:rPr>
          <w:rFonts w:ascii="Arial" w:cs="Arial" w:eastAsia="Arial" w:hAnsi="Arial"/>
          <w:sz w:val="16"/>
          <w:szCs w:val="16"/>
          <w:b w:val="1"/>
          <w:bCs w:val="1"/>
          <w:color w:val="auto"/>
        </w:rPr>
        <w:t xml:space="preserve"> </w:t>
      </w:r>
      <w:r>
        <w:rPr>
          <w:rFonts w:ascii="Arial" w:cs="Arial" w:eastAsia="Arial" w:hAnsi="Arial"/>
          <w:sz w:val="16"/>
          <w:szCs w:val="16"/>
          <w:color w:val="auto"/>
        </w:rPr>
        <w:t>and Business Angel with extensive experience in the IT, medical and biotech areas. He serves on the board of directors or advisory board of several other high-tech companies including: as Founder, Chairman and Chief Executive Officer of Anecova, an assisted reproductive technology (ART) company and World Economic Forum Technology Pioneer 2008, as Founder and Chairman of Sumerian, an Analytics company transforming Big Data into business focused IT intelligence, as Chairman of the Supervisory Board of Cocomore, a digital communications agency and IT services firm, as Board Member of Aridhia, a Health Informatics company, and as Board Member of Aleva Neurotherapeutics, a Deep Brain Stimulation (DBS) company. Martin is also the Founder and Chairman of Infantia Foundation, a philanthropic organization aiding children in the developing world. He is a member of the Board of BlueOrchard, the leading private microfinance investment advisory company, member of the Strategic Advisory Board of the EPFL, Vice President of the Board of the Foundation EPFL</w:t>
      </w:r>
      <w:r>
        <w:rPr>
          <w:rFonts w:ascii="Arial" w:cs="Arial" w:eastAsia="Arial" w:hAnsi="Arial"/>
          <w:sz w:val="16"/>
          <w:szCs w:val="16"/>
          <w:b w:val="1"/>
          <w:bCs w:val="1"/>
          <w:color w:val="auto"/>
        </w:rPr>
        <w:t>+</w:t>
      </w:r>
      <w:r>
        <w:rPr>
          <w:rFonts w:ascii="Arial" w:cs="Arial" w:eastAsia="Arial" w:hAnsi="Arial"/>
          <w:sz w:val="16"/>
          <w:szCs w:val="16"/>
          <w:color w:val="auto"/>
        </w:rPr>
        <w:t xml:space="preserve"> and Vice Chairman of the European Tech Tour Association.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60" w:firstLine="456"/>
        <w:spacing w:after="0" w:line="303" w:lineRule="auto"/>
        <w:rPr>
          <w:sz w:val="20"/>
          <w:szCs w:val="20"/>
          <w:color w:val="auto"/>
        </w:rPr>
      </w:pPr>
      <w:r>
        <w:rPr>
          <w:rFonts w:ascii="Arial" w:cs="Arial" w:eastAsia="Arial" w:hAnsi="Arial"/>
          <w:sz w:val="16"/>
          <w:szCs w:val="16"/>
          <w:b w:val="1"/>
          <w:bCs w:val="1"/>
          <w:color w:val="auto"/>
        </w:rPr>
        <w:t xml:space="preserve">Hans-Beat Gürtler, Director: </w:t>
      </w:r>
      <w:r>
        <w:rPr>
          <w:rFonts w:ascii="Arial" w:cs="Arial" w:eastAsia="Arial" w:hAnsi="Arial"/>
          <w:sz w:val="16"/>
          <w:szCs w:val="16"/>
          <w:color w:val="auto"/>
        </w:rPr>
        <w:t>Mr. Gürtler has served on our board of directors since August 2003. Mr. Gürtler brings extensive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finance experience from more than 30 years in Ciba-Geigy and Novartis’ agricultural and animal health businesses, both in Switzerland and abroad. Until 2002, he was CEO of Novartis’ Animal Health business. Mr. Gürtler also has extensive experience in Merger and Acquisitions and serves as Board Member in various companies, among them publicly traded Basilea Pharmaceutica (Switzerland) and Implenia (Switzerland).</w:t>
      </w:r>
    </w:p>
    <w:p>
      <w:pPr>
        <w:spacing w:after="0" w:line="151"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Detlev Riesner, Ph.D., Director: </w:t>
      </w:r>
      <w:r>
        <w:rPr>
          <w:rFonts w:ascii="Arial" w:cs="Arial" w:eastAsia="Arial" w:hAnsi="Arial"/>
          <w:sz w:val="18"/>
          <w:szCs w:val="18"/>
          <w:color w:val="auto"/>
        </w:rPr>
        <w:t>Dr. Riesner has served on our board of directors since January 2004. He has held the Chair of Biophysics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Heinrich-Heine-University in Düsseldorf, Germany since 1980 and is Director of Technology at the University of Düsseldorf. He received his Ph.D. from the University of Braunschweig, Germany.</w:t>
      </w:r>
    </w:p>
    <w:p>
      <w:pPr>
        <w:spacing w:after="0" w:line="176"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 xml:space="preserve">Mathias Hothum, Ph.D., Director: </w:t>
      </w:r>
      <w:r>
        <w:rPr>
          <w:rFonts w:ascii="Arial" w:cs="Arial" w:eastAsia="Arial" w:hAnsi="Arial"/>
          <w:sz w:val="18"/>
          <w:szCs w:val="18"/>
          <w:color w:val="auto"/>
        </w:rPr>
        <w:t>Dr. Hothum has served on our board of directors since April 2013. He is managing director of Dievini, a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investment fund. He holds a Ph.D. in Economics from the University of Magdeburg, Germany.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 After This Offering</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board of directors is composed of four members. Each director is elected for a one-year term. The current members of our board of directors were appointed at a shareholders’ meeting held on April 14, 2015 to serve until their successors are duly elected and qualified.</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be a foreign private issuer. As a result, in accordance with the NASDAQ stock exchange listing requirements, we will rely on home country governance requirements and certain exemptions thereunder rather than relying on the stock exchange corporate governance requirements. For an overview of our corporate governance principles, see “Description of Share Capital and Articles of Association.”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a foreign private issuer, under the listing requirements and rules of NASDAQ, we are not required to have independent directors on our board of directors, except to the extent that our audit committee is required to consistent of independent requirements, subject to certain phase-in schedules. However, our board of directors has determined that, under current listing requirements and rules of NASDAQ (which we are not subject to) and taking account any</w:t>
      </w:r>
    </w:p>
    <w:p>
      <w:pPr>
        <w:ind w:right="80"/>
        <w:spacing w:after="0" w:line="277" w:lineRule="auto"/>
        <w:rPr>
          <w:sz w:val="20"/>
          <w:szCs w:val="20"/>
          <w:color w:val="auto"/>
        </w:rPr>
      </w:pPr>
      <w:r>
        <w:rPr>
          <w:rFonts w:ascii="Arial" w:cs="Arial" w:eastAsia="Arial" w:hAnsi="Arial"/>
          <w:sz w:val="17"/>
          <w:szCs w:val="17"/>
          <w:color w:val="auto"/>
        </w:rPr>
        <w:t>applicable committee independence standards, , and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Our board of directors will establish two separate committees prior to the consummation of this offering: an audit committee and a compensation, nominations and governance committee.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460"/>
        <w:spacing w:after="0"/>
        <w:tabs>
          <w:tab w:leader="none" w:pos="4820" w:val="left"/>
          <w:tab w:leader="none" w:pos="5500" w:val="left"/>
          <w:tab w:leader="none" w:pos="6340" w:val="left"/>
        </w:tabs>
        <w:rPr>
          <w:sz w:val="20"/>
          <w:szCs w:val="20"/>
          <w:color w:val="auto"/>
        </w:rPr>
      </w:pPr>
      <w:r>
        <w:rPr>
          <w:rFonts w:ascii="Arial" w:cs="Arial" w:eastAsia="Arial" w:hAnsi="Arial"/>
          <w:sz w:val="18"/>
          <w:szCs w:val="18"/>
          <w:color w:val="auto"/>
        </w:rPr>
        <w:t>The audit committee, which is expected to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will assist our board of directors in overseeing our accounting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financial reporting processes and the audits of our financial statements. In addition, the audit committee will be directly responsible for the appointment,</w:t>
      </w:r>
    </w:p>
    <w:p>
      <w:pPr>
        <w:spacing w:after="0" w:line="39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compensation, retention and oversight of the work of our independent registered public accounting firm. will serve as Chairman of the committee. The audit committee will consist exclusively of members of our supervisory board who are financially literate, and is considered an “audit committee financial expert” as defined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by the SEC. Our board of directors has determined that and that upon the consummation of this offering</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right="300" w:firstLine="543"/>
        <w:spacing w:after="0" w:line="277" w:lineRule="auto"/>
        <w:rPr>
          <w:sz w:val="20"/>
          <w:szCs w:val="20"/>
          <w:color w:val="auto"/>
        </w:rPr>
      </w:pPr>
      <w:r>
        <w:rPr>
          <w:rFonts w:ascii="Arial" w:cs="Arial" w:eastAsia="Arial" w:hAnsi="Arial"/>
          <w:sz w:val="18"/>
          <w:szCs w:val="18"/>
          <w:color w:val="auto"/>
        </w:rPr>
        <w:t>satisfies the “independence” requirements set forth in Rule 10A-3 under the Exchange Act will satisfy such “independence” requirements.</w:t>
      </w:r>
    </w:p>
    <w:p>
      <w:pPr>
        <w:spacing w:after="0" w:line="170" w:lineRule="exact"/>
        <w:rPr>
          <w:sz w:val="20"/>
          <w:szCs w:val="20"/>
          <w:color w:val="auto"/>
        </w:rPr>
      </w:pPr>
    </w:p>
    <w:p>
      <w:pPr>
        <w:sectPr>
          <w:pgSz w:w="11900" w:h="16838" w:orient="portrait"/>
          <w:cols w:equalWidth="0" w:num="2">
            <w:col w:w="3980" w:space="80"/>
            <w:col w:w="7360"/>
          </w:cols>
          <w:pgMar w:left="240" w:top="459" w:right="239" w:bottom="1440" w:gutter="0" w:footer="0" w:header="0"/>
          <w:type w:val="continuous"/>
        </w:sectPr>
      </w:pPr>
    </w:p>
    <w:p>
      <w:pPr>
        <w:ind w:right="180" w:firstLine="456"/>
        <w:spacing w:after="0" w:line="277" w:lineRule="auto"/>
        <w:rPr>
          <w:sz w:val="20"/>
          <w:szCs w:val="20"/>
          <w:color w:val="auto"/>
        </w:rPr>
      </w:pPr>
      <w:r>
        <w:rPr>
          <w:rFonts w:ascii="Arial" w:cs="Arial" w:eastAsia="Arial" w:hAnsi="Arial"/>
          <w:sz w:val="18"/>
          <w:szCs w:val="18"/>
          <w:color w:val="auto"/>
        </w:rPr>
        <w:t>The audit committee will be governed by a charter that complies with NASDAQ rules. Upon the completion of this offering, the audit committee will be responsible for, among other things:</w:t>
      </w:r>
    </w:p>
    <w:p>
      <w:pPr>
        <w:spacing w:after="0" w:line="76" w:lineRule="exact"/>
        <w:rPr>
          <w:sz w:val="20"/>
          <w:szCs w:val="20"/>
          <w:color w:val="auto"/>
        </w:rPr>
      </w:pPr>
    </w:p>
    <w:p>
      <w:pPr>
        <w:ind w:left="900" w:right="40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appointment, compensation, retention and oversight of any auditor or accounting firm engaged for the purpose of preparing or issuing an audit report or performing other audit, review or attest services;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 its responsibilities under generally accepted auditing standards, the planned scope and timing of the independent auditor’s annual audit plan(s) and significant findings from the audit;</w:t>
      </w:r>
    </w:p>
    <w:p>
      <w:pPr>
        <w:spacing w:after="0" w:line="75"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obtaining and reviewing a report from the independent auditor describing all relationships between the independent auditor and the Company consistent with the applicable PCAOB requirements regarding the independent auditor’s communications with the audit committee concerning independence;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confirming and evaluating the rotation of the audit partners on the audit engagement team as required by law;</w:t>
      </w:r>
    </w:p>
    <w:p>
      <w:pPr>
        <w:spacing w:after="0" w:line="13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with management and the independent auditor, in separate meetings whenever the audit committee deems appropriate, any analyses or other written communications prepared by management and/or the independent auditor setting forth significant financial reporting issues and judgments made in connection with the preparation of the financial statements, including analyses of the effects of alternative IFRS methods on the financial statements, and other of our critical accounting policies and practices;</w:t>
      </w:r>
    </w:p>
    <w:p>
      <w:pPr>
        <w:spacing w:after="0" w:line="92"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in conjunction with our Chief Executive Officer and Chief Financial Officer, our disclosure controls and procedures and internal control over financial reporting;</w:t>
      </w:r>
    </w:p>
    <w:p>
      <w:pPr>
        <w:spacing w:after="0" w:line="75"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our accounting, internal accounting controls or auditing matters, and the confidential, anonymous submission by our employees of concerns regarding questionable accounting or auditing matters; and</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approving or ratifying any related person transaction (as defined in our related person transaction policy) in accordance with our related person transaction policy.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will meet as often as it determines is appropriate to carry out its responsibilities, but in any event will meet at least four times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Nominations and Governance Committee</w:t>
      </w:r>
    </w:p>
    <w:p>
      <w:pPr>
        <w:spacing w:after="0" w:line="117" w:lineRule="exact"/>
        <w:rPr>
          <w:sz w:val="20"/>
          <w:szCs w:val="20"/>
          <w:color w:val="auto"/>
        </w:rPr>
      </w:pPr>
    </w:p>
    <w:p>
      <w:pPr>
        <w:ind w:left="460"/>
        <w:spacing w:after="0"/>
        <w:tabs>
          <w:tab w:leader="none" w:pos="7620" w:val="left"/>
          <w:tab w:leader="none" w:pos="8300" w:val="left"/>
          <w:tab w:leader="none" w:pos="9140" w:val="left"/>
        </w:tabs>
        <w:rPr>
          <w:sz w:val="20"/>
          <w:szCs w:val="20"/>
          <w:color w:val="auto"/>
        </w:rPr>
      </w:pPr>
      <w:r>
        <w:rPr>
          <w:rFonts w:ascii="Arial" w:cs="Arial" w:eastAsia="Arial" w:hAnsi="Arial"/>
          <w:sz w:val="17"/>
          <w:szCs w:val="17"/>
          <w:color w:val="auto"/>
        </w:rPr>
        <w:t>The compensation, nominations and governance committee, which is expected to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will assist our board of</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directors in overseeing our cash compensation and equity award recommendations for our executive officers along with the rationale for such recommendations, as well as summary information regarding the aggregate compensation provided to our executive officers. Swiss law requires that we adopt a compensation committee, so in accordance with NASDAQ Listing Rule 5615(a)(3), we will follow home country requirements with respect to the compensation, nominations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Rule). This means that the compensation of our board of directors and Executive Officers must be presented by the board of directors to our shareholders and our shareholders must vote on the proposed compensation.</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addition, this committee will also be responsible for director and board committee nominations as well as reviewing and amending, if required, our corporate governance framework and guidelines.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connection with this offering, we will adopt a Code of Business Conduct and Ethics, or the Code of Conduct that is applicable to all of our employees, executive officers and directors. Following the completion of this offering, the Code of Conduct will be available on our website www.acimmune.com. The audit committee of our board of directors will be responsible for overseeing the Code of Conduct and will be required to approve any waivers of the Code of Conduct for employees, executive officers and directors. We expect that any amendments to the Code of Conduct, or any waivers of its requirements, will be disclosed on our website.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For the year ended December 31, 2014, the aggregate compensation accrued or paid to the members of our board of directors and our executive officers for services in all capacities was CHF 1,637,000.</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During the year ended December 31, 2014, the total payment made to directors and executive officers under performance incentive plans was CHF 511,000.</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or executive officers amounted to a total of CHF 96,000 in the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Following the completion of this offering, we intend to cease issuing new grants under our existing equity incentive plans, which we refer to as the Prior Plans, and to adopt a new omnibus equity incentive plan under which we would have the discretion to grant a broad range of equity-based awards to eligible participants.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Plans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Since our inception in 2003, we have had four separate Prior Plans: Plan A, which was established in 2003/2004 and amended in June 2015; Plan B, which was established in 2005; Plan C1, which was established in 2006; and Plan C2, which was also established in 2006 but which is intended specifically for members of our board of directors to purchase our common shares. Due to a change in the taxation of options in 2013, we introduced a new Equity Incentive Plan in 2013. Upon consummation of an initial public offering or by a decision of our board of directors, the vesting period for all options granted to employees, management and members of our board will be accelerated with all unvested options issued prior to July 2014 vesting immediately. As at June 30, 2015, there were 1,686 and 13,790 common shares underlying outstanding unvested options and vested options granted pursuant to our Prior Plans, respectively.</w:t>
      </w:r>
    </w:p>
    <w:p>
      <w:pPr>
        <w:spacing w:after="0" w:line="189" w:lineRule="exact"/>
        <w:rPr>
          <w:sz w:val="20"/>
          <w:szCs w:val="20"/>
          <w:color w:val="auto"/>
        </w:rPr>
      </w:pPr>
    </w:p>
    <w:p>
      <w:pPr>
        <w:jc w:val="both"/>
        <w:ind w:right="200" w:firstLine="456"/>
        <w:spacing w:after="0" w:line="34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Under each of the Prior Plans, an option, which can only be granted with the approval of our board of directors, is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agreement signed by the participant to indicate his or her acceptance of the option subject to the terms and conditions of the applicable Prior Plan.</w:t>
      </w:r>
    </w:p>
    <w:p>
      <w:pPr>
        <w:spacing w:after="0" w:line="124"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Under Plans A, B and C1, options were granted to our directors, employees, advisors and agents. Under Plan C2, options were granted only</w:t>
      </w:r>
      <w:r>
        <w:rPr>
          <w:rFonts w:ascii="Arial" w:cs="Arial" w:eastAsia="Arial" w:hAnsi="Arial"/>
          <w:sz w:val="16"/>
          <w:szCs w:val="16"/>
          <w:i w:val="1"/>
          <w:iCs w:val="1"/>
          <w:color w:val="auto"/>
        </w:rPr>
        <w:t xml:space="preserve"> </w:t>
      </w:r>
      <w:r>
        <w:rPr>
          <w:rFonts w:ascii="Arial" w:cs="Arial" w:eastAsia="Arial" w:hAnsi="Arial"/>
          <w:sz w:val="16"/>
          <w:szCs w:val="16"/>
          <w:color w:val="auto"/>
        </w:rPr>
        <w:t>to selected members of our board of directors. Under the Equity Incentive Plan 2013, options were granted to our director, employees, advisors and agents.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i w:val="1"/>
          <w:iCs w:val="1"/>
          <w:color w:val="auto"/>
        </w:rPr>
        <w:t>Option Exercise Price</w:t>
      </w:r>
      <w:r>
        <w:rPr>
          <w:rFonts w:ascii="Arial" w:cs="Arial" w:eastAsia="Arial" w:hAnsi="Arial"/>
          <w:sz w:val="16"/>
          <w:szCs w:val="16"/>
          <w:color w:val="auto"/>
        </w:rPr>
        <w:t>. With the exception of Plan A, the exercise price of all options issued under the Prior Plans is CHF 36.37. The original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for options issued under Plan A was CHF 232.965. However, this exercise price was amended in June 2015 with the approval of our board of directors to be CHF 36.37. As a result, as at June 30, 2015, all options outstanding under our Prior Plans have an exercise price of CHF 36.37.</w:t>
      </w:r>
    </w:p>
    <w:p>
      <w:pPr>
        <w:spacing w:after="0" w:line="147" w:lineRule="exact"/>
        <w:rPr>
          <w:sz w:val="20"/>
          <w:szCs w:val="20"/>
          <w:color w:val="auto"/>
        </w:rPr>
      </w:pPr>
    </w:p>
    <w:p>
      <w:pPr>
        <w:jc w:val="both"/>
        <w:ind w:right="440" w:firstLine="456"/>
        <w:spacing w:after="0" w:line="279" w:lineRule="auto"/>
        <w:rPr>
          <w:sz w:val="20"/>
          <w:szCs w:val="20"/>
          <w:color w:val="auto"/>
        </w:rPr>
      </w:pPr>
      <w:r>
        <w:rPr>
          <w:rFonts w:ascii="Arial" w:cs="Arial" w:eastAsia="Arial" w:hAnsi="Arial"/>
          <w:sz w:val="17"/>
          <w:szCs w:val="17"/>
          <w:i w:val="1"/>
          <w:iCs w:val="1"/>
          <w:color w:val="auto"/>
        </w:rPr>
        <w:t>Vesting Period</w:t>
      </w:r>
      <w:r>
        <w:rPr>
          <w:rFonts w:ascii="Arial" w:cs="Arial" w:eastAsia="Arial" w:hAnsi="Arial"/>
          <w:sz w:val="17"/>
          <w:szCs w:val="17"/>
          <w:color w:val="auto"/>
        </w:rPr>
        <w:t>. The vesting periods of options issued under our Prior Plans vary. The options granted under Plan A vested immediately but were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four year lockup period. The options granted under Plan B vested over a four year period with 25% of these options vested after one year of service and thereafter, 6.25% of the options granted vesting each quarter. Under Plan C1, the vesting period for options was four years with 25% of the options vesting each year. Under Plan C2, options were immediately exercisable.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Consideration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Since the beginning of the last fiscal year ended December 31, 2014, we granted our executive officers, in the aggregate, the right to acquire 500 shares at a price of CHF 2,000 per share for a period of two months after the commencement of employment with us. At our sole discretion, we are permitted to repurchase such shares over a one year period as follows:</w:t>
      </w:r>
    </w:p>
    <w:p>
      <w:pPr>
        <w:spacing w:after="0" w:line="87"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500 shares prior to October 15,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375 shares prior to January 15, 2016;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250 shares prior to April 15, 2016;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125 shares prior to July 15, 2017.</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The purchase price at which we are allowed to acquire the shares, at our sole discretion, is the original purchase price of CHF 2,000 per share, plus 0.25% per month starting on July 15, 2016. Our right to repurchase the shares will lapse on the first day of trading of our shares.</w:t>
      </w:r>
    </w:p>
    <w:p>
      <w:pPr>
        <w:spacing w:after="0" w:line="14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Additionally, since the beginning of the last fiscal year ended December 31, 2014, we have granted our executive officers, in the aggregate, the right to acquire 787 shares at a price of CHF 36.37 per share. Contingent upon continued employment and approval of our Board of Directors, such options will vest as follows:</w:t>
      </w:r>
    </w:p>
    <w:p>
      <w:pPr>
        <w:spacing w:after="0" w:line="87"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180 shares which became purchasable on July 1, 2015, on a monthly basis over a 24-month period;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394 shares which will become purchasable on July 1, 2016, on a monthly basis over a 48-month period; and</w:t>
      </w:r>
    </w:p>
    <w:p>
      <w:pPr>
        <w:spacing w:after="0" w:line="130" w:lineRule="exact"/>
        <w:rPr>
          <w:rFonts w:ascii="Arial" w:cs="Arial" w:eastAsia="Arial" w:hAnsi="Arial"/>
          <w:sz w:val="18"/>
          <w:szCs w:val="18"/>
          <w:color w:val="auto"/>
        </w:rPr>
      </w:pPr>
    </w:p>
    <w:p>
      <w:pPr>
        <w:ind w:left="5580" w:right="2420" w:hanging="5005"/>
        <w:spacing w:after="0" w:line="44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213 shares which will become purchasable starting on July 1, 2017, on a monthly basis over a 48-month period. 139</w:t>
      </w:r>
    </w:p>
    <w:p>
      <w:pPr>
        <w:sectPr>
          <w:pgSz w:w="11900" w:h="16838" w:orient="portrait"/>
          <w:cols w:equalWidth="0" w:num="1">
            <w:col w:w="11380"/>
          </w:cols>
          <w:pgMar w:left="240" w:top="459" w:right="27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85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9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160" w:type="dxa"/>
            <w:vAlign w:val="bottom"/>
          </w:tcPr>
          <w:p>
            <w:pPr>
              <w:ind w:left="3080"/>
              <w:spacing w:after="0"/>
              <w:rPr>
                <w:sz w:val="20"/>
                <w:szCs w:val="20"/>
                <w:color w:val="auto"/>
              </w:rPr>
            </w:pPr>
            <w:r>
              <w:rPr>
                <w:rFonts w:ascii="Arial" w:cs="Arial" w:eastAsia="Arial" w:hAnsi="Arial"/>
                <w:sz w:val="18"/>
                <w:szCs w:val="18"/>
                <w:b w:val="1"/>
                <w:bCs w:val="1"/>
                <w:color w:val="auto"/>
              </w:rPr>
              <w:t>PRINCIPAL SHAREHOLDERS</w:t>
            </w:r>
          </w:p>
        </w:tc>
        <w:tc>
          <w:tcPr>
            <w:tcW w:w="2900" w:type="dxa"/>
            <w:vAlign w:val="bottom"/>
          </w:tcPr>
          <w:p>
            <w:pPr>
              <w:spacing w:after="0"/>
              <w:rPr>
                <w:sz w:val="24"/>
                <w:szCs w:val="24"/>
                <w:color w:val="auto"/>
              </w:rPr>
            </w:pPr>
          </w:p>
        </w:tc>
      </w:tr>
      <w:tr>
        <w:trPr>
          <w:trHeight w:val="41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7"/>
              </w:rPr>
              <w:t>The following table presents information relating to the beneficial ownership of our common shares as of</w:t>
            </w:r>
          </w:p>
        </w:tc>
        <w:tc>
          <w:tcPr>
            <w:tcW w:w="2900" w:type="dxa"/>
            <w:vAlign w:val="bottom"/>
          </w:tcPr>
          <w:p>
            <w:pPr>
              <w:ind w:left="480"/>
              <w:spacing w:after="0"/>
              <w:rPr>
                <w:sz w:val="20"/>
                <w:szCs w:val="20"/>
                <w:color w:val="auto"/>
              </w:rPr>
            </w:pPr>
            <w:r>
              <w:rPr>
                <w:rFonts w:ascii="Arial" w:cs="Arial" w:eastAsia="Arial" w:hAnsi="Arial"/>
                <w:sz w:val="18"/>
                <w:szCs w:val="18"/>
                <w:color w:val="auto"/>
                <w:w w:val="90"/>
              </w:rPr>
              <w:t>, 2015, as if the conversion of our</w:t>
            </w: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preferred shares into common shares on a one-for-one basis had occurred, by:</w:t>
            </w:r>
          </w:p>
        </w:tc>
        <w:tc>
          <w:tcPr>
            <w:tcW w:w="290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w:t>
      </w:r>
    </w:p>
    <w:p>
      <w:pPr>
        <w:ind w:right="240"/>
        <w:spacing w:after="0" w:line="255" w:lineRule="auto"/>
        <w:rPr>
          <w:sz w:val="20"/>
          <w:szCs w:val="20"/>
          <w:color w:val="auto"/>
        </w:rPr>
      </w:pPr>
      <w:r>
        <w:rPr>
          <w:rFonts w:ascii="Arial" w:cs="Arial" w:eastAsia="Arial" w:hAnsi="Arial"/>
          <w:sz w:val="18"/>
          <w:szCs w:val="18"/>
          <w:color w:val="auto"/>
        </w:rPr>
        <w:t>to acquire within 60 days of , 2015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90" w:lineRule="exact"/>
        <w:rPr>
          <w:sz w:val="20"/>
          <w:szCs w:val="20"/>
          <w:color w:val="auto"/>
        </w:rPr>
      </w:pPr>
    </w:p>
    <w:p>
      <w:pPr>
        <w:ind w:left="460"/>
        <w:spacing w:after="0"/>
        <w:tabs>
          <w:tab w:leader="none" w:pos="6400" w:val="left"/>
          <w:tab w:leader="none" w:pos="9740" w:val="left"/>
        </w:tabs>
        <w:rPr>
          <w:sz w:val="20"/>
          <w:szCs w:val="20"/>
          <w:color w:val="auto"/>
        </w:rPr>
      </w:pPr>
      <w:r>
        <w:rPr>
          <w:rFonts w:ascii="Arial" w:cs="Arial" w:eastAsia="Arial" w:hAnsi="Arial"/>
          <w:sz w:val="18"/>
          <w:szCs w:val="18"/>
          <w:color w:val="auto"/>
        </w:rPr>
        <w:t>The percentage of outstanding common shares is computed on the basis of</w:t>
      </w:r>
      <w:r>
        <w:rPr>
          <w:sz w:val="20"/>
          <w:szCs w:val="20"/>
          <w:color w:val="auto"/>
        </w:rPr>
        <w:tab/>
      </w:r>
      <w:r>
        <w:rPr>
          <w:rFonts w:ascii="Arial" w:cs="Arial" w:eastAsia="Arial" w:hAnsi="Arial"/>
          <w:sz w:val="18"/>
          <w:szCs w:val="18"/>
          <w:color w:val="auto"/>
        </w:rPr>
        <w:t>common shares outstanding as of</w:t>
      </w:r>
      <w:r>
        <w:rPr>
          <w:sz w:val="20"/>
          <w:szCs w:val="20"/>
          <w:color w:val="auto"/>
        </w:rPr>
        <w:tab/>
      </w:r>
      <w:r>
        <w:rPr>
          <w:rFonts w:ascii="Arial" w:cs="Arial" w:eastAsia="Arial" w:hAnsi="Arial"/>
          <w:sz w:val="15"/>
          <w:szCs w:val="15"/>
          <w:color w:val="auto"/>
        </w:rPr>
        <w:t>, 2015, based on the</w:t>
      </w:r>
    </w:p>
    <w:p>
      <w:pPr>
        <w:spacing w:after="0" w:line="23" w:lineRule="exact"/>
        <w:rPr>
          <w:sz w:val="20"/>
          <w:szCs w:val="20"/>
          <w:color w:val="auto"/>
        </w:rPr>
      </w:pPr>
    </w:p>
    <w:p>
      <w:pPr>
        <w:spacing w:after="0"/>
        <w:tabs>
          <w:tab w:leader="none" w:pos="11220" w:val="left"/>
        </w:tabs>
        <w:rPr>
          <w:sz w:val="20"/>
          <w:szCs w:val="20"/>
          <w:color w:val="auto"/>
        </w:rPr>
      </w:pPr>
      <w:r>
        <w:rPr>
          <w:rFonts w:ascii="Arial" w:cs="Arial" w:eastAsia="Arial" w:hAnsi="Arial"/>
          <w:sz w:val="17"/>
          <w:szCs w:val="17"/>
          <w:color w:val="auto"/>
        </w:rPr>
        <w:t>midpoint of the price range stated on the front cover of this prospectus. Common shares that a person has the right to acquire within 60 days of</w:t>
      </w:r>
      <w:r>
        <w:rPr>
          <w:sz w:val="20"/>
          <w:szCs w:val="20"/>
          <w:color w:val="auto"/>
        </w:rPr>
        <w:tab/>
      </w:r>
      <w:r>
        <w:rPr>
          <w:rFonts w:ascii="Arial" w:cs="Arial" w:eastAsia="Arial" w:hAnsi="Arial"/>
          <w:sz w:val="14"/>
          <w:szCs w:val="14"/>
          <w:color w:val="auto"/>
        </w:rPr>
        <w:t>,</w:t>
      </w:r>
    </w:p>
    <w:p>
      <w:pPr>
        <w:spacing w:after="0" w:line="2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2015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Lausanne. As at</w:t>
      </w:r>
    </w:p>
    <w:p>
      <w:pPr>
        <w:spacing w:after="0" w:line="2" w:lineRule="exact"/>
        <w:rPr>
          <w:sz w:val="20"/>
          <w:szCs w:val="20"/>
          <w:color w:val="auto"/>
        </w:rPr>
      </w:pPr>
    </w:p>
    <w:p>
      <w:pPr>
        <w:spacing w:after="0"/>
        <w:tabs>
          <w:tab w:leader="none" w:pos="2080" w:val="left"/>
          <w:tab w:leader="none" w:pos="5940" w:val="left"/>
        </w:tabs>
        <w:rPr>
          <w:sz w:val="20"/>
          <w:szCs w:val="20"/>
          <w:color w:val="auto"/>
        </w:rPr>
      </w:pPr>
      <w:r>
        <w:rPr>
          <w:rFonts w:ascii="Arial" w:cs="Arial" w:eastAsia="Arial" w:hAnsi="Arial"/>
          <w:sz w:val="18"/>
          <w:szCs w:val="18"/>
          <w:color w:val="auto"/>
        </w:rPr>
        <w:t>June 30, 2015, a total of</w:t>
      </w:r>
      <w:r>
        <w:rPr>
          <w:sz w:val="20"/>
          <w:szCs w:val="20"/>
          <w:color w:val="auto"/>
        </w:rPr>
        <w:tab/>
      </w:r>
      <w:r>
        <w:rPr>
          <w:rFonts w:ascii="Arial" w:cs="Arial" w:eastAsia="Arial" w:hAnsi="Arial"/>
          <w:sz w:val="18"/>
          <w:szCs w:val="18"/>
          <w:color w:val="auto"/>
        </w:rPr>
        <w:t>of our common shares were held by a total of</w:t>
      </w:r>
      <w:r>
        <w:rPr>
          <w:sz w:val="20"/>
          <w:szCs w:val="20"/>
          <w:color w:val="auto"/>
        </w:rPr>
        <w:tab/>
      </w:r>
      <w:r>
        <w:rPr>
          <w:rFonts w:ascii="Arial" w:cs="Arial" w:eastAsia="Arial" w:hAnsi="Arial"/>
          <w:sz w:val="16"/>
          <w:szCs w:val="16"/>
          <w:color w:val="auto"/>
        </w:rPr>
        <w:t>U.S. record holders.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percentage of common shares beneficially owned before this offering is computed on the basis of common shares issued and outstanding as of</w:t>
      </w:r>
    </w:p>
    <w:p>
      <w:pPr>
        <w:spacing w:after="0" w:line="46" w:lineRule="exact"/>
        <w:rPr>
          <w:sz w:val="20"/>
          <w:szCs w:val="20"/>
          <w:color w:val="auto"/>
        </w:rPr>
      </w:pPr>
    </w:p>
    <w:p>
      <w:pPr>
        <w:ind w:right="580" w:firstLine="900"/>
        <w:spacing w:after="0" w:line="261" w:lineRule="auto"/>
        <w:rPr>
          <w:sz w:val="20"/>
          <w:szCs w:val="20"/>
          <w:color w:val="auto"/>
        </w:rPr>
      </w:pPr>
      <w:r>
        <w:rPr>
          <w:rFonts w:ascii="Arial" w:cs="Arial" w:eastAsia="Arial" w:hAnsi="Arial"/>
          <w:sz w:val="18"/>
          <w:szCs w:val="18"/>
          <w:color w:val="auto"/>
        </w:rPr>
        <w:t>, 2015. The percentage of common shares beneficially owned after this offering is based on common shares that will be issued and outstanding upon the completion of this offering.</w:t>
      </w:r>
    </w:p>
    <w:p>
      <w:pPr>
        <w:sectPr>
          <w:pgSz w:w="11900" w:h="16838" w:orient="portrait"/>
          <w:cols w:equalWidth="0" w:num="1">
            <w:col w:w="11420"/>
          </w:cols>
          <w:pgMar w:left="240" w:top="4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Shareholder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Shareholders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dievini Hopp BioTech holding GmbH &amp;</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 KG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Varuma AG</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and Directors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Andrea Pfeifer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Andreas Muhs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George Pavey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Jean-Fabien Monin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Martin Velasco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Mathias Hothum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Hans-Beat Gürtler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Detlev Riesner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All executive officers and directors as a group (8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171"/>
        </w:trPr>
        <w:tc>
          <w:tcPr>
            <w:tcW w:w="1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Shares Beneficially Owned</w:t>
            </w: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Shares Beneficially Owned</w:t>
            </w: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49"/>
        </w:trPr>
        <w:tc>
          <w:tcPr>
            <w:tcW w:w="17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Before This Offering</w:t>
            </w:r>
          </w:p>
        </w:tc>
        <w:tc>
          <w:tcPr>
            <w:tcW w:w="1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After This Offering</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Assuming Full Exercise</w:t>
            </w:r>
          </w:p>
        </w:tc>
        <w:tc>
          <w:tcPr>
            <w:tcW w:w="0" w:type="dxa"/>
            <w:vAlign w:val="bottom"/>
          </w:tcPr>
          <w:p>
            <w:pPr>
              <w:spacing w:after="0"/>
              <w:rPr>
                <w:sz w:val="1"/>
                <w:szCs w:val="1"/>
                <w:color w:val="auto"/>
              </w:rPr>
            </w:pPr>
          </w:p>
        </w:tc>
      </w:tr>
      <w:tr>
        <w:trPr>
          <w:trHeight w:val="27"/>
        </w:trPr>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6"/>
              </w:rPr>
              <w:t>of Underwriter’s Over-</w:t>
            </w:r>
          </w:p>
        </w:tc>
        <w:tc>
          <w:tcPr>
            <w:tcW w:w="0" w:type="dxa"/>
            <w:vAlign w:val="bottom"/>
          </w:tcPr>
          <w:p>
            <w:pPr>
              <w:spacing w:after="0"/>
              <w:rPr>
                <w:sz w:val="1"/>
                <w:szCs w:val="1"/>
                <w:color w:val="auto"/>
              </w:rPr>
            </w:pPr>
          </w:p>
        </w:tc>
      </w:tr>
      <w:tr>
        <w:trPr>
          <w:trHeight w:val="79"/>
        </w:trPr>
        <w:tc>
          <w:tcPr>
            <w:tcW w:w="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6"/>
                <w:szCs w:val="6"/>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100" w:type="dxa"/>
            <w:vAlign w:val="bottom"/>
            <w:vMerge w:val="restart"/>
          </w:tcPr>
          <w:p>
            <w:pPr>
              <w:spacing w:after="0"/>
              <w:rPr>
                <w:sz w:val="6"/>
                <w:szCs w:val="6"/>
                <w:color w:val="auto"/>
              </w:rPr>
            </w:pPr>
          </w:p>
        </w:tc>
        <w:tc>
          <w:tcPr>
            <w:tcW w:w="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6"/>
                <w:szCs w:val="6"/>
                <w:color w:val="auto"/>
              </w:rPr>
            </w:pPr>
          </w:p>
        </w:tc>
        <w:tc>
          <w:tcPr>
            <w:tcW w:w="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Allotment Option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-4096385</wp:posOffset>
            </wp:positionH>
            <wp:positionV relativeFrom="paragraph">
              <wp:posOffset>-8255</wp:posOffset>
            </wp:positionV>
            <wp:extent cx="7246620"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377190</wp:posOffset>
            </wp:positionV>
            <wp:extent cx="724662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702945</wp:posOffset>
            </wp:positionV>
            <wp:extent cx="724662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960755</wp:posOffset>
            </wp:positionV>
            <wp:extent cx="7246620"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1217930</wp:posOffset>
            </wp:positionV>
            <wp:extent cx="7246620"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1475105</wp:posOffset>
            </wp:positionV>
            <wp:extent cx="7246620"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1732280</wp:posOffset>
            </wp:positionV>
            <wp:extent cx="7246620"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083" w:lineRule="exact"/>
        <w:rPr>
          <w:sz w:val="20"/>
          <w:szCs w:val="20"/>
          <w:color w:val="auto"/>
        </w:rPr>
      </w:pPr>
    </w:p>
    <w:p>
      <w:pPr>
        <w:sectPr>
          <w:pgSz w:w="11900" w:h="16838" w:orient="portrait"/>
          <w:cols w:equalWidth="0" w:num="2">
            <w:col w:w="5740" w:space="720"/>
            <w:col w:w="4960"/>
          </w:cols>
          <w:pgMar w:left="240" w:top="446" w:right="239" w:bottom="1440" w:gutter="0" w:footer="0" w:header="0"/>
          <w:type w:val="continuous"/>
        </w:sectPr>
      </w:pPr>
    </w:p>
    <w:p>
      <w:pPr>
        <w:spacing w:after="0" w:line="27" w:lineRule="exact"/>
        <w:rPr>
          <w:sz w:val="20"/>
          <w:szCs w:val="20"/>
          <w:color w:val="auto"/>
        </w:rPr>
      </w:pPr>
    </w:p>
    <w:p>
      <w:pPr>
        <w:ind w:left="120" w:hanging="112"/>
        <w:spacing w:after="0"/>
        <w:tabs>
          <w:tab w:leader="none" w:pos="1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issued and outstanding common shares.</w:t>
      </w:r>
    </w:p>
    <w:p>
      <w:pPr>
        <w:spacing w:after="0" w:line="185"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8"/>
          <w:szCs w:val="18"/>
          <w:color w:val="auto"/>
        </w:rPr>
        <w:t>140</w:t>
      </w:r>
    </w:p>
    <w:p>
      <w:pPr>
        <w:sectPr>
          <w:pgSz w:w="11900" w:h="16838" w:orient="portrait"/>
          <w:cols w:equalWidth="0" w:num="1">
            <w:col w:w="11420"/>
          </w:cols>
          <w:pgMar w:left="240" w:top="446" w:right="239" w:bottom="1440" w:gutter="0" w:footer="0" w:header="0"/>
          <w:type w:val="continuous"/>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2012 with any of our executive officers, directors and holders of more than 10% of any class of our voting securities, or any member of the immediate family of any of the foregoing persons, other than the compensation arrangements we describe under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Series D Preferred Shares Financing</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October 2013, we agreed to the terms of our Series D preferred share financing with certain of our existing shareholders, including dievini Hopp BioTech holding GmbH &amp; Co GK, Varuma AG, Dr. Riesner and Dr. Andrea Pfeifer. These shareholders agreed to subscribe to a CHF 20 million capital increase with an understanding that the capital increase would be executed via two separate tranches on the same terms. Subsequently, we offered our shareholders the option to subscribe for 16,490 Preferred Series D Shares for CHF 1,212.90 each (in two tranches), and all shares were subscribed by current shareholders. On December 10, 2013, we entered into agreement with our shareholders and investors pursuant to which we agreed to issue 8,245 Series D preferred shares in exchange for a contribution of CHF 10 million as a first tranche and an additional 8,245 Series D preferred shares in exchange for a contribution of CHF 10 million. The 8,245 Series D shares of the first tranche were issued on January 7, 2014 for CHF 10 million and the 8,245 Series D shares of the second tranche were issued on July 7, 2014 for CHF 10 million.</w:t>
      </w:r>
    </w:p>
    <w:p>
      <w:pPr>
        <w:spacing w:after="0" w:line="17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sets forth the number of our Series D preferred shares purchased by our executive officers, directors and certain related parties and their affiliates: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18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w w:val="90"/>
              </w:rPr>
              <w:t>Series D Preferred Shares</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Series D Preferred Shares 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9,466</w:t>
            </w:r>
          </w:p>
        </w:tc>
        <w:tc>
          <w:tcPr>
            <w:tcW w:w="16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Varuma AG</w:t>
            </w:r>
          </w:p>
        </w:tc>
        <w:tc>
          <w:tcPr>
            <w:tcW w:w="3180" w:type="dxa"/>
            <w:vAlign w:val="bottom"/>
            <w:gridSpan w:val="2"/>
          </w:tcPr>
          <w:p>
            <w:pPr>
              <w:jc w:val="right"/>
              <w:ind w:right="1600"/>
              <w:spacing w:after="0"/>
              <w:rPr>
                <w:sz w:val="20"/>
                <w:szCs w:val="20"/>
                <w:color w:val="auto"/>
              </w:rPr>
            </w:pPr>
            <w:r>
              <w:rPr>
                <w:rFonts w:ascii="Arial" w:cs="Arial" w:eastAsia="Arial" w:hAnsi="Arial"/>
                <w:sz w:val="18"/>
                <w:szCs w:val="18"/>
                <w:color w:val="auto"/>
              </w:rPr>
              <w:t>5,734</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Dr. Andrea Pfeifer</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Dr. Riesner(1)</w:t>
            </w:r>
          </w:p>
        </w:tc>
        <w:tc>
          <w:tcPr>
            <w:tcW w:w="3180" w:type="dxa"/>
            <w:vAlign w:val="bottom"/>
            <w:gridSpan w:val="2"/>
          </w:tcPr>
          <w:p>
            <w:pPr>
              <w:jc w:val="right"/>
              <w:ind w:right="1600"/>
              <w:spacing w:after="0"/>
              <w:rPr>
                <w:sz w:val="20"/>
                <w:szCs w:val="20"/>
                <w:color w:val="auto"/>
              </w:rPr>
            </w:pPr>
            <w:r>
              <w:rPr>
                <w:rFonts w:ascii="Arial" w:cs="Arial" w:eastAsia="Arial" w:hAnsi="Arial"/>
                <w:sz w:val="18"/>
                <w:szCs w:val="18"/>
                <w:color w:val="auto"/>
              </w:rPr>
              <w:t>232</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60" w:type="dxa"/>
            <w:vAlign w:val="bottom"/>
          </w:tcPr>
          <w:p>
            <w:pPr>
              <w:spacing w:after="0"/>
              <w:rPr>
                <w:sz w:val="6"/>
                <w:szCs w:val="6"/>
                <w:color w:val="auto"/>
              </w:rPr>
            </w:pPr>
          </w:p>
        </w:tc>
        <w:tc>
          <w:tcPr>
            <w:tcW w:w="1580" w:type="dxa"/>
            <w:vAlign w:val="bottom"/>
            <w:tcBorders>
              <w:top w:val="single" w:sz="8" w:color="auto"/>
            </w:tcBorders>
          </w:tcPr>
          <w:p>
            <w:pPr>
              <w:spacing w:after="0"/>
              <w:rPr>
                <w:sz w:val="6"/>
                <w:szCs w:val="6"/>
                <w:color w:val="auto"/>
              </w:rPr>
            </w:pPr>
          </w:p>
        </w:tc>
        <w:tc>
          <w:tcPr>
            <w:tcW w:w="1600" w:type="dxa"/>
            <w:vAlign w:val="bottom"/>
          </w:tcPr>
          <w:p>
            <w:pPr>
              <w:spacing w:after="0"/>
              <w:rPr>
                <w:sz w:val="6"/>
                <w:szCs w:val="6"/>
                <w:color w:val="auto"/>
              </w:rPr>
            </w:pPr>
          </w:p>
        </w:tc>
        <w:tc>
          <w:tcPr>
            <w:tcW w:w="19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8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15,482</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right="100" w:hanging="452"/>
        <w:spacing w:after="0" w:line="342"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Dr. Riesner acquired a total of 232 preferred shares as part of the Series D financing with 8 preferred shares being acquired by Dr. Riesner directly, 16 shares being acquired by Dr. Riesner’s wife, Hannelore Riesner, and 208 shares being acquired by Riesner Verwaltungs GmbH / Peter Esser.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and all of our then-existing shareholders entered into a shareholders agreement in November 2013, which replaced a prior shareholders agreement entered into in November 2008. The agreement entered into in November 2013 provided our shareholders with certain board nomination rights, preemptive rights, certain rights of first refusal and tag-along rights. We intend to terminate the agreement in connection with our initial public offering. Accordingly, the agreement will be terminated in connection with this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Effective upon consummation of this offering, we intend to enter into a registration rights agreement with certain of our existing shareholders, pursuant to which we will grant them certain demand and piggyback registration rights for the resale of the common shares held by them, as described below. The</w:t>
      </w:r>
    </w:p>
    <w:p>
      <w:pPr>
        <w:ind w:right="60"/>
        <w:spacing w:after="0" w:line="255" w:lineRule="auto"/>
        <w:rPr>
          <w:sz w:val="20"/>
          <w:szCs w:val="20"/>
          <w:color w:val="auto"/>
        </w:rPr>
      </w:pPr>
      <w:r>
        <w:rPr>
          <w:rFonts w:ascii="Arial" w:cs="Arial" w:eastAsia="Arial" w:hAnsi="Arial"/>
          <w:sz w:val="18"/>
          <w:szCs w:val="18"/>
          <w:color w:val="auto"/>
        </w:rPr>
        <w:t>shareholders party to the registration rights agreement will initially hold an aggregate of of our common shares, representing approximately % of the voting power of our common shares outstanding upon completion of this offering (assuming no exercise of the underwriter’s over-allotment option). The registration rights described below will</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60"/>
          </w:cols>
          <w:pgMar w:left="240" w:top="459" w:right="2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expire on the earlier to occur of (i) the</w:t>
      </w:r>
      <w:r>
        <w:rPr>
          <w:sz w:val="20"/>
          <w:szCs w:val="20"/>
          <w:color w:val="auto"/>
        </w:rPr>
        <w:tab/>
      </w:r>
      <w:r>
        <w:rPr>
          <w:rFonts w:ascii="Arial" w:cs="Arial" w:eastAsia="Arial" w:hAnsi="Arial"/>
          <w:sz w:val="16"/>
          <w:szCs w:val="16"/>
          <w:color w:val="auto"/>
        </w:rPr>
        <w:t>anniversary of the completion of the offering contemplated by this prospectus and (ii) the date on which there</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are no remaining registrable securities held by the parties to the registration rights agreement. The registration rights agreement will provide that we must pay certain registration expenses in connection with any demand, piggyback or shelf registration. The registration rights agreement will contain customary indemnification and contribution provisions.</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Pursuant to the terms of the registration rights agreement, at any time after the date that is months after completion of the offering contemplated by this prospectus, or the trigger date, a shareholder or group of shareholders holding at least % of the registrable securities may request that we effect a registration under the Securities Act of all or any portion of such requesting shareholders’ registrable securities. At least business days prior to the</w:t>
      </w:r>
    </w:p>
    <w:p>
      <w:pPr>
        <w:spacing w:after="0"/>
        <w:rPr>
          <w:sz w:val="20"/>
          <w:szCs w:val="20"/>
          <w:color w:val="auto"/>
        </w:rPr>
      </w:pPr>
      <w:r>
        <w:rPr>
          <w:rFonts w:ascii="Arial" w:cs="Arial" w:eastAsia="Arial" w:hAnsi="Arial"/>
          <w:sz w:val="16"/>
          <w:szCs w:val="16"/>
          <w:color w:val="auto"/>
        </w:rPr>
        <w:t>anticipated filing date of the registration statement relating to such demand registration, we must give all other shareholders party to the registration rights</w:t>
      </w:r>
    </w:p>
    <w:p>
      <w:pPr>
        <w:spacing w:after="0" w:line="32" w:lineRule="exact"/>
        <w:rPr>
          <w:sz w:val="20"/>
          <w:szCs w:val="20"/>
          <w:color w:val="auto"/>
        </w:rPr>
      </w:pPr>
    </w:p>
    <w:p>
      <w:pPr>
        <w:ind w:right="60"/>
        <w:spacing w:after="0" w:line="562" w:lineRule="auto"/>
        <w:rPr>
          <w:sz w:val="20"/>
          <w:szCs w:val="20"/>
          <w:color w:val="auto"/>
        </w:rPr>
      </w:pPr>
      <w:r>
        <w:rPr>
          <w:rFonts w:ascii="Arial" w:cs="Arial" w:eastAsia="Arial" w:hAnsi="Arial"/>
          <w:sz w:val="16"/>
          <w:szCs w:val="16"/>
          <w:color w:val="auto"/>
        </w:rPr>
        <w:t>agreement notice of such requested registration. Within business days of such notice, any of the other shareholders party to the registration rights agreement may request that we also effect the registration of the registrable securities held by them. We will not be required to effect a registration of all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registrable securities unless the aggregate proceeds expected to be received from the sale of such registrable securities equals or exceeds $ million or such lesser amount that constitutes all of the requesting shareholders’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lesser amount is at least $ million). In no event will we be required to effect more than demand registrations or underwritten take downs referred to under “—Shelf Registration Rights” below. Depending on certain conditions, we may postpone a demand registration on occasions during any period of consecutive months for up to days.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each their shares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terms of the registration rights agreement, at any time after the first anniversary of the completion of the offering contemplated by this prospectus, if we are eligible to use a shelf registration statement, then a shareholder or group of shareholders holding at least % of the registrable securities may request that we effect a shelf registration on similar terms as the demand registrations described above, except that offerings will be conducted as</w:t>
      </w:r>
    </w:p>
    <w:p>
      <w:pPr>
        <w:ind w:right="180"/>
        <w:spacing w:after="0" w:line="255" w:lineRule="auto"/>
        <w:rPr>
          <w:sz w:val="20"/>
          <w:szCs w:val="20"/>
          <w:color w:val="auto"/>
        </w:rPr>
      </w:pPr>
      <w:r>
        <w:rPr>
          <w:rFonts w:ascii="Arial" w:cs="Arial" w:eastAsia="Arial" w:hAnsi="Arial"/>
          <w:sz w:val="18"/>
          <w:szCs w:val="18"/>
          <w:color w:val="auto"/>
        </w:rPr>
        <w:t>underwritten takedowns. We will only be required to effect public offering from such shelf registration statement within any month period, each of which shall be deemed to constitute a demand registration for purposes of the number of demand registrations we are required to effect as described under “—Demand Registration Rights” above.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consummation of this offering, we intend to adopt a new related person transaction policy.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We intend to enter into indemnification agreements with our executive officers and directors. The indemnification agreements and our Articles of Association require us to indemnify our executive officers and directors to the fullest extent permitted by law. See “Management—Insurance and Indemnification” for a description of these indemnification agreements.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to enter into employment agreements with certain of our executive officers in connection with this offering.</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219"/>
          </w:cols>
          <w:pgMar w:left="240" w:top="459" w:right="1440"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Canton of Vaud, near Lausanne, Switzerland. Our head office is currently located at EPFL Innovation Park, Building B, Lausanne, Switzerland.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As of the date of this prospectus, our share capital is divided into common shares and four categories of preferred shares. Conditional upon the closing of this offering, all of our preferred shares will be converted into common shares on a one-for-one basis, effective upon the registration of the revised articles of association with the commercial register of the Canton of Vaud, Switzerland. See “—Articles of Association.” Upon the closing of this offering, giving effect to (i) the issuance of the common shares to be sold in this offering, (ii) the conversion of our preferred shares into common shares on a one-for-one</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basis and (iii) our planned stock split, our issued fully paid-in share capital will consist of CHF divided into common shares with a nominal value of CHF each and no preferred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the closing of this offering, we intend to adopt amended and restated articles of association which will become effective upon the closing of this offering and the registration of the revised articles of association with the commercial register of the Canton of Vaud, Switzerland. When we refer to our articles of association in this prospectus, we refer to our amended and restated articles of association as they will be in force upon the closing of this offering.</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Swiss law, we may increase our share capital (capital-actions)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an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89" w:lineRule="exact"/>
        <w:rPr>
          <w:sz w:val="20"/>
          <w:szCs w:val="20"/>
          <w:color w:val="auto"/>
        </w:rPr>
      </w:pPr>
    </w:p>
    <w:p>
      <w:pPr>
        <w:jc w:val="both"/>
        <w:ind w:right="420" w:firstLine="456"/>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 of the share capital in the form of:</w:t>
      </w:r>
    </w:p>
    <w:p>
      <w:pPr>
        <w:spacing w:after="0" w:line="71" w:lineRule="exact"/>
        <w:rPr>
          <w:sz w:val="20"/>
          <w:szCs w:val="20"/>
          <w:color w:val="auto"/>
        </w:rPr>
      </w:pPr>
    </w:p>
    <w:p>
      <w:pPr>
        <w:ind w:left="900" w:right="120" w:hanging="446"/>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92"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Pursuant to the CO, shareholders have pre-emptive rights (</w:t>
      </w:r>
      <w:r>
        <w:rPr>
          <w:rFonts w:ascii="Arial" w:cs="Arial" w:eastAsia="Arial" w:hAnsi="Arial"/>
          <w:sz w:val="17"/>
          <w:szCs w:val="17"/>
          <w:i w:val="1"/>
          <w:iCs w:val="1"/>
          <w:color w:val="auto"/>
        </w:rPr>
        <w:t>droits de souscription</w:t>
      </w:r>
      <w:r>
        <w:rPr>
          <w:rFonts w:ascii="Arial" w:cs="Arial" w:eastAsia="Arial" w:hAnsi="Arial"/>
          <w:sz w:val="17"/>
          <w:szCs w:val="17"/>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7"/>
          <w:szCs w:val="17"/>
          <w:i w:val="1"/>
          <w:iCs w:val="1"/>
          <w:color w:val="auto"/>
        </w:rPr>
        <w:t>droit de souscrire préalablement</w:t>
      </w:r>
      <w:r>
        <w:rPr>
          <w:rFonts w:ascii="Arial" w:cs="Arial" w:eastAsia="Arial" w:hAnsi="Arial"/>
          <w:sz w:val="17"/>
          <w:szCs w:val="17"/>
          <w:color w:val="auto"/>
        </w:rPr>
        <w:t>) for the subscription of conversion rights, convertible bonds or similar debt instruments.</w:t>
      </w:r>
    </w:p>
    <w:p>
      <w:pPr>
        <w:spacing w:after="0" w:line="166"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A resolution passed at a general meeting of shareholders by two-thirds of the shares represented and the absolute majority of the nominal value of the shares represented may authorize our board of directors to withdraw or limit pre-emptive rights or advance subscription rights in certain circumstances.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pre-emptive rights are granted, but not exercised, the board of directors may allocate the pre-emptive rights as it elects.</w:t>
      </w:r>
    </w:p>
    <w:p>
      <w:pPr>
        <w:spacing w:after="0" w:line="225"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With respect to our authorized share capital, the board of directors is authorized by our articles of association to withdraw or to limit the pre-emptive rights of shareholders, and to allocate them to third parties or to us, in the event that the newly issued shares are used for the following purposes:</w:t>
      </w:r>
    </w:p>
    <w:p>
      <w:pPr>
        <w:spacing w:after="0" w:line="29"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75"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29"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75" w:lineRule="exact"/>
        <w:rPr>
          <w:rFonts w:ascii="Arial" w:cs="Arial" w:eastAsia="Arial" w:hAnsi="Arial"/>
          <w:sz w:val="18"/>
          <w:szCs w:val="18"/>
          <w:color w:val="auto"/>
        </w:rPr>
      </w:pPr>
    </w:p>
    <w:p>
      <w:pPr>
        <w:ind w:left="900" w:right="40" w:hanging="446"/>
        <w:spacing w:after="0" w:line="276"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our articles of association, our board of directors is authorized at any time until December 31, 2015 to increase our share capital by a maximum</w:t>
      </w:r>
    </w:p>
    <w:p>
      <w:pPr>
        <w:spacing w:after="0" w:line="46" w:lineRule="exact"/>
        <w:rPr>
          <w:sz w:val="20"/>
          <w:szCs w:val="20"/>
          <w:color w:val="auto"/>
        </w:rPr>
      </w:pPr>
    </w:p>
    <w:p>
      <w:pPr>
        <w:ind w:left="600" w:right="120" w:hanging="584"/>
        <w:spacing w:after="0" w:line="250" w:lineRule="auto"/>
        <w:rPr>
          <w:sz w:val="20"/>
          <w:szCs w:val="20"/>
          <w:color w:val="auto"/>
        </w:rPr>
      </w:pPr>
      <w:r>
        <w:rPr>
          <w:rFonts w:ascii="Arial" w:cs="Arial" w:eastAsia="Arial" w:hAnsi="Arial"/>
          <w:sz w:val="18"/>
          <w:szCs w:val="18"/>
          <w:color w:val="auto"/>
        </w:rPr>
        <w:t>aggregate amount of CHF</w:t>
      </w:r>
      <w:r>
        <w:rPr>
          <w:sz w:val="20"/>
          <w:szCs w:val="20"/>
          <w:color w:val="auto"/>
        </w:rPr>
        <w:t xml:space="preserve"> </w:t>
      </w:r>
      <w:r>
        <w:rPr>
          <w:rFonts w:ascii="Arial" w:cs="Arial" w:eastAsia="Arial" w:hAnsi="Arial"/>
          <w:sz w:val="18"/>
          <w:szCs w:val="18"/>
          <w:color w:val="auto"/>
        </w:rPr>
        <w:t>through the issuance of not more than shares, which would have to be fully paid-in, with a nominal value of CHF each.</w:t>
      </w:r>
    </w:p>
    <w:p>
      <w:pPr>
        <w:spacing w:after="0" w:line="200" w:lineRule="exact"/>
        <w:rPr>
          <w:sz w:val="20"/>
          <w:szCs w:val="20"/>
          <w:color w:val="auto"/>
        </w:rPr>
      </w:pPr>
    </w:p>
    <w:p>
      <w:pPr>
        <w:spacing w:after="0" w:line="21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Our board of directors is also authorized to withdraw or limit pre-emptive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rights lapses simultaneously with such capital.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shares to be sold in this offering will be issued out of our authorized share capital. Accordingly, upon the consummation of this offering,</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authorized but unissued share capital will decrease by the amount of CHF (or by a larger amount, to the extent that any over-allotment shares will be issued).</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Warrants and Convertible Bonds</w:t>
      </w:r>
    </w:p>
    <w:p>
      <w:pPr>
        <w:spacing w:after="0" w:line="117" w:lineRule="exact"/>
        <w:rPr>
          <w:sz w:val="20"/>
          <w:szCs w:val="20"/>
          <w:color w:val="auto"/>
        </w:rPr>
      </w:pPr>
    </w:p>
    <w:p>
      <w:pPr>
        <w:jc w:val="both"/>
        <w:ind w:right="160" w:firstLine="456"/>
        <w:spacing w:after="0" w:line="274" w:lineRule="auto"/>
        <w:rPr>
          <w:sz w:val="20"/>
          <w:szCs w:val="20"/>
          <w:color w:val="auto"/>
        </w:rPr>
      </w:pPr>
      <w:r>
        <w:rPr>
          <w:rFonts w:ascii="Arial" w:cs="Arial" w:eastAsia="Arial" w:hAnsi="Arial"/>
          <w:sz w:val="17"/>
          <w:szCs w:val="17"/>
          <w:color w:val="auto"/>
        </w:rPr>
        <w:t>Our share capital may be increased by a maximum aggregate amount of CHF through the issuance of not more than common shares, which would have to be fully paid-in, with a nominal value of CHF each, by the exercise of option and conversion rights granted in connection with</w:t>
      </w:r>
    </w:p>
    <w:p>
      <w:pPr>
        <w:ind w:right="120"/>
        <w:spacing w:after="0" w:line="261" w:lineRule="auto"/>
        <w:rPr>
          <w:sz w:val="20"/>
          <w:szCs w:val="20"/>
          <w:color w:val="auto"/>
        </w:rPr>
      </w:pPr>
      <w:r>
        <w:rPr>
          <w:rFonts w:ascii="Arial" w:cs="Arial" w:eastAsia="Arial" w:hAnsi="Arial"/>
          <w:sz w:val="18"/>
          <w:szCs w:val="18"/>
          <w:color w:val="auto"/>
        </w:rPr>
        <w:t>warrants and convertible bonds of the Company or one of our subsidiaries. Shareholders will not have pre-emptive rights in such circumstances. The holders of convertible bonds are entitled to the new shares upon the occurrence of the applicable conversion feature.</w:t>
      </w:r>
    </w:p>
    <w:p>
      <w:pPr>
        <w:spacing w:after="0" w:line="18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right of shareholders to subscribe to the convertible bond issuance:</w:t>
      </w:r>
    </w:p>
    <w:p>
      <w:pPr>
        <w:spacing w:after="0" w:line="76" w:lineRule="exact"/>
        <w:rPr>
          <w:sz w:val="20"/>
          <w:szCs w:val="20"/>
          <w:color w:val="auto"/>
        </w:rPr>
      </w:pPr>
    </w:p>
    <w:p>
      <w:pPr>
        <w:ind w:left="900" w:right="18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extent that the advance subscription rights are withdrawn, (i) the convertible bonds are to be issued at market conditions; (ii) the term to exercise</w:t>
      </w:r>
    </w:p>
    <w:p>
      <w:pPr>
        <w:spacing w:after="0" w:line="4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option or conversion rights may not exceed years as of the date of the convertible bond issue and twenty years for conversion rights; and (iii) the exercise price for the new shares must at least correspond to the market conditions at the time of the convertible bond issuance.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Equity Incentive Plans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 capital may, to the exclusion of the pre-emptive rights of shareholders, be increased by a maximum aggregate amount of CHF</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through the issuance of not more than common shares, which would have to be fully paid-in, with a nominal value of CHF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shares are uncertificated securities (</w:t>
      </w:r>
      <w:r>
        <w:rPr>
          <w:rFonts w:ascii="Arial" w:cs="Arial" w:eastAsia="Arial" w:hAnsi="Arial"/>
          <w:sz w:val="18"/>
          <w:szCs w:val="18"/>
          <w:i w:val="1"/>
          <w:iCs w:val="1"/>
          <w:color w:val="auto"/>
        </w:rPr>
        <w:t>droits-valeurs</w:t>
      </w:r>
      <w:r>
        <w:rPr>
          <w:rFonts w:ascii="Arial" w:cs="Arial" w:eastAsia="Arial" w:hAnsi="Arial"/>
          <w:sz w:val="18"/>
          <w:szCs w:val="18"/>
          <w:color w:val="auto"/>
        </w:rPr>
        <w:t>, within the meaning of art. 973c of the CO) and, when administered by a financial intermediary (</w:t>
      </w:r>
      <w:r>
        <w:rPr>
          <w:rFonts w:ascii="Arial" w:cs="Arial" w:eastAsia="Arial" w:hAnsi="Arial"/>
          <w:sz w:val="18"/>
          <w:szCs w:val="18"/>
          <w:i w:val="1"/>
          <w:iCs w:val="1"/>
          <w:color w:val="auto"/>
        </w:rPr>
        <w:t>dépositaire,</w:t>
      </w:r>
      <w:r>
        <w:rPr>
          <w:rFonts w:ascii="Arial" w:cs="Arial" w:eastAsia="Arial" w:hAnsi="Arial"/>
          <w:sz w:val="18"/>
          <w:szCs w:val="18"/>
          <w:color w:val="auto"/>
        </w:rPr>
        <w:t xml:space="preserve"> within the meaning of the Federal Act on Intermediated Securities, “FISA”), qualify as intermediated securities (</w:t>
      </w:r>
      <w:r>
        <w:rPr>
          <w:rFonts w:ascii="Arial" w:cs="Arial" w:eastAsia="Arial" w:hAnsi="Arial"/>
          <w:sz w:val="18"/>
          <w:szCs w:val="18"/>
          <w:i w:val="1"/>
          <w:iCs w:val="1"/>
          <w:color w:val="auto"/>
        </w:rPr>
        <w:t>titres intermédiés</w:t>
      </w:r>
      <w:r>
        <w:rPr>
          <w:rFonts w:ascii="Arial" w:cs="Arial" w:eastAsia="Arial" w:hAnsi="Arial"/>
          <w:sz w:val="18"/>
          <w:szCs w:val="18"/>
          <w:color w:val="auto"/>
        </w:rPr>
        <w:t>, within the meaning of the FISA). In accordance with art. 973c of the CO, we will maintain a non-public register of uncertificated securities (</w:t>
      </w:r>
      <w:r>
        <w:rPr>
          <w:rFonts w:ascii="Arial" w:cs="Arial" w:eastAsia="Arial" w:hAnsi="Arial"/>
          <w:sz w:val="18"/>
          <w:szCs w:val="18"/>
          <w:i w:val="1"/>
          <w:iCs w:val="1"/>
          <w:color w:val="auto"/>
        </w:rPr>
        <w:t>registre des droits-valeurs</w:t>
      </w:r>
      <w:r>
        <w:rPr>
          <w:rFonts w:ascii="Arial" w:cs="Arial" w:eastAsia="Arial" w:hAnsi="Arial"/>
          <w:sz w:val="18"/>
          <w:szCs w:val="18"/>
          <w:color w:val="auto"/>
        </w:rPr>
        <w:t>). We may at any time convert uncertificated securities into share certificates (including global certificates), one kind of certificate into another, or share certificates (including global certificates) into uncertificated securities. Following entry in the share register, a shareholder may at any time request from us a written confirmation in respect of the shares. Shareholders are not entitled, however, to request the printing and delivery of certificates. We may print and deliver certificates for shares at any time.</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means on or before June 30.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31"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76"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increasing the share capital out of equity, against contributions in-kind or for the purpose of acquiring specific assets and granting specific benefits;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limiting or suppressing shareholder’s pre-emptive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registered shares and the removal of the voting cap of 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Agenda Requests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92" w:lineRule="exact"/>
        <w:rPr>
          <w:sz w:val="20"/>
          <w:szCs w:val="20"/>
          <w:color w:val="auto"/>
        </w:rPr>
      </w:pPr>
    </w:p>
    <w:p>
      <w:pPr>
        <w:ind w:left="900" w:right="10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58"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Our articles contain provisions that prevent investors from acquiring voting rights exceeding 15% of the outstanding share capital. Specifically, no individual or legal entity may, directly or indirectly, control voting rights with respect to 15% or more of the registered share capital recorded in the Commercial Register. In the event that a shareholder should exceed the 15% ownership threshold, the registered shares exceeding the limit of 15% shall be entered in our share registered as shares without voting rights. The board of directors may in special cases approve exceptions to the above regulations.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an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a discussion of the taxation of dividends, see “Taxation—Swiss Tax Considerations—Taxation of Common Shares—Swiss Federal Withholding Tax on Dividends and Distributions.”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intermédiés) </w:t>
      </w:r>
      <w:r>
        <w:rPr>
          <w:rFonts w:ascii="Arial" w:cs="Arial" w:eastAsia="Arial" w:hAnsi="Arial"/>
          <w:sz w:val="18"/>
          <w:szCs w:val="18"/>
          <w:color w:val="auto"/>
        </w:rPr>
        <w:t>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Voting rights may be exercised only after a shareholder has been entered in our share register (</w:t>
      </w:r>
      <w:r>
        <w:rPr>
          <w:rFonts w:ascii="Arial" w:cs="Arial" w:eastAsia="Arial" w:hAnsi="Arial"/>
          <w:sz w:val="16"/>
          <w:szCs w:val="16"/>
          <w:i w:val="1"/>
          <w:iCs w:val="1"/>
          <w:color w:val="auto"/>
        </w:rPr>
        <w:t>registre des actions</w:t>
      </w:r>
      <w:r>
        <w:rPr>
          <w:rFonts w:ascii="Arial" w:cs="Arial" w:eastAsia="Arial" w:hAnsi="Arial"/>
          <w:sz w:val="16"/>
          <w:szCs w:val="16"/>
          <w:color w:val="auto"/>
        </w:rPr>
        <w:t>) with his or her name and address (in the case of legal entities, the registered office) as a shareholder with voting rights. Our articles contain provisions that prevent investors from acquiring voting rights exceeding 15% of the outstanding share capital. Specifically, no individual or legal entity may, directly or indirectly, control voting rights with respect to 15% or more of the registered share capital recorded in the Commercial Register. In the event that a shareholder should exceed the 15% ownership threshold, the registered shares exceeding the limit of 15% shall be entered in our share registered as shares without voting rights.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Investigation</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87"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ind w:right="320"/>
        <w:spacing w:after="0" w:line="261" w:lineRule="auto"/>
        <w:rPr>
          <w:sz w:val="20"/>
          <w:szCs w:val="20"/>
          <w:color w:val="auto"/>
        </w:rPr>
      </w:pPr>
      <w:r>
        <w:rPr>
          <w:rFonts w:ascii="Arial" w:cs="Arial" w:eastAsia="Arial" w:hAnsi="Arial"/>
          <w:sz w:val="18"/>
          <w:szCs w:val="18"/>
          <w:color w:val="auto"/>
        </w:rPr>
        <w:t>Unless an exception is granted by the general meeting of shareholders, only persons who are at least years of age on the election date are eligible for election.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Powers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31"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8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entered or will enter into indemnification agreements with each of the members of our board of directors and executive management. See “Related Party Transactions—Indemnification Agreements.”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Upon the closing of this offering, our board of directors will adopt a Code of Business Conduct and Ethics that will cover a broad range of matters, including the handling of conflicts of interest.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annual basis, a written compensation report that must be reviewed together with a report on our business by our auditor. The compensation report must disclose all compensation, loans and other forms of indebtedness granted by the Company, directly or indirectly, to current or former members of the board of directors and executive management to the extent related to their former role within the Company or not on customary market terms.</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31" w:lineRule="exact"/>
        <w:rPr>
          <w:sz w:val="20"/>
          <w:szCs w:val="20"/>
          <w:color w:val="auto"/>
        </w:rPr>
      </w:pPr>
    </w:p>
    <w:p>
      <w:pPr>
        <w:ind w:left="900" w:right="34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131"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rights in the case of share capital increases.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Pursuant to art.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tabs>
          <w:tab w:leader="none" w:pos="6960" w:val="left"/>
        </w:tabs>
        <w:rPr>
          <w:sz w:val="20"/>
          <w:szCs w:val="20"/>
          <w:color w:val="auto"/>
        </w:rPr>
      </w:pPr>
      <w:r>
        <w:rPr>
          <w:rFonts w:ascii="Arial" w:cs="Arial" w:eastAsia="Arial" w:hAnsi="Arial"/>
          <w:sz w:val="18"/>
          <w:szCs w:val="18"/>
          <w:color w:val="auto"/>
        </w:rPr>
        <w:t>We intend to apply to list our common shares on the NASDAQ under the symbol “</w:t>
      </w:r>
      <w:r>
        <w:rPr>
          <w:sz w:val="20"/>
          <w:szCs w:val="20"/>
          <w:color w:val="auto"/>
        </w:rPr>
        <w:tab/>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Depository Trust Company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Initial settlement of the common shares issued in this offering will take place on the consummation date of this offering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shares.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121" w:lineRule="exact"/>
        <w:rPr>
          <w:sz w:val="20"/>
          <w:szCs w:val="20"/>
          <w:color w:val="auto"/>
        </w:rPr>
      </w:pPr>
    </w:p>
    <w:p>
      <w:pPr>
        <w:ind w:left="460"/>
        <w:spacing w:after="0"/>
        <w:tabs>
          <w:tab w:leader="none" w:pos="4040" w:val="left"/>
        </w:tabs>
        <w:rPr>
          <w:sz w:val="20"/>
          <w:szCs w:val="20"/>
          <w:color w:val="auto"/>
        </w:rPr>
      </w:pPr>
      <w:r>
        <w:rPr>
          <w:rFonts w:ascii="Arial" w:cs="Arial" w:eastAsia="Arial" w:hAnsi="Arial"/>
          <w:sz w:val="18"/>
          <w:szCs w:val="18"/>
          <w:color w:val="auto"/>
        </w:rPr>
        <w:t>Our share register will initially be kept by</w:t>
      </w:r>
      <w:r>
        <w:rPr>
          <w:sz w:val="20"/>
          <w:szCs w:val="20"/>
          <w:color w:val="auto"/>
        </w:rPr>
        <w:tab/>
      </w:r>
      <w:r>
        <w:rPr>
          <w:rFonts w:ascii="Arial" w:cs="Arial" w:eastAsia="Arial" w:hAnsi="Arial"/>
          <w:sz w:val="16"/>
          <w:szCs w:val="16"/>
          <w:color w:val="auto"/>
        </w:rPr>
        <w:t>, which acts as transfer agent and registrar. The share register reflects only record owners of our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Swiss law does not recognize fractional share interests.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01"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380"/>
          </w:cols>
          <w:pgMar w:left="240" w:top="460" w:right="279" w:bottom="1440" w:gutter="0" w:footer="0" w:header="0"/>
        </w:sectPr>
      </w:pP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w:t>
      </w:r>
      <w:r>
        <w:rPr>
          <w:rFonts w:ascii="Arial" w:cs="Arial" w:eastAsia="Arial" w:hAnsi="Arial"/>
          <w:sz w:val="16"/>
          <w:szCs w:val="16"/>
          <w:color w:val="auto"/>
        </w:rPr>
        <w:t xml:space="preserve"> </w:t>
      </w:r>
      <w:r>
        <w:rPr>
          <w:rFonts w:ascii="Arial" w:cs="Arial" w:eastAsia="Arial" w:hAnsi="Arial"/>
          <w:sz w:val="16"/>
          <w:szCs w:val="16"/>
          <w:i w:val="1"/>
          <w:iCs w:val="1"/>
          <w:color w:val="auto"/>
        </w:rPr>
        <w:t>sur la fusion</w:t>
      </w:r>
      <w:r>
        <w:rPr>
          <w:rFonts w:ascii="Arial" w:cs="Arial" w:eastAsia="Arial" w:hAnsi="Arial"/>
          <w:sz w:val="16"/>
          <w:szCs w:val="16"/>
          <w:color w:val="auto"/>
        </w:rPr>
        <w:t>) can file a lawsuit against the surviving company.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90.0% of all members in the transferring legal entity, who are entitled to vote, shall approve the merger agreement.</w:t>
      </w:r>
    </w:p>
    <w:p>
      <w:pPr>
        <w:spacing w:after="0" w:line="184" w:lineRule="exact"/>
        <w:rPr>
          <w:sz w:val="20"/>
          <w:szCs w:val="20"/>
          <w:color w:val="auto"/>
        </w:rPr>
      </w:pPr>
    </w:p>
    <w:p>
      <w:pPr>
        <w:sectPr>
          <w:pgSz w:w="11900" w:h="16838" w:orient="portrait"/>
          <w:cols w:equalWidth="0" w:num="2">
            <w:col w:w="5720" w:space="340"/>
            <w:col w:w="5320"/>
          </w:cols>
          <w:pgMar w:left="240" w:top="460"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380"/>
          </w:cols>
          <w:pgMar w:left="240" w:top="460" w:right="279" w:bottom="1440" w:gutter="0" w:footer="0" w:header="0"/>
          <w:type w:val="continuous"/>
        </w:sectPr>
      </w:pPr>
    </w:p>
    <w:p>
      <w:pPr>
        <w:spacing w:after="0" w:line="14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to the individual shareholder and creditors. Likewise, an appraisal lawsuit won by a shareholder will may indirectly compensate all shareholders. In addition, to the extent that US laws and regulations provide a basis for liability and US courts have jurisdiction, a class action may be available.</w:t>
      </w:r>
    </w:p>
    <w:p>
      <w:pPr>
        <w:spacing w:after="0" w:line="2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Swiss law, the winning party is generally entitled to recover or to partially recover attorneys’</w:t>
      </w:r>
    </w:p>
    <w:p>
      <w:pPr>
        <w:sectPr>
          <w:pgSz w:w="11900" w:h="16838" w:orient="portrait"/>
          <w:cols w:equalWidth="0" w:num="2">
            <w:col w:w="5840" w:space="220"/>
            <w:col w:w="5320"/>
          </w:cols>
          <w:pgMar w:left="240" w:top="460" w:right="279" w:bottom="1440" w:gutter="0" w:footer="0" w:header="0"/>
          <w:type w:val="continuous"/>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 xml:space="preserve">fees incurred in connection with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court has broad discretion to permit the shareholder whose claim has been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dismissed to recover attorneys’ fees incurred to the extent he or she acted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good faith.</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w:t>
      </w:r>
      <w:r>
        <w:rPr>
          <w:rFonts w:ascii="Arial" w:cs="Arial" w:eastAsia="Arial" w:hAnsi="Arial"/>
          <w:sz w:val="16"/>
          <w:szCs w:val="16"/>
          <w:color w:val="auto"/>
        </w:rPr>
        <w:t xml:space="preserve"> </w:t>
      </w:r>
      <w:r>
        <w:rPr>
          <w:rFonts w:ascii="Arial" w:cs="Arial" w:eastAsia="Arial" w:hAnsi="Arial"/>
          <w:sz w:val="16"/>
          <w:szCs w:val="16"/>
          <w:i w:val="1"/>
          <w:iCs w:val="1"/>
          <w:color w:val="auto"/>
        </w:rPr>
        <w:t>les sociétés anonymes cotées en bourse</w:t>
      </w:r>
      <w:r>
        <w:rPr>
          <w:rFonts w:ascii="Arial" w:cs="Arial" w:eastAsia="Arial" w:hAnsi="Arial"/>
          <w:sz w:val="16"/>
          <w:szCs w:val="16"/>
          <w:color w:val="auto"/>
        </w:rPr>
        <w:t>), the general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has the non-transferable right, amongst others, to vote on the fixed and on the variable compensation of the members of the board of directors, of the executive management and of the advisory boards.</w:t>
      </w:r>
    </w:p>
    <w:p>
      <w:pPr>
        <w:spacing w:after="0" w:line="165" w:lineRule="exact"/>
        <w:rPr>
          <w:sz w:val="20"/>
          <w:szCs w:val="20"/>
          <w:color w:val="auto"/>
        </w:rPr>
      </w:pPr>
    </w:p>
    <w:p>
      <w:pPr>
        <w:sectPr>
          <w:pgSz w:w="11900" w:h="16838" w:orient="portrait"/>
          <w:cols w:equalWidth="0" w:num="2">
            <w:col w:w="5760" w:space="30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200"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99" w:lineRule="exact"/>
        <w:rPr>
          <w:sz w:val="20"/>
          <w:szCs w:val="20"/>
          <w:color w:val="auto"/>
        </w:rPr>
      </w:pPr>
    </w:p>
    <w:p>
      <w:pPr>
        <w:ind w:left="720" w:right="400" w:hanging="352"/>
        <w:spacing w:after="0" w:line="277" w:lineRule="auto"/>
        <w:tabs>
          <w:tab w:leader="none" w:pos="7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75" w:lineRule="exact"/>
        <w:rPr>
          <w:rFonts w:ascii="Arial" w:cs="Arial" w:eastAsia="Arial" w:hAnsi="Arial"/>
          <w:sz w:val="18"/>
          <w:szCs w:val="18"/>
          <w:color w:val="auto"/>
        </w:rPr>
      </w:pPr>
    </w:p>
    <w:p>
      <w:pPr>
        <w:ind w:left="720" w:right="520" w:hanging="352"/>
        <w:spacing w:after="0" w:line="277" w:lineRule="auto"/>
        <w:tabs>
          <w:tab w:leader="none" w:pos="7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75" w:lineRule="exact"/>
        <w:rPr>
          <w:rFonts w:ascii="Arial" w:cs="Arial" w:eastAsia="Arial" w:hAnsi="Arial"/>
          <w:sz w:val="18"/>
          <w:szCs w:val="18"/>
          <w:color w:val="auto"/>
        </w:rPr>
      </w:pPr>
    </w:p>
    <w:p>
      <w:pPr>
        <w:ind w:left="720" w:right="420" w:hanging="352"/>
        <w:spacing w:after="0" w:line="277" w:lineRule="auto"/>
        <w:tabs>
          <w:tab w:leader="none" w:pos="7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75" w:lineRule="exact"/>
        <w:rPr>
          <w:rFonts w:ascii="Arial" w:cs="Arial" w:eastAsia="Arial" w:hAnsi="Arial"/>
          <w:sz w:val="18"/>
          <w:szCs w:val="18"/>
          <w:color w:val="auto"/>
        </w:rPr>
      </w:pPr>
    </w:p>
    <w:p>
      <w:pPr>
        <w:ind w:left="720" w:right="80" w:hanging="352"/>
        <w:spacing w:after="0" w:line="277" w:lineRule="auto"/>
        <w:tabs>
          <w:tab w:leader="none" w:pos="7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w:t>
      </w:r>
    </w:p>
    <w:p>
      <w:pPr>
        <w:spacing w:after="0" w:line="468"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1400"/>
          </w:cols>
          <w:pgMar w:left="240" w:top="460" w:right="25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87" w:lineRule="exact"/>
        <w:rPr>
          <w:sz w:val="20"/>
          <w:szCs w:val="20"/>
          <w:color w:val="auto"/>
        </w:rPr>
      </w:pPr>
    </w:p>
    <w:p>
      <w:pPr>
        <w:ind w:left="720" w:right="700" w:hanging="352"/>
        <w:spacing w:after="0" w:line="277" w:lineRule="auto"/>
        <w:tabs>
          <w:tab w:leader="none" w:pos="73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75" w:lineRule="exact"/>
        <w:rPr>
          <w:rFonts w:ascii="Arial" w:cs="Arial" w:eastAsia="Arial" w:hAnsi="Arial"/>
          <w:sz w:val="18"/>
          <w:szCs w:val="18"/>
          <w:color w:val="auto"/>
        </w:rPr>
      </w:pPr>
    </w:p>
    <w:p>
      <w:pPr>
        <w:ind w:left="720" w:right="400" w:hanging="352"/>
        <w:spacing w:after="0" w:line="277" w:lineRule="auto"/>
        <w:tabs>
          <w:tab w:leader="none" w:pos="73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75" w:lineRule="exact"/>
        <w:rPr>
          <w:rFonts w:ascii="Arial" w:cs="Arial" w:eastAsia="Arial" w:hAnsi="Arial"/>
          <w:sz w:val="18"/>
          <w:szCs w:val="18"/>
          <w:color w:val="auto"/>
        </w:rPr>
      </w:pPr>
    </w:p>
    <w:p>
      <w:pPr>
        <w:ind w:left="720" w:right="420" w:hanging="352"/>
        <w:spacing w:after="0" w:line="308" w:lineRule="auto"/>
        <w:tabs>
          <w:tab w:leader="none" w:pos="73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51" w:lineRule="exact"/>
        <w:rPr>
          <w:rFonts w:ascii="Arial" w:cs="Arial" w:eastAsia="Arial" w:hAnsi="Arial"/>
          <w:sz w:val="17"/>
          <w:szCs w:val="17"/>
          <w:color w:val="auto"/>
        </w:rPr>
      </w:pPr>
    </w:p>
    <w:p>
      <w:pPr>
        <w:ind w:left="740" w:hanging="372"/>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corporate law, including shareholders of the corporation.</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2741" w:lineRule="exact"/>
        <w:rPr>
          <w:sz w:val="20"/>
          <w:szCs w:val="20"/>
          <w:color w:val="auto"/>
        </w:rPr>
      </w:pPr>
    </w:p>
    <w:p>
      <w:pPr>
        <w:sectPr>
          <w:pgSz w:w="11900" w:h="16838" w:orient="portrait"/>
          <w:cols w:equalWidth="0" w:num="2">
            <w:col w:w="5760" w:space="300"/>
            <w:col w:w="5340"/>
          </w:cols>
          <w:pgMar w:left="240" w:top="460" w:right="259" w:bottom="1440" w:gutter="0" w:footer="0" w:header="0"/>
        </w:sectPr>
      </w:pPr>
    </w:p>
    <w:p>
      <w:pPr>
        <w:spacing w:after="0" w:line="52" w:lineRule="exact"/>
        <w:rPr>
          <w:sz w:val="20"/>
          <w:szCs w:val="20"/>
          <w:color w:val="auto"/>
        </w:rPr>
      </w:pPr>
    </w:p>
    <w:p>
      <w:pPr>
        <w:ind w:right="5620"/>
        <w:spacing w:after="0" w:line="273" w:lineRule="auto"/>
        <w:rPr>
          <w:sz w:val="20"/>
          <w:szCs w:val="20"/>
          <w:color w:val="auto"/>
        </w:rPr>
      </w:pPr>
      <w:r>
        <w:rPr>
          <w:rFonts w:ascii="Arial" w:cs="Arial" w:eastAsia="Arial" w:hAnsi="Arial"/>
          <w:sz w:val="17"/>
          <w:szCs w:val="17"/>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Directors’ fiduciary duties</w:t>
      </w:r>
    </w:p>
    <w:p>
      <w:pPr>
        <w:sectPr>
          <w:pgSz w:w="11900" w:h="16838" w:orient="portrait"/>
          <w:cols w:equalWidth="0" w:num="1">
            <w:col w:w="11400"/>
          </w:cols>
          <w:pgMar w:left="240" w:top="460" w:right="259" w:bottom="1440" w:gutter="0" w:footer="0" w:header="0"/>
          <w:type w:val="continuous"/>
        </w:sectPr>
      </w:pP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76" w:lineRule="exact"/>
        <w:rPr>
          <w:sz w:val="20"/>
          <w:szCs w:val="20"/>
          <w:color w:val="auto"/>
        </w:rPr>
      </w:pPr>
    </w:p>
    <w:p>
      <w:pPr>
        <w:ind w:left="740" w:hanging="372"/>
        <w:spacing w:after="0"/>
        <w:tabs>
          <w:tab w:leader="none" w:pos="7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130" w:lineRule="exact"/>
        <w:rPr>
          <w:rFonts w:ascii="Arial" w:cs="Arial" w:eastAsia="Arial" w:hAnsi="Arial"/>
          <w:sz w:val="18"/>
          <w:szCs w:val="18"/>
          <w:color w:val="auto"/>
        </w:rPr>
      </w:pPr>
    </w:p>
    <w:p>
      <w:pPr>
        <w:ind w:left="740" w:hanging="372"/>
        <w:spacing w:after="0"/>
        <w:tabs>
          <w:tab w:leader="none" w:pos="7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5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duty of care requires that a director act in good faith, with the care that an ordinarily prudent person would exercise under similar circumstances. Under this duty, a director must inform himself or herself of, and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not been delegated to the executive management (for example by organizational rules and comparable bylaws). However, there are several non-transferable duties of the board of directors:</w:t>
      </w:r>
    </w:p>
    <w:p>
      <w:pPr>
        <w:spacing w:after="0" w:line="78" w:lineRule="exact"/>
        <w:rPr>
          <w:sz w:val="20"/>
          <w:szCs w:val="20"/>
          <w:color w:val="auto"/>
        </w:rPr>
      </w:pPr>
    </w:p>
    <w:p>
      <w:pPr>
        <w:ind w:left="720" w:hanging="361"/>
        <w:spacing w:after="0" w:line="277" w:lineRule="auto"/>
        <w:tabs>
          <w:tab w:leader="none" w:pos="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ectPr>
          <w:pgSz w:w="11900" w:h="16838" w:orient="portrait"/>
          <w:cols w:equalWidth="0" w:num="2">
            <w:col w:w="5840" w:space="220"/>
            <w:col w:w="5340"/>
          </w:cols>
          <w:pgMar w:left="240" w:top="460" w:right="259" w:bottom="1440" w:gutter="0" w:footer="0" w:header="0"/>
          <w:type w:val="continuous"/>
        </w:sectPr>
      </w:pPr>
    </w:p>
    <w:bookmarkStart w:id="161" w:name="page162"/>
    <w:bookmarkEnd w:id="1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8"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disclose to shareholders, all material information reasonably available regarding a significant transaction.</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ind w:left="740" w:hanging="381"/>
        <w:spacing w:after="0"/>
        <w:tabs>
          <w:tab w:leader="none" w:pos="7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130" w:lineRule="exact"/>
        <w:rPr>
          <w:rFonts w:ascii="Arial" w:cs="Arial" w:eastAsia="Arial" w:hAnsi="Arial"/>
          <w:sz w:val="18"/>
          <w:szCs w:val="18"/>
          <w:color w:val="auto"/>
        </w:rPr>
      </w:pPr>
    </w:p>
    <w:p>
      <w:pPr>
        <w:ind w:left="720" w:right="200" w:hanging="361"/>
        <w:spacing w:after="0" w:line="264" w:lineRule="auto"/>
        <w:tabs>
          <w:tab w:leader="none" w:pos="7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as required for management of the corporation;</w:t>
      </w:r>
    </w:p>
    <w:p>
      <w:pPr>
        <w:spacing w:after="0" w:line="86" w:lineRule="exact"/>
        <w:rPr>
          <w:rFonts w:ascii="Arial" w:cs="Arial" w:eastAsia="Arial" w:hAnsi="Arial"/>
          <w:sz w:val="18"/>
          <w:szCs w:val="18"/>
          <w:color w:val="auto"/>
        </w:rPr>
      </w:pPr>
    </w:p>
    <w:p>
      <w:pPr>
        <w:ind w:left="720" w:right="580" w:hanging="361"/>
        <w:spacing w:after="0" w:line="308" w:lineRule="auto"/>
        <w:tabs>
          <w:tab w:leader="none" w:pos="73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appointment and dismissal of persons entrusted with managing and representing the corporation;</w:t>
      </w:r>
    </w:p>
    <w:p>
      <w:pPr>
        <w:spacing w:after="0" w:line="51" w:lineRule="exact"/>
        <w:rPr>
          <w:rFonts w:ascii="Arial" w:cs="Arial" w:eastAsia="Arial" w:hAnsi="Arial"/>
          <w:sz w:val="17"/>
          <w:szCs w:val="17"/>
          <w:color w:val="auto"/>
        </w:rPr>
      </w:pPr>
    </w:p>
    <w:p>
      <w:pPr>
        <w:ind w:left="720" w:right="100" w:hanging="361"/>
        <w:spacing w:after="0" w:line="259" w:lineRule="auto"/>
        <w:tabs>
          <w:tab w:leader="none" w:pos="7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92" w:lineRule="exact"/>
        <w:rPr>
          <w:rFonts w:ascii="Arial" w:cs="Arial" w:eastAsia="Arial" w:hAnsi="Arial"/>
          <w:sz w:val="18"/>
          <w:szCs w:val="18"/>
          <w:color w:val="auto"/>
        </w:rPr>
      </w:pPr>
    </w:p>
    <w:p>
      <w:pPr>
        <w:jc w:val="both"/>
        <w:ind w:left="720" w:right="300" w:hanging="361"/>
        <w:spacing w:after="0" w:line="264" w:lineRule="auto"/>
        <w:tabs>
          <w:tab w:leader="none" w:pos="7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 meeting, the compensation report and implementation of its resolutions; and</w:t>
      </w:r>
    </w:p>
    <w:p>
      <w:pPr>
        <w:spacing w:after="0" w:line="86" w:lineRule="exact"/>
        <w:rPr>
          <w:rFonts w:ascii="Arial" w:cs="Arial" w:eastAsia="Arial" w:hAnsi="Arial"/>
          <w:sz w:val="18"/>
          <w:szCs w:val="18"/>
          <w:color w:val="auto"/>
        </w:rPr>
      </w:pPr>
    </w:p>
    <w:p>
      <w:pPr>
        <w:ind w:left="720" w:right="580" w:hanging="361"/>
        <w:spacing w:after="0" w:line="277" w:lineRule="auto"/>
        <w:tabs>
          <w:tab w:leader="none" w:pos="7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must perform their duties with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6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burden of proof for a violation of these duties is with the corporation or with the shareholder bringing a suit against the director.</w:t>
      </w:r>
    </w:p>
    <w:p>
      <w:pPr>
        <w:spacing w:after="0" w:line="160" w:lineRule="exact"/>
        <w:rPr>
          <w:sz w:val="20"/>
          <w:szCs w:val="20"/>
          <w:color w:val="auto"/>
        </w:rPr>
      </w:pPr>
    </w:p>
    <w:p>
      <w:pPr>
        <w:sectPr>
          <w:pgSz w:w="11900" w:h="16838" w:orient="portrait"/>
          <w:cols w:equalWidth="0" w:num="2">
            <w:col w:w="5800" w:space="26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158" w:lineRule="exact"/>
        <w:rPr>
          <w:sz w:val="20"/>
          <w:szCs w:val="20"/>
          <w:color w:val="auto"/>
        </w:rPr>
      </w:pPr>
    </w:p>
    <w:p>
      <w:pPr>
        <w:sectPr>
          <w:pgSz w:w="11900" w:h="16838" w:orient="portrait"/>
          <w:cols w:equalWidth="0" w:num="2">
            <w:col w:w="5540" w:space="52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proposals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No resolution may be made on proposals relating to the agenda items that were not duly notified. Unless the articles of</w:t>
      </w:r>
    </w:p>
    <w:p>
      <w:pPr>
        <w:sectPr>
          <w:pgSz w:w="11900" w:h="16838" w:orient="portrait"/>
          <w:cols w:equalWidth="0" w:num="2">
            <w:col w:w="5840" w:space="220"/>
            <w:col w:w="5360"/>
          </w:cols>
          <w:pgMar w:left="240" w:top="459" w:right="239" w:bottom="1440" w:gutter="0" w:footer="0" w:header="0"/>
          <w:type w:val="continuous"/>
        </w:sectPr>
      </w:pPr>
    </w:p>
    <w:bookmarkStart w:id="162" w:name="page163"/>
    <w:bookmarkEnd w:id="1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20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association provide for a lower threshold or for additional shareholders’ rights:</w:t>
      </w:r>
    </w:p>
    <w:p>
      <w:pPr>
        <w:spacing w:after="0" w:line="76" w:lineRule="exact"/>
        <w:rPr>
          <w:sz w:val="20"/>
          <w:szCs w:val="20"/>
          <w:color w:val="auto"/>
        </w:rPr>
      </w:pPr>
    </w:p>
    <w:p>
      <w:pPr>
        <w:ind w:left="720" w:right="180" w:hanging="361"/>
        <w:spacing w:after="0" w:line="312" w:lineRule="auto"/>
        <w:tabs>
          <w:tab w:leader="none" w:pos="73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shareholders together representing at least 10% of the share capital may demand that a general meeting of shareholders be called for specific agenda items and specific proposals; and</w:t>
      </w:r>
    </w:p>
    <w:p>
      <w:pPr>
        <w:spacing w:after="0" w:line="52" w:lineRule="exact"/>
        <w:rPr>
          <w:rFonts w:ascii="Arial" w:cs="Arial" w:eastAsia="Arial" w:hAnsi="Arial"/>
          <w:sz w:val="16"/>
          <w:szCs w:val="16"/>
          <w:color w:val="auto"/>
        </w:rPr>
      </w:pPr>
    </w:p>
    <w:p>
      <w:pPr>
        <w:ind w:left="720" w:right="140" w:hanging="361"/>
        <w:spacing w:after="0" w:line="297" w:lineRule="auto"/>
        <w:tabs>
          <w:tab w:leader="none" w:pos="73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shareholders together representing at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5" w:lineRule="exact"/>
        <w:rPr>
          <w:sz w:val="20"/>
          <w:szCs w:val="20"/>
          <w:color w:val="auto"/>
        </w:rPr>
      </w:pPr>
    </w:p>
    <w:p>
      <w:pPr>
        <w:sectPr>
          <w:pgSz w:w="11900" w:h="16838" w:orient="portrait"/>
          <w:cols w:equalWidth="0" w:num="2">
            <w:col w:w="5640" w:space="420"/>
            <w:col w:w="5360"/>
          </w:cols>
          <w:pgMar w:left="240" w:top="460" w:right="23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Any shareholder can propose candidates for election as directors without</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prior written notice.</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addition, any shareholder is entitled, at a general meeting of</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shareholders and without advance notice, to (i) request information from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Board on the affairs of the company (note, however,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obtain such information is limited), (ii) request information from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auditors on the methods and results of their audit, (iii) request to convene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 extraordinary general meeting or (iv) to carry out a special audit and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appoint an auditor at the request of a shareholder.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69" w:lineRule="exact"/>
        <w:rPr>
          <w:sz w:val="20"/>
          <w:szCs w:val="20"/>
          <w:color w:val="auto"/>
        </w:rPr>
      </w:pPr>
    </w:p>
    <w:p>
      <w:pPr>
        <w:sectPr>
          <w:pgSz w:w="11900" w:h="16838" w:orient="portrait"/>
          <w:cols w:equalWidth="0" w:num="2">
            <w:col w:w="5740" w:space="3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Removal of directors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 Swiss corporation may remove, with or without cause, any director at any time with a resolution passed by a simple majority of the shares represented at a general meeting of shareholders concerned. The</w:t>
      </w:r>
    </w:p>
    <w:p>
      <w:pPr>
        <w:spacing w:after="0" w:line="79" w:lineRule="exact"/>
        <w:rPr>
          <w:sz w:val="20"/>
          <w:szCs w:val="20"/>
          <w:color w:val="auto"/>
        </w:rPr>
      </w:pPr>
    </w:p>
    <w:p>
      <w:pPr>
        <w:sectPr>
          <w:pgSz w:w="11900" w:h="16838" w:orient="portrait"/>
          <w:cols w:equalWidth="0" w:num="2">
            <w:col w:w="5740" w:space="3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1420"/>
          </w:cols>
          <w:pgMar w:left="240" w:top="460" w:right="239" w:bottom="1440" w:gutter="0" w:footer="0" w:header="0"/>
          <w:type w:val="continuous"/>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articles of association may require the approval by a qualified majority of</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shares represented at a meeting for the removal of a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Transactions with interested shareholders</w:t>
      </w:r>
    </w:p>
    <w:p>
      <w:pPr>
        <w:spacing w:after="0" w:line="11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The Delaware General Corporation Law generally prohibits a Delaware</w:t>
      </w:r>
      <w:r>
        <w:rPr>
          <w:sz w:val="20"/>
          <w:szCs w:val="20"/>
          <w:color w:val="auto"/>
        </w:rPr>
        <w:tab/>
      </w:r>
      <w:r>
        <w:rPr>
          <w:rFonts w:ascii="Arial" w:cs="Arial" w:eastAsia="Arial" w:hAnsi="Arial"/>
          <w:sz w:val="16"/>
          <w:szCs w:val="16"/>
          <w:color w:val="auto"/>
        </w:rPr>
        <w:t>No such rule applies to a Swiss corporation.</w:t>
      </w:r>
    </w:p>
    <w:p>
      <w:pPr>
        <w:spacing w:after="0" w:line="23" w:lineRule="exact"/>
        <w:rPr>
          <w:sz w:val="20"/>
          <w:szCs w:val="20"/>
          <w:color w:val="auto"/>
        </w:rPr>
      </w:pPr>
    </w:p>
    <w:p>
      <w:pPr>
        <w:ind w:right="5660"/>
        <w:spacing w:after="0" w:line="271" w:lineRule="auto"/>
        <w:rPr>
          <w:sz w:val="20"/>
          <w:szCs w:val="20"/>
          <w:color w:val="auto"/>
        </w:rPr>
      </w:pPr>
      <w:r>
        <w:rPr>
          <w:rFonts w:ascii="Arial" w:cs="Arial" w:eastAsia="Arial" w:hAnsi="Arial"/>
          <w:sz w:val="17"/>
          <w:szCs w:val="17"/>
          <w:color w:val="auto"/>
        </w:rPr>
        <w:t>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Dissolution; Winding up</w:t>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78"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84" w:lineRule="exact"/>
        <w:rPr>
          <w:sz w:val="20"/>
          <w:szCs w:val="20"/>
          <w:color w:val="auto"/>
        </w:rPr>
      </w:pPr>
    </w:p>
    <w:p>
      <w:pPr>
        <w:sectPr>
          <w:pgSz w:w="11900" w:h="16838" w:orient="portrait"/>
          <w:cols w:equalWidth="0" w:num="2">
            <w:col w:w="5340" w:space="72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w:t>
      </w:r>
    </w:p>
    <w:p>
      <w:pPr>
        <w:sectPr>
          <w:pgSz w:w="11900" w:h="16838" w:orient="portrait"/>
          <w:cols w:equalWidth="0" w:num="2">
            <w:col w:w="5840" w:space="220"/>
            <w:col w:w="5340"/>
          </w:cols>
          <w:pgMar w:left="240" w:top="460" w:right="259" w:bottom="1440" w:gutter="0" w:footer="0" w:header="0"/>
          <w:type w:val="continuous"/>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 an amendment of the stated purpose of the corporation, the introduction</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 authorized and conditional capital and the introduction of shares with</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preferential voting rights that require the approval by two-thirds of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votes and an absolute majority of the nominal value of the shares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represented at a shareholders’ meeting. The articles of association may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increase the voting thresholds.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82" w:lineRule="exact"/>
        <w:rPr>
          <w:sz w:val="20"/>
          <w:szCs w:val="20"/>
          <w:color w:val="auto"/>
        </w:rPr>
      </w:pPr>
    </w:p>
    <w:p>
      <w:pPr>
        <w:sectPr>
          <w:pgSz w:w="11900" w:h="16838" w:orient="portrait"/>
          <w:cols w:equalWidth="0" w:num="2">
            <w:col w:w="5780" w:space="28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52" w:lineRule="exact"/>
        <w:rPr>
          <w:sz w:val="20"/>
          <w:szCs w:val="20"/>
          <w:color w:val="auto"/>
        </w:rPr>
      </w:pPr>
    </w:p>
    <w:p>
      <w:pPr>
        <w:ind w:left="740" w:hanging="372"/>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130" w:lineRule="exact"/>
        <w:rPr>
          <w:rFonts w:ascii="Arial" w:cs="Arial" w:eastAsia="Arial" w:hAnsi="Arial"/>
          <w:sz w:val="18"/>
          <w:szCs w:val="18"/>
          <w:color w:val="auto"/>
        </w:rPr>
      </w:pPr>
    </w:p>
    <w:p>
      <w:pPr>
        <w:ind w:left="720" w:hanging="352"/>
        <w:spacing w:after="0" w:line="342" w:lineRule="auto"/>
        <w:tabs>
          <w:tab w:leader="none" w:pos="73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5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180" w:lineRule="exact"/>
        <w:rPr>
          <w:sz w:val="20"/>
          <w:szCs w:val="20"/>
          <w:color w:val="auto"/>
        </w:rPr>
      </w:pPr>
    </w:p>
    <w:p>
      <w:pPr>
        <w:sectPr>
          <w:pgSz w:w="11900" w:h="16838" w:orient="portrait"/>
          <w:cols w:equalWidth="0" w:num="2">
            <w:col w:w="5800" w:space="260"/>
            <w:col w:w="53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w:t>
      </w:r>
    </w:p>
    <w:p>
      <w:pPr>
        <w:spacing w:after="0" w:line="119" w:lineRule="exact"/>
        <w:rPr>
          <w:sz w:val="20"/>
          <w:szCs w:val="20"/>
          <w:color w:val="auto"/>
        </w:rPr>
      </w:pPr>
    </w:p>
    <w:p>
      <w:pPr>
        <w:sectPr>
          <w:pgSz w:w="11900" w:h="16838" w:orient="portrait"/>
          <w:cols w:equalWidth="0" w:num="2">
            <w:col w:w="5620" w:space="44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1420"/>
          </w:cols>
          <w:pgMar w:left="240" w:top="459" w:right="239"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value of shares represented. Authorized shares can be, once created by</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shareholder resolution, issued by the board of directors (subject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fulfillment of the authorization). Conditional shares are created and issued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through the exercise of options and conversion rights related to debt</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instruments issued by the board of directors or such rights issued to</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employees.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Prior to this offering, there was no public market for our common shares. Future sales of substantial amounts of our common shares in the public market could adversely affect market prices prevailing from time to time. Furthermore, because only a limited number of common shares will be available for sale shortly after this offering due to existing contractual and legal restrictions on resale as described below, there may be sales of substantial amounts of our common shares in the public market after such restrictions lapse. This may adversely affect the prevailing market price and our ability to raise equity capital in the future.</w:t>
      </w:r>
    </w:p>
    <w:p>
      <w:pPr>
        <w:spacing w:after="0" w:line="188"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color w:val="auto"/>
        </w:rPr>
        <w:t>Upon completion of this offering, we will have common shares outstanding assuming no exercise of the underwriter’s over-allotment option. Of these shares, common shares, or common shares if the underwriter exercises its option in full to purchase additional common shares, sold in</w:t>
      </w:r>
    </w:p>
    <w:p>
      <w:pPr>
        <w:spacing w:after="0"/>
        <w:rPr>
          <w:sz w:val="20"/>
          <w:szCs w:val="20"/>
          <w:color w:val="auto"/>
        </w:rPr>
      </w:pPr>
      <w:r>
        <w:rPr>
          <w:rFonts w:ascii="Arial" w:cs="Arial" w:eastAsia="Arial" w:hAnsi="Arial"/>
          <w:sz w:val="16"/>
          <w:szCs w:val="16"/>
          <w:color w:val="auto"/>
        </w:rPr>
        <w:t>this offering will be freely transferable without restriction or registration under the Securities Act, except for any common shares purchased by one of our</w:t>
      </w:r>
    </w:p>
    <w:p>
      <w:pPr>
        <w:spacing w:after="0" w:line="3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existing “affiliates,” as that term is defined in Rule 144 under the Securities Act. The remaining common shares outstanding are “restricted shares” as defined in Rule 144. Restricted shares may be sold in the public market only if registered or if they qualify for an exemption from registration under Rules 144 or 701 of the Securities Act. After the expiration of the contractual 180-day lock-up period described below, these common shares may be sold in the public market only if registered or pursuant to an exemption under Rules 144 or 701, which are summarized below.</w:t>
      </w:r>
    </w:p>
    <w:p>
      <w:pPr>
        <w:sectPr>
          <w:pgSz w:w="11900" w:h="16838" w:orient="portrait"/>
          <w:cols w:equalWidth="0" w:num="1">
            <w:col w:w="11400"/>
          </w:cols>
          <w:pgMar w:left="240" w:top="459" w:right="259" w:bottom="1440" w:gutter="0" w:footer="0" w:header="0"/>
        </w:sectPr>
      </w:pPr>
    </w:p>
    <w:p>
      <w:pPr>
        <w:spacing w:after="0" w:line="177" w:lineRule="exact"/>
        <w:rPr>
          <w:sz w:val="20"/>
          <w:szCs w:val="20"/>
          <w:color w:val="auto"/>
        </w:rPr>
      </w:pPr>
    </w:p>
    <w:p>
      <w:pPr>
        <w:ind w:left="460"/>
        <w:spacing w:after="0"/>
        <w:tabs>
          <w:tab w:leader="none" w:pos="3880" w:val="left"/>
        </w:tabs>
        <w:rPr>
          <w:sz w:val="20"/>
          <w:szCs w:val="20"/>
          <w:color w:val="auto"/>
        </w:rPr>
      </w:pPr>
      <w:r>
        <w:rPr>
          <w:rFonts w:ascii="Arial" w:cs="Arial" w:eastAsia="Arial" w:hAnsi="Arial"/>
          <w:sz w:val="18"/>
          <w:szCs w:val="18"/>
          <w:color w:val="auto"/>
        </w:rPr>
        <w:t>Additionally, of the options to purchase</w:t>
      </w:r>
      <w:r>
        <w:rPr>
          <w:sz w:val="20"/>
          <w:szCs w:val="20"/>
          <w:color w:val="auto"/>
        </w:rPr>
        <w:tab/>
      </w:r>
      <w:r>
        <w:rPr>
          <w:rFonts w:ascii="Arial" w:cs="Arial" w:eastAsia="Arial" w:hAnsi="Arial"/>
          <w:sz w:val="15"/>
          <w:szCs w:val="15"/>
          <w:color w:val="auto"/>
        </w:rPr>
        <w:t>common shares outstanding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no exercise of the underwriter’s option to purchase additional shares, options exercisable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180 days after the date of this prospectus.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hanging="305"/>
        <w:spacing w:after="0" w:line="342" w:lineRule="auto"/>
        <w:rPr>
          <w:sz w:val="20"/>
          <w:szCs w:val="20"/>
          <w:color w:val="auto"/>
        </w:rPr>
      </w:pPr>
      <w:r>
        <w:rPr>
          <w:rFonts w:ascii="Arial" w:cs="Arial" w:eastAsia="Arial" w:hAnsi="Arial"/>
          <w:sz w:val="16"/>
          <w:szCs w:val="16"/>
          <w:color w:val="auto"/>
        </w:rPr>
        <w:t>, 2015 and assuming no outstanding options are exercised common shares will be vested and eligible for sale</w:t>
      </w:r>
    </w:p>
    <w:p>
      <w:pPr>
        <w:spacing w:after="0" w:line="329" w:lineRule="exact"/>
        <w:rPr>
          <w:sz w:val="20"/>
          <w:szCs w:val="20"/>
          <w:color w:val="auto"/>
        </w:rPr>
      </w:pPr>
    </w:p>
    <w:p>
      <w:pPr>
        <w:sectPr>
          <w:pgSz w:w="11900" w:h="16838" w:orient="portrait"/>
          <w:cols w:equalWidth="0" w:num="2">
            <w:col w:w="6960" w:space="580"/>
            <w:col w:w="3860"/>
          </w:cols>
          <w:pgMar w:left="240" w:top="459" w:right="2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In general, a person who has beneficially owned our common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common shares for at least one year, then the requirement in clause (ii) will not apply to the sale.</w:t>
      </w:r>
    </w:p>
    <w:p>
      <w:pPr>
        <w:spacing w:after="0" w:line="15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Persons who have beneficially owned our common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400"/>
          </w:cols>
          <w:pgMar w:left="240" w:top="459" w:right="259" w:bottom="1440" w:gutter="0" w:footer="0" w:header="0"/>
          <w:type w:val="continuous"/>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our common shares then outstanding, which will equal approximately offering, assuming no exercise of the underwriter’s over-allotment option; 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common shares immediately after this</w:t>
      </w:r>
    </w:p>
    <w:p>
      <w:pPr>
        <w:spacing w:after="0" w:line="369" w:lineRule="exact"/>
        <w:rPr>
          <w:sz w:val="20"/>
          <w:szCs w:val="20"/>
          <w:color w:val="auto"/>
        </w:rPr>
      </w:pPr>
    </w:p>
    <w:p>
      <w:pPr>
        <w:sectPr>
          <w:pgSz w:w="11900" w:h="16838" w:orient="portrait"/>
          <w:cols w:equalWidth="0" w:num="3">
            <w:col w:w="520" w:space="380"/>
            <w:col w:w="6560" w:space="620"/>
            <w:col w:w="3320"/>
          </w:cols>
          <w:pgMar w:left="240" w:top="459" w:right="259" w:bottom="1440" w:gutter="0" w:footer="0" w:header="0"/>
          <w:type w:val="continuous"/>
        </w:sectPr>
      </w:pPr>
    </w:p>
    <w:p>
      <w:pPr>
        <w:ind w:left="900" w:right="28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NASDAQ during the four calendar weeks preceding the filing of a notice on Form 144 with respect to the sale;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in each case, that we are subject to, and in compliance with certain of, the Exchange Act periodic reporting requirements for at least 90 days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Such sales must also comply with the manner of sale and notice provisions of Rule 144.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share or option plan or other written agreement before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59" w:right="259" w:bottom="1440" w:gutter="0" w:footer="0" w:header="0"/>
          <w:type w:val="continuous"/>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the one-year minimum holding period requirement.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to Purchase Common Shares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common shares issued or issuable pursuant to the exercise of outstanding options and reserved for issuance under our new omnibus equity incentive plan. We expect to file the registration statements, which will become effective immediately upon filing, shortly after the date of this prospectus. Shares covered by these registration statements will then be eligible for sale in the public markets, subject to vesting restrictions and any applicable holding periods, any applicable lock-up agreements described below and Rule 144 limitations applicable to affiliates.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intend to enter into a registration rights agreement upon consummation of this offering pursuant to which we will agree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“Related Party Transactions—Registration Rights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All of our directors, executive officers and the holders of all or substantially all of our capital stock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shares or such other securities for a period of 180 days after the date of this prospectus without the prior written consent of Credit Suisse (USA) LLC. See “Underwriting.”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The following summary does not purport to address all tax consequences of this offering, the acquisition, the ownership and sale or other disposition of our common shares (such shares for the purposes of this “Taxation” section, “Shares”) and does not take into account the specific circumstances of any particular investor. This summary is based on the tax laws, regulations and regulatory practices of Switzerland and the U.S. as in effect on the date hereof, which are subject to change (or subject to changes in interpretation), possibly with retroactive effect.</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Current and prospective shareholders are advised to consult their own tax advisers in light of their particular circumstances as to the Swiss or U.S. tax laws, regulations and regulatory practices that could be relevant for them in connection with this offering, the acquiring, owning and selling or otherwise disposing of Shares and receiving dividends and similar cash or in-kind distributions on Shares (including dividends on liquidation proceeds and stock dividends) or distributions on Shares based upon a capital reduction (remboursements liés à la réduction de la valeur nominale des actions) or reserves paid out of capital contributions (apports de capital) and the consequences thereof under the tax laws, regulations and regulatory practices of Switzerland or the United States.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cantonal and communal individual income tax and corporate income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dividends on liquidation proceeds and stock dividends) (such dividends for the purposes of this,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w:t>
      </w:r>
      <w:r>
        <w:rPr>
          <w:rFonts w:ascii="Arial" w:cs="Arial" w:eastAsia="Arial" w:hAnsi="Arial"/>
          <w:sz w:val="17"/>
          <w:szCs w:val="17"/>
          <w:color w:val="auto"/>
        </w:rPr>
        <w:t xml:space="preserve"> </w:t>
      </w:r>
      <w:r>
        <w:rPr>
          <w:rFonts w:ascii="Arial" w:cs="Arial" w:eastAsia="Arial" w:hAnsi="Arial"/>
          <w:sz w:val="17"/>
          <w:szCs w:val="17"/>
          <w:i w:val="1"/>
          <w:iCs w:val="1"/>
          <w:color w:val="auto"/>
        </w:rPr>
        <w:t>de capital</w:t>
      </w:r>
      <w:r>
        <w:rPr>
          <w:rFonts w:ascii="Arial" w:cs="Arial" w:eastAsia="Arial" w:hAnsi="Arial"/>
          <w:sz w:val="17"/>
          <w:szCs w:val="17"/>
          <w:color w:val="auto"/>
        </w:rPr>
        <w:t>) on Shares, or capital gains realized on the sale or other disposition of Shares (see, however, “—S</w:t>
      </w:r>
      <w:r>
        <w:rPr>
          <w:rFonts w:ascii="Arial" w:cs="Arial" w:eastAsia="Arial" w:hAnsi="Arial"/>
          <w:sz w:val="17"/>
          <w:szCs w:val="17"/>
          <w:i w:val="1"/>
          <w:iCs w:val="1"/>
          <w:color w:val="auto"/>
        </w:rPr>
        <w:t xml:space="preserve">wiss Federal Withholding Tax” </w:t>
      </w:r>
      <w:r>
        <w:rPr>
          <w:rFonts w:ascii="Arial" w:cs="Arial" w:eastAsia="Arial" w:hAnsi="Arial"/>
          <w:sz w:val="17"/>
          <w:szCs w:val="17"/>
          <w:color w:val="auto"/>
        </w:rPr>
        <w:t>below for a</w:t>
      </w:r>
      <w:r>
        <w:rPr>
          <w:rFonts w:ascii="Arial" w:cs="Arial" w:eastAsia="Arial" w:hAnsi="Arial"/>
          <w:sz w:val="17"/>
          <w:szCs w:val="17"/>
          <w:i w:val="1"/>
          <w:iCs w:val="1"/>
          <w:color w:val="auto"/>
        </w:rPr>
        <w:t xml:space="preserve"> </w:t>
      </w:r>
      <w:r>
        <w:rPr>
          <w:rFonts w:ascii="Arial" w:cs="Arial" w:eastAsia="Arial" w:hAnsi="Arial"/>
          <w:sz w:val="17"/>
          <w:szCs w:val="17"/>
          <w:color w:val="auto"/>
        </w:rPr>
        <w:t>summary of Swiss federal withholding tax on Dividends, and “—</w:t>
      </w:r>
      <w:r>
        <w:rPr>
          <w:rFonts w:ascii="Arial" w:cs="Arial" w:eastAsia="Arial" w:hAnsi="Arial"/>
          <w:sz w:val="17"/>
          <w:szCs w:val="17"/>
          <w:i w:val="1"/>
          <w:iCs w:val="1"/>
          <w:color w:val="auto"/>
        </w:rPr>
        <w:t>Foreign final withholding tax”</w:t>
      </w:r>
      <w:r>
        <w:rPr>
          <w:rFonts w:ascii="Arial" w:cs="Arial" w:eastAsia="Arial" w:hAnsi="Arial"/>
          <w:sz w:val="17"/>
          <w:szCs w:val="17"/>
          <w:color w:val="auto"/>
        </w:rPr>
        <w:t xml:space="preserve"> below for a summary on final withholding taxes in respect of Shares held in Swiss accounts by Non-Resident Shareholders).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Swiss resident individuals who hold their Shares as private assets are required to include Dividends, but not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Capital gains resulting from the sale or other disposition of Shares are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below for a summary of the taxation treatment applicable to Swiss resident individuals, who, for income tax purposes, are classified as “professional securities dealers”.</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Domestic Commercial Shareholders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Corporate and individual shareholders who are resident in Switzerland for tax purposes, and corporate and individual shareholders who are not resident in Switzerland, and who, in each case, hold their Shares as part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7"/>
          <w:szCs w:val="17"/>
          <w:i w:val="1"/>
          <w:iCs w:val="1"/>
          <w:color w:val="auto"/>
        </w:rPr>
        <w:t>inter alia</w:t>
      </w:r>
      <w:r>
        <w:rPr>
          <w:rFonts w:ascii="Arial" w:cs="Arial" w:eastAsia="Arial" w:hAnsi="Arial"/>
          <w:sz w:val="17"/>
          <w:szCs w:val="17"/>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7"/>
          <w:szCs w:val="17"/>
          <w:i w:val="1"/>
          <w:iCs w:val="1"/>
          <w:color w:val="auto"/>
        </w:rPr>
        <w:t>réduction pour participations</w:t>
      </w:r>
      <w:r>
        <w:rPr>
          <w:rFonts w:ascii="Arial" w:cs="Arial" w:eastAsia="Arial" w:hAnsi="Arial"/>
          <w:sz w:val="17"/>
          <w:szCs w:val="17"/>
          <w:color w:val="auto"/>
        </w:rPr>
        <w:t>) in respect of Dividends and distributions based upon a capital reduction (</w:t>
      </w:r>
      <w:r>
        <w:rPr>
          <w:rFonts w:ascii="Arial" w:cs="Arial" w:eastAsia="Arial" w:hAnsi="Arial"/>
          <w:sz w:val="17"/>
          <w:szCs w:val="17"/>
          <w:i w:val="1"/>
          <w:iCs w:val="1"/>
          <w:color w:val="auto"/>
        </w:rPr>
        <w:t>remboursements liés à la réduction de la valeur</w:t>
      </w:r>
      <w:r>
        <w:rPr>
          <w:rFonts w:ascii="Arial" w:cs="Arial" w:eastAsia="Arial" w:hAnsi="Arial"/>
          <w:sz w:val="17"/>
          <w:szCs w:val="17"/>
          <w:color w:val="auto"/>
        </w:rPr>
        <w:t xml:space="preserve"> </w:t>
      </w:r>
      <w:r>
        <w:rPr>
          <w:rFonts w:ascii="Arial" w:cs="Arial" w:eastAsia="Arial" w:hAnsi="Arial"/>
          <w:sz w:val="17"/>
          <w:szCs w:val="17"/>
          <w:i w:val="1"/>
          <w:iCs w:val="1"/>
          <w:color w:val="auto"/>
        </w:rPr>
        <w:t>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if the Shares held by them as part of a Swiss business have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market value of at least CHF 1 million.</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reserves paid out of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Non-Resident Shareholder may be entitled to a partial refund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 the bilateral tax treaty between the U.S. and Switzerland is eligible for a partial refund of the amount of the withholding tax in excess of the 15% treaty rate, provided such shareholder: (i) qualifies for benefits under this treaty and qualifies as beneficial owner of the Dividends; (ii) holds, directly or indirectly, less than 10% of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voting stock of the Company; (iii) does not qualify as a pension scheme or retirement arrangement for the purpose of the bilateral treaty; and (iv) 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Company will be subject to and pay to the Swiss Federal Tax Administration a 1% Swiss federal issuance stamp tax (</w:t>
      </w:r>
      <w:r>
        <w:rPr>
          <w:rFonts w:ascii="Arial" w:cs="Arial" w:eastAsia="Arial" w:hAnsi="Arial"/>
          <w:sz w:val="17"/>
          <w:szCs w:val="17"/>
          <w:i w:val="1"/>
          <w:iCs w:val="1"/>
          <w:color w:val="auto"/>
        </w:rPr>
        <w:t>taxe sur les émissions</w:t>
      </w:r>
      <w:r>
        <w:rPr>
          <w:rFonts w:ascii="Arial" w:cs="Arial" w:eastAsia="Arial" w:hAnsi="Arial"/>
          <w:sz w:val="17"/>
          <w:szCs w:val="17"/>
          <w:color w:val="auto"/>
        </w:rPr>
        <w:t>) on the consideration received by it for the issuance of the Shares less certain costs incurred in connection with the issuance. The issuance of the Shares to the initial shareholders at the offering price is not subject to Swiss federal securities turnover tax (</w:t>
      </w:r>
      <w:r>
        <w:rPr>
          <w:rFonts w:ascii="Arial" w:cs="Arial" w:eastAsia="Arial" w:hAnsi="Arial"/>
          <w:sz w:val="17"/>
          <w:szCs w:val="17"/>
          <w:i w:val="1"/>
          <w:iCs w:val="1"/>
          <w:color w:val="auto"/>
        </w:rPr>
        <w:t>droit de timbre de négociation</w:t>
      </w:r>
      <w:r>
        <w:rPr>
          <w:rFonts w:ascii="Arial" w:cs="Arial" w:eastAsia="Arial" w:hAnsi="Arial"/>
          <w:sz w:val="17"/>
          <w:szCs w:val="17"/>
          <w:color w:val="auto"/>
        </w:rPr>
        <w: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turnover tax at an aggregate tax rate of up to 0.15% of the consideration paid for such Shares.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Foreign Final Withholding Tax</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January 1, 2013, treaties on final withholding taxes of Switzerland with the United Kingdom and Austria entered into force (each, a “Contracting State”). The treaties require a Swiss paying agent, as defined in the treaties, to levy a flat-rate final withholding tax (</w:t>
      </w:r>
      <w:r>
        <w:rPr>
          <w:rFonts w:ascii="Arial" w:cs="Arial" w:eastAsia="Arial" w:hAnsi="Arial"/>
          <w:sz w:val="17"/>
          <w:szCs w:val="17"/>
          <w:i w:val="1"/>
          <w:iCs w:val="1"/>
          <w:color w:val="auto"/>
        </w:rPr>
        <w:t>impôt libératoire</w:t>
      </w:r>
      <w:r>
        <w:rPr>
          <w:rFonts w:ascii="Arial" w:cs="Arial" w:eastAsia="Arial" w:hAnsi="Arial"/>
          <w:sz w:val="17"/>
          <w:szCs w:val="17"/>
          <w:color w:val="auto"/>
        </w:rPr>
        <w:t>) at rates specified in the treaties on certain capital gains and income items (interest, dividends, other income items, all as defined in the treaties), deriving from assets, including the Shares, held in accounts or deposits with a Swiss paying agent by (i) an individual resident in a Contracting State or, (ii) if certain requirements are met, by a domiciliary company (</w:t>
      </w:r>
      <w:r>
        <w:rPr>
          <w:rFonts w:ascii="Arial" w:cs="Arial" w:eastAsia="Arial" w:hAnsi="Arial"/>
          <w:sz w:val="17"/>
          <w:szCs w:val="17"/>
          <w:i w:val="1"/>
          <w:iCs w:val="1"/>
          <w:color w:val="auto"/>
        </w:rPr>
        <w:t>société de domicile</w:t>
      </w:r>
      <w:r>
        <w:rPr>
          <w:rFonts w:ascii="Arial" w:cs="Arial" w:eastAsia="Arial" w:hAnsi="Arial"/>
          <w:sz w:val="17"/>
          <w:szCs w:val="17"/>
          <w:color w:val="auto"/>
        </w:rPr>
        <w:t>), an insurance company in connection with a so-called insurance wrapper (</w:t>
      </w:r>
      <w:r>
        <w:rPr>
          <w:rFonts w:ascii="Arial" w:cs="Arial" w:eastAsia="Arial" w:hAnsi="Arial"/>
          <w:sz w:val="17"/>
          <w:szCs w:val="17"/>
          <w:i w:val="1"/>
          <w:iCs w:val="1"/>
          <w:color w:val="auto"/>
        </w:rPr>
        <w:t>contrat d’assurance vie utilisé comme</w:t>
      </w:r>
      <w:r>
        <w:rPr>
          <w:rFonts w:ascii="Arial" w:cs="Arial" w:eastAsia="Arial" w:hAnsi="Arial"/>
          <w:sz w:val="17"/>
          <w:szCs w:val="17"/>
          <w:color w:val="auto"/>
        </w:rPr>
        <w:t xml:space="preserve"> </w:t>
      </w:r>
      <w:r>
        <w:rPr>
          <w:rFonts w:ascii="Arial" w:cs="Arial" w:eastAsia="Arial" w:hAnsi="Arial"/>
          <w:sz w:val="17"/>
          <w:szCs w:val="17"/>
          <w:i w:val="1"/>
          <w:iCs w:val="1"/>
          <w:color w:val="auto"/>
        </w:rPr>
        <w:t>enveloppe</w:t>
      </w:r>
      <w:r>
        <w:rPr>
          <w:rFonts w:ascii="Arial" w:cs="Arial" w:eastAsia="Arial" w:hAnsi="Arial"/>
          <w:sz w:val="17"/>
          <w:szCs w:val="17"/>
          <w:color w:val="auto"/>
        </w:rPr>
        <w:t>) or other individuals if the beneficial owner is an individual resident in a Contracting State. The flat-rate tax withheld substitutes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respective capital gains and income items in the Contracting State where the individual is tax resident. In order to avoid the withholding of the flat-rate tax by the Swiss paying agent, such individuals may opt for a disclosure of the respective capital gains and income items to the tax authorities of the Contracting State where they are tax residents. If Swiss federal withholding tax of 35% has been withheld on dividends, the Swiss paying agent will—to the extent provided in the applicable bilateral treaty for the avoidance of double taxation between Switzerland and the Contracting State—in its own name and on behalf of the relevant shareholder file with the Swiss tax authorities a request for the partial refund of the Swiss federal withholding tax. The Swiss federal withholding tax, which is not refundable according to the bilateral tax treaty (residual tax), is credited against the flat-rate final withholding tax. Switzerland may conclude similar treaties with other European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the opinion of Davis Polk &amp; Wardwell LLP, the following is a description of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potential application of the provisions of the Code known as the Medicare contribution tax and tax consequences applicable to U.S. Holders subject to special rules, such as:</w:t>
      </w:r>
    </w:p>
    <w:p>
      <w:pPr>
        <w:spacing w:after="0" w:line="76"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voting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116"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For so long as our common shares are listed on NASDAQ or we are eligible for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60"/>
          </w:cols>
          <w:pgMar w:left="240" w:top="459" w:right="3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9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2014 taxable year and do not expect to be a PFIC in the immediately foreseeable future. However, there can be no assurance that the IRS will agree with our conclusion. In addition, whether we will be a PFIC in 2015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we were a PFIC for any taxable year during which a U.S. Holder held common shares (assuming such U.S. Holder has not made a timely mark-to-market election, as described below), gain recognized by a 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93"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If a U.S. Holder owns common shares during any year in which we are a PFIC, the holder generally must file annual reports containing such information as the U.S. Treasury may require on IRS Form 8621 (or any successor form) with respect to us, generally with the holder’s federal income tax return for that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pricing of this offering, we have agreed to sell to the underwriter named below the following number of common shares: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w:t>
            </w:r>
          </w:p>
        </w:tc>
        <w:tc>
          <w:tcPr>
            <w:tcW w:w="5100" w:type="dxa"/>
            <w:vAlign w:val="bottom"/>
          </w:tcPr>
          <w:p>
            <w:pPr>
              <w:jc w:val="center"/>
              <w:ind w:left="444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73"/>
        </w:trPr>
        <w:tc>
          <w:tcPr>
            <w:tcW w:w="5320" w:type="dxa"/>
            <w:vAlign w:val="bottom"/>
            <w:vMerge w:val="continue"/>
          </w:tcPr>
          <w:p>
            <w:pPr>
              <w:spacing w:after="0"/>
              <w:rPr>
                <w:sz w:val="15"/>
                <w:szCs w:val="15"/>
                <w:color w:val="auto"/>
              </w:rPr>
            </w:pPr>
          </w:p>
        </w:tc>
        <w:tc>
          <w:tcPr>
            <w:tcW w:w="5100" w:type="dxa"/>
            <w:vAlign w:val="bottom"/>
          </w:tcPr>
          <w:p>
            <w:pPr>
              <w:jc w:val="center"/>
              <w:ind w:left="4448"/>
              <w:spacing w:after="0"/>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4445</wp:posOffset>
            </wp:positionV>
            <wp:extent cx="47180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6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14605</wp:posOffset>
            </wp:positionV>
            <wp:extent cx="47180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31750</wp:posOffset>
            </wp:positionV>
            <wp:extent cx="4718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32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underwriting agreement provides that the underwriter is obligated to purchase all the common shares in this offering if any are purchased, other than those shares covered by the over-allotment option described below.</w:t>
      </w:r>
    </w:p>
    <w:p>
      <w:pPr>
        <w:spacing w:after="0" w:line="170"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We have granted to the underwriter a 30-day over-allotment option to purchase up to additional common shares from us at the initial public offering price less the underwriting discounts and commissions. The option may be exercised only to cover any over-allotments of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 proposed to offer the common shares initially at the public offering price on the cover page of this prospectus and to selling group</w:t>
      </w:r>
    </w:p>
    <w:p>
      <w:pPr>
        <w:spacing w:after="0" w:line="35"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members at that price less a selling concession not in excess of $ per share. The underwriter and selling group members may allow a discount of $ per share on sales to other broker/dealers. After the initial public offering the underwriter may change the initial public offering price and concession and discount to broker/dealers.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rPr>
              <w:t>Per Share</w:t>
            </w:r>
          </w:p>
        </w:tc>
        <w:tc>
          <w:tcPr>
            <w:tcW w:w="16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19"/>
        </w:trPr>
        <w:tc>
          <w:tcPr>
            <w:tcW w:w="72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Without</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r>
      <w:tr>
        <w:trPr>
          <w:trHeight w:val="149"/>
        </w:trPr>
        <w:tc>
          <w:tcPr>
            <w:tcW w:w="7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Over-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Over-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Over-</w:t>
            </w:r>
          </w:p>
        </w:tc>
        <w:tc>
          <w:tcPr>
            <w:tcW w:w="1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Over-</w:t>
            </w:r>
          </w:p>
        </w:tc>
      </w:tr>
      <w:tr>
        <w:trPr>
          <w:trHeight w:val="171"/>
        </w:trPr>
        <w:tc>
          <w:tcPr>
            <w:tcW w:w="72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allotment</w:t>
            </w:r>
          </w:p>
        </w:tc>
        <w:tc>
          <w:tcPr>
            <w:tcW w:w="16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allotment</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Underwriting discounts and commissions payable by us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80" w:type="dxa"/>
            <w:vAlign w:val="bottom"/>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estimate the expenses paid or payable by us in connection with this offering, other than the underwriting discounts and commissions referred to above, will be approximately $ .</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underwriter has informed us that it does not expect sales to accounts over which it has discretionary authority to exceed 5% of the common shares being offered.</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agreed that we will not offer, sell, contract to sell, pledge or otherwise dispose of, directly or indirectly, or file with the Securities and Exchange Commission a registration statement under the Securities Act of 1933, the Securities Act, relating to, any common shares or securities convertible into or exchangeable or exercisable for any common shares, or publicly disclose the intention to make any offer, sale, pledge, disposition or filing, without the prior written consent of Credit Suisse Securities (USA) LLC for a period of 180 days after the date of this prospectus, except issuances pursuant to the exercise of employee stock options outstanding on the date hereof or pursuant to our dividend reinvestment plan and in certain other limited circumstances.</w:t>
      </w:r>
    </w:p>
    <w:p>
      <w:pPr>
        <w:spacing w:after="0" w:line="158"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Our officers and directors and substantially all of our shareholders have agreed that they will not offer, subject to limited exceptions, sell, contract to sell, pledge or otherwise dispose of, directly or indirectly, any common shares or securities convertible into or exchangeable or exercisable for any common shares, enter into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transaction that would have the same effect, or enter into any swap, hedge or other arrangement that transfers, in whole or in part, any of the economic consequences of ownership of our common shares, whether any of these transactions are to be settled by delivery of our common shares or other securities, in cash or otherwise, or publicly disclose the intention to make any offer, sale, pledge or disposition, or to enter into any transaction, swap, hedge or other arrangement, without, in each case, the prior written consent of Credit Suisse Securities (USA) LLC for a period of 180 days after the date of this prospectus, subject to certain limited exceptions.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agreed to indemnify the underwriter against liabilities under the Securities Act, or contribute to payments that the underwriter may be required to make in that respect.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p>
    <w:p>
      <w:pPr>
        <w:spacing w:after="0" w:line="121" w:lineRule="exact"/>
        <w:rPr>
          <w:sz w:val="20"/>
          <w:szCs w:val="20"/>
          <w:color w:val="auto"/>
        </w:rPr>
      </w:pPr>
    </w:p>
    <w:p>
      <w:pPr>
        <w:ind w:left="460"/>
        <w:spacing w:after="0"/>
        <w:tabs>
          <w:tab w:leader="none" w:pos="6960" w:val="left"/>
        </w:tabs>
        <w:rPr>
          <w:sz w:val="20"/>
          <w:szCs w:val="20"/>
          <w:color w:val="auto"/>
        </w:rPr>
      </w:pPr>
      <w:r>
        <w:rPr>
          <w:rFonts w:ascii="Arial" w:cs="Arial" w:eastAsia="Arial" w:hAnsi="Arial"/>
          <w:sz w:val="18"/>
          <w:szCs w:val="18"/>
          <w:color w:val="auto"/>
        </w:rPr>
        <w:t>We intend to apply to list our common shares on the NASDAQ under the symbol “</w:t>
      </w:r>
      <w:r>
        <w:rPr>
          <w:sz w:val="20"/>
          <w:szCs w:val="20"/>
          <w:color w:val="auto"/>
        </w:rPr>
        <w:tab/>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connection with this offering the underwriter may engage in stabilizing transactions, over-allotment transactions, syndicate covering transactions, penalty bids and passive market making in accordance with Regulation M under the Exchange Act.</w:t>
      </w:r>
    </w:p>
    <w:p>
      <w:pPr>
        <w:spacing w:after="0" w:line="76"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right="60" w:hanging="446"/>
        <w:spacing w:after="0" w:line="255"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Over-allotment involves sales by the underwriter of shares in excess of the number of shares the underwriter is obligated to purchase, which creates a syndicate short position. The short position may be either a covered short position or a naked short position. In a covered short position, the number of shares over-allotted by the underwriter is not greater than the number of shares that they may purchase in the over-allotment option. In a naked short position, the number of shares involved is greater than the number of shares in the over-allotment option. The underwriter may close out any covered short position by either exercising their over-allotment option and/or purchasing shares in the open market.</w:t>
      </w:r>
    </w:p>
    <w:p>
      <w:pPr>
        <w:spacing w:after="0" w:line="98"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shares in the open market after the distribution has been completed in order to cover syndicate short positions. In determining the source of shares to close out the short position, the underwriter will consider, among other things, the price of shares available for purchase in the open market as compared to the price at which they may purchase shares through the over-allotment option. If the underwriter sells more shares than could be covered by the over-allotment option, a naked short position, the position can only be closed out by buying shares in the open market. A naked short position is more likely to be created if the underwriter is concerned that there could be downward pressure on the price of the shares in the open market after pricing that could adversely affect investors who purchase in this offering.</w:t>
      </w:r>
    </w:p>
    <w:p>
      <w:pPr>
        <w:spacing w:after="0" w:line="94"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common shares originally sold by the syndicate member are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passive market making, a market maker in the common shares who is an underwriter or prospective underwriter may, subject to limitations, make bids for or purchases of our common shares until the time, if any, at which a stabilizing bid is made.</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shares or preventing or retarding a decline in the market price of the common shares. As a result the price of our common shares may be higher than the price that might otherwise exist in the open market. These transactions may be effected on the NASDAQ and, if commenced, may be discontinued at any time.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 prospectus in electronic format will be made available on the web sites maintained by the underwriter, or selling group members, if any, participating in this offering. Internet distributions will be allocated by the underwriter and selling group members that will make internet distributions on the same basis as other allocations.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European Economic Area</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the underwriter represents and agrees that with effect from and including the date on which the Prospectus Directive is implemented in that Relevant Member State, or the Relevant Implementation Date, it has not made and will not make an offer of our common shares to the public in that Relevant Member State prior to the publication of a prospectus in relation to our common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our common shares to the public in that Relevant Member State at any time:</w:t>
      </w:r>
    </w:p>
    <w:p>
      <w:pPr>
        <w:spacing w:after="0" w:line="83"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900" w:right="140" w:hanging="446"/>
        <w:spacing w:after="0" w:line="264"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common shares shall require the publication by the issuer or the underwriter of a prospectus pursuant to Article 3 of the Prospectus Directive.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common shares in any Relevant Member State means the communication in any form and by any means of sufficient information on the terms of the offer and our common shares to be offered so as to enable an investor to decide to purchase or subscribe our common shares, as the same may be varied in that Relevant Member State by any measure implementing the Prospectus Directive in that Member State and the expression Prospectus Directive means Directive 2003/71/EC and (and amendments thereto, including Directive 2010/73/EU, to the extent implemented in each Relevant Member State) includes any relevant implementing measure in each Relevant Member State.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w:t>
      </w:r>
    </w:p>
    <w:p>
      <w:pPr>
        <w:spacing w:after="0" w:line="131" w:lineRule="exact"/>
        <w:rPr>
          <w:sz w:val="20"/>
          <w:szCs w:val="20"/>
          <w:color w:val="auto"/>
        </w:rPr>
      </w:pPr>
    </w:p>
    <w:p>
      <w:pPr>
        <w:ind w:left="900" w:right="20" w:hanging="446"/>
        <w:spacing w:after="0" w:line="312"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has only communicated or caused to be communicated and will only communicate or cause to be communicated any invitation or inducement to engage in investment activity within the meaning of section 21 of the Financial Services and Markets Act 2000, or FSMA, in connection with the sale or issue of the common shares in circumstances in which section 21 of FSMA does not apply to the underwriter; and</w:t>
      </w:r>
    </w:p>
    <w:p>
      <w:pPr>
        <w:spacing w:after="0" w:line="52" w:lineRule="exact"/>
        <w:rPr>
          <w:rFonts w:ascii="Arial" w:cs="Arial" w:eastAsia="Arial" w:hAnsi="Arial"/>
          <w:sz w:val="16"/>
          <w:szCs w:val="16"/>
          <w:color w:val="auto"/>
        </w:rPr>
      </w:pPr>
    </w:p>
    <w:p>
      <w:pPr>
        <w:ind w:left="900" w:right="8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has complied with, and will comply with all applicable provisions of FSMA with respect to anything done by it in relation to the common shares in, from or otherwise involving the United Kingdom.</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This prospectus is directed solely at persons who (i) are outside the United Kingdom, (ii) have professional experience in matters relating to investments or (iii) are persons falling within Article 49(2)(a) to (d) of The Financial Services and Markets Act (Financial Promotion) Order 2005 (all such persons together being referred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as Relevant Persons). This prospectus must not be acted on or relied on by persons who are not Relevant Persons. Any investment or investment activity to which this prospectus relates is available only to relevant persons and will be engaged in with Relevant Persons only.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shares or this offering may be publicly distributed or otherwise made publicly available in Switzerland. Neither this document nor any other offering or marketing material relating to this offering, the Company,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common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common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Where the Non-CIS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70" w:lineRule="exact"/>
        <w:rPr>
          <w:sz w:val="20"/>
          <w:szCs w:val="20"/>
          <w:color w:val="auto"/>
        </w:rPr>
      </w:pPr>
    </w:p>
    <w:p>
      <w:pPr>
        <w:ind w:left="900" w:right="50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 or its affiliates have a lending relationship with us, the underwriter or its affiliates may hedge, their credit exposure to us consistent with their customary risk management policies. Typically, the underwriter and its affiliates would hedge such exposure by entering into transactions which consist of either the purchase of credit default swaps or the creation of short positions in our securities or the securities of our affiliates, including potentially the common shares offered hereby. Any such credit default swaps or short positions could adversely affect future trading prices of the common shares offered hereby. The underwriter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72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r>
      <w:tr>
        <w:trPr>
          <w:trHeight w:val="210"/>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91"/>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To be provided by amendment.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amounts in the table are estimates except the U.S. Securities and Exchange Commission registration fee, the NASDAQ listing fee and the FINRA filing fee. The Company will pay all of the expenses of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validity of the common shares and certain other matters of Swiss law will be passed upon for us by Vischer AG. Certain matters of U.S. federal and New York State law will be passed upon for us by Davis Polk &amp; Wardwell LLP, New York, New York, and for the underwriter by Goodwin Procter LLP, Boston, Massachusetts.</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financial statements of AC Immune SA for the years ended December 31, 2014 and 2013 and for each of the years in the two-year period ended December 31, 2014, have been included herein in reliance upon the report of Ernst &amp; Young AG, independent registered public accounting firm, appearing elsewhere herein, and upon the authority of said firm as experts in accounting and auditing.</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320"/>
          </w:cols>
          <w:pgMar w:left="240" w:top="460" w:right="3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International Private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40"/>
          </w:cols>
          <w:pgMar w:left="240" w:top="459" w:right="3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You may review a copy of the registration statement, including exhibits and any schedule filed therewith, and obtain copies of such materials at the SEC’s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Upon completion of this offering, we will become subject to the informational requirements of the Exchange Act. Accordingly, we will be required to file reports and other information with the SEC, including annual reports on Form 20-F and reports on Form 6-K. Those reports may be inspected without charge at the locations described above.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although we intend to report our results of operations voluntarily on a quarterly basis.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380"/>
          </w:cols>
          <w:pgMar w:left="240" w:top="460" w:right="27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07"/>
        </w:trPr>
        <w:tc>
          <w:tcPr>
            <w:tcW w:w="976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6120" w:type="dxa"/>
            <w:vAlign w:val="bottom"/>
            <w:gridSpan w:val="10"/>
          </w:tcPr>
          <w:p>
            <w:pPr>
              <w:jc w:val="center"/>
              <w:ind w:right="1960"/>
              <w:spacing w:after="0"/>
              <w:rPr>
                <w:sz w:val="20"/>
                <w:szCs w:val="20"/>
                <w:color w:val="auto"/>
              </w:rPr>
            </w:pPr>
            <w:r>
              <w:rPr>
                <w:rFonts w:ascii="Arial" w:cs="Arial" w:eastAsia="Arial" w:hAnsi="Arial"/>
                <w:sz w:val="18"/>
                <w:szCs w:val="18"/>
                <w:b w:val="1"/>
                <w:bCs w:val="1"/>
                <w:color w:val="auto"/>
              </w:rPr>
              <w:t>INDEX TO FINANCIAL STATEMENTS</w:t>
            </w:r>
          </w:p>
        </w:tc>
        <w:tc>
          <w:tcPr>
            <w:tcW w:w="1560" w:type="dxa"/>
            <w:vAlign w:val="bottom"/>
          </w:tcPr>
          <w:p>
            <w:pPr>
              <w:spacing w:after="0"/>
              <w:rPr>
                <w:sz w:val="24"/>
                <w:szCs w:val="24"/>
                <w:color w:val="auto"/>
              </w:rPr>
            </w:pPr>
          </w:p>
        </w:tc>
      </w:tr>
      <w:tr>
        <w:trPr>
          <w:trHeight w:val="445"/>
        </w:trPr>
        <w:tc>
          <w:tcPr>
            <w:tcW w:w="9760" w:type="dxa"/>
            <w:vAlign w:val="bottom"/>
            <w:gridSpan w:val="12"/>
          </w:tcPr>
          <w:p>
            <w:pPr>
              <w:spacing w:after="0"/>
              <w:rPr>
                <w:sz w:val="20"/>
                <w:szCs w:val="20"/>
                <w:color w:val="auto"/>
              </w:rPr>
            </w:pPr>
            <w:r>
              <w:rPr>
                <w:rFonts w:ascii="Arial" w:cs="Arial" w:eastAsia="Arial" w:hAnsi="Arial"/>
                <w:sz w:val="18"/>
                <w:szCs w:val="18"/>
                <w:b w:val="1"/>
                <w:bCs w:val="1"/>
                <w:color w:val="auto"/>
              </w:rPr>
              <w:t>Unaudited Interim Condensed Financial Statements</w:t>
            </w:r>
          </w:p>
        </w:tc>
        <w:tc>
          <w:tcPr>
            <w:tcW w:w="1560" w:type="dxa"/>
            <w:vAlign w:val="bottom"/>
          </w:tcPr>
          <w:p>
            <w:pPr>
              <w:spacing w:after="0"/>
              <w:rPr>
                <w:sz w:val="24"/>
                <w:szCs w:val="24"/>
                <w:color w:val="auto"/>
              </w:rPr>
            </w:pPr>
          </w:p>
        </w:tc>
      </w:tr>
      <w:tr>
        <w:trPr>
          <w:trHeight w:val="190"/>
        </w:trPr>
        <w:tc>
          <w:tcPr>
            <w:tcW w:w="9760" w:type="dxa"/>
            <w:vAlign w:val="bottom"/>
            <w:gridSpan w:val="12"/>
          </w:tcPr>
          <w:p>
            <w:pPr>
              <w:spacing w:after="0" w:line="190" w:lineRule="exact"/>
              <w:rPr>
                <w:rFonts w:ascii="Arial" w:cs="Arial" w:eastAsia="Arial" w:hAnsi="Arial"/>
                <w:sz w:val="18"/>
                <w:szCs w:val="18"/>
                <w:color w:val="0000EE"/>
              </w:rPr>
            </w:pPr>
            <w:hyperlink w:anchor="page187">
              <w:r>
                <w:rPr>
                  <w:rFonts w:ascii="Arial" w:cs="Arial" w:eastAsia="Arial" w:hAnsi="Arial"/>
                  <w:sz w:val="18"/>
                  <w:szCs w:val="18"/>
                  <w:color w:val="0000EE"/>
                </w:rPr>
                <w:t>Balance Sheets as at June 30, 2015 and December 31, 2014</w:t>
              </w:r>
            </w:hyperlink>
          </w:p>
        </w:tc>
        <w:tc>
          <w:tcPr>
            <w:tcW w:w="156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760" w:type="dxa"/>
            <w:vAlign w:val="bottom"/>
            <w:gridSpan w:val="12"/>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Income Statements and Statements of Comprehensive Income for the Six Months Ended June 30, 2015 and 2014</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89">
              <w:r>
                <w:rPr>
                  <w:rFonts w:ascii="Arial" w:cs="Arial" w:eastAsia="Arial" w:hAnsi="Arial"/>
                  <w:sz w:val="18"/>
                  <w:szCs w:val="18"/>
                  <w:color w:val="0000EE"/>
                  <w:w w:val="90"/>
                </w:rPr>
                <w:t>Statements of Changes in Equity for the Six Months Ended June 30, 2015 and 2014</w:t>
              </w:r>
            </w:hyperlink>
          </w:p>
        </w:tc>
        <w:tc>
          <w:tcPr>
            <w:tcW w:w="2100" w:type="dxa"/>
            <w:vAlign w:val="bottom"/>
            <w:tcBorders>
              <w:top w:val="single" w:sz="8" w:color="0000EE"/>
            </w:tcBorders>
            <w:gridSpan w:val="4"/>
          </w:tcPr>
          <w:p>
            <w:pPr>
              <w:spacing w:after="0"/>
              <w:rPr>
                <w:sz w:val="17"/>
                <w:szCs w:val="17"/>
                <w:color w:val="auto"/>
              </w:rPr>
            </w:pPr>
          </w:p>
        </w:tc>
        <w:tc>
          <w:tcPr>
            <w:tcW w:w="1620" w:type="dxa"/>
            <w:vAlign w:val="bottom"/>
            <w:gridSpan w:val="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9760" w:type="dxa"/>
            <w:vAlign w:val="bottom"/>
            <w:gridSpan w:val="12"/>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Statements of Cash Flows for the Six Months Ended June 30, 2015 and 2014</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7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91">
              <w:r>
                <w:rPr>
                  <w:rFonts w:ascii="Arial" w:cs="Arial" w:eastAsia="Arial" w:hAnsi="Arial"/>
                  <w:sz w:val="18"/>
                  <w:szCs w:val="18"/>
                  <w:color w:val="0000EE"/>
                  <w:w w:val="89"/>
                </w:rPr>
                <w:t>Notes to the Interim Condensed Financial Statements for the Six Months Ended June 30, 2015 and 2014</w:t>
              </w:r>
            </w:hyperlink>
          </w:p>
        </w:tc>
        <w:tc>
          <w:tcPr>
            <w:tcW w:w="2240" w:type="dxa"/>
            <w:vAlign w:val="bottom"/>
            <w:gridSpan w:val="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330"/>
        </w:trPr>
        <w:tc>
          <w:tcPr>
            <w:tcW w:w="976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1560" w:type="dxa"/>
            <w:vAlign w:val="bottom"/>
          </w:tcPr>
          <w:p>
            <w:pPr>
              <w:spacing w:after="0"/>
              <w:rPr>
                <w:sz w:val="24"/>
                <w:szCs w:val="24"/>
                <w:color w:val="auto"/>
              </w:rPr>
            </w:pPr>
          </w:p>
        </w:tc>
      </w:tr>
      <w:tr>
        <w:trPr>
          <w:trHeight w:val="190"/>
        </w:trPr>
        <w:tc>
          <w:tcPr>
            <w:tcW w:w="9760" w:type="dxa"/>
            <w:vAlign w:val="bottom"/>
            <w:gridSpan w:val="12"/>
          </w:tcPr>
          <w:p>
            <w:pPr>
              <w:spacing w:after="0" w:line="190" w:lineRule="exact"/>
              <w:rPr>
                <w:rFonts w:ascii="Arial" w:cs="Arial" w:eastAsia="Arial" w:hAnsi="Arial"/>
                <w:sz w:val="18"/>
                <w:szCs w:val="18"/>
                <w:color w:val="0000EE"/>
              </w:rPr>
            </w:pPr>
            <w:hyperlink w:anchor="page197">
              <w:r>
                <w:rPr>
                  <w:rFonts w:ascii="Arial" w:cs="Arial" w:eastAsia="Arial" w:hAnsi="Arial"/>
                  <w:sz w:val="18"/>
                  <w:szCs w:val="18"/>
                  <w:color w:val="0000EE"/>
                </w:rPr>
                <w:t>Report of Independent Registered Public Accounting Firm</w:t>
              </w:r>
            </w:hyperlink>
          </w:p>
        </w:tc>
        <w:tc>
          <w:tcPr>
            <w:tcW w:w="1560" w:type="dxa"/>
            <w:vAlign w:val="bottom"/>
          </w:tcPr>
          <w:p>
            <w:pPr>
              <w:jc w:val="right"/>
              <w:spacing w:after="0" w:line="190" w:lineRule="exact"/>
              <w:rPr>
                <w:sz w:val="20"/>
                <w:szCs w:val="20"/>
                <w:color w:val="auto"/>
              </w:rPr>
            </w:pPr>
            <w:r>
              <w:rPr>
                <w:rFonts w:ascii="Arial" w:cs="Arial" w:eastAsia="Arial" w:hAnsi="Arial"/>
                <w:sz w:val="18"/>
                <w:szCs w:val="18"/>
                <w:color w:val="auto"/>
              </w:rPr>
              <w:t>F-12</w:t>
            </w:r>
          </w:p>
        </w:tc>
      </w:tr>
      <w:tr>
        <w:trPr>
          <w:trHeight w:val="196"/>
        </w:trPr>
        <w:tc>
          <w:tcPr>
            <w:tcW w:w="4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Balance Sheets as at December 31, 2014 and 2013</w:t>
              </w:r>
            </w:hyperlink>
          </w:p>
        </w:tc>
        <w:tc>
          <w:tcPr>
            <w:tcW w:w="5480" w:type="dxa"/>
            <w:vAlign w:val="bottom"/>
            <w:gridSpan w:val="9"/>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760" w:type="dxa"/>
            <w:vAlign w:val="bottom"/>
            <w:gridSpan w:val="12"/>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Income Statements and Statements of Comprehensive Income for the fiscal years ended December 31, 2014 and 2013</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6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200">
              <w:r>
                <w:rPr>
                  <w:rFonts w:ascii="Arial" w:cs="Arial" w:eastAsia="Arial" w:hAnsi="Arial"/>
                  <w:sz w:val="18"/>
                  <w:szCs w:val="18"/>
                  <w:color w:val="0000EE"/>
                  <w:w w:val="89"/>
                </w:rPr>
                <w:t>Statements of Changes in Equity for the fiscal years ended December 31, 2014 and 2013</w:t>
              </w:r>
            </w:hyperlink>
          </w:p>
        </w:tc>
        <w:tc>
          <w:tcPr>
            <w:tcW w:w="2140" w:type="dxa"/>
            <w:vAlign w:val="bottom"/>
            <w:tcBorders>
              <w:top w:val="single" w:sz="8" w:color="0000EE"/>
            </w:tcBorders>
            <w:gridSpan w:val="4"/>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196"/>
        </w:trPr>
        <w:tc>
          <w:tcPr>
            <w:tcW w:w="9760" w:type="dxa"/>
            <w:vAlign w:val="bottom"/>
            <w:gridSpan w:val="12"/>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Statements of Cash Flows for the fiscal years ended December 31, 2014 and 2013</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r>
      <w:tr>
        <w:trPr>
          <w:trHeight w:val="20"/>
        </w:trPr>
        <w:tc>
          <w:tcPr>
            <w:tcW w:w="5900" w:type="dxa"/>
            <w:vAlign w:val="bottom"/>
            <w:gridSpan w:val="5"/>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02">
              <w:r>
                <w:rPr>
                  <w:rFonts w:ascii="Arial" w:cs="Arial" w:eastAsia="Arial" w:hAnsi="Arial"/>
                  <w:sz w:val="18"/>
                  <w:szCs w:val="18"/>
                  <w:color w:val="0000EE"/>
                  <w:w w:val="89"/>
                </w:rPr>
                <w:t>Notes to the Financial Statements for the fiscal years ended December 31, 2014 and 2013</w:t>
              </w:r>
            </w:hyperlink>
          </w:p>
        </w:tc>
        <w:tc>
          <w:tcPr>
            <w:tcW w:w="3300" w:type="dxa"/>
            <w:vAlign w:val="bottom"/>
            <w:gridSpan w:val="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r>
      <w:tr>
        <w:trPr>
          <w:trHeight w:val="385"/>
        </w:trPr>
        <w:tc>
          <w:tcPr>
            <w:tcW w:w="1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20" w:type="dxa"/>
            <w:vAlign w:val="bottom"/>
            <w:gridSpan w:val="8"/>
          </w:tcPr>
          <w:p>
            <w:pPr>
              <w:jc w:val="center"/>
              <w:ind w:right="3880"/>
              <w:spacing w:after="0"/>
              <w:rPr>
                <w:sz w:val="20"/>
                <w:szCs w:val="20"/>
                <w:color w:val="auto"/>
              </w:rPr>
            </w:pPr>
            <w:r>
              <w:rPr>
                <w:rFonts w:ascii="Arial" w:cs="Arial" w:eastAsia="Arial" w:hAnsi="Arial"/>
                <w:sz w:val="18"/>
                <w:szCs w:val="18"/>
                <w:color w:val="auto"/>
                <w:w w:val="96"/>
              </w:rPr>
              <w:t>F-1</w:t>
            </w:r>
          </w:p>
        </w:tc>
        <w:tc>
          <w:tcPr>
            <w:tcW w:w="1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0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7"/>
              </w:rPr>
              <w:t>Notes</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As at June 30,</w:t>
            </w:r>
          </w:p>
        </w:tc>
        <w:tc>
          <w:tcPr>
            <w:tcW w:w="1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60" w:type="dxa"/>
            <w:vAlign w:val="bottom"/>
          </w:tcPr>
          <w:p>
            <w:pPr>
              <w:ind w:left="300"/>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4"/>
                <w:szCs w:val="14"/>
                <w:color w:val="auto"/>
              </w:rPr>
            </w:pPr>
          </w:p>
        </w:tc>
        <w:tc>
          <w:tcPr>
            <w:tcW w:w="15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&amp; Intangible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Financial assets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w:t>
            </w: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291"/>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income</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14,159</w:t>
            </w: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8</w:t>
            </w:r>
          </w:p>
        </w:tc>
        <w:tc>
          <w:tcPr>
            <w:tcW w:w="860" w:type="dxa"/>
            <w:vAlign w:val="bottom"/>
          </w:tcPr>
          <w:p>
            <w:pPr>
              <w:jc w:val="right"/>
              <w:spacing w:after="0"/>
              <w:rPr>
                <w:sz w:val="20"/>
                <w:szCs w:val="20"/>
                <w:color w:val="auto"/>
              </w:rPr>
            </w:pPr>
            <w:r>
              <w:rPr>
                <w:rFonts w:ascii="Arial" w:cs="Arial" w:eastAsia="Arial" w:hAnsi="Arial"/>
                <w:sz w:val="18"/>
                <w:szCs w:val="18"/>
                <w:color w:val="auto"/>
              </w:rPr>
              <w:t>19,355</w:t>
            </w:r>
          </w:p>
        </w:tc>
        <w:tc>
          <w:tcPr>
            <w:tcW w:w="4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34,371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34,976</w:t>
            </w:r>
          </w:p>
        </w:tc>
        <w:tc>
          <w:tcPr>
            <w:tcW w:w="400" w:type="dxa"/>
            <w:vAlign w:val="bottom"/>
          </w:tcPr>
          <w:p>
            <w:pPr>
              <w:spacing w:after="0"/>
              <w:rPr>
                <w:sz w:val="24"/>
                <w:szCs w:val="24"/>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30,296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Share premium</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83,077</w:t>
            </w:r>
          </w:p>
        </w:tc>
        <w:tc>
          <w:tcPr>
            <w:tcW w:w="4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83,068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(54,928)</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(60,455)</w:t>
            </w:r>
          </w:p>
        </w:tc>
        <w:tc>
          <w:tcPr>
            <w:tcW w:w="0" w:type="dxa"/>
            <w:vAlign w:val="bottom"/>
          </w:tcPr>
          <w:p>
            <w:pPr>
              <w:spacing w:after="0"/>
              <w:rPr>
                <w:sz w:val="1"/>
                <w:szCs w:val="1"/>
                <w:color w:val="auto"/>
              </w:rPr>
            </w:pPr>
          </w:p>
        </w:tc>
      </w:tr>
      <w:tr>
        <w:trPr>
          <w:trHeight w:val="291"/>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29,004</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2,994</w:t>
            </w:r>
          </w:p>
        </w:tc>
        <w:tc>
          <w:tcPr>
            <w:tcW w:w="4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2,994</w:t>
            </w: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2,410</w:t>
            </w:r>
          </w:p>
        </w:tc>
        <w:tc>
          <w:tcPr>
            <w:tcW w:w="0" w:type="dxa"/>
            <w:vAlign w:val="bottom"/>
          </w:tcPr>
          <w:p>
            <w:pPr>
              <w:spacing w:after="0"/>
              <w:rPr>
                <w:sz w:val="1"/>
                <w:szCs w:val="1"/>
                <w:color w:val="auto"/>
              </w:rPr>
            </w:pPr>
          </w:p>
        </w:tc>
      </w:tr>
      <w:tr>
        <w:trPr>
          <w:trHeight w:val="291"/>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expenses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8</w:t>
            </w:r>
          </w:p>
        </w:tc>
        <w:tc>
          <w:tcPr>
            <w:tcW w:w="860" w:type="dxa"/>
            <w:vAlign w:val="bottom"/>
          </w:tcPr>
          <w:p>
            <w:pPr>
              <w:jc w:val="right"/>
              <w:spacing w:after="0"/>
              <w:rPr>
                <w:sz w:val="20"/>
                <w:szCs w:val="20"/>
                <w:color w:val="auto"/>
              </w:rPr>
            </w:pPr>
            <w:r>
              <w:rPr>
                <w:rFonts w:ascii="Arial" w:cs="Arial" w:eastAsia="Arial" w:hAnsi="Arial"/>
                <w:sz w:val="18"/>
                <w:szCs w:val="18"/>
                <w:color w:val="auto"/>
              </w:rPr>
              <w:t>2,290</w:t>
            </w:r>
          </w:p>
        </w:tc>
        <w:tc>
          <w:tcPr>
            <w:tcW w:w="4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2,978</w:t>
            </w:r>
          </w:p>
        </w:tc>
        <w:tc>
          <w:tcPr>
            <w:tcW w:w="400" w:type="dxa"/>
            <w:vAlign w:val="bottom"/>
          </w:tcPr>
          <w:p>
            <w:pPr>
              <w:spacing w:after="0"/>
              <w:rPr>
                <w:sz w:val="24"/>
                <w:szCs w:val="24"/>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4,419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5,972</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34,976</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108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87"/>
              </w:rPr>
              <w:t>Notes</w:t>
            </w:r>
          </w:p>
        </w:tc>
        <w:tc>
          <w:tcPr>
            <w:tcW w:w="28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750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left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Contract revenue</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720" w:type="dxa"/>
            <w:vAlign w:val="bottom"/>
            <w:gridSpan w:val="3"/>
          </w:tcPr>
          <w:p>
            <w:pPr>
              <w:jc w:val="right"/>
              <w:ind w:right="720"/>
              <w:spacing w:after="0"/>
              <w:rPr>
                <w:sz w:val="20"/>
                <w:szCs w:val="20"/>
                <w:color w:val="auto"/>
              </w:rPr>
            </w:pPr>
            <w:r>
              <w:rPr>
                <w:rFonts w:ascii="Arial" w:cs="Arial" w:eastAsia="Arial" w:hAnsi="Arial"/>
                <w:sz w:val="18"/>
                <w:szCs w:val="18"/>
                <w:color w:val="auto"/>
              </w:rPr>
              <w:t>14,401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14,401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4,060</w:t>
            </w:r>
          </w:p>
        </w:tc>
        <w:tc>
          <w:tcPr>
            <w:tcW w:w="0" w:type="dxa"/>
            <w:vAlign w:val="bottom"/>
          </w:tcPr>
          <w:p>
            <w:pPr>
              <w:spacing w:after="0"/>
              <w:rPr>
                <w:sz w:val="1"/>
                <w:szCs w:val="1"/>
                <w:color w:val="auto"/>
              </w:rPr>
            </w:pPr>
          </w:p>
        </w:tc>
      </w:tr>
      <w:tr>
        <w:trPr>
          <w:trHeight w:val="291"/>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(7,190)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(1,742)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(8,932)</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(8,683)</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 (loss)</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5,469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(4,623)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122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154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 (loss) before tax</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5,623</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Income tax expense</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72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 (loss) for the period</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5,623</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(4,619)</w:t>
            </w:r>
          </w:p>
        </w:tc>
        <w:tc>
          <w:tcPr>
            <w:tcW w:w="0" w:type="dxa"/>
            <w:vAlign w:val="bottom"/>
          </w:tcPr>
          <w:p>
            <w:pPr>
              <w:spacing w:after="0"/>
              <w:rPr>
                <w:sz w:val="1"/>
                <w:szCs w:val="1"/>
                <w:color w:val="auto"/>
              </w:rPr>
            </w:pPr>
          </w:p>
        </w:tc>
      </w:tr>
      <w:tr>
        <w:trPr>
          <w:trHeight w:val="291"/>
        </w:trPr>
        <w:tc>
          <w:tcPr>
            <w:tcW w:w="7500" w:type="dxa"/>
            <w:vAlign w:val="bottom"/>
            <w:gridSpan w:val="2"/>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32.90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Diluted, income/(loss) for the period attributable to equity holders</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right"/>
              <w:ind w:right="720"/>
              <w:spacing w:after="0"/>
              <w:rPr>
                <w:sz w:val="20"/>
                <w:szCs w:val="20"/>
                <w:color w:val="auto"/>
              </w:rPr>
            </w:pPr>
            <w:r>
              <w:rPr>
                <w:rFonts w:ascii="Arial" w:cs="Arial" w:eastAsia="Arial" w:hAnsi="Arial"/>
                <w:sz w:val="18"/>
                <w:szCs w:val="18"/>
                <w:color w:val="auto"/>
              </w:rPr>
              <w:t>30.98</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170,901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3"/>
          </w:tcPr>
          <w:p>
            <w:pPr>
              <w:jc w:val="right"/>
              <w:ind w:right="720"/>
              <w:spacing w:after="0"/>
              <w:rPr>
                <w:sz w:val="20"/>
                <w:szCs w:val="20"/>
                <w:color w:val="auto"/>
              </w:rPr>
            </w:pPr>
            <w:r>
              <w:rPr>
                <w:rFonts w:ascii="Arial" w:cs="Arial" w:eastAsia="Arial" w:hAnsi="Arial"/>
                <w:sz w:val="18"/>
                <w:szCs w:val="18"/>
                <w:color w:val="auto"/>
              </w:rPr>
              <w:t>181,514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185,786</w:t>
            </w:r>
          </w:p>
        </w:tc>
        <w:tc>
          <w:tcPr>
            <w:tcW w:w="0" w:type="dxa"/>
            <w:vAlign w:val="bottom"/>
          </w:tcPr>
          <w:p>
            <w:pPr>
              <w:spacing w:after="0"/>
              <w:rPr>
                <w:sz w:val="1"/>
                <w:szCs w:val="1"/>
                <w:color w:val="auto"/>
              </w:rPr>
            </w:pPr>
          </w:p>
        </w:tc>
      </w:tr>
      <w:tr>
        <w:trPr>
          <w:trHeight w:val="526"/>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Statements of Other Comprehensive Income</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For the Six Months Ended June 30,</w:t>
            </w:r>
          </w:p>
        </w:tc>
        <w:tc>
          <w:tcPr>
            <w:tcW w:w="0" w:type="dxa"/>
            <w:vAlign w:val="bottom"/>
          </w:tcPr>
          <w:p>
            <w:pPr>
              <w:spacing w:after="0"/>
              <w:rPr>
                <w:sz w:val="1"/>
                <w:szCs w:val="1"/>
                <w:color w:val="auto"/>
              </w:rPr>
            </w:pPr>
          </w:p>
        </w:tc>
      </w:tr>
      <w:tr>
        <w:trPr>
          <w:trHeight w:val="142"/>
        </w:trPr>
        <w:tc>
          <w:tcPr>
            <w:tcW w:w="75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 (loss)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5,623</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80" w:type="dxa"/>
            <w:vAlign w:val="bottom"/>
          </w:tcPr>
          <w:p>
            <w:pPr>
              <w:spacing w:after="0" w:line="198" w:lineRule="exact"/>
              <w:rPr>
                <w:sz w:val="20"/>
                <w:szCs w:val="20"/>
                <w:color w:val="auto"/>
              </w:rPr>
            </w:pPr>
            <w:r>
              <w:rPr>
                <w:rFonts w:ascii="Arial" w:cs="Arial" w:eastAsia="Arial" w:hAnsi="Arial"/>
                <w:sz w:val="18"/>
                <w:szCs w:val="18"/>
                <w:b w:val="1"/>
                <w:bCs w:val="1"/>
                <w:color w:val="auto"/>
                <w:w w:val="87"/>
              </w:rPr>
              <w:t>Other comprehensive income not to be reclassified to income or loss in subsequent periods (net of</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b w:val="1"/>
                <w:bCs w:val="1"/>
                <w:color w:val="auto"/>
              </w:rPr>
              <w:t>tax)</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gains / (losses) on defined benefit plans</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 net of tax</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5,121</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Share</w:t>
            </w: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00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premium</w:t>
            </w: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2"/>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73,211</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(70,092)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color w:val="auto"/>
              </w:rPr>
              <w:t>Income / (loss) for the period</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(4,619)</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i w:val="1"/>
                <w:iCs w:val="1"/>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i w:val="1"/>
                <w:iCs w:val="1"/>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i w:val="1"/>
                <w:iCs w:val="1"/>
                <w:color w:val="auto"/>
              </w:rPr>
              <w:t>Total Comprehensive income / (loss)</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i w:val="1"/>
                <w:iCs w:val="1"/>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i w:val="1"/>
                <w:iCs w:val="1"/>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(5,434)</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(5,434)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9,848</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9,846</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853</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83,059</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(75,424)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8,488</w:t>
            </w:r>
          </w:p>
        </w:tc>
        <w:tc>
          <w:tcPr>
            <w:tcW w:w="0" w:type="dxa"/>
            <w:vAlign w:val="bottom"/>
          </w:tcPr>
          <w:p>
            <w:pPr>
              <w:spacing w:after="0"/>
              <w:rPr>
                <w:sz w:val="1"/>
                <w:szCs w:val="1"/>
                <w:color w:val="auto"/>
              </w:rPr>
            </w:pPr>
          </w:p>
        </w:tc>
      </w:tr>
      <w:tr>
        <w:trPr>
          <w:trHeight w:val="416"/>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82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91"/>
              </w:rPr>
              <w:t>Share capital</w:t>
            </w:r>
          </w:p>
        </w:tc>
        <w:tc>
          <w:tcPr>
            <w:tcW w:w="500" w:type="dxa"/>
            <w:vAlign w:val="bottom"/>
            <w:vMerge w:val="restart"/>
          </w:tcPr>
          <w:p>
            <w:pPr>
              <w:spacing w:after="0"/>
              <w:rPr>
                <w:sz w:val="24"/>
                <w:szCs w:val="24"/>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500" w:type="dxa"/>
            <w:vAlign w:val="bottom"/>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520" w:type="dxa"/>
            <w:vAlign w:val="bottom"/>
          </w:tcPr>
          <w:p>
            <w:pPr>
              <w:spacing w:after="0"/>
              <w:rPr>
                <w:sz w:val="24"/>
                <w:szCs w:val="24"/>
                <w:color w:val="auto"/>
              </w:rPr>
            </w:pPr>
          </w:p>
        </w:tc>
        <w:tc>
          <w:tcPr>
            <w:tcW w:w="5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0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premium</w:t>
            </w: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2"/>
              </w:rPr>
              <w:t>losses</w:t>
            </w:r>
          </w:p>
        </w:tc>
        <w:tc>
          <w:tcPr>
            <w:tcW w:w="5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854</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83,068</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Income / (loss) for the period</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5,623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i w:val="1"/>
                <w:iCs w:val="1"/>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i w:val="1"/>
                <w:iCs w:val="1"/>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i w:val="1"/>
                <w:iCs w:val="1"/>
                <w:color w:val="auto"/>
              </w:rPr>
              <w:t>Total Comprehensive income / (loss)</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i w:val="1"/>
                <w:iCs w:val="1"/>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i w:val="1"/>
                <w:iCs w:val="1"/>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5,121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5,121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2015</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855</w:t>
            </w:r>
          </w:p>
        </w:tc>
        <w:tc>
          <w:tcPr>
            <w:tcW w:w="5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83,077</w:t>
            </w:r>
          </w:p>
        </w:tc>
        <w:tc>
          <w:tcPr>
            <w:tcW w:w="500" w:type="dxa"/>
            <w:vAlign w:val="bottom"/>
          </w:tcPr>
          <w:p>
            <w:pPr>
              <w:spacing w:after="0"/>
              <w:rPr>
                <w:sz w:val="24"/>
                <w:szCs w:val="2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(54,928)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29,004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29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8460" w:type="dxa"/>
            <w:vAlign w:val="bottom"/>
            <w:gridSpan w:val="2"/>
            <w:vMerge w:val="continue"/>
          </w:tcPr>
          <w:p>
            <w:pPr>
              <w:spacing w:after="0"/>
              <w:rPr>
                <w:sz w:val="12"/>
                <w:szCs w:val="12"/>
                <w:color w:val="auto"/>
              </w:rPr>
            </w:pPr>
          </w:p>
        </w:tc>
        <w:tc>
          <w:tcPr>
            <w:tcW w:w="98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8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9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Income / (loss) for the period</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5,623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income/(loss) for the period to net cash flows:</w:t>
            </w: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141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(154)</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406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(421)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11,776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(340)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(935)</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440" w:type="dxa"/>
            <w:vAlign w:val="bottom"/>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16,002</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32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costs</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Exchange differences-gain, on payables / receivables</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25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440" w:type="dxa"/>
            <w:vAlign w:val="bottom"/>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 (used in) operating activities</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16,059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(9,152)</w:t>
            </w:r>
          </w:p>
        </w:tc>
        <w:tc>
          <w:tcPr>
            <w:tcW w:w="0" w:type="dxa"/>
            <w:vAlign w:val="bottom"/>
          </w:tcPr>
          <w:p>
            <w:pPr>
              <w:spacing w:after="0"/>
              <w:rPr>
                <w:sz w:val="1"/>
                <w:szCs w:val="1"/>
                <w:color w:val="auto"/>
              </w:rPr>
            </w:pPr>
          </w:p>
        </w:tc>
      </w:tr>
      <w:tr>
        <w:trPr>
          <w:trHeight w:val="32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440" w:type="dxa"/>
            <w:vAlign w:val="bottom"/>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(117)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32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preferred Series D shares</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Transaction costs of issue of shares</w:t>
            </w: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Cost on issue of shares-option plan</w:t>
            </w: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10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9,791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15,952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555</w:t>
            </w:r>
          </w:p>
        </w:tc>
        <w:tc>
          <w:tcPr>
            <w:tcW w:w="0" w:type="dxa"/>
            <w:vAlign w:val="bottom"/>
          </w:tcPr>
          <w:p>
            <w:pPr>
              <w:spacing w:after="0"/>
              <w:rPr>
                <w:sz w:val="1"/>
                <w:szCs w:val="1"/>
                <w:color w:val="auto"/>
              </w:rPr>
            </w:pPr>
          </w:p>
        </w:tc>
      </w:tr>
      <w:tr>
        <w:trPr>
          <w:trHeight w:val="20"/>
        </w:trPr>
        <w:tc>
          <w:tcPr>
            <w:tcW w:w="846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60" w:type="dxa"/>
            <w:vAlign w:val="bottom"/>
            <w:gridSpan w:val="2"/>
          </w:tcPr>
          <w:p>
            <w:pPr>
              <w:spacing w:after="0"/>
              <w:rPr>
                <w:sz w:val="20"/>
                <w:szCs w:val="20"/>
                <w:color w:val="auto"/>
              </w:rPr>
            </w:pPr>
            <w:r>
              <w:rPr>
                <w:rFonts w:ascii="Arial" w:cs="Arial" w:eastAsia="Arial" w:hAnsi="Arial"/>
                <w:sz w:val="18"/>
                <w:szCs w:val="18"/>
                <w:color w:val="auto"/>
              </w:rPr>
              <w:t>Cash and cash equivalents at January 1</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3,306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Exchange gains on cash and cash equivalents</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97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Cash and cash equivalents at June 30</w:t>
            </w: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19,355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11,802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440" w:type="dxa"/>
            <w:vAlign w:val="bottom"/>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15,952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(CHF thousands, except share and per share amounts)</w:t>
      </w:r>
    </w:p>
    <w:p>
      <w:pPr>
        <w:spacing w:after="0" w:line="112"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three clinical-stage candidates, and three diagnostic candidates has the potential to drive a paradigm shift in the treatment of a broad spectrum of neurodegenerative and other diseases related to protein misfolding.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interim condensed financial statements of AC Immune SA for the six months period ended June 30, 2015 were authorized for issue in accordance with a resolution of the Board of Directors on August 25, 2015.</w:t>
      </w:r>
    </w:p>
    <w:p>
      <w:pPr>
        <w:spacing w:after="0" w:line="315" w:lineRule="exact"/>
        <w:rPr>
          <w:sz w:val="20"/>
          <w:szCs w:val="20"/>
          <w:color w:val="auto"/>
        </w:rPr>
      </w:pPr>
    </w:p>
    <w:p>
      <w:pPr>
        <w:ind w:right="5520" w:firstLine="8"/>
        <w:spacing w:after="0" w:line="378" w:lineRule="auto"/>
        <w:tabs>
          <w:tab w:leader="none" w:pos="446"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Going concern</w:t>
      </w:r>
    </w:p>
    <w:p>
      <w:pPr>
        <w:ind w:right="40"/>
        <w:spacing w:after="0" w:line="277"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19.4 million as at June 30, 2015.</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the Company has considered the two milestone payments received in 2015 pursuant to its collaboration agreements with Genentech. Specifically, in July the Company received a CHF 14 million milestone payment for reaching the ED-GO decision for its anti-tau antibody program and in August the Company received a $25 million (CHF 24.3 million) milestone payment associated with the decision by Roche/Genentech to move crenezumab into Phase 3 studies. These two milestones have increased Company’s cash balance as at mid-August to over CHF 57.6 million.</w:t>
      </w:r>
    </w:p>
    <w:p>
      <w:pPr>
        <w:spacing w:after="0" w:line="17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the revenues from collaboration agreements. The Company is a development-stage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60" w:firstLine="8"/>
        <w:spacing w:after="0" w:line="261" w:lineRule="auto"/>
        <w:tabs>
          <w:tab w:leader="none" w:pos="3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interim condensed financial statements for the six months ended June 30, 2015 and 2014 have been prepared in accordance with IAS 34 Interim Financial Reporting. The interim financial statements do not include all the information required in the annual financial statements, and should be read in conjunction with the Company’s annual financial statements as of December 31, 2014.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at the date of transaction or as of the balance sheet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assumptions and estimates that affect the amounts reported in the condensed interim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share-based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12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2014, except for the adoption of new standards and interpretations effective as of January 1, 2015. The Company has not early adopted any other standard, interpretation or amendment that has been issued but is not yet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nature and the effect of these changes are immaterial to the Company’s interim condensed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gridSpan w:val="3"/>
          </w:tcPr>
          <w:p>
            <w:pPr>
              <w:spacing w:after="0"/>
              <w:rPr>
                <w:sz w:val="20"/>
                <w:szCs w:val="20"/>
                <w:color w:val="auto"/>
              </w:rPr>
            </w:pPr>
            <w:r>
              <w:rPr>
                <w:rFonts w:ascii="Arial" w:cs="Arial" w:eastAsia="Arial" w:hAnsi="Arial"/>
                <w:sz w:val="18"/>
                <w:szCs w:val="18"/>
                <w:b w:val="1"/>
                <w:bCs w:val="1"/>
                <w:color w:val="auto"/>
              </w:rPr>
              <w:t>Unaudited interim condensed financial statements</w:t>
            </w: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672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7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40" w:type="dxa"/>
            <w:vAlign w:val="bottom"/>
            <w:gridSpan w:val="4"/>
          </w:tcPr>
          <w:p>
            <w:pPr>
              <w:ind w:left="38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92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2015</w:t>
            </w:r>
          </w:p>
        </w:tc>
        <w:tc>
          <w:tcPr>
            <w:tcW w:w="202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collaborations and license revenue</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Milestones</w:t>
            </w:r>
          </w:p>
        </w:tc>
        <w:tc>
          <w:tcPr>
            <w:tcW w:w="920" w:type="dxa"/>
            <w:vAlign w:val="bottom"/>
          </w:tcPr>
          <w:p>
            <w:pPr>
              <w:jc w:val="right"/>
              <w:spacing w:after="0"/>
              <w:rPr>
                <w:sz w:val="20"/>
                <w:szCs w:val="20"/>
                <w:color w:val="auto"/>
              </w:rPr>
            </w:pPr>
            <w:r>
              <w:rPr>
                <w:rFonts w:ascii="Arial" w:cs="Arial" w:eastAsia="Arial" w:hAnsi="Arial"/>
                <w:sz w:val="18"/>
                <w:szCs w:val="18"/>
                <w:color w:val="auto"/>
              </w:rPr>
              <w:t>14,000</w:t>
            </w:r>
          </w:p>
        </w:tc>
        <w:tc>
          <w:tcPr>
            <w:tcW w:w="106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00" w:type="dxa"/>
            <w:vAlign w:val="bottom"/>
          </w:tcPr>
          <w:p>
            <w:pPr>
              <w:spacing w:after="0"/>
              <w:rPr>
                <w:sz w:val="6"/>
                <w:szCs w:val="6"/>
                <w:color w:val="auto"/>
              </w:rPr>
            </w:pPr>
          </w:p>
        </w:tc>
        <w:tc>
          <w:tcPr>
            <w:tcW w:w="1080" w:type="dxa"/>
            <w:vAlign w:val="bottom"/>
            <w:vMerge w:val="restart"/>
          </w:tcPr>
          <w:p>
            <w:pPr>
              <w:spacing w:after="0"/>
              <w:rPr>
                <w:sz w:val="6"/>
                <w:szCs w:val="6"/>
                <w:color w:val="auto"/>
              </w:rPr>
            </w:pPr>
          </w:p>
        </w:tc>
        <w:tc>
          <w:tcPr>
            <w:tcW w:w="5640" w:type="dxa"/>
            <w:vAlign w:val="bottom"/>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14,401</w:t>
            </w:r>
          </w:p>
        </w:tc>
        <w:tc>
          <w:tcPr>
            <w:tcW w:w="10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Licensing and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AD—Collaboration with Piramal</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upfront payment of EUR 500 thousand received from this collaboration is deferred over a period of 12 months and ended in May 2015 during the Joint Research Collaboration, as such the remaining CHF 205 thousand in deferred revenue was recognized in the first 6 months of 2015.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AD-Collaboration with Genentech</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June 2012, the Company has entered into an exclusive global license agreement and research collaboration with Genentech, Inc. for the development of anti-tau antibodies for the potential treatment and diagnosis of AD and other human diseases.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Under the terms of this agreement, Genentech has made an upfront payment to AC Immune, with the potential of over CHF 400 million in payments upon successful completion of non-clinical, clinical and regulatory milestones for Alzheimer’s and additional applications. Upon commercialization of a product, Genentech will pay AC Immune royalties on net sales of AC Immune’s antibodies in the field of Alzheimer’s or other human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upfront payment received from the collaboration with Genentech is deferred over a period of two years, ending June 2014.</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June 12, 2015, the Company received a milestone payment of CHF 14 million. This milestone was due upon the ED-GO decision by Genentech on the anti-tau Antibody’s Product in AD. At the same time, Genentech announced that it intends to move the anti-tau Antibody program into Phase 1 clinical studies in late 2016.</w:t>
      </w:r>
    </w:p>
    <w:p>
      <w:pPr>
        <w:spacing w:after="0" w:line="326"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Therefore, the Company has not recognized any deferred tax asset relating</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20"/>
          </w:cols>
          <w:pgMar w:left="240" w:top="460" w:right="3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3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 tax loss carry-forward expiring by the end of 2014 since they will expire within the tax holiday period and also because of a forecasted effective tax rate of nil. It has also not recognized any deferred tax asset relating to tax loss carry-forward expiring after the tax holiday since the criteria for recognition are not met.</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income tax expense recognized for the six month period to June 30, 2015, is based on the best estimate of the weighted average annual income tax rate expected for the full financial year to December 31, 2015. The estimate of the weighted average annual income tax rate 2015 takes into consideration the utilization of previously unrecognized tax losses, as the Company has made taxable profits for the six month period to June 30, 2015 and expects also to make taxable profits for the full financial year to December 31, 2015, due to contract revenue earned in 2015. In accordance with IAS 34, no deferred tax assets have been recognised at the date of the interim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income tax expense in the interim condensed statements of income or loss 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020" w:type="dxa"/>
            <w:vAlign w:val="bottom"/>
            <w:gridSpan w:val="4"/>
          </w:tcPr>
          <w:p>
            <w:pPr>
              <w:ind w:left="38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8400" w:type="dxa"/>
            <w:vAlign w:val="bottom"/>
            <w:tcBorders>
              <w:bottom w:val="single" w:sz="8" w:color="CCEEFF"/>
            </w:tcBorders>
            <w:vMerge w:val="continue"/>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Accounting income / (loss) before income tax</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5,623</w:t>
            </w: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Tax expense calculated at the statutory rate of 22.5% (2014: 0%)</w:t>
            </w:r>
          </w:p>
        </w:tc>
        <w:tc>
          <w:tcPr>
            <w:tcW w:w="1940" w:type="dxa"/>
            <w:vAlign w:val="bottom"/>
            <w:gridSpan w:val="2"/>
          </w:tcPr>
          <w:p>
            <w:pPr>
              <w:jc w:val="right"/>
              <w:ind w:right="920"/>
              <w:spacing w:after="0"/>
              <w:rPr>
                <w:sz w:val="20"/>
                <w:szCs w:val="20"/>
                <w:color w:val="auto"/>
              </w:rPr>
            </w:pPr>
            <w:r>
              <w:rPr>
                <w:rFonts w:ascii="Arial" w:cs="Arial" w:eastAsia="Arial" w:hAnsi="Arial"/>
                <w:sz w:val="18"/>
                <w:szCs w:val="18"/>
                <w:color w:val="auto"/>
              </w:rPr>
              <w:t>(1,266)</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Effect of Swiss tax holiday</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9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400" w:type="dxa"/>
            <w:vAlign w:val="bottom"/>
          </w:tcPr>
          <w:p>
            <w:pPr>
              <w:spacing w:after="0"/>
              <w:rPr>
                <w:sz w:val="20"/>
                <w:szCs w:val="20"/>
                <w:color w:val="auto"/>
              </w:rPr>
            </w:pPr>
            <w:r>
              <w:rPr>
                <w:rFonts w:ascii="Arial" w:cs="Arial" w:eastAsia="Arial" w:hAnsi="Arial"/>
                <w:sz w:val="18"/>
                <w:szCs w:val="18"/>
                <w:b w:val="1"/>
                <w:bCs w:val="1"/>
                <w:color w:val="auto"/>
              </w:rPr>
              <w:t>Effective income tax rate benefit / (expense)</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persons) and the Executive Officers (three persons) compensation is: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2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5560" w:type="dxa"/>
            <w:vAlign w:val="bottom"/>
            <w:vMerge w:val="continue"/>
          </w:tcPr>
          <w:p>
            <w:pPr>
              <w:spacing w:after="0"/>
              <w:rPr>
                <w:sz w:val="12"/>
                <w:szCs w:val="12"/>
                <w:color w:val="auto"/>
              </w:rPr>
            </w:pPr>
          </w:p>
        </w:tc>
        <w:tc>
          <w:tcPr>
            <w:tcW w:w="84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2015</w:t>
            </w:r>
          </w:p>
        </w:tc>
        <w:tc>
          <w:tcPr>
            <w:tcW w:w="218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3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34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salaries, bonus payments, social security and expenses allowances.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250 options were granted to Executive Officers of the Company for the six months ended June 30, 2014, no options were granted at the end of June 2015.</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205 options were granted to Directors of the Company for the six months ended June 30, 2014 and no options were granted at the end of June 2015.</w:t>
      </w:r>
    </w:p>
    <w:p>
      <w:pPr>
        <w:spacing w:after="0" w:line="381"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created conditional share capital for the potential issuance of common shares under the stock option plan for employees, board members and persons in comparable positions.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Board of Directors administers the stock option plans. The granting to employees, Executive Officers and members of the Board of Directors is, according to the stock option plan regulations, under the discretion of the Plan Administrator, who is elected by the Board of Directors. All plans are equity-settled plans.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Update on Plan A: SOP 2003/2004</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Under this plan a total of 1,451 options on common shares were granted and vested in 2004. The exercise price was set at CHF 232.97, the lock-up period was four years and the duration is 10.5 years from the date of grant, which was December 31, 2004.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June 5, 2015 the Board of Directors has decided to modify the conditions of exercise of these options and amend the above mentioned Notice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Reduction of the Exercise Price (Strike Price):</w:t>
      </w:r>
    </w:p>
    <w:p>
      <w:pPr>
        <w:spacing w:after="0" w:line="117"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-Exercise Price (Strike Price):</w:t>
      </w:r>
      <w:r>
        <w:rPr>
          <w:sz w:val="20"/>
          <w:szCs w:val="20"/>
          <w:color w:val="auto"/>
        </w:rPr>
        <w:tab/>
      </w:r>
      <w:r>
        <w:rPr>
          <w:rFonts w:ascii="Arial" w:cs="Arial" w:eastAsia="Arial" w:hAnsi="Arial"/>
          <w:sz w:val="16"/>
          <w:szCs w:val="16"/>
          <w:color w:val="auto"/>
        </w:rPr>
        <w:t>CHF 36.37 (instead of CHF 232.97)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Extension of the Expiration Date:</w:t>
      </w:r>
    </w:p>
    <w:p>
      <w:pPr>
        <w:spacing w:after="0" w:line="117"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-Expiration Date:</w:t>
      </w:r>
      <w:r>
        <w:rPr>
          <w:sz w:val="20"/>
          <w:szCs w:val="20"/>
          <w:color w:val="auto"/>
        </w:rPr>
        <w:tab/>
      </w:r>
      <w:r>
        <w:rPr>
          <w:rFonts w:ascii="Arial" w:cs="Arial" w:eastAsia="Arial" w:hAnsi="Arial"/>
          <w:sz w:val="16"/>
          <w:szCs w:val="16"/>
          <w:color w:val="auto"/>
        </w:rPr>
        <w:t>June 30, 2017 (instead of June 30, 2015)</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net impact of the change in the Plan A option was an increase in share-based compensation costs for the six month period ended June 30, 2015 of CHF 336 thousand.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Movements in the number of options outstanding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4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Strike price</w:t>
            </w:r>
          </w:p>
        </w:tc>
        <w:tc>
          <w:tcPr>
            <w:tcW w:w="96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Strike 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CHF</w:t>
            </w:r>
          </w:p>
        </w:tc>
        <w:tc>
          <w:tcPr>
            <w:tcW w:w="9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in CHF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Outstanding as at January 1</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gridSpan w:val="6"/>
          </w:tcPr>
          <w:p>
            <w:pPr>
              <w:spacing w:after="0"/>
              <w:rPr>
                <w:sz w:val="20"/>
                <w:szCs w:val="20"/>
                <w:color w:val="auto"/>
              </w:rPr>
            </w:pPr>
            <w:r>
              <w:rPr>
                <w:rFonts w:ascii="Arial" w:cs="Arial" w:eastAsia="Arial" w:hAnsi="Arial"/>
                <w:sz w:val="18"/>
                <w:szCs w:val="18"/>
                <w:i w:val="1"/>
                <w:iCs w:val="1"/>
                <w:color w:val="auto"/>
              </w:rPr>
              <w:t>- of which exercisable</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i w:val="1"/>
                <w:iCs w:val="1"/>
                <w:color w:val="auto"/>
              </w:rPr>
              <w:t>1,451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6"/>
          </w:tcPr>
          <w:p>
            <w:pPr>
              <w:jc w:val="right"/>
              <w:ind w:right="440"/>
              <w:spacing w:after="0"/>
              <w:rPr>
                <w:sz w:val="20"/>
                <w:szCs w:val="20"/>
                <w:color w:val="auto"/>
              </w:rPr>
            </w:pPr>
            <w:r>
              <w:rPr>
                <w:rFonts w:ascii="Arial" w:cs="Arial" w:eastAsia="Arial" w:hAnsi="Arial"/>
                <w:sz w:val="18"/>
                <w:szCs w:val="18"/>
                <w:i w:val="1"/>
                <w:iCs w:val="1"/>
                <w:color w:val="auto"/>
              </w:rPr>
              <w:t>1,451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Outstanding as at June 30</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1,451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36.37</w:t>
            </w:r>
          </w:p>
        </w:tc>
        <w:tc>
          <w:tcPr>
            <w:tcW w:w="150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1,451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232.97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gridSpan w:val="6"/>
          </w:tcPr>
          <w:p>
            <w:pPr>
              <w:spacing w:after="0"/>
              <w:rPr>
                <w:sz w:val="20"/>
                <w:szCs w:val="20"/>
                <w:color w:val="auto"/>
              </w:rPr>
            </w:pPr>
            <w:r>
              <w:rPr>
                <w:rFonts w:ascii="Arial" w:cs="Arial" w:eastAsia="Arial" w:hAnsi="Arial"/>
                <w:sz w:val="18"/>
                <w:szCs w:val="18"/>
                <w:i w:val="1"/>
                <w:iCs w:val="1"/>
                <w:color w:val="auto"/>
              </w:rPr>
              <w:t>- of which exercisable</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i w:val="1"/>
                <w:iCs w:val="1"/>
                <w:color w:val="auto"/>
              </w:rPr>
              <w:t>1,451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6"/>
          </w:tcPr>
          <w:p>
            <w:pPr>
              <w:jc w:val="right"/>
              <w:ind w:right="440"/>
              <w:spacing w:after="0"/>
              <w:rPr>
                <w:sz w:val="20"/>
                <w:szCs w:val="20"/>
                <w:color w:val="auto"/>
              </w:rPr>
            </w:pPr>
            <w:r>
              <w:rPr>
                <w:rFonts w:ascii="Arial" w:cs="Arial" w:eastAsia="Arial" w:hAnsi="Arial"/>
                <w:sz w:val="18"/>
                <w:szCs w:val="18"/>
                <w:i w:val="1"/>
                <w:iCs w:val="1"/>
                <w:color w:val="auto"/>
              </w:rPr>
              <w:t>1,451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life of options in circulation</w:t>
            </w:r>
          </w:p>
        </w:tc>
        <w:tc>
          <w:tcPr>
            <w:tcW w:w="1160" w:type="dxa"/>
            <w:vAlign w:val="bottom"/>
            <w:gridSpan w:val="4"/>
            <w:shd w:val="clear" w:color="auto" w:fill="CCEEFF"/>
          </w:tcPr>
          <w:p>
            <w:pPr>
              <w:ind w:left="60"/>
              <w:spacing w:after="0"/>
              <w:rPr>
                <w:sz w:val="20"/>
                <w:szCs w:val="20"/>
                <w:color w:val="auto"/>
              </w:rPr>
            </w:pPr>
            <w:r>
              <w:rPr>
                <w:rFonts w:ascii="Arial" w:cs="Arial" w:eastAsia="Arial" w:hAnsi="Arial"/>
                <w:sz w:val="18"/>
                <w:szCs w:val="18"/>
                <w:b w:val="1"/>
                <w:bCs w:val="1"/>
                <w:color w:val="auto"/>
              </w:rPr>
              <w:t>2.0 years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8"/>
              </w:rPr>
              <w:t>1.0 year</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6880" w:type="dxa"/>
            <w:vAlign w:val="bottom"/>
            <w:gridSpan w:val="5"/>
          </w:tcPr>
          <w:p>
            <w:pPr>
              <w:ind w:left="160"/>
              <w:spacing w:after="0"/>
              <w:rPr>
                <w:sz w:val="20"/>
                <w:szCs w:val="20"/>
                <w:color w:val="auto"/>
              </w:rPr>
            </w:pPr>
            <w:r>
              <w:rPr>
                <w:rFonts w:ascii="Arial" w:cs="Arial" w:eastAsia="Arial" w:hAnsi="Arial"/>
                <w:sz w:val="18"/>
                <w:szCs w:val="18"/>
                <w:b w:val="1"/>
                <w:bCs w:val="1"/>
                <w:color w:val="auto"/>
              </w:rPr>
              <w:t>Financial instruments</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gridSpan w:val="7"/>
          </w:tcPr>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80" w:type="dxa"/>
            <w:vAlign w:val="bottom"/>
            <w:gridSpan w:val="5"/>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116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at June 30,</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2"/>
              </w:rPr>
              <w:t>As at Dec. 31,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1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Receivables</w:t>
            </w:r>
          </w:p>
        </w:tc>
        <w:tc>
          <w:tcPr>
            <w:tcW w:w="460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14,159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25,935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33,514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29,241</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80" w:type="dxa"/>
            <w:vAlign w:val="bottom"/>
            <w:gridSpan w:val="5"/>
          </w:tcPr>
          <w:p>
            <w:pPr>
              <w:ind w:left="1080"/>
              <w:spacing w:after="0"/>
              <w:rPr>
                <w:sz w:val="20"/>
                <w:szCs w:val="20"/>
                <w:color w:val="auto"/>
              </w:rPr>
            </w:pPr>
            <w:r>
              <w:rPr>
                <w:rFonts w:ascii="Arial" w:cs="Arial" w:eastAsia="Arial" w:hAnsi="Arial"/>
                <w:sz w:val="18"/>
                <w:szCs w:val="18"/>
                <w:b w:val="1"/>
                <w:bCs w:val="1"/>
                <w:color w:val="auto"/>
              </w:rPr>
              <w:t>Financial liabilities</w:t>
            </w:r>
          </w:p>
        </w:tc>
        <w:tc>
          <w:tcPr>
            <w:tcW w:w="1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Accrued expenses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40" w:type="dxa"/>
            <w:vAlign w:val="bottom"/>
          </w:tcPr>
          <w:p>
            <w:pPr>
              <w:ind w:left="2700"/>
              <w:spacing w:after="0"/>
              <w:rPr>
                <w:sz w:val="20"/>
                <w:szCs w:val="20"/>
                <w:color w:val="auto"/>
              </w:rPr>
            </w:pPr>
            <w:r>
              <w:rPr>
                <w:rFonts w:ascii="Arial" w:cs="Arial" w:eastAsia="Arial" w:hAnsi="Arial"/>
                <w:sz w:val="18"/>
                <w:szCs w:val="18"/>
                <w:color w:val="auto"/>
              </w:rPr>
              <w:t>F-10</w:t>
            </w:r>
          </w:p>
        </w:tc>
        <w:tc>
          <w:tcPr>
            <w:tcW w:w="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31"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Crenezumab (anti-Abeta antibody) in AD-Collaboration with Genentech</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July 2015, Roche/Genentech announced that they intend to commence Phase 3 clinical studies for crenezumab in early 2016. The decision to move crenezumab into Phase 3 clinical studies triggered a $25.9 million (CHF 24.3 million) milestone payment which AC Immune received in August 2015.</w:t>
      </w:r>
    </w:p>
    <w:p>
      <w:pPr>
        <w:spacing w:after="0" w:line="5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0880"/>
          </w:cols>
          <w:pgMar w:left="240" w:top="460" w:right="7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AC Immune SA</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balance sheets of AC Immune SA at December 31, 2014 and 2013, and the related income statements, statements of comprehensive income, statements of changes in equity and statements of cash flows for each of the two years in the period ended December 31, 2014.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 Immune SA at December 31, 2014 and 2013, and the results of its operations and its cash flows for each of the two years in the period ended December 31, 2014, in conformity with International Financial Reporting Standards as issued by the International Accounting Standards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AG</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25, 2015</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16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As at December 31,</w:t>
            </w:r>
          </w:p>
        </w:tc>
        <w:tc>
          <w:tcPr>
            <w:tcW w:w="1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71"/>
        </w:trPr>
        <w:tc>
          <w:tcPr>
            <w:tcW w:w="7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5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&amp; Intangible assets</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Financial assets</w:t>
            </w:r>
          </w:p>
        </w:tc>
        <w:tc>
          <w:tcPr>
            <w:tcW w:w="1140" w:type="dxa"/>
            <w:vAlign w:val="bottom"/>
            <w:gridSpan w:val="2"/>
          </w:tcPr>
          <w:p>
            <w:pPr>
              <w:jc w:val="right"/>
              <w:ind w:right="780"/>
              <w:spacing w:after="0"/>
              <w:rPr>
                <w:sz w:val="20"/>
                <w:szCs w:val="20"/>
                <w:color w:val="auto"/>
              </w:rPr>
            </w:pPr>
            <w:r>
              <w:rPr>
                <w:rFonts w:ascii="Arial" w:cs="Arial" w:eastAsia="Arial" w:hAnsi="Arial"/>
                <w:sz w:val="18"/>
                <w:szCs w:val="18"/>
                <w:color w:val="auto"/>
              </w:rPr>
              <w:t>5</w:t>
            </w: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795</w:t>
            </w:r>
          </w:p>
        </w:tc>
        <w:tc>
          <w:tcPr>
            <w:tcW w:w="0" w:type="dxa"/>
            <w:vAlign w:val="bottom"/>
          </w:tcPr>
          <w:p>
            <w:pPr>
              <w:spacing w:after="0"/>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Accrued income</w:t>
            </w:r>
          </w:p>
        </w:tc>
        <w:tc>
          <w:tcPr>
            <w:tcW w:w="1140" w:type="dxa"/>
            <w:vAlign w:val="bottom"/>
            <w:gridSpan w:val="2"/>
          </w:tcPr>
          <w:p>
            <w:pPr>
              <w:jc w:val="right"/>
              <w:ind w:right="780"/>
              <w:spacing w:after="0"/>
              <w:rPr>
                <w:sz w:val="20"/>
                <w:szCs w:val="20"/>
                <w:color w:val="auto"/>
              </w:rPr>
            </w:pPr>
            <w:r>
              <w:rPr>
                <w:rFonts w:ascii="Arial" w:cs="Arial" w:eastAsia="Arial" w:hAnsi="Arial"/>
                <w:sz w:val="18"/>
                <w:szCs w:val="18"/>
                <w:color w:val="auto"/>
              </w:rPr>
              <w:t>6</w:t>
            </w: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25,935</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tcPr>
          <w:p>
            <w:pPr>
              <w:jc w:val="right"/>
              <w:ind w:right="780"/>
              <w:spacing w:after="0"/>
              <w:rPr>
                <w:sz w:val="20"/>
                <w:szCs w:val="20"/>
                <w:color w:val="auto"/>
              </w:rPr>
            </w:pPr>
            <w:r>
              <w:rPr>
                <w:rFonts w:ascii="Arial" w:cs="Arial" w:eastAsia="Arial" w:hAnsi="Arial"/>
                <w:sz w:val="18"/>
                <w:szCs w:val="18"/>
                <w:color w:val="auto"/>
              </w:rPr>
              <w:t>8</w:t>
            </w:r>
          </w:p>
        </w:tc>
        <w:tc>
          <w:tcPr>
            <w:tcW w:w="1180" w:type="dxa"/>
            <w:vAlign w:val="bottom"/>
          </w:tcPr>
          <w:p>
            <w:pPr>
              <w:jc w:val="right"/>
              <w:spacing w:after="0"/>
              <w:rPr>
                <w:sz w:val="20"/>
                <w:szCs w:val="20"/>
                <w:color w:val="auto"/>
              </w:rPr>
            </w:pPr>
            <w:r>
              <w:rPr>
                <w:rFonts w:ascii="Arial" w:cs="Arial" w:eastAsia="Arial" w:hAnsi="Arial"/>
                <w:sz w:val="18"/>
                <w:szCs w:val="18"/>
                <w:color w:val="auto"/>
              </w:rPr>
              <w:t>3,306</w:t>
            </w:r>
          </w:p>
        </w:tc>
        <w:tc>
          <w:tcPr>
            <w:tcW w:w="4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29,667</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30,296</w:t>
            </w:r>
          </w:p>
        </w:tc>
        <w:tc>
          <w:tcPr>
            <w:tcW w:w="440" w:type="dxa"/>
            <w:vAlign w:val="bottom"/>
          </w:tcPr>
          <w:p>
            <w:pPr>
              <w:spacing w:after="0"/>
              <w:rPr>
                <w:sz w:val="24"/>
                <w:szCs w:val="24"/>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12,751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Share premium</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83,068</w:t>
            </w:r>
          </w:p>
        </w:tc>
        <w:tc>
          <w:tcPr>
            <w:tcW w:w="4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73,211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(60,455)</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(70,092)</w:t>
            </w:r>
          </w:p>
        </w:tc>
        <w:tc>
          <w:tcPr>
            <w:tcW w:w="0" w:type="dxa"/>
            <w:vAlign w:val="bottom"/>
          </w:tcPr>
          <w:p>
            <w:pPr>
              <w:spacing w:after="0"/>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7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2,410</w:t>
            </w:r>
          </w:p>
        </w:tc>
        <w:tc>
          <w:tcPr>
            <w:tcW w:w="4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2,410</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929</w:t>
            </w:r>
          </w:p>
        </w:tc>
        <w:tc>
          <w:tcPr>
            <w:tcW w:w="0" w:type="dxa"/>
            <w:vAlign w:val="bottom"/>
          </w:tcPr>
          <w:p>
            <w:pPr>
              <w:spacing w:after="0"/>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Accrued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2,630</w:t>
            </w:r>
          </w:p>
        </w:tc>
        <w:tc>
          <w:tcPr>
            <w:tcW w:w="4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4,419</w:t>
            </w:r>
          </w:p>
        </w:tc>
        <w:tc>
          <w:tcPr>
            <w:tcW w:w="440" w:type="dxa"/>
            <w:vAlign w:val="bottom"/>
          </w:tcPr>
          <w:p>
            <w:pPr>
              <w:spacing w:after="0"/>
              <w:rPr>
                <w:sz w:val="24"/>
                <w:szCs w:val="24"/>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7,891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6,829</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Years</w:t>
            </w:r>
          </w:p>
        </w:tc>
        <w:tc>
          <w:tcPr>
            <w:tcW w:w="0" w:type="dxa"/>
            <w:vAlign w:val="bottom"/>
          </w:tcPr>
          <w:p>
            <w:pPr>
              <w:spacing w:after="0"/>
              <w:rPr>
                <w:sz w:val="1"/>
                <w:szCs w:val="1"/>
                <w:color w:val="auto"/>
              </w:rPr>
            </w:pPr>
          </w:p>
        </w:tc>
      </w:tr>
      <w:tr>
        <w:trPr>
          <w:trHeight w:val="171"/>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6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7"/>
              </w:rPr>
              <w:t>Notes</w:t>
            </w:r>
          </w:p>
        </w:tc>
        <w:tc>
          <w:tcPr>
            <w:tcW w:w="1720" w:type="dxa"/>
            <w:vAlign w:val="bottom"/>
            <w:gridSpan w:val="4"/>
          </w:tcPr>
          <w:p>
            <w:pPr>
              <w:ind w:left="16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90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Contract revenue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30,269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8,637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30,269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8,637</w:t>
            </w:r>
          </w:p>
        </w:tc>
        <w:tc>
          <w:tcPr>
            <w:tcW w:w="0" w:type="dxa"/>
            <w:vAlign w:val="bottom"/>
          </w:tcPr>
          <w:p>
            <w:pPr>
              <w:spacing w:after="0"/>
              <w:rPr>
                <w:sz w:val="1"/>
                <w:szCs w:val="1"/>
                <w:color w:val="auto"/>
              </w:rPr>
            </w:pPr>
          </w:p>
        </w:tc>
      </w:tr>
      <w:tr>
        <w:trPr>
          <w:trHeight w:val="291"/>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(16,116)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(3,436)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(19,552)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(20,135)</w:t>
            </w:r>
          </w:p>
        </w:tc>
        <w:tc>
          <w:tcPr>
            <w:tcW w:w="0" w:type="dxa"/>
            <w:vAlign w:val="bottom"/>
          </w:tcPr>
          <w:p>
            <w:pPr>
              <w:spacing w:after="0"/>
              <w:rPr>
                <w:sz w:val="1"/>
                <w:szCs w:val="1"/>
                <w:color w:val="auto"/>
              </w:rPr>
            </w:pPr>
          </w:p>
        </w:tc>
      </w:tr>
      <w:tr>
        <w:trPr>
          <w:trHeight w:val="20"/>
        </w:trPr>
        <w:tc>
          <w:tcPr>
            <w:tcW w:w="9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 (loss)</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10,717</w:t>
            </w:r>
          </w:p>
        </w:tc>
        <w:tc>
          <w:tcPr>
            <w:tcW w:w="3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(11,498)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1"/>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36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 (loss) before tax</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10,744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 (loss) for the period</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10,744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(11,243)</w:t>
            </w:r>
          </w:p>
        </w:tc>
        <w:tc>
          <w:tcPr>
            <w:tcW w:w="0" w:type="dxa"/>
            <w:vAlign w:val="bottom"/>
          </w:tcPr>
          <w:p>
            <w:pPr>
              <w:spacing w:after="0"/>
              <w:rPr>
                <w:sz w:val="1"/>
                <w:szCs w:val="1"/>
                <w:color w:val="auto"/>
              </w:rPr>
            </w:pPr>
          </w:p>
        </w:tc>
      </w:tr>
      <w:tr>
        <w:trPr>
          <w:trHeight w:val="291"/>
        </w:trPr>
        <w:tc>
          <w:tcPr>
            <w:tcW w:w="9020" w:type="dxa"/>
            <w:vAlign w:val="bottom"/>
            <w:gridSpan w:val="2"/>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62.93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Diluted, income/(loss) for the period attributable to equity holders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58.38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earnings/(loss) per share basic</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170,739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162,356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Weighted-average number of shares used to compute earnings/(loss) per share fully diluted</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184,048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179,638</w:t>
            </w:r>
          </w:p>
        </w:tc>
        <w:tc>
          <w:tcPr>
            <w:tcW w:w="0" w:type="dxa"/>
            <w:vAlign w:val="bottom"/>
          </w:tcPr>
          <w:p>
            <w:pPr>
              <w:spacing w:after="0"/>
              <w:rPr>
                <w:sz w:val="1"/>
                <w:szCs w:val="1"/>
                <w:color w:val="auto"/>
              </w:rPr>
            </w:pPr>
          </w:p>
        </w:tc>
      </w:tr>
      <w:tr>
        <w:trPr>
          <w:trHeight w:val="52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 (loss)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3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(11,243)</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Other comprehensive income not to be reclassified to income or loss in subsequent periods (net of tax)</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gains/(losses) on defined benefit plans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 net of tax</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9,426</w:t>
            </w:r>
          </w:p>
        </w:tc>
        <w:tc>
          <w:tcPr>
            <w:tcW w:w="3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Accumulated</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premium</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2013</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770</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63,370</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(59,608)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4,532</w:t>
            </w: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40" w:type="dxa"/>
            <w:vAlign w:val="bottom"/>
            <w:gridSpan w:val="2"/>
          </w:tcPr>
          <w:p>
            <w:pPr>
              <w:spacing w:after="0"/>
              <w:rPr>
                <w:sz w:val="20"/>
                <w:szCs w:val="20"/>
                <w:color w:val="auto"/>
              </w:rPr>
            </w:pPr>
            <w:r>
              <w:rPr>
                <w:rFonts w:ascii="Arial" w:cs="Arial" w:eastAsia="Arial" w:hAnsi="Arial"/>
                <w:sz w:val="18"/>
                <w:szCs w:val="18"/>
                <w:color w:val="auto"/>
              </w:rPr>
              <w:t>Net loss for the period in 2013</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(11,243)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i w:val="1"/>
                <w:iCs w:val="1"/>
                <w:color w:val="auto"/>
              </w:rPr>
              <w:t>Total comprehensive income / (loss)</w:t>
            </w:r>
          </w:p>
        </w:tc>
        <w:tc>
          <w:tcPr>
            <w:tcW w:w="1320" w:type="dxa"/>
            <w:vAlign w:val="bottom"/>
            <w:gridSpan w:val="2"/>
          </w:tcPr>
          <w:p>
            <w:pPr>
              <w:ind w:left="560"/>
              <w:spacing w:after="0"/>
              <w:rPr>
                <w:sz w:val="20"/>
                <w:szCs w:val="20"/>
                <w:color w:val="auto"/>
              </w:rPr>
            </w:pPr>
            <w:r>
              <w:rPr>
                <w:rFonts w:ascii="Arial" w:cs="Arial" w:eastAsia="Arial" w:hAnsi="Arial"/>
                <w:sz w:val="18"/>
                <w:szCs w:val="18"/>
                <w:i w:val="1"/>
                <w:iCs w:val="1"/>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i w:val="1"/>
                <w:iCs w:val="1"/>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(10,739)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w w:val="98"/>
              </w:rPr>
              <w:t>(10,739)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9,841</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9,836</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 exercise of options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812</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73,211</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(70,092)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Accumulated</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premium</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812</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73,211</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(70,092)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40" w:type="dxa"/>
            <w:vAlign w:val="bottom"/>
            <w:gridSpan w:val="2"/>
          </w:tcPr>
          <w:p>
            <w:pPr>
              <w:spacing w:after="0"/>
              <w:rPr>
                <w:sz w:val="20"/>
                <w:szCs w:val="20"/>
                <w:color w:val="auto"/>
              </w:rPr>
            </w:pPr>
            <w:r>
              <w:rPr>
                <w:rFonts w:ascii="Arial" w:cs="Arial" w:eastAsia="Arial" w:hAnsi="Arial"/>
                <w:sz w:val="18"/>
                <w:szCs w:val="18"/>
                <w:color w:val="auto"/>
              </w:rPr>
              <w:t>Net Profit for the period in 2014</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10,744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(1,318)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i w:val="1"/>
                <w:iCs w:val="1"/>
                <w:color w:val="auto"/>
              </w:rPr>
              <w:t>Total comprehensive income / (loss)</w:t>
            </w:r>
          </w:p>
        </w:tc>
        <w:tc>
          <w:tcPr>
            <w:tcW w:w="1320" w:type="dxa"/>
            <w:vAlign w:val="bottom"/>
            <w:gridSpan w:val="2"/>
          </w:tcPr>
          <w:p>
            <w:pPr>
              <w:ind w:left="560"/>
              <w:spacing w:after="0"/>
              <w:rPr>
                <w:sz w:val="20"/>
                <w:szCs w:val="20"/>
                <w:color w:val="auto"/>
              </w:rPr>
            </w:pPr>
            <w:r>
              <w:rPr>
                <w:rFonts w:ascii="Arial" w:cs="Arial" w:eastAsia="Arial" w:hAnsi="Arial"/>
                <w:sz w:val="18"/>
                <w:szCs w:val="18"/>
                <w:i w:val="1"/>
                <w:iCs w:val="1"/>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i w:val="1"/>
                <w:iCs w:val="1"/>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auto"/>
              </w:rPr>
              <w:t>9,426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9,426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9,857</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9,854</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 exercise of options</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854</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83,068</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(60,455)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 / (loss) for the period</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10,744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 (loss) for the period to net cash flows: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298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(25,744)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341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(17,641)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costs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70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(17,624)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(19,804)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70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D shares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9,801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10,008</w:t>
            </w:r>
          </w:p>
        </w:tc>
        <w:tc>
          <w:tcPr>
            <w:tcW w:w="0" w:type="dxa"/>
            <w:vAlign w:val="bottom"/>
          </w:tcPr>
          <w:p>
            <w:pPr>
              <w:spacing w:after="0"/>
              <w:rPr>
                <w:sz w:val="1"/>
                <w:szCs w:val="1"/>
                <w:color w:val="auto"/>
              </w:rPr>
            </w:pPr>
          </w:p>
        </w:tc>
      </w:tr>
      <w:tr>
        <w:trPr>
          <w:trHeight w:val="432"/>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(7,954)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(10,045)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11,251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Exchange gains on cash and cash equivalents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December 31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0"/>
        </w:trPr>
        <w:tc>
          <w:tcPr>
            <w:tcW w:w="970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(7,954)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(10,045)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6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700" w:type="dxa"/>
            <w:vAlign w:val="bottom"/>
            <w:gridSpan w:val="2"/>
          </w:tcPr>
          <w:p>
            <w:pPr>
              <w:spacing w:after="0"/>
              <w:rPr>
                <w:sz w:val="20"/>
                <w:szCs w:val="20"/>
                <w:color w:val="auto"/>
              </w:rPr>
            </w:pPr>
            <w:r>
              <w:rPr>
                <w:rFonts w:ascii="Arial" w:cs="Arial" w:eastAsia="Arial" w:hAnsi="Arial"/>
                <w:sz w:val="18"/>
                <w:szCs w:val="18"/>
                <w:color w:val="auto"/>
              </w:rPr>
              <w:t>Transaction cost due on closure of Series D round financing</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131"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three clinical-stage candidates, and three diagnostic candidates has the potential to drive a paradigm shift in the treatment of a broad spectrum of neurodegenerative and other diseases related to protein misfolding.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3.3 million as at December 31, 2014, the non-refundable upfront fee payment of CHF 25.9 million associated with the licensing agreement the Company entered into with Janssen Pharmaceuticals on December 24, 2014 (funds received on February 6, 2015) and also in the light of current financial plans and financial commitments.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we have considered the two milestone payments we received in 2015 pursuant to our collaboration agreements with Genentech including a CHF 14 million milestone payment for reaching the ED-GO decision for our anti-tau antibody program and a $25 million (CHF 24.3 million) milestone payment associated with the decision by Roche/Genentech to move crenezumab into Phase 3 studies. These two milestones have increased our cash balance as at mid-August 2015 to over CHF 57.6 million.</w:t>
      </w:r>
    </w:p>
    <w:p>
      <w:pPr>
        <w:spacing w:after="0" w:line="18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development-stage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60" w:firstLine="8"/>
        <w:spacing w:after="0" w:line="261" w:lineRule="auto"/>
        <w:tabs>
          <w:tab w:leader="none" w:pos="3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August 25,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at the date of transaction or as of the balance sheet date.</w:t>
      </w:r>
    </w:p>
    <w:p>
      <w:pPr>
        <w:spacing w:after="0" w:line="331"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includes license fees, milestone payments as well as revenue from research agreements associated with collaborations with third parties and grants from public institutions and foundations.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fees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For collaboration agreements on product candidates that are (i) in clinical development, (ii) where the upfront payment reflects a payment for past investments the Company has made in the development of the product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candidate, access to the product candidate, the associated intellectual property and our knowledge, and, (iii) where there is no further performance commitment, pursuant to guidelines on revenue recognition as contained in IAS 18,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Upfront payments relating to in-licensing agreements are recognized over an appropriate, project-specific duration.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60" w:right="2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ectPr>
          <w:pgSz w:w="11900" w:h="16838" w:orient="portrait"/>
          <w:cols w:equalWidth="0" w:num="1">
            <w:col w:w="11280"/>
          </w:cols>
          <w:pgMar w:left="240" w:top="459" w:right="379" w:bottom="1440" w:gutter="0" w:footer="0" w:header="0"/>
        </w:sectPr>
      </w:pPr>
    </w:p>
    <w:p>
      <w:pPr>
        <w:spacing w:after="0" w:line="20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IT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Laboratory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Leaseholds improvements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8160" w:space="720"/>
            <w:col w:w="2400"/>
          </w:cols>
          <w:pgMar w:left="240" w:top="459" w:right="379" w:bottom="1440" w:gutter="0" w:footer="0" w:header="0"/>
          <w:type w:val="continuous"/>
        </w:sectPr>
      </w:pP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immediately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Expenditure to acquire patents, trademarks and licenses is capitalized and amortized using the straight-line method over their useful lives of five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at the balance sheet date are charged against the income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These are classified as long-term assets.</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Receivables are measured at amortized cost. Amortized cost is the amount at which the receivable is measured at initial recognition minus principal repayments, plus or minus the cumulative amortization using the effective interest method of any difference between that initial amount and the maturity amount.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bank comprise the cash on hand.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and subsequently measured at amortized cost using the effective interest method.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80"/>
          </w:cols>
          <w:pgMar w:left="240" w:top="459" w:right="379" w:bottom="1440" w:gutter="0" w:footer="0" w:header="0"/>
          <w:type w:val="continuous"/>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assesses at each period whether there is objective evidence that those financial assets are impaired. Impairment losses are recognized in the income statement</w:t>
      </w:r>
      <w:r>
        <w:rPr>
          <w:rFonts w:ascii="Arial" w:cs="Arial" w:eastAsia="Arial" w:hAnsi="Arial"/>
          <w:sz w:val="18"/>
          <w:szCs w:val="18"/>
          <w:b w:val="1"/>
          <w:bCs w:val="1"/>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Ordinary (Common) Shares as well as Series A, B, C and D Preferred Shares are classified as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directly attributable to the issue of new shares are shown in equity as a deduction, net of tax, from the proceeds.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AC Immune has four classes (Class A, B, C and D) of Preferred Shares outstanding. The Preferred Shares are a class of shares that AC Immune SA issued in connection with four separate capital increases and convey voting rights and certain other rights to their holders.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holders of Preferred Shares own 79.7% of the total amount of shares outstanding (assuming conversion of the Preferred Shares into Common Shares on a one-for-one basis), have been the primary source of equity financing for the Company over the past 12 years and the Company’s Board of Directors consists predominantly of holders of Preferred Shares. The Preferred Shares do not have mandatory redemption features and the redemption of the Preferred Shares is within the control of the Company’s Board of Directors.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Shareholders’ Agreement allows for the conversion of Preferred Shares into Common Shares under certain circumstances, all of which are at the discretion of the Board or our Shareholders. The Preferred Shares have to be converted into Common Shares in the event of a change of control or an initial public offering or some other form of liquidity event.</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voting rights associated with Preferred Shares are the same as for Common Shares-each Preferred Share entitles the holder to one vote. No dividends have been paid on the Preferred Shares and the holders of Preferred Shares are not entitled to any dividends unless dividends are paid on the Common Shares.</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Preferred Shares have a liquidation preference wherein, in the event of a change of control or a liquidation of the Company, the holders of Preferred Shares are entitled to receive, prior and in preference to the holders of Common Shares, the amount corresponding to the price paid for each Preferred Share. Thereafter, all holders of Preferred Shares will participate with the holders of Common Shares on an as-if-converted basis in any remaining proceeds.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benefits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or trustee-administered funds. The Company has a pension plan designed to pay pensions based on accumulated contributions on individual savings accounts. However, this plan is classified as a defined benefit plan under IAS 19.</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net pension liability is the present value of the defined benefit obligation at the balance sheet date minus the fair value of plan assets. The defined benefit obligation is in all material cases calculated annually by independent actuaries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60" w:right="2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Stock options granted under the Company’s stock option plans A, B and C are valued using the Black-Scholes model (see Note 16). This valuation model as well as parameters such as expected volatility and expected term of the stock options was partially based on management’s estimates.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Current income tax assets and liabilities for the current period are measured at the amount expected to be recovered from or paid to the taxation authorities. The tax rates and tax laws used to compute the amount are those that are enacted or substantively enacted, at the reporting date in the country where the Company operates and generates taxable income. Taxation is provided for in accordance with the fiscal regulations of the respective country in which the Company operates. Deferred tax is provided using the liability method on temporary differences between the tax bases of assets and liabilities and their carrying amounts for financial reporting purposes at the reporting date.</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balance sheet date.</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key milestones, it has not recognized any deferred tax assets.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00"/>
          </w:cols>
          <w:pgMar w:left="240" w:top="459" w:right="3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w:t>
      </w:r>
    </w:p>
    <w:p>
      <w:pPr>
        <w:spacing w:after="0" w:line="121"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The Company presents basic earnings/loss per share for each period in the financial statements. The earnings/loss per share is calculated by dividing the earnings/loss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stock-based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disclosed in Note 14,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Standards, amendments and interpretations effective in current reporting period but without impact on the Company financial statements</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standards, amendments and interpretation currently are mandatory for accounting periods beginning on or after January 1, 2014 but did not have any effect on the Company financial statements:</w:t>
      </w:r>
    </w:p>
    <w:p>
      <w:pPr>
        <w:spacing w:after="0" w:line="76" w:lineRule="exact"/>
        <w:rPr>
          <w:sz w:val="20"/>
          <w:szCs w:val="20"/>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IFRS 10, IFRS 12 and IAS 27 </w:t>
      </w:r>
      <w:r>
        <w:rPr>
          <w:rFonts w:ascii="Arial" w:cs="Arial" w:eastAsia="Arial" w:hAnsi="Arial"/>
          <w:sz w:val="18"/>
          <w:szCs w:val="18"/>
          <w:i w:val="1"/>
          <w:iCs w:val="1"/>
          <w:color w:val="auto"/>
        </w:rPr>
        <w:t>Investment Entities</w:t>
      </w:r>
      <w:r>
        <w:rPr>
          <w:rFonts w:ascii="Arial" w:cs="Arial" w:eastAsia="Arial" w:hAnsi="Arial"/>
          <w:sz w:val="18"/>
          <w:szCs w:val="18"/>
          <w:color w:val="auto"/>
        </w:rPr>
        <w:t xml:space="preserve"> (Amendments)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IAS 19 </w:t>
      </w:r>
      <w:r>
        <w:rPr>
          <w:rFonts w:ascii="Arial" w:cs="Arial" w:eastAsia="Arial" w:hAnsi="Arial"/>
          <w:sz w:val="18"/>
          <w:szCs w:val="18"/>
          <w:i w:val="1"/>
          <w:iCs w:val="1"/>
          <w:color w:val="auto"/>
        </w:rPr>
        <w:t>Employee Benefits entitled Defined Benefit Plans: Employee Contributions</w:t>
      </w:r>
      <w:r>
        <w:rPr>
          <w:rFonts w:ascii="Arial" w:cs="Arial" w:eastAsia="Arial" w:hAnsi="Arial"/>
          <w:sz w:val="18"/>
          <w:szCs w:val="18"/>
          <w:color w:val="auto"/>
        </w:rPr>
        <w:t>—</w:t>
      </w:r>
      <w:r>
        <w:rPr>
          <w:rFonts w:ascii="Arial" w:cs="Arial" w:eastAsia="Arial" w:hAnsi="Arial"/>
          <w:sz w:val="18"/>
          <w:szCs w:val="18"/>
          <w:i w:val="1"/>
          <w:iCs w:val="1"/>
          <w:color w:val="auto"/>
        </w:rPr>
        <w:t>Amendments to IAS 19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IAS 32 </w:t>
      </w:r>
      <w:r>
        <w:rPr>
          <w:rFonts w:ascii="Arial" w:cs="Arial" w:eastAsia="Arial" w:hAnsi="Arial"/>
          <w:sz w:val="18"/>
          <w:szCs w:val="18"/>
          <w:i w:val="1"/>
          <w:iCs w:val="1"/>
          <w:color w:val="auto"/>
        </w:rPr>
        <w:t>Offsetting Financial Assets and Financial Liabilities—Amendments to IAS 32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IAS 36 </w:t>
      </w:r>
      <w:r>
        <w:rPr>
          <w:rFonts w:ascii="Arial" w:cs="Arial" w:eastAsia="Arial" w:hAnsi="Arial"/>
          <w:sz w:val="18"/>
          <w:szCs w:val="18"/>
          <w:i w:val="1"/>
          <w:iCs w:val="1"/>
          <w:color w:val="auto"/>
        </w:rPr>
        <w:t>Recoverable Amount Disclosures for Non-Financial Assets—Amendments to IAS 36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IAS 39 </w:t>
      </w:r>
      <w:r>
        <w:rPr>
          <w:rFonts w:ascii="Arial" w:cs="Arial" w:eastAsia="Arial" w:hAnsi="Arial"/>
          <w:sz w:val="18"/>
          <w:szCs w:val="18"/>
          <w:i w:val="1"/>
          <w:iCs w:val="1"/>
          <w:color w:val="auto"/>
        </w:rPr>
        <w:t>Novation of Derivatives and Continuation of Hedge Accounting—Amendments to IAS 39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IFRIC 21 </w:t>
      </w:r>
      <w:r>
        <w:rPr>
          <w:rFonts w:ascii="Arial" w:cs="Arial" w:eastAsia="Arial" w:hAnsi="Arial"/>
          <w:sz w:val="18"/>
          <w:szCs w:val="18"/>
          <w:i w:val="1"/>
          <w:iCs w:val="1"/>
          <w:color w:val="auto"/>
        </w:rPr>
        <w:t>Levies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Annual improvements (Dec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well as several other amendments from the annual improvement project of IFRS.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amendments and interpretations to existing standards not yet effective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new standards, amendments and interpretations to existing standards have been published and are mandatory for accounting periods beginning on or after July 1, 2014 or later periods but which the Company has not adopted early: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Recently released Standards/ Interpretations—</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44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Date Issued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check which ones are applicable for disclosure</w:t>
            </w: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is often permitted</w:t>
            </w:r>
          </w:p>
        </w:tc>
        <w:tc>
          <w:tcPr>
            <w:tcW w:w="1600" w:type="dxa"/>
            <w:vAlign w:val="bottom"/>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195"/>
        </w:trPr>
        <w:tc>
          <w:tcPr>
            <w:tcW w:w="2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IFRS 9 Financial instruments</w:t>
            </w: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Nov 2009 to</w:t>
            </w:r>
          </w:p>
        </w:tc>
        <w:tc>
          <w:tcPr>
            <w:tcW w:w="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Effective Jan 1, 2018 with early adoption allowed</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July 2014</w:t>
            </w: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Early application of the own credit risk improvements,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prior to any other changes in the accounting for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financial instruments, is permitted by IFRS 9</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4"/>
              </w:rPr>
              <w:t>Accounting for Acquisitions of Interests in Joint Operations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IFRS 11)</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in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40" w:type="dxa"/>
            <w:vAlign w:val="bottom"/>
            <w:gridSpan w:val="3"/>
          </w:tcPr>
          <w:p>
            <w:pPr>
              <w:ind w:left="26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9"/>
              </w:rPr>
              <w:t>Clarification of Acceptable Methods of Depreciation and</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Amortization (Amendments to IAS 16 and IAS 38)</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for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2016. Earlier application is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rPr>
              <w:t>IFRS 15 Revenue from Contracts with Customers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2017.</w:t>
            </w:r>
          </w:p>
        </w:tc>
        <w:tc>
          <w:tcPr>
            <w:tcW w:w="1600" w:type="dxa"/>
            <w:vAlign w:val="bottom"/>
          </w:tcPr>
          <w:p>
            <w:pPr>
              <w:spacing w:after="0"/>
              <w:rPr>
                <w:sz w:val="20"/>
                <w:szCs w:val="20"/>
                <w:color w:val="auto"/>
              </w:rPr>
            </w:pPr>
            <w:r>
              <w:rPr>
                <w:rFonts w:ascii="Arial" w:cs="Arial" w:eastAsia="Arial" w:hAnsi="Arial"/>
                <w:sz w:val="18"/>
                <w:szCs w:val="18"/>
                <w:color w:val="auto"/>
              </w:rPr>
              <w:t>Jan 1, 2017</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Earlier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Note: IASB has proposed 1 year deferral</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w w:val="93"/>
              </w:rPr>
              <w:t>Agriculture: Bearer Plants (Amendments to IAS 16 and IAS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June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An entity shall apply those amendments for annual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41)</w:t>
            </w: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periods beginning on or after January 1, 2016. Earlier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40" w:type="dxa"/>
            <w:vAlign w:val="bottom"/>
            <w:gridSpan w:val="4"/>
          </w:tcPr>
          <w:p>
            <w:pPr>
              <w:ind w:left="60"/>
              <w:spacing w:after="0"/>
              <w:rPr>
                <w:sz w:val="20"/>
                <w:szCs w:val="20"/>
                <w:color w:val="auto"/>
              </w:rPr>
            </w:pPr>
            <w:r>
              <w:rPr>
                <w:rFonts w:ascii="Arial" w:cs="Arial" w:eastAsia="Arial" w:hAnsi="Arial"/>
                <w:sz w:val="18"/>
                <w:szCs w:val="18"/>
                <w:color w:val="auto"/>
              </w:rPr>
              <w:t>F-24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Recently released Standards/ Interpretations—</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4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Date Issued</w:t>
            </w: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check which ones are applicable for disclosure</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is often permitted</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290"/>
        </w:trPr>
        <w:tc>
          <w:tcPr>
            <w:tcW w:w="4380" w:type="dxa"/>
            <w:vAlign w:val="bottom"/>
            <w:gridSpan w:val="2"/>
          </w:tcPr>
          <w:p>
            <w:pPr>
              <w:spacing w:after="0"/>
              <w:rPr>
                <w:sz w:val="20"/>
                <w:szCs w:val="20"/>
                <w:color w:val="auto"/>
              </w:rPr>
            </w:pPr>
            <w:r>
              <w:rPr>
                <w:rFonts w:ascii="Arial" w:cs="Arial" w:eastAsia="Arial" w:hAnsi="Arial"/>
                <w:sz w:val="18"/>
                <w:szCs w:val="18"/>
                <w:color w:val="auto"/>
              </w:rPr>
              <w:t>Equity Method in Separate Financial Statements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Aug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(Amendments to IAS 27)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w w:val="94"/>
              </w:rPr>
              <w:t>Sale or Contribution of Assets between an Investor and its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Sept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w w:val="96"/>
              </w:rPr>
              <w:t>Associate or Joint Venture (Amendments to IFRS 10 and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IAS 28)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380" w:type="dxa"/>
            <w:vAlign w:val="bottom"/>
            <w:gridSpan w:val="2"/>
          </w:tcPr>
          <w:p>
            <w:pPr>
              <w:spacing w:after="0"/>
              <w:rPr>
                <w:sz w:val="20"/>
                <w:szCs w:val="20"/>
                <w:color w:val="auto"/>
              </w:rPr>
            </w:pPr>
            <w:r>
              <w:rPr>
                <w:rFonts w:ascii="Arial" w:cs="Arial" w:eastAsia="Arial" w:hAnsi="Arial"/>
                <w:sz w:val="18"/>
                <w:szCs w:val="18"/>
                <w:color w:val="auto"/>
              </w:rPr>
              <w:t>Annual Improvements 2012-2014 Cycle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Sept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380" w:type="dxa"/>
            <w:vAlign w:val="bottom"/>
            <w:gridSpan w:val="2"/>
          </w:tcPr>
          <w:p>
            <w:pPr>
              <w:spacing w:after="0"/>
              <w:rPr>
                <w:sz w:val="20"/>
                <w:szCs w:val="20"/>
                <w:color w:val="auto"/>
              </w:rPr>
            </w:pPr>
            <w:r>
              <w:rPr>
                <w:rFonts w:ascii="Arial" w:cs="Arial" w:eastAsia="Arial" w:hAnsi="Arial"/>
                <w:sz w:val="18"/>
                <w:szCs w:val="18"/>
                <w:color w:val="auto"/>
              </w:rPr>
              <w:t>Disclosure Initiative (Amendments to IAS 1)</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Dec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380" w:type="dxa"/>
            <w:vAlign w:val="bottom"/>
            <w:gridSpan w:val="2"/>
          </w:tcPr>
          <w:p>
            <w:pPr>
              <w:spacing w:after="0"/>
              <w:rPr>
                <w:sz w:val="20"/>
                <w:szCs w:val="20"/>
                <w:color w:val="auto"/>
              </w:rPr>
            </w:pPr>
            <w:r>
              <w:rPr>
                <w:rFonts w:ascii="Arial" w:cs="Arial" w:eastAsia="Arial" w:hAnsi="Arial"/>
                <w:sz w:val="18"/>
                <w:szCs w:val="18"/>
                <w:color w:val="auto"/>
                <w:w w:val="94"/>
              </w:rPr>
              <w:t>Investment Entities: Applying the Consolidation Exception</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Dec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(Amendments to IFRS 10, IFRS 12 and IAS 28)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yet evaluated the impact of these revised standards and amendments on its financial statements.</w:t>
      </w:r>
    </w:p>
    <w:p>
      <w:pPr>
        <w:spacing w:after="0" w:line="370"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and intangible assets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Laboratory</w:t>
            </w:r>
          </w:p>
        </w:tc>
        <w:tc>
          <w:tcPr>
            <w:tcW w:w="13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IT</w:t>
            </w: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Building</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Equipment</w:t>
            </w: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Equipment</w:t>
            </w: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and Furniture</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Historical cost</w:t>
            </w:r>
          </w:p>
        </w:tc>
        <w:tc>
          <w:tcPr>
            <w:tcW w:w="1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January 1, 2013</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1,571</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117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1,757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31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170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1,741</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128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2,005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December 31, 2014</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1,815</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2,133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January 1, 2013</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891</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54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1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255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1,146</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1,292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1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251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December 31, 2014</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1,397</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1,589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December 31, 2014</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54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544</w:t>
            </w:r>
          </w:p>
        </w:tc>
        <w:tc>
          <w:tcPr>
            <w:tcW w:w="0" w:type="dxa"/>
            <w:vAlign w:val="bottom"/>
          </w:tcPr>
          <w:p>
            <w:pPr>
              <w:spacing w:after="0"/>
              <w:rPr>
                <w:sz w:val="1"/>
                <w:szCs w:val="1"/>
                <w:color w:val="auto"/>
              </w:rPr>
            </w:pPr>
          </w:p>
        </w:tc>
      </w:tr>
      <w:tr>
        <w:trPr>
          <w:trHeight w:val="20"/>
        </w:trPr>
        <w:tc>
          <w:tcPr>
            <w:tcW w:w="38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60" w:type="dxa"/>
            <w:vAlign w:val="bottom"/>
            <w:gridSpan w:val="2"/>
          </w:tcPr>
          <w:p>
            <w:pPr>
              <w:spacing w:after="0"/>
              <w:rPr>
                <w:sz w:val="20"/>
                <w:szCs w:val="20"/>
                <w:color w:val="auto"/>
              </w:rPr>
            </w:pPr>
            <w:r>
              <w:rPr>
                <w:rFonts w:ascii="Arial" w:cs="Arial" w:eastAsia="Arial" w:hAnsi="Arial"/>
                <w:sz w:val="18"/>
                <w:szCs w:val="18"/>
                <w:color w:val="auto"/>
              </w:rPr>
              <w:t>Net book value December 31, 2013</w:t>
            </w:r>
          </w:p>
        </w:tc>
        <w:tc>
          <w:tcPr>
            <w:tcW w:w="17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595</w:t>
            </w: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700" w:type="dxa"/>
            <w:vAlign w:val="bottom"/>
          </w:tcPr>
          <w:p>
            <w:pPr>
              <w:spacing w:after="0"/>
              <w:rPr>
                <w:sz w:val="24"/>
                <w:szCs w:val="24"/>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62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00" w:type="dxa"/>
            <w:vAlign w:val="bottom"/>
          </w:tcPr>
          <w:p>
            <w:pPr>
              <w:ind w:left="1220"/>
              <w:spacing w:after="0"/>
              <w:rPr>
                <w:sz w:val="20"/>
                <w:szCs w:val="20"/>
                <w:color w:val="auto"/>
              </w:rPr>
            </w:pPr>
            <w:r>
              <w:rPr>
                <w:rFonts w:ascii="Arial" w:cs="Arial" w:eastAsia="Arial" w:hAnsi="Arial"/>
                <w:sz w:val="18"/>
                <w:szCs w:val="18"/>
                <w:color w:val="auto"/>
              </w:rPr>
              <w:t>F-25</w:t>
            </w:r>
          </w:p>
        </w:tc>
        <w:tc>
          <w:tcPr>
            <w:tcW w:w="7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662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assets</w:t>
            </w: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66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14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20" w:type="dxa"/>
            <w:vAlign w:val="bottom"/>
            <w:gridSpan w:val="2"/>
            <w:vMerge w:val="continue"/>
          </w:tcPr>
          <w:p>
            <w:pPr>
              <w:spacing w:after="0"/>
              <w:rPr>
                <w:sz w:val="12"/>
                <w:szCs w:val="12"/>
                <w:color w:val="auto"/>
              </w:rPr>
            </w:pPr>
          </w:p>
        </w:tc>
        <w:tc>
          <w:tcPr>
            <w:tcW w:w="78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2014</w:t>
            </w:r>
          </w:p>
        </w:tc>
        <w:tc>
          <w:tcPr>
            <w:tcW w:w="22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deposit (restricted cash)</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Security deposit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38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300" w:type="dxa"/>
            <w:vAlign w:val="bottom"/>
          </w:tcPr>
          <w:p>
            <w:pPr>
              <w:spacing w:after="0"/>
              <w:rPr>
                <w:sz w:val="6"/>
                <w:szCs w:val="6"/>
                <w:color w:val="auto"/>
              </w:rPr>
            </w:pPr>
          </w:p>
        </w:tc>
        <w:tc>
          <w:tcPr>
            <w:tcW w:w="1080" w:type="dxa"/>
            <w:vAlign w:val="bottom"/>
            <w:vMerge w:val="restart"/>
          </w:tcPr>
          <w:p>
            <w:pPr>
              <w:spacing w:after="0"/>
              <w:rPr>
                <w:sz w:val="6"/>
                <w:szCs w:val="6"/>
                <w:color w:val="auto"/>
              </w:rPr>
            </w:pPr>
          </w:p>
        </w:tc>
        <w:tc>
          <w:tcPr>
            <w:tcW w:w="554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38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3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accrued income</w:t>
      </w:r>
    </w:p>
    <w:p>
      <w:pPr>
        <w:spacing w:after="0" w:line="12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0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82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2014</w:t>
            </w:r>
          </w:p>
        </w:tc>
        <w:tc>
          <w:tcPr>
            <w:tcW w:w="218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514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Grant receivable</w:t>
            </w: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34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56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34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3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prepaid expenses relate mainly to research contracts with down-payments at contract signature and their related activities will start or continue in 2015.</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670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current receivables</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67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6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00" w:type="dxa"/>
            <w:vAlign w:val="bottom"/>
            <w:gridSpan w:val="2"/>
            <w:vMerge w:val="continue"/>
          </w:tcPr>
          <w:p>
            <w:pPr>
              <w:spacing w:after="0"/>
              <w:rPr>
                <w:sz w:val="12"/>
                <w:szCs w:val="12"/>
                <w:color w:val="auto"/>
              </w:rPr>
            </w:pPr>
          </w:p>
        </w:tc>
        <w:tc>
          <w:tcPr>
            <w:tcW w:w="90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206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Swiss VAT</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00" w:type="dxa"/>
            <w:vAlign w:val="bottom"/>
          </w:tcPr>
          <w:p>
            <w:pPr>
              <w:spacing w:after="0"/>
              <w:rPr>
                <w:sz w:val="24"/>
                <w:szCs w:val="24"/>
                <w:color w:val="auto"/>
              </w:rPr>
            </w:pPr>
          </w:p>
        </w:tc>
        <w:tc>
          <w:tcPr>
            <w:tcW w:w="670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25,935</w:t>
            </w:r>
          </w:p>
        </w:tc>
        <w:tc>
          <w:tcPr>
            <w:tcW w:w="112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correspond to the fair value.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p>
        </w:tc>
        <w:tc>
          <w:tcPr>
            <w:tcW w:w="6760" w:type="dxa"/>
            <w:vAlign w:val="bottom"/>
            <w:gridSpan w:val="2"/>
          </w:tcPr>
          <w:p>
            <w:pPr>
              <w:ind w:left="160"/>
              <w:spacing w:after="0"/>
              <w:rPr>
                <w:sz w:val="20"/>
                <w:szCs w:val="20"/>
                <w:color w:val="auto"/>
              </w:rPr>
            </w:pPr>
            <w:r>
              <w:rPr>
                <w:rFonts w:ascii="Arial" w:cs="Arial" w:eastAsia="Arial" w:hAnsi="Arial"/>
                <w:sz w:val="18"/>
                <w:szCs w:val="18"/>
                <w:b w:val="1"/>
                <w:bCs w:val="1"/>
                <w:color w:val="auto"/>
              </w:rPr>
              <w:t>Cash and cash equivalents</w:t>
            </w: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676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00" w:type="dxa"/>
            <w:vAlign w:val="bottom"/>
            <w:gridSpan w:val="4"/>
          </w:tcPr>
          <w:p>
            <w:pPr>
              <w:ind w:left="3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60" w:type="dxa"/>
            <w:vAlign w:val="bottom"/>
            <w:gridSpan w:val="2"/>
            <w:vMerge w:val="continue"/>
          </w:tcPr>
          <w:p>
            <w:pPr>
              <w:spacing w:after="0"/>
              <w:rPr>
                <w:sz w:val="12"/>
                <w:szCs w:val="12"/>
                <w:color w:val="auto"/>
              </w:rPr>
            </w:pPr>
          </w:p>
        </w:tc>
        <w:tc>
          <w:tcPr>
            <w:tcW w:w="90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200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00" w:type="dxa"/>
            <w:vAlign w:val="bottom"/>
          </w:tcPr>
          <w:p>
            <w:pPr>
              <w:spacing w:after="0"/>
              <w:rPr>
                <w:sz w:val="24"/>
                <w:szCs w:val="24"/>
                <w:color w:val="auto"/>
              </w:rPr>
            </w:pPr>
          </w:p>
        </w:tc>
        <w:tc>
          <w:tcPr>
            <w:tcW w:w="676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rPr>
              <w:t>3,306</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00" w:type="dxa"/>
            <w:vAlign w:val="bottom"/>
          </w:tcPr>
          <w:p>
            <w:pPr>
              <w:spacing w:after="0"/>
              <w:rPr>
                <w:sz w:val="5"/>
                <w:szCs w:val="5"/>
                <w:color w:val="auto"/>
              </w:rPr>
            </w:pPr>
          </w:p>
        </w:tc>
        <w:tc>
          <w:tcPr>
            <w:tcW w:w="1080" w:type="dxa"/>
            <w:vAlign w:val="bottom"/>
            <w:vMerge w:val="restart"/>
          </w:tcPr>
          <w:p>
            <w:pPr>
              <w:spacing w:after="0"/>
              <w:rPr>
                <w:sz w:val="5"/>
                <w:szCs w:val="5"/>
                <w:color w:val="auto"/>
              </w:rPr>
            </w:pPr>
          </w:p>
        </w:tc>
        <w:tc>
          <w:tcPr>
            <w:tcW w:w="5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Currency</w:t>
            </w: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CHF</w:t>
            </w:r>
          </w:p>
        </w:tc>
        <w:tc>
          <w:tcPr>
            <w:tcW w:w="900" w:type="dxa"/>
            <w:vAlign w:val="bottom"/>
          </w:tcPr>
          <w:p>
            <w:pPr>
              <w:jc w:val="right"/>
              <w:spacing w:after="0"/>
              <w:rPr>
                <w:sz w:val="20"/>
                <w:szCs w:val="20"/>
                <w:color w:val="auto"/>
              </w:rPr>
            </w:pPr>
            <w:r>
              <w:rPr>
                <w:rFonts w:ascii="Arial" w:cs="Arial" w:eastAsia="Arial" w:hAnsi="Arial"/>
                <w:sz w:val="18"/>
                <w:szCs w:val="18"/>
                <w:color w:val="auto"/>
              </w:rPr>
              <w:t>2,517</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10,886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USD</w:t>
            </w:r>
          </w:p>
        </w:tc>
        <w:tc>
          <w:tcPr>
            <w:tcW w:w="900" w:type="dxa"/>
            <w:vAlign w:val="bottom"/>
          </w:tcPr>
          <w:p>
            <w:pPr>
              <w:jc w:val="right"/>
              <w:spacing w:after="0"/>
              <w:rPr>
                <w:sz w:val="20"/>
                <w:szCs w:val="20"/>
                <w:color w:val="auto"/>
              </w:rPr>
            </w:pPr>
            <w:r>
              <w:rPr>
                <w:rFonts w:ascii="Arial" w:cs="Arial" w:eastAsia="Arial" w:hAnsi="Arial"/>
                <w:sz w:val="18"/>
                <w:szCs w:val="18"/>
                <w:color w:val="auto"/>
              </w:rPr>
              <w:t>307</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00" w:type="dxa"/>
            <w:vAlign w:val="bottom"/>
          </w:tcPr>
          <w:p>
            <w:pPr>
              <w:spacing w:after="0"/>
              <w:rPr>
                <w:sz w:val="6"/>
                <w:szCs w:val="6"/>
                <w:color w:val="auto"/>
              </w:rPr>
            </w:pPr>
          </w:p>
        </w:tc>
        <w:tc>
          <w:tcPr>
            <w:tcW w:w="1080" w:type="dxa"/>
            <w:vAlign w:val="bottom"/>
            <w:vMerge w:val="restart"/>
          </w:tcPr>
          <w:p>
            <w:pPr>
              <w:spacing w:after="0"/>
              <w:rPr>
                <w:sz w:val="6"/>
                <w:szCs w:val="6"/>
                <w:color w:val="auto"/>
              </w:rPr>
            </w:pPr>
          </w:p>
        </w:tc>
        <w:tc>
          <w:tcPr>
            <w:tcW w:w="568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the balance sheet date, Company funds were held in CHF, EUR and USD bank accounts. Assets in EUR and USD were translated into CHF at a rate of 1.21463 and 0.99879, respectively.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2014, the issued share capital amounting to CHF 853,900 is comprised of 170,780 shares. The table below summarizes the capital structure: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3260" w:type="dxa"/>
            <w:vAlign w:val="bottom"/>
            <w:gridSpan w:val="11"/>
          </w:tcPr>
          <w:p>
            <w:pPr>
              <w:ind w:left="50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7240" w:type="dxa"/>
            <w:vAlign w:val="bottom"/>
          </w:tcPr>
          <w:p>
            <w:pPr>
              <w:spacing w:after="0"/>
              <w:rPr>
                <w:sz w:val="12"/>
                <w:szCs w:val="12"/>
                <w:color w:val="auto"/>
              </w:rPr>
            </w:pPr>
          </w:p>
        </w:tc>
        <w:tc>
          <w:tcPr>
            <w:tcW w:w="8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240" w:type="dxa"/>
            <w:vAlign w:val="bottom"/>
          </w:tcPr>
          <w:p>
            <w:pPr>
              <w:spacing w:after="0"/>
              <w:rPr>
                <w:sz w:val="12"/>
                <w:szCs w:val="12"/>
                <w:color w:val="auto"/>
              </w:rPr>
            </w:pPr>
          </w:p>
        </w:tc>
        <w:tc>
          <w:tcPr>
            <w:tcW w:w="88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CHF</w:t>
            </w:r>
          </w:p>
        </w:tc>
        <w:tc>
          <w:tcPr>
            <w:tcW w:w="180" w:type="dxa"/>
            <w:vAlign w:val="bottom"/>
          </w:tcPr>
          <w:p>
            <w:pPr>
              <w:spacing w:after="0"/>
              <w:rPr>
                <w:sz w:val="12"/>
                <w:szCs w:val="12"/>
                <w:color w:val="auto"/>
              </w:rPr>
            </w:pPr>
          </w:p>
        </w:tc>
        <w:tc>
          <w:tcPr>
            <w:tcW w:w="90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with a nominal value of CHF 5 each</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34,532</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172,660</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34,447</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172,235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Preferred shares Series A with a nominal value of CHF 5</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14,152</w:t>
            </w:r>
          </w:p>
        </w:tc>
        <w:tc>
          <w:tcPr>
            <w:tcW w:w="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70,760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14,152</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70,760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B with a nominal value of CHF 5</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67,130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335,650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67,130</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335,650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Preferred shares Series C with a nominal value of CHF 5</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38,476</w:t>
            </w:r>
          </w:p>
        </w:tc>
        <w:tc>
          <w:tcPr>
            <w:tcW w:w="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192,380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38,476</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192,380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D with a nominal value of CHF 5</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16,490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82,450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41,225</w:t>
            </w:r>
          </w:p>
        </w:tc>
      </w:tr>
      <w:tr>
        <w:trPr>
          <w:trHeight w:val="291"/>
        </w:trPr>
        <w:tc>
          <w:tcPr>
            <w:tcW w:w="724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170,780</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853,900</w:t>
            </w:r>
          </w:p>
        </w:tc>
        <w:tc>
          <w:tcPr>
            <w:tcW w:w="180" w:type="dxa"/>
            <w:vAlign w:val="bottom"/>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162,450</w:t>
            </w:r>
          </w:p>
        </w:tc>
        <w:tc>
          <w:tcPr>
            <w:tcW w:w="180" w:type="dxa"/>
            <w:vAlign w:val="bottom"/>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812,250</w:t>
            </w:r>
          </w:p>
        </w:tc>
        <w:tc>
          <w:tcPr>
            <w:tcW w:w="100" w:type="dxa"/>
            <w:vAlign w:val="bottom"/>
          </w:tcPr>
          <w:p>
            <w:pPr>
              <w:spacing w:after="0"/>
              <w:rPr>
                <w:sz w:val="24"/>
                <w:szCs w:val="24"/>
                <w:color w:val="auto"/>
              </w:rPr>
            </w:pPr>
          </w:p>
        </w:tc>
      </w:tr>
    </w:tbl>
    <w:p>
      <w:pPr>
        <w:spacing w:after="0" w:line="28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Common and Preferred Shares have a nominal value of CHF 5 and are fully paid in. In a liquidation or winding up event (including trade sale), Preferred A, B, C and D Shares are senior to common shares in such a way that Preferred shareholders get in advance, prior and in preference to the holders of common shares, the amount corresponding to the price paid for each Preferred Share. The remaining funds shall be distributed pro-rata to all shareholders.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Conditional Capital</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Extraordinary General Assembly held on November 28, 2013, approved an increase of the conditional capital of 2,910 registered Common Shares with a par value of CHF 5.- These shares are reserved for the Company’s stock option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Preferred Shares</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December 13, 2013, the Company successfully completed a financing round of CHF 20 million. The share price of the round was CHF 1,212.90 for each of the 16,490 Series D Preferred Shares (8,245 issued immediately in December 2013 and 8,245 as authorized capital subscribed in May 2014).</w:t>
      </w:r>
    </w:p>
    <w:p>
      <w:pPr>
        <w:spacing w:after="0" w:line="2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Trade payables and accrued liabilities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06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9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206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Accrued R&amp;D costs</w:t>
            </w:r>
          </w:p>
        </w:tc>
        <w:tc>
          <w:tcPr>
            <w:tcW w:w="900" w:type="dxa"/>
            <w:vAlign w:val="bottom"/>
          </w:tcPr>
          <w:p>
            <w:pPr>
              <w:jc w:val="right"/>
              <w:spacing w:after="0"/>
              <w:rPr>
                <w:sz w:val="20"/>
                <w:szCs w:val="20"/>
                <w:color w:val="auto"/>
              </w:rPr>
            </w:pPr>
            <w:r>
              <w:rPr>
                <w:rFonts w:ascii="Arial" w:cs="Arial" w:eastAsia="Arial" w:hAnsi="Arial"/>
                <w:sz w:val="18"/>
                <w:szCs w:val="18"/>
                <w:color w:val="auto"/>
              </w:rPr>
              <w:t>712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12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420"/>
        <w:spacing w:after="0" w:line="449" w:lineRule="auto"/>
        <w:rPr>
          <w:sz w:val="20"/>
          <w:szCs w:val="20"/>
          <w:color w:val="auto"/>
        </w:rPr>
      </w:pPr>
      <w:r>
        <w:rPr>
          <w:rFonts w:ascii="Arial" w:cs="Arial" w:eastAsia="Arial" w:hAnsi="Arial"/>
          <w:sz w:val="18"/>
          <w:szCs w:val="18"/>
          <w:color w:val="auto"/>
        </w:rPr>
        <w:t>An accrual of CHF 947 thousand and CHF 568 thousand was recognized for performance-related remuneration relating to 2014 and 2013, respectively. F-27</w:t>
      </w:r>
    </w:p>
    <w:p>
      <w:pPr>
        <w:sectPr>
          <w:pgSz w:w="11900" w:h="16838" w:orient="portrait"/>
          <w:cols w:equalWidth="0" w:num="1">
            <w:col w:w="11340"/>
          </w:cols>
          <w:pgMar w:left="240" w:top="459" w:right="3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portion of deferred income</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upfront payment of EUR 500 thousand (CHF 616 thousand) received in May 2014 from this collaboration is deferred over a period of 12 months. As of December 31, 2014, the remaining CHF 205 thousand is recorded as a current liability in deferred income.</w:t>
      </w:r>
    </w:p>
    <w:p>
      <w:pPr>
        <w:spacing w:after="0" w:line="315"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0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0"/>
              </w:rPr>
              <w:t>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5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30,179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30,269</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of 2006 with Genentech</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recently announced it intends to commence Phase 3 clinical studies for crenezumab in 2016. If crenezumab receives regulatory approval, we will be entitled to receive royalties that are tied to annual sales volumes with different royalty rates applicable in the U.S. and Europe. These percentage rates range from the low double digits to the mid-teens.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the agreement with Genentech, we may become eligible to receive payments totaling in excess of $300 million, excluding royalties. As at August 25, 2015 we have received total payments of $65 million (CHF 70.1 million): $40 million (CHF 45.8 million) were received in three milestone payments prior to 2013 and $25 million (CHF 24.3 million) were received in the subsequent period in July 2015.</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will recognize the Phase 3 payment in our third quarter financials since there is no further performance requirement on our side. The agreement provides for a second therapeutic product based on the same intellectual property and anti-Abeta antibody compound as well as an anti-Abeta diagnostic product. Genentech may terminate the agreement at any time by providing three months’ notice to us. In such event all costs incurred are still refundable.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of 2012 with Genentech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To date we have received payments totaling CHF 31 million including a subsequent CHF 14 million milestone payment received in the second quarter of 2015 associated with the recent selection of the lead candidate to be taken forward into Phase 1 clinical studies. Genentech also announced it intends to commence Phase 1 clinical studies for this product candidate in 2016.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of 2014 with Janssen Pharmaceuticals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At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 The agreement also allows for the collaboration to be expanded to a second indication based on the same anti-tau vaccine program and intellectual property related to this program.</w:t>
      </w:r>
    </w:p>
    <w:p>
      <w:pPr>
        <w:spacing w:after="0" w:line="16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The two companies have entered into a three-year joint research collaboration to further characterize and develop novel vaccine therapies for the treatment of tauopathies.</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of 2014 with Piramal Imaging</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pathogenic tau aggregates for use as a PET tracer. The exclusive, worldwide licensing agreement with Piramal Imaging includes upfront and sales milestone payments totaling up to EUR 157 million, plus royalties on sales at a percentage rate ranging from mid-single digits to low double digits. We received an upfront payment of EUR 500 thousand and are entitled to further clinical milestones totaling EUR 7 million should the compound make it through to Phase 3 clinical studies and are further entitled to regulatory, commercialization and sales based milestones totaling EUR 150 million.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Piramal may terminate the agreement at any time after the first eighteen months from the effective date of this agreement by providing three months’ notice to 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both 2013 and 2014, we recognized revenue associated with a research grant given to us by a European Institution in October of 2011 and which had a 3-year duration. We recognized the revenues on a straight line basis over the period of the grant.</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Expenses by category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9,990</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5,669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5,393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Depreciation of tangible fixed assets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298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380" w:type="dxa"/>
            <w:vAlign w:val="bottom"/>
            <w:vMerge w:val="restart"/>
          </w:tcPr>
          <w:p>
            <w:pPr>
              <w:spacing w:after="0"/>
              <w:rPr>
                <w:sz w:val="6"/>
                <w:szCs w:val="6"/>
                <w:color w:val="auto"/>
              </w:rPr>
            </w:pPr>
          </w:p>
        </w:tc>
        <w:tc>
          <w:tcPr>
            <w:tcW w:w="6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16,116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15"/>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General and administrative</w:t>
            </w:r>
          </w:p>
        </w:tc>
        <w:tc>
          <w:tcPr>
            <w:tcW w:w="1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1,947</w:t>
            </w:r>
          </w:p>
        </w:tc>
        <w:tc>
          <w:tcPr>
            <w:tcW w:w="2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120" w:type="dxa"/>
            <w:vAlign w:val="bottom"/>
            <w:gridSpan w:val="2"/>
          </w:tcPr>
          <w:p>
            <w:pPr>
              <w:ind w:left="1380"/>
              <w:spacing w:after="0"/>
              <w:rPr>
                <w:sz w:val="20"/>
                <w:szCs w:val="20"/>
                <w:color w:val="auto"/>
              </w:rPr>
            </w:pPr>
            <w:r>
              <w:rPr>
                <w:rFonts w:ascii="Arial" w:cs="Arial" w:eastAsia="Arial" w:hAnsi="Arial"/>
                <w:sz w:val="18"/>
                <w:szCs w:val="18"/>
                <w:color w:val="auto"/>
              </w:rPr>
              <w:t>Total general and administrative expenses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3,436</w:t>
            </w:r>
          </w:p>
        </w:tc>
        <w:tc>
          <w:tcPr>
            <w:tcW w:w="20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individuals) and the Executive Management (three individuals) compensation is: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of salaries, bonus payments, social security and expenses allowances.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250 and zero options were granted in 2014 and 2013, respectively, to the Executive Management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205 and zero options were granted in 2014 and 2013, respectively, to the Directors of the Company.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8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For the Years Ended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7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146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720" w:type="dxa"/>
            <w:vAlign w:val="bottom"/>
            <w:gridSpan w:val="2"/>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360" w:type="dxa"/>
            <w:vAlign w:val="bottom"/>
            <w:tcBorders>
              <w:top w:val="single" w:sz="8" w:color="auto"/>
            </w:tcBorders>
            <w:gridSpan w:val="5"/>
          </w:tcPr>
          <w:p>
            <w:pPr>
              <w:ind w:left="96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tax recognized in profit or loss</w:t>
            </w: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 w:type="dxa"/>
            <w:vAlign w:val="bottom"/>
          </w:tcPr>
          <w:p>
            <w:pPr>
              <w:spacing w:after="0"/>
              <w:rPr>
                <w:sz w:val="24"/>
                <w:szCs w:val="24"/>
                <w:color w:val="auto"/>
              </w:rPr>
            </w:pPr>
          </w:p>
        </w:tc>
        <w:tc>
          <w:tcPr>
            <w:tcW w:w="7720" w:type="dxa"/>
            <w:vAlign w:val="bottom"/>
            <w:gridSpan w:val="2"/>
          </w:tcPr>
          <w:p>
            <w:pPr>
              <w:ind w:left="92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180" w:type="dxa"/>
            <w:vAlign w:val="bottom"/>
            <w:gridSpan w:val="3"/>
          </w:tcPr>
          <w:p>
            <w:pPr>
              <w:spacing w:after="0"/>
              <w:rPr>
                <w:sz w:val="20"/>
                <w:szCs w:val="20"/>
                <w:color w:val="auto"/>
              </w:rPr>
            </w:pPr>
            <w:r>
              <w:rPr>
                <w:rFonts w:ascii="Arial" w:cs="Arial" w:eastAsia="Arial" w:hAnsi="Arial"/>
                <w:sz w:val="18"/>
                <w:szCs w:val="18"/>
                <w:color w:val="auto"/>
              </w:rPr>
              <w:t>The income tax expense for the year can be reconciled to the accounting profit as follows:</w:t>
            </w:r>
          </w:p>
        </w:tc>
        <w:tc>
          <w:tcPr>
            <w:tcW w:w="4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6"/>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540" w:type="dxa"/>
            <w:vAlign w:val="bottom"/>
            <w:tcBorders>
              <w:top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Accounting income / (loss) before income tax</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10,744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(11,243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91"/>
        </w:trPr>
        <w:tc>
          <w:tcPr>
            <w:tcW w:w="8180" w:type="dxa"/>
            <w:vAlign w:val="bottom"/>
            <w:gridSpan w:val="3"/>
          </w:tcPr>
          <w:p>
            <w:pPr>
              <w:ind w:left="460"/>
              <w:spacing w:after="0"/>
              <w:rPr>
                <w:sz w:val="20"/>
                <w:szCs w:val="20"/>
                <w:color w:val="auto"/>
              </w:rPr>
            </w:pPr>
            <w:r>
              <w:rPr>
                <w:rFonts w:ascii="Arial" w:cs="Arial" w:eastAsia="Arial" w:hAnsi="Arial"/>
                <w:sz w:val="18"/>
                <w:szCs w:val="18"/>
                <w:color w:val="auto"/>
              </w:rPr>
              <w:t>Tax expense calculated at the statutory rate of 22.5% (2013: 0%)</w:t>
            </w:r>
          </w:p>
        </w:tc>
        <w:tc>
          <w:tcPr>
            <w:tcW w:w="420" w:type="dxa"/>
            <w:vAlign w:val="bottom"/>
          </w:tcPr>
          <w:p>
            <w:pPr>
              <w:spacing w:after="0"/>
              <w:rPr>
                <w:sz w:val="24"/>
                <w:szCs w:val="24"/>
                <w:color w:val="auto"/>
              </w:rPr>
            </w:pPr>
          </w:p>
        </w:tc>
        <w:tc>
          <w:tcPr>
            <w:tcW w:w="1360" w:type="dxa"/>
            <w:vAlign w:val="bottom"/>
            <w:gridSpan w:val="5"/>
          </w:tcPr>
          <w:p>
            <w:pPr>
              <w:jc w:val="right"/>
              <w:ind w:right="140"/>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Swiss tax holiday</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8180" w:type="dxa"/>
            <w:vAlign w:val="bottom"/>
            <w:gridSpan w:val="3"/>
          </w:tcPr>
          <w:p>
            <w:pPr>
              <w:ind w:left="460"/>
              <w:spacing w:after="0"/>
              <w:rPr>
                <w:sz w:val="20"/>
                <w:szCs w:val="20"/>
                <w:color w:val="auto"/>
              </w:rPr>
            </w:pPr>
            <w:r>
              <w:rPr>
                <w:rFonts w:ascii="Arial" w:cs="Arial" w:eastAsia="Arial" w:hAnsi="Arial"/>
                <w:sz w:val="18"/>
                <w:szCs w:val="18"/>
                <w:b w:val="1"/>
                <w:bCs w:val="1"/>
                <w:color w:val="auto"/>
              </w:rPr>
              <w:t>Effective income tax rate benefit / (expense)</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tax rate used for the 2014 and 2013 reconciliations above is the corporate tax rate of 22.5% payable by corporate entities in the Canton of Vaud, Switzerland on taxable profits under tax law in that jurisdiction.</w:t>
      </w:r>
    </w:p>
    <w:p>
      <w:pPr>
        <w:spacing w:after="0" w:line="17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Therefore, the Company has not recognized any deferred tax asset relating to tax loss carry-forward expiring by the end of 2014 since they will expire within the tax holiday period and also because of a forecasted effective tax rate of nil. It has also not recognized any deferred tax asset relating to tax loss carry-forward expiring after the tax holiday since the criteria for recognition are not met.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is no income tax recognized directly in equity or in comprehensive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98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9800" w:type="dxa"/>
            <w:vAlign w:val="bottom"/>
            <w:tcBorders>
              <w:bottom w:val="single" w:sz="8" w:color="CCEEFF"/>
            </w:tcBorders>
            <w:vMerge w:val="continue"/>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Unrecognized deductible temporary differences, unused tax losses and unused tax credits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800" w:type="dxa"/>
            <w:vAlign w:val="bottom"/>
          </w:tcPr>
          <w:p>
            <w:pPr>
              <w:spacing w:after="0" w:line="201" w:lineRule="exact"/>
              <w:rPr>
                <w:sz w:val="20"/>
                <w:szCs w:val="20"/>
                <w:color w:val="auto"/>
              </w:rPr>
            </w:pPr>
            <w:r>
              <w:rPr>
                <w:rFonts w:ascii="Arial" w:cs="Arial" w:eastAsia="Arial" w:hAnsi="Arial"/>
                <w:sz w:val="18"/>
                <w:szCs w:val="18"/>
                <w:color w:val="auto"/>
                <w:w w:val="93"/>
              </w:rPr>
              <w:t>Deductible temporary differences, unused tax losses and unused tax credits for which no deferred tax assets have been recognized</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180"/>
              <w:spacing w:after="0"/>
              <w:rPr>
                <w:sz w:val="20"/>
                <w:szCs w:val="20"/>
                <w:color w:val="auto"/>
              </w:rPr>
            </w:pPr>
            <w:r>
              <w:rPr>
                <w:rFonts w:ascii="Arial" w:cs="Arial" w:eastAsia="Arial" w:hAnsi="Arial"/>
                <w:sz w:val="18"/>
                <w:szCs w:val="18"/>
                <w:color w:val="auto"/>
              </w:rPr>
              <w:t>are attributable to the following:</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 Tax Losses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49,253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59,770</w:t>
            </w:r>
          </w:p>
        </w:tc>
        <w:tc>
          <w:tcPr>
            <w:tcW w:w="0" w:type="dxa"/>
            <w:vAlign w:val="bottom"/>
          </w:tcPr>
          <w:p>
            <w:pPr>
              <w:spacing w:after="0"/>
              <w:rPr>
                <w:sz w:val="1"/>
                <w:szCs w:val="1"/>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 Deductible temporary differences related to the retirement benefit plan</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2,410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75"/>
        </w:trPr>
        <w:tc>
          <w:tcPr>
            <w:tcW w:w="980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51,663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60,699</w:t>
            </w:r>
          </w:p>
        </w:tc>
        <w:tc>
          <w:tcPr>
            <w:tcW w:w="0" w:type="dxa"/>
            <w:vAlign w:val="bottom"/>
          </w:tcPr>
          <w:p>
            <w:pPr>
              <w:spacing w:after="0"/>
              <w:rPr>
                <w:sz w:val="1"/>
                <w:szCs w:val="1"/>
                <w:color w:val="auto"/>
              </w:rPr>
            </w:pPr>
          </w:p>
        </w:tc>
      </w:tr>
      <w:tr>
        <w:trPr>
          <w:trHeight w:val="439"/>
        </w:trPr>
        <w:tc>
          <w:tcPr>
            <w:tcW w:w="9800" w:type="dxa"/>
            <w:vAlign w:val="bottom"/>
          </w:tcPr>
          <w:p>
            <w:pPr>
              <w:ind w:left="5540"/>
              <w:spacing w:after="0"/>
              <w:rPr>
                <w:sz w:val="20"/>
                <w:szCs w:val="20"/>
                <w:color w:val="auto"/>
              </w:rPr>
            </w:pPr>
            <w:r>
              <w:rPr>
                <w:rFonts w:ascii="Arial" w:cs="Arial" w:eastAsia="Arial" w:hAnsi="Arial"/>
                <w:sz w:val="18"/>
                <w:szCs w:val="18"/>
                <w:color w:val="auto"/>
              </w:rPr>
              <w:t>F-31</w:t>
            </w:r>
          </w:p>
        </w:tc>
        <w:tc>
          <w:tcPr>
            <w:tcW w:w="6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Deductible temporary differences related to the retirement benefit plan do not expire. Tax losses expiry dates are shown in the table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2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10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196"/>
        </w:trPr>
        <w:tc>
          <w:tcPr>
            <w:tcW w:w="6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Tax losses split by expiry date</w:t>
            </w: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2014</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2016</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17,599</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2018</w:t>
            </w:r>
          </w:p>
        </w:tc>
        <w:tc>
          <w:tcPr>
            <w:tcW w:w="600" w:type="dxa"/>
            <w:vAlign w:val="bottom"/>
          </w:tcPr>
          <w:p>
            <w:pPr>
              <w:jc w:val="right"/>
              <w:spacing w:after="0"/>
              <w:rPr>
                <w:sz w:val="20"/>
                <w:szCs w:val="20"/>
                <w:color w:val="auto"/>
              </w:rPr>
            </w:pPr>
            <w:r>
              <w:rPr>
                <w:rFonts w:ascii="Arial" w:cs="Arial" w:eastAsia="Arial" w:hAnsi="Arial"/>
                <w:sz w:val="18"/>
                <w:szCs w:val="18"/>
                <w:color w:val="auto"/>
              </w:rPr>
              <w:t>10,388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2020</w:t>
            </w:r>
          </w:p>
        </w:tc>
        <w:tc>
          <w:tcPr>
            <w:tcW w:w="600" w:type="dxa"/>
            <w:vAlign w:val="bottom"/>
          </w:tcPr>
          <w:p>
            <w:pPr>
              <w:jc w:val="right"/>
              <w:spacing w:after="0"/>
              <w:rPr>
                <w:sz w:val="20"/>
                <w:szCs w:val="20"/>
                <w:color w:val="auto"/>
              </w:rPr>
            </w:pPr>
            <w:r>
              <w:rPr>
                <w:rFonts w:ascii="Arial" w:cs="Arial" w:eastAsia="Arial" w:hAnsi="Arial"/>
                <w:sz w:val="18"/>
                <w:szCs w:val="18"/>
                <w:color w:val="auto"/>
              </w:rPr>
              <w:t>10,338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91"/>
        </w:trPr>
        <w:tc>
          <w:tcPr>
            <w:tcW w:w="69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59,770</w:t>
            </w:r>
          </w:p>
        </w:tc>
        <w:tc>
          <w:tcPr>
            <w:tcW w:w="120" w:type="dxa"/>
            <w:vAlign w:val="bottom"/>
          </w:tcPr>
          <w:p>
            <w:pPr>
              <w:spacing w:after="0"/>
              <w:rPr>
                <w:sz w:val="24"/>
                <w:szCs w:val="24"/>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tax losses available for future offset against taxable profits have decreased by CHF 10.5 million, representing the amount of tax losses that would have been used as an offset if the negotiated tax holiday had not enabled the Company to pay no taxes during 2014.</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Consistent with prior years, the Company has not recorded any deferred tax assets in relation to the past tax losses available for offset against future profits as the recognition criteria have not been met at the last annual balance sheet date. The criteria are not expected to be met at the next annual balance sheet date.</w:t>
      </w:r>
    </w:p>
    <w:p>
      <w:pPr>
        <w:spacing w:after="0" w:line="268"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Apart from the social security plans fixed by the law, the Company maintains one independent pension plan covering all of its employees including its executive officers. In addition to retirement benefits, the plan provides death or long-term disability benefits to its employees.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Benefits under the plan are principally based on contributions, computed as a percentage of salary, adjusted for the age of the employee and shared approximately 46% and 54% by employee and employer, respectively. For accounting purposes under IFRS, the plan is treated as a defined benefit plan. Liabilities and assets are calculated annually by an independent actuary. In accordance with IAS 19, plan assets have been estimated at their fair market value and liabilities have been calculated according to the “Projected Unit Credit” method.</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plan is governed by the Swiss employment laws, which require final salary payments to be adjusted for the consumer price index once in payment during retirement. The defined benefit pension plan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Each year, the Board of Trustees reviews the level of funding in the pension plan as required by Swiss employment legislation. Such a review includes the asset-liability matching strategy and investment risk management policy. The Board of Trustees decides its contribution based on the results of this annual review. Generally, it aims to have a portfolio mix of a combined 40% in equity and property and 60% in debt instruments. Swiss employment practice recommends the Company to clear any plan deficit (based on a valuation performed in accordance with Swiss Employment Law) over a period of no more than 5 years after the period in which the deficit arises.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assets are invested by the pension plan, to which many companies contribute, in a diversified portfolio that respects the requirements of the Swiss BVG.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pension plan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Since the pension liability is adjusted to consumer price index, the pension plan is exposed to Swiss inflation, interest rate risks and changes in the life expectancy for pensioners.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should be recognized in the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8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1"/>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(8,091)</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(6,044)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5,681</w:t>
            </w:r>
          </w:p>
        </w:tc>
        <w:tc>
          <w:tcPr>
            <w:tcW w:w="540" w:type="dxa"/>
            <w:vAlign w:val="bottom"/>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380" w:type="dxa"/>
            <w:vAlign w:val="bottom"/>
            <w:vMerge w:val="restart"/>
          </w:tcPr>
          <w:p>
            <w:pPr>
              <w:spacing w:after="0"/>
              <w:rPr>
                <w:sz w:val="6"/>
                <w:szCs w:val="6"/>
                <w:color w:val="auto"/>
              </w:rPr>
            </w:pPr>
          </w:p>
        </w:tc>
        <w:tc>
          <w:tcPr>
            <w:tcW w:w="68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Liability</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(2,410)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507"/>
        </w:trPr>
        <w:tc>
          <w:tcPr>
            <w:tcW w:w="8240" w:type="dxa"/>
            <w:vAlign w:val="bottom"/>
            <w:gridSpan w:val="2"/>
          </w:tcPr>
          <w:p>
            <w:pPr>
              <w:spacing w:after="0"/>
              <w:rPr>
                <w:sz w:val="20"/>
                <w:szCs w:val="20"/>
                <w:color w:val="auto"/>
              </w:rPr>
            </w:pPr>
            <w:r>
              <w:rPr>
                <w:rFonts w:ascii="Arial" w:cs="Arial" w:eastAsia="Arial" w:hAnsi="Arial"/>
                <w:sz w:val="18"/>
                <w:szCs w:val="18"/>
                <w:color w:val="auto"/>
                <w:w w:val="94"/>
              </w:rPr>
              <w:t>According to IAS 19, the following amounts have been recorded as net pension cost in the income statement:</w:t>
            </w: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80" w:type="dxa"/>
            <w:vAlign w:val="bottom"/>
          </w:tcPr>
          <w:p>
            <w:pPr>
              <w:spacing w:after="0"/>
              <w:rPr>
                <w:sz w:val="14"/>
                <w:szCs w:val="14"/>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Interest cost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5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(118)</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1"/>
        </w:trPr>
        <w:tc>
          <w:tcPr>
            <w:tcW w:w="8240" w:type="dxa"/>
            <w:vAlign w:val="bottom"/>
            <w:gridSpan w:val="2"/>
          </w:tcPr>
          <w:p>
            <w:pPr>
              <w:ind w:left="1380"/>
              <w:spacing w:after="0"/>
              <w:rPr>
                <w:sz w:val="20"/>
                <w:szCs w:val="20"/>
                <w:color w:val="auto"/>
              </w:rPr>
            </w:pPr>
            <w:r>
              <w:rPr>
                <w:rFonts w:ascii="Arial" w:cs="Arial" w:eastAsia="Arial" w:hAnsi="Arial"/>
                <w:sz w:val="18"/>
                <w:szCs w:val="18"/>
                <w:b w:val="1"/>
                <w:bCs w:val="1"/>
                <w:color w:val="auto"/>
              </w:rPr>
              <w:t>Net pension cost</w:t>
            </w:r>
          </w:p>
        </w:tc>
        <w:tc>
          <w:tcPr>
            <w:tcW w:w="8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defined benefit obligation, fair value of plan assets and unrecognized (gains) / losses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defined benefit obligation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3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 as of January 1</w:t>
            </w:r>
          </w:p>
        </w:tc>
        <w:tc>
          <w:tcPr>
            <w:tcW w:w="3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(6,044)</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Service cost</w:t>
            </w:r>
          </w:p>
        </w:tc>
        <w:tc>
          <w:tcPr>
            <w:tcW w:w="4240" w:type="dxa"/>
            <w:vAlign w:val="bottom"/>
            <w:gridSpan w:val="3"/>
          </w:tcPr>
          <w:p>
            <w:pPr>
              <w:jc w:val="right"/>
              <w:ind w:right="400"/>
              <w:spacing w:after="0"/>
              <w:rPr>
                <w:sz w:val="20"/>
                <w:szCs w:val="20"/>
                <w:color w:val="auto"/>
              </w:rPr>
            </w:pPr>
            <w:r>
              <w:rPr>
                <w:rFonts w:ascii="Arial" w:cs="Arial" w:eastAsia="Arial" w:hAnsi="Arial"/>
                <w:sz w:val="18"/>
                <w:szCs w:val="18"/>
                <w:color w:val="auto"/>
              </w:rPr>
              <w:t>(521)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32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Change in financial assumptions</w:t>
            </w:r>
          </w:p>
        </w:tc>
        <w:tc>
          <w:tcPr>
            <w:tcW w:w="4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(1,303)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actuarial gains / (losses)</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Employees’ contributions</w:t>
            </w:r>
          </w:p>
        </w:tc>
        <w:tc>
          <w:tcPr>
            <w:tcW w:w="4240" w:type="dxa"/>
            <w:vAlign w:val="bottom"/>
            <w:gridSpan w:val="3"/>
          </w:tcPr>
          <w:p>
            <w:pPr>
              <w:jc w:val="right"/>
              <w:ind w:right="400"/>
              <w:spacing w:after="0"/>
              <w:rPr>
                <w:sz w:val="20"/>
                <w:szCs w:val="20"/>
                <w:color w:val="auto"/>
              </w:rPr>
            </w:pPr>
            <w:r>
              <w:rPr>
                <w:rFonts w:ascii="Arial" w:cs="Arial" w:eastAsia="Arial" w:hAnsi="Arial"/>
                <w:sz w:val="18"/>
                <w:szCs w:val="18"/>
                <w:color w:val="auto"/>
              </w:rPr>
              <w:t>(322)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780" w:type="dxa"/>
            <w:vAlign w:val="bottom"/>
          </w:tcPr>
          <w:p>
            <w:pPr>
              <w:spacing w:after="0"/>
              <w:rPr>
                <w:sz w:val="6"/>
                <w:szCs w:val="6"/>
                <w:color w:val="auto"/>
              </w:rPr>
            </w:pPr>
          </w:p>
        </w:tc>
        <w:tc>
          <w:tcPr>
            <w:tcW w:w="32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Defined benefit obligation as of December 31</w:t>
            </w:r>
          </w:p>
        </w:tc>
        <w:tc>
          <w:tcPr>
            <w:tcW w:w="3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(8,091)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(6,044)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F-33</w:t>
            </w: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60" w:right="3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 in fair value of plan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gridSpan w:val="2"/>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plan assets as of January 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Interest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contributions</w:t>
            </w:r>
          </w:p>
        </w:tc>
        <w:tc>
          <w:tcPr>
            <w:tcW w:w="460" w:type="dxa"/>
            <w:vAlign w:val="bottom"/>
          </w:tcPr>
          <w:p>
            <w:pPr>
              <w:jc w:val="right"/>
              <w:spacing w:after="0"/>
              <w:rPr>
                <w:sz w:val="20"/>
                <w:szCs w:val="20"/>
                <w:color w:val="auto"/>
              </w:rPr>
            </w:pPr>
            <w:r>
              <w:rPr>
                <w:rFonts w:ascii="Arial" w:cs="Arial" w:eastAsia="Arial" w:hAnsi="Arial"/>
                <w:sz w:val="18"/>
                <w:szCs w:val="18"/>
                <w:color w:val="auto"/>
              </w:rPr>
              <w:t>377</w:t>
            </w: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Benefits payments</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Actuarial gain / (loss)</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75"/>
        </w:trPr>
        <w:tc>
          <w:tcPr>
            <w:tcW w:w="1380" w:type="dxa"/>
            <w:vAlign w:val="bottom"/>
            <w:vMerge w:val="restart"/>
          </w:tcPr>
          <w:p>
            <w:pPr>
              <w:spacing w:after="0"/>
              <w:rPr>
                <w:sz w:val="6"/>
                <w:szCs w:val="6"/>
                <w:color w:val="auto"/>
              </w:rPr>
            </w:pPr>
          </w:p>
        </w:tc>
        <w:tc>
          <w:tcPr>
            <w:tcW w:w="72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5,681</w:t>
            </w:r>
          </w:p>
        </w:tc>
        <w:tc>
          <w:tcPr>
            <w:tcW w:w="4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07"/>
        </w:trPr>
        <w:tc>
          <w:tcPr>
            <w:tcW w:w="8580" w:type="dxa"/>
            <w:vAlign w:val="bottom"/>
            <w:gridSpan w:val="2"/>
          </w:tcPr>
          <w:p>
            <w:pPr>
              <w:spacing w:after="0"/>
              <w:rPr>
                <w:sz w:val="20"/>
                <w:szCs w:val="20"/>
                <w:color w:val="auto"/>
              </w:rPr>
            </w:pPr>
            <w:r>
              <w:rPr>
                <w:rFonts w:ascii="Arial" w:cs="Arial" w:eastAsia="Arial" w:hAnsi="Arial"/>
                <w:sz w:val="18"/>
                <w:szCs w:val="18"/>
                <w:color w:val="auto"/>
                <w:w w:val="97"/>
              </w:rPr>
              <w:t>Employer’s contribution to the pension plan for the financial year 2015 are estimated to be CHF 401 thousand.</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80" w:type="dxa"/>
            <w:vAlign w:val="bottom"/>
            <w:gridSpan w:val="2"/>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defined benefit liabilities as of January 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pension cost through Income Statement</w:t>
            </w: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Re-measurement through OCI</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1,318</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(377)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75"/>
        </w:trPr>
        <w:tc>
          <w:tcPr>
            <w:tcW w:w="1380" w:type="dxa"/>
            <w:vAlign w:val="bottom"/>
            <w:vMerge w:val="restart"/>
          </w:tcPr>
          <w:p>
            <w:pPr>
              <w:spacing w:after="0"/>
              <w:rPr>
                <w:sz w:val="6"/>
                <w:szCs w:val="6"/>
                <w:color w:val="auto"/>
              </w:rPr>
            </w:pPr>
          </w:p>
        </w:tc>
        <w:tc>
          <w:tcPr>
            <w:tcW w:w="72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31 December</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2,410</w:t>
            </w:r>
          </w:p>
        </w:tc>
        <w:tc>
          <w:tcPr>
            <w:tcW w:w="4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major categories of plan assets held by the separately administrated fund, of which the Company’s pension plan assets form a part, are as follows: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88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rPr>
              <w:t>For the Years Ended December 31,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Borders>
              <w:bottom w:val="single" w:sz="8" w:color="CCEEFF"/>
            </w:tcBorders>
            <w:vMerge w:val="continue"/>
          </w:tcPr>
          <w:p>
            <w:pPr>
              <w:spacing w:after="0"/>
              <w:rPr>
                <w:sz w:val="12"/>
                <w:szCs w:val="12"/>
                <w:color w:val="auto"/>
              </w:rPr>
            </w:pPr>
          </w:p>
        </w:tc>
        <w:tc>
          <w:tcPr>
            <w:tcW w:w="114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4,727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Bonds</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45,577</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41,976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106,851</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99,256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Real estate and mortgages</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19,479</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19,670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Alternative investments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80" w:type="dxa"/>
            <w:vAlign w:val="bottom"/>
            <w:vMerge w:val="continue"/>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178,699</w:t>
            </w:r>
          </w:p>
        </w:tc>
        <w:tc>
          <w:tcPr>
            <w:tcW w:w="50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100%</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166,907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plan assets above is the cash surrender value of the insurance with AXA.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strategy defined by the Board of trustees follows a conservative profile.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plan assets are primarily held within instruments with quoted market prices in an active market, with the exception of the real estate and mortgages.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 2014 and 2013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36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2014</w:t>
            </w:r>
          </w:p>
        </w:tc>
        <w:tc>
          <w:tcPr>
            <w:tcW w:w="7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0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3860" w:type="dxa"/>
            <w:vAlign w:val="bottom"/>
            <w:gridSpan w:val="3"/>
          </w:tcPr>
          <w:p>
            <w:pPr>
              <w:jc w:val="right"/>
              <w:ind w:right="64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Rate of future increase in current pensions</w:t>
            </w:r>
          </w:p>
        </w:tc>
        <w:tc>
          <w:tcPr>
            <w:tcW w:w="3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Mortality and disability rates</w:t>
            </w:r>
          </w:p>
        </w:tc>
        <w:tc>
          <w:tcPr>
            <w:tcW w:w="2060" w:type="dxa"/>
            <w:vAlign w:val="bottom"/>
          </w:tcPr>
          <w:p>
            <w:pPr>
              <w:spacing w:after="0"/>
              <w:rPr>
                <w:sz w:val="20"/>
                <w:szCs w:val="20"/>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BVG 2010G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BVG 2010G</w:t>
            </w:r>
          </w:p>
        </w:tc>
      </w:tr>
      <w:tr>
        <w:trPr>
          <w:trHeight w:val="350"/>
        </w:trPr>
        <w:tc>
          <w:tcPr>
            <w:tcW w:w="3600" w:type="dxa"/>
            <w:vAlign w:val="bottom"/>
          </w:tcPr>
          <w:p>
            <w:pPr>
              <w:spacing w:after="0"/>
              <w:rPr>
                <w:sz w:val="24"/>
                <w:szCs w:val="24"/>
                <w:color w:val="auto"/>
              </w:rPr>
            </w:pPr>
          </w:p>
        </w:tc>
        <w:tc>
          <w:tcPr>
            <w:tcW w:w="3860" w:type="dxa"/>
            <w:vAlign w:val="bottom"/>
            <w:gridSpan w:val="3"/>
          </w:tcPr>
          <w:p>
            <w:pPr>
              <w:jc w:val="right"/>
              <w:ind w:right="2960"/>
              <w:spacing w:after="0"/>
              <w:rPr>
                <w:sz w:val="20"/>
                <w:szCs w:val="20"/>
                <w:color w:val="auto"/>
              </w:rPr>
            </w:pPr>
            <w:r>
              <w:rPr>
                <w:rFonts w:ascii="Arial" w:cs="Arial" w:eastAsia="Arial" w:hAnsi="Arial"/>
                <w:sz w:val="18"/>
                <w:szCs w:val="18"/>
                <w:color w:val="auto"/>
              </w:rPr>
              <w:t>F-34</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quantitative sensitivity analysis for significant assumption as at December 31, 2014 is as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2760" w:type="dxa"/>
            <w:vAlign w:val="bottom"/>
            <w:gridSpan w:val="4"/>
            <w:vMerge w:val="restart"/>
          </w:tcPr>
          <w:p>
            <w:pPr>
              <w:jc w:val="right"/>
              <w:ind w:right="1220"/>
              <w:spacing w:after="0"/>
              <w:rPr>
                <w:sz w:val="20"/>
                <w:szCs w:val="20"/>
                <w:color w:val="auto"/>
              </w:rPr>
            </w:pPr>
            <w:r>
              <w:rPr>
                <w:rFonts w:ascii="Arial" w:cs="Arial" w:eastAsia="Arial" w:hAnsi="Arial"/>
                <w:sz w:val="14"/>
                <w:szCs w:val="14"/>
                <w:b w:val="1"/>
                <w:bCs w:val="1"/>
                <w:color w:val="auto"/>
              </w:rPr>
              <w:t>Discount rate</w:t>
            </w:r>
          </w:p>
        </w:tc>
        <w:tc>
          <w:tcPr>
            <w:tcW w:w="27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Future salary increase</w:t>
            </w:r>
          </w:p>
        </w:tc>
        <w:tc>
          <w:tcPr>
            <w:tcW w:w="24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Future pension cost</w:t>
            </w:r>
          </w:p>
        </w:tc>
        <w:tc>
          <w:tcPr>
            <w:tcW w:w="0" w:type="dxa"/>
            <w:vAlign w:val="bottom"/>
          </w:tcPr>
          <w:p>
            <w:pPr>
              <w:spacing w:after="0"/>
              <w:rPr>
                <w:sz w:val="1"/>
                <w:szCs w:val="1"/>
                <w:color w:val="auto"/>
              </w:rPr>
            </w:pPr>
          </w:p>
        </w:tc>
      </w:tr>
      <w:tr>
        <w:trPr>
          <w:trHeight w:val="115"/>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Assumptions</w:t>
            </w:r>
          </w:p>
        </w:tc>
        <w:tc>
          <w:tcPr>
            <w:tcW w:w="2760" w:type="dxa"/>
            <w:vAlign w:val="bottom"/>
            <w:gridSpan w:val="4"/>
            <w:vMerge w:val="continue"/>
          </w:tcPr>
          <w:p>
            <w:pPr>
              <w:spacing w:after="0"/>
              <w:rPr>
                <w:sz w:val="9"/>
                <w:szCs w:val="9"/>
                <w:color w:val="auto"/>
              </w:rPr>
            </w:pPr>
          </w:p>
        </w:tc>
        <w:tc>
          <w:tcPr>
            <w:tcW w:w="2780" w:type="dxa"/>
            <w:vAlign w:val="bottom"/>
            <w:gridSpan w:val="4"/>
            <w:vMerge w:val="continue"/>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480" w:type="dxa"/>
            <w:vAlign w:val="bottom"/>
            <w:vMerge w:val="continue"/>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+0.</w:t>
            </w:r>
            <w:r>
              <w:rPr>
                <w:rFonts w:ascii="Arial" w:cs="Arial" w:eastAsia="Arial" w:hAnsi="Arial"/>
                <w:sz w:val="14"/>
                <w:szCs w:val="14"/>
                <w:u w:val="single" w:color="auto"/>
                <w:color w:val="auto"/>
              </w:rPr>
              <w:t>5%</w:t>
            </w:r>
            <w:r>
              <w:rPr>
                <w:rFonts w:ascii="Arial" w:cs="Arial" w:eastAsia="Arial" w:hAnsi="Arial"/>
                <w:sz w:val="14"/>
                <w:szCs w:val="14"/>
                <w:color w:val="auto"/>
              </w:rPr>
              <w:t xml:space="preserve"> increase</w:t>
            </w: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w w:val="87"/>
              </w:rPr>
              <w:t>-0.5% decrease</w:t>
            </w:r>
          </w:p>
        </w:tc>
        <w:tc>
          <w:tcPr>
            <w:tcW w:w="1400" w:type="dxa"/>
            <w:vAlign w:val="bottom"/>
            <w:gridSpan w:val="2"/>
          </w:tcPr>
          <w:p>
            <w:pPr>
              <w:jc w:val="right"/>
              <w:ind w:right="50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1380" w:type="dxa"/>
            <w:vAlign w:val="bottom"/>
            <w:gridSpan w:val="2"/>
          </w:tcPr>
          <w:p>
            <w:pPr>
              <w:spacing w:after="0"/>
              <w:rPr>
                <w:sz w:val="20"/>
                <w:szCs w:val="20"/>
                <w:color w:val="auto"/>
              </w:rPr>
            </w:pPr>
            <w:r>
              <w:rPr>
                <w:rFonts w:ascii="Arial" w:cs="Arial" w:eastAsia="Arial" w:hAnsi="Arial"/>
                <w:sz w:val="14"/>
                <w:szCs w:val="14"/>
                <w:color w:val="auto"/>
              </w:rPr>
              <w:t>-0.5% decrease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-0.5% decrease</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line="201" w:lineRule="exact"/>
              <w:rPr>
                <w:sz w:val="20"/>
                <w:szCs w:val="20"/>
                <w:color w:val="auto"/>
              </w:rPr>
            </w:pPr>
            <w:r>
              <w:rPr>
                <w:rFonts w:ascii="Arial" w:cs="Arial" w:eastAsia="Arial" w:hAnsi="Arial"/>
                <w:sz w:val="18"/>
                <w:szCs w:val="18"/>
                <w:color w:val="auto"/>
              </w:rPr>
              <w:t>Impact on the net defined benefit</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783</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(919)</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(50)</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sensitivity analyses above have been determined based on a method that extrapolates the impact on net defined benefit obligation as a result of reasonable changes in key assumptions occurring at the end of the reporting period.</w:t>
      </w:r>
    </w:p>
    <w:p>
      <w:pPr>
        <w:spacing w:after="0" w:line="315"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share-based compensation plans outstanding: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Arial" w:cs="Arial" w:eastAsia="Arial" w:hAnsi="Arial"/>
                <w:sz w:val="14"/>
                <w:szCs w:val="14"/>
                <w:color w:val="auto"/>
              </w:rPr>
              <w:t>PLAN</w:t>
            </w:r>
          </w:p>
        </w:tc>
        <w:tc>
          <w:tcPr>
            <w:tcW w:w="1460" w:type="dxa"/>
            <w:vAlign w:val="bottom"/>
            <w:gridSpan w:val="2"/>
          </w:tcPr>
          <w:p>
            <w:pPr>
              <w:jc w:val="right"/>
              <w:ind w:right="54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4"/>
                <w:szCs w:val="14"/>
                <w:color w:val="auto"/>
              </w:rPr>
            </w:pPr>
          </w:p>
        </w:tc>
        <w:tc>
          <w:tcPr>
            <w:tcW w:w="3860" w:type="dxa"/>
            <w:vAlign w:val="bottom"/>
            <w:vMerge w:val="restart"/>
          </w:tcPr>
          <w:p>
            <w:pPr>
              <w:ind w:left="1400"/>
              <w:spacing w:after="0"/>
              <w:rPr>
                <w:sz w:val="20"/>
                <w:szCs w:val="20"/>
                <w:color w:val="auto"/>
              </w:rPr>
            </w:pPr>
            <w:r>
              <w:rPr>
                <w:rFonts w:ascii="Arial" w:cs="Arial" w:eastAsia="Arial" w:hAnsi="Arial"/>
                <w:sz w:val="14"/>
                <w:szCs w:val="14"/>
                <w:color w:val="auto"/>
              </w:rPr>
              <w:t>Vesting conditions</w:t>
            </w:r>
          </w:p>
        </w:tc>
        <w:tc>
          <w:tcPr>
            <w:tcW w:w="4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Contractual</w:t>
            </w:r>
          </w:p>
        </w:tc>
        <w:tc>
          <w:tcPr>
            <w:tcW w:w="0" w:type="dxa"/>
            <w:vAlign w:val="bottom"/>
          </w:tcPr>
          <w:p>
            <w:pPr>
              <w:spacing w:after="0"/>
              <w:rPr>
                <w:sz w:val="1"/>
                <w:szCs w:val="1"/>
                <w:color w:val="auto"/>
              </w:rPr>
            </w:pPr>
          </w:p>
        </w:tc>
      </w:tr>
      <w:tr>
        <w:trPr>
          <w:trHeight w:val="167"/>
        </w:trPr>
        <w:tc>
          <w:tcPr>
            <w:tcW w:w="4600" w:type="dxa"/>
            <w:vAlign w:val="bottom"/>
            <w:gridSpan w:val="2"/>
            <w:vMerge w:val="continue"/>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instruments awarded</w:t>
            </w:r>
          </w:p>
        </w:tc>
        <w:tc>
          <w:tcPr>
            <w:tcW w:w="260" w:type="dxa"/>
            <w:vAlign w:val="bottom"/>
          </w:tcPr>
          <w:p>
            <w:pPr>
              <w:spacing w:after="0"/>
              <w:rPr>
                <w:sz w:val="14"/>
                <w:szCs w:val="14"/>
                <w:color w:val="auto"/>
              </w:rPr>
            </w:pPr>
          </w:p>
        </w:tc>
        <w:tc>
          <w:tcPr>
            <w:tcW w:w="38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4"/>
              </w:rPr>
              <w:t>life of options</w:t>
            </w:r>
          </w:p>
        </w:tc>
        <w:tc>
          <w:tcPr>
            <w:tcW w:w="0" w:type="dxa"/>
            <w:vAlign w:val="bottom"/>
          </w:tcPr>
          <w:p>
            <w:pPr>
              <w:spacing w:after="0"/>
              <w:rPr>
                <w:sz w:val="1"/>
                <w:szCs w:val="1"/>
                <w:color w:val="auto"/>
              </w:rPr>
            </w:pP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Stock</w:t>
            </w:r>
          </w:p>
        </w:tc>
        <w:tc>
          <w:tcPr>
            <w:tcW w:w="4220" w:type="dxa"/>
            <w:vAlign w:val="bottom"/>
          </w:tcPr>
          <w:p>
            <w:pPr>
              <w:ind w:left="80"/>
              <w:spacing w:after="0" w:line="195" w:lineRule="exact"/>
              <w:rPr>
                <w:sz w:val="20"/>
                <w:szCs w:val="20"/>
                <w:color w:val="auto"/>
              </w:rPr>
            </w:pPr>
            <w:r>
              <w:rPr>
                <w:rFonts w:ascii="Arial" w:cs="Arial" w:eastAsia="Arial" w:hAnsi="Arial"/>
                <w:sz w:val="18"/>
                <w:szCs w:val="18"/>
                <w:color w:val="auto"/>
              </w:rPr>
              <w:t>option plan A</w:t>
            </w:r>
          </w:p>
        </w:tc>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1,451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 years’ service from grant date</w:t>
            </w:r>
          </w:p>
        </w:tc>
        <w:tc>
          <w:tcPr>
            <w:tcW w:w="420" w:type="dxa"/>
            <w:vAlign w:val="bottom"/>
          </w:tcPr>
          <w:p>
            <w:pPr>
              <w:spacing w:after="0"/>
              <w:rPr>
                <w:sz w:val="16"/>
                <w:szCs w:val="16"/>
                <w:color w:val="auto"/>
              </w:rPr>
            </w:pPr>
          </w:p>
        </w:tc>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8 1/2 years</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Stock option plan B</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3,276</w:t>
            </w:r>
          </w:p>
        </w:tc>
        <w:tc>
          <w:tcPr>
            <w:tcW w:w="412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w w:val="89"/>
              </w:rPr>
              <w:t>6 1/2 years</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Stock option plan C1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23,683</w:t>
            </w:r>
          </w:p>
        </w:tc>
        <w:tc>
          <w:tcPr>
            <w:tcW w:w="412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number and weighted average exercise prices (in CHF) of options under the share option programs for Plans A, B and C1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Pr>
          <w:p>
            <w:pPr>
              <w:spacing w:after="0"/>
              <w:rPr>
                <w:sz w:val="16"/>
                <w:szCs w:val="16"/>
                <w:color w:val="auto"/>
              </w:rPr>
            </w:pPr>
          </w:p>
        </w:tc>
        <w:tc>
          <w:tcPr>
            <w:tcW w:w="2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2013</w:t>
            </w: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40" w:type="dxa"/>
            <w:vAlign w:val="bottom"/>
            <w:gridSpan w:val="2"/>
            <w:vMerge w:val="continue"/>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3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Term (Y)</w:t>
            </w: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Exercise Price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15,072</w:t>
            </w:r>
          </w:p>
        </w:tc>
        <w:tc>
          <w:tcPr>
            <w:tcW w:w="5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5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(34)</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(186)</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(85)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(156)</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920</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16,026</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54.17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15,072</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55.30</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Exerciseable at December 31</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13,480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15,072</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48.99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range of exercise prices for outstanding options was CHF 36.37 to CHF 232.97 as of December 31, 2014 and 2013.</w:t>
      </w:r>
    </w:p>
    <w:p>
      <w:pPr>
        <w:spacing w:after="0" w:line="225"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The fair values of the options granted in 2014 and 2013 are CHF 192.61 and CHF 171.53, respectively. These fair values have been determined using the Black-Scholes model and an exercise price of CHF 36.37 (2013: CHF 36.37), a spot price of CHF 225.67 (2013: CHF 203.80), a risk-free interest rate of 0.232% (2013: 0.453%) and a volatility of 50% (2013: 50%) with an expected duration of 6 years (2013: 6 years).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exercise price is set by the Board of Directors. The volatility is based on the historical trend of an appropriate sample of companies operating in the biotech and pharmaceutical industry. The risk-free interest rate is based on the CHF swap rate for the expected life of the option. The weighted average fair value of exercised common share options in 2014 is CHF 225.67 (2013: CHF 203.80).</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expense charged against the income statement for the financial year 2014 amounts to CHF 211 thousand (2013: CHF 256 thousand). The expense assumes a departure rate based on the fact that some beneficiaries will not be able to exercise.</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has research contracts with several external service providers. As of December 31, 2014, external research projects for CHF 3.1 million were committed for 2015. Rental contract for laboratory and offices space at the EPFL Innovation Park in Ecublens/Lausanne can be cancelled within a 6 month notice period. As of December 31, 2014, rental contracts for CHF 169 thousand were committed for 2015.</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Income / (loss) per share</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19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660" w:type="dxa"/>
            <w:vAlign w:val="bottom"/>
            <w:tcBorders>
              <w:bottom w:val="single" w:sz="8" w:color="CCEEFF"/>
            </w:tcBorders>
            <w:vMerge w:val="continue"/>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 attributable to owners of the Company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170,739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162,356</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184,048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179,638</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60" w:type="dxa"/>
            <w:vAlign w:val="bottom"/>
          </w:tcPr>
          <w:p>
            <w:pPr>
              <w:spacing w:after="0"/>
              <w:rPr>
                <w:sz w:val="20"/>
                <w:szCs w:val="20"/>
                <w:color w:val="auto"/>
              </w:rPr>
            </w:pPr>
            <w:r>
              <w:rPr>
                <w:rFonts w:ascii="Arial" w:cs="Arial" w:eastAsia="Arial" w:hAnsi="Arial"/>
                <w:sz w:val="18"/>
                <w:szCs w:val="18"/>
                <w:color w:val="auto"/>
              </w:rPr>
              <w:t>Basic, income / (loss) for the period attributable to equity holders</w:t>
            </w:r>
          </w:p>
        </w:tc>
        <w:tc>
          <w:tcPr>
            <w:tcW w:w="660" w:type="dxa"/>
            <w:vAlign w:val="bottom"/>
          </w:tcPr>
          <w:p>
            <w:pPr>
              <w:jc w:val="right"/>
              <w:spacing w:after="0"/>
              <w:rPr>
                <w:sz w:val="20"/>
                <w:szCs w:val="20"/>
                <w:color w:val="auto"/>
              </w:rPr>
            </w:pPr>
            <w:r>
              <w:rPr>
                <w:rFonts w:ascii="Arial" w:cs="Arial" w:eastAsia="Arial" w:hAnsi="Arial"/>
                <w:sz w:val="18"/>
                <w:szCs w:val="18"/>
                <w:color w:val="auto"/>
              </w:rPr>
              <w:t>62.93</w:t>
            </w:r>
          </w:p>
        </w:tc>
        <w:tc>
          <w:tcPr>
            <w:tcW w:w="46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 (loss) for the period attributable to equity holders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2014 and 2013 basic and diluted loss per share is based on the weighted average number of shares issued and outstanding.</w:t>
      </w:r>
    </w:p>
    <w:p>
      <w:pPr>
        <w:spacing w:after="0" w:line="393"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undertakes certain transactions denominated in foreign currencies. Hence, exposure to exchange rate fluctuations arises. Exchange rate exposures are managed by matching its cash holdings to the currency structure of its expenses.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if the CHF had strengthened/weakened by 10% against the EUR and the USD with all other variables held constant, the net loss for the period would have been lower/higher by CHF 25 thousand (2013: CHF 22 thousand), mainly as a result of foreign exchange gains/losses on transaction of EUR/USD denominated assets and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materially exposed to any interest rates fluctuations.</w:t>
      </w:r>
    </w:p>
    <w:p>
      <w:pPr>
        <w:spacing w:after="0" w:line="370"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gridSpan w:val="4"/>
            <w:vMerge w:val="continue"/>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2014</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5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Loans and receivables</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Pr>
          <w:p>
            <w:pPr>
              <w:jc w:val="right"/>
              <w:spacing w:after="0"/>
              <w:rPr>
                <w:sz w:val="20"/>
                <w:szCs w:val="20"/>
                <w:color w:val="auto"/>
              </w:rPr>
            </w:pPr>
            <w:r>
              <w:rPr>
                <w:rFonts w:ascii="Arial" w:cs="Arial" w:eastAsia="Arial" w:hAnsi="Arial"/>
                <w:sz w:val="18"/>
                <w:szCs w:val="18"/>
                <w:color w:val="auto"/>
              </w:rPr>
              <w:t>25,863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Financial liabilities</w:t>
            </w:r>
          </w:p>
        </w:tc>
        <w:tc>
          <w:tcPr>
            <w:tcW w:w="580" w:type="dxa"/>
            <w:vAlign w:val="bottom"/>
            <w:tcBorders>
              <w:top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w:t>
            </w:r>
          </w:p>
        </w:tc>
        <w:tc>
          <w:tcPr>
            <w:tcW w:w="54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which means that the Company holds predominately CHF, EUR and USD (see also Notes 8 and 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majority of the cash and cash equivalents is held within one bank. However, the credit risk on liquid funds is limited because the counterparties are banks with high credit-ratings assigned by international credit-rating agencies. The maximum amount of credit risk is the carrying amount of the financial assets. Trade and other receivables are fully performing, not past due and not impaired (see Note 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24 months.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Based on the current cash position and the upfront fee subsequently received on February 6, 2015 from Janssen for the anti-p-tau vaccine program in AD (ACI-35), the Company is well financed until the end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maturities of the liquidity relevant financial liabilities as of December 31,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8"/>
              </w:rPr>
              <w:t>For the Years Ended December 31,</w:t>
            </w: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8"/>
              </w:rPr>
              <w:t>Less than 3</w:t>
            </w:r>
          </w:p>
        </w:tc>
        <w:tc>
          <w:tcPr>
            <w:tcW w:w="7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Between 3</w:t>
            </w:r>
          </w:p>
        </w:tc>
        <w:tc>
          <w:tcPr>
            <w:tcW w:w="8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8"/>
              </w:rPr>
              <w:t>Less than 3</w:t>
            </w:r>
          </w:p>
        </w:tc>
        <w:tc>
          <w:tcPr>
            <w:tcW w:w="6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Between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7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months and</w:t>
            </w:r>
          </w:p>
        </w:tc>
        <w:tc>
          <w:tcPr>
            <w:tcW w:w="8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months and</w:t>
            </w:r>
          </w:p>
        </w:tc>
        <w:tc>
          <w:tcPr>
            <w:tcW w:w="0" w:type="dxa"/>
            <w:vAlign w:val="bottom"/>
          </w:tcPr>
          <w:p>
            <w:pPr>
              <w:spacing w:after="0"/>
              <w:rPr>
                <w:sz w:val="1"/>
                <w:szCs w:val="1"/>
                <w:color w:val="auto"/>
              </w:rPr>
            </w:pPr>
          </w:p>
        </w:tc>
      </w:tr>
      <w:tr>
        <w:trPr>
          <w:trHeight w:val="171"/>
        </w:trPr>
        <w:tc>
          <w:tcPr>
            <w:tcW w:w="5200" w:type="dxa"/>
            <w:vAlign w:val="bottom"/>
            <w:vMerge w:val="continue"/>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months</w:t>
            </w:r>
          </w:p>
        </w:tc>
        <w:tc>
          <w:tcPr>
            <w:tcW w:w="7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 year</w:t>
            </w:r>
          </w:p>
        </w:tc>
        <w:tc>
          <w:tcPr>
            <w:tcW w:w="8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months</w:t>
            </w:r>
          </w:p>
        </w:tc>
        <w:tc>
          <w:tcPr>
            <w:tcW w:w="66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1 year</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1,584</w:t>
            </w:r>
          </w:p>
        </w:tc>
        <w:tc>
          <w:tcPr>
            <w:tcW w:w="760" w:type="dxa"/>
            <w:vAlign w:val="bottom"/>
          </w:tcPr>
          <w:p>
            <w:pPr>
              <w:spacing w:after="0"/>
              <w:rPr>
                <w:sz w:val="24"/>
                <w:szCs w:val="24"/>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AD.</w:t>
      </w:r>
    </w:p>
    <w:p>
      <w:pPr>
        <w:spacing w:after="0" w:line="315"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reporting</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that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 under the requirements of IFRS 8,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geographic information is worldwide.</w:t>
      </w:r>
    </w:p>
    <w:p>
      <w:pPr>
        <w:spacing w:after="0" w:line="370"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upfront payment received from Janssen for the anti-p-tau vaccine program in AD (ACI-35) was recognized at signature on December 24, 2014 and the further co-development cost for Phase 1b and related manufacturing cost will be equally shared between both partners. The milestone payment amounting to CHF 25.9 million has been booked on February 6, 2015.</w:t>
      </w:r>
    </w:p>
    <w:p>
      <w:pPr>
        <w:spacing w:after="0" w:line="18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In June 2015, we received a CHF 14 million milestone payment related to our anti-tau antibody program which we have partnered with Roche/Genentech. Genentech also announced that it intends to move the lead compound into Phase 1 clinical studies in 2016. In July 2015, Roche/Genentech announced that they intend to commence Phase 3 clinical studies for crenezumab in early 2016. The decision to move crenezumab into Phase 3 clinical studies triggered a $25 million (CHF 24.3 million) milestone payment which AC Immune received in August 2015.</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00"/>
          </w:cols>
          <w:pgMar w:left="240" w:top="460" w:right="3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Through and including , 2015 (the 25</w:t>
      </w:r>
      <w:r>
        <w:rPr>
          <w:rFonts w:ascii="Arial" w:cs="Arial" w:eastAsia="Arial" w:hAnsi="Arial"/>
          <w:sz w:val="15"/>
          <w:szCs w:val="15"/>
          <w:color w:val="auto"/>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the dealer’s obligation to deliver a prospectus when acting as an underwriter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3691255</wp:posOffset>
            </wp:positionV>
            <wp:extent cx="151765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672465</wp:posOffset>
            </wp:positionV>
            <wp:extent cx="1595120" cy="3003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5951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including attorney’s fees, judgments, fines and settlement amounts actually and reasonably incurred in a civil or criminal action, suit or proceeding by reason of having been the representative of, or serving at the request of, the corporation.</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our board of directors, executive management, and their heirs, executors and administrators, against liabilities arising in connection with the performance of their duties in such capacity, and permits us to advance the expenses of defending any act, suit or proceeding to members of our board of directors and executive management.</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officers in the form to be filed as an exhibit to this Registration Statement upon the closing of this offering.</w:t>
      </w:r>
    </w:p>
    <w:p>
      <w:pPr>
        <w:spacing w:after="0" w:line="17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the underwriting agreement that we enter into in connection with the sale of the common shares being registered hereby, a form of which will be filed as Exhibit 1.1 to this Registration Statement, the underwriter will agree to indemnify, under certain conditions, us, our directors, our officers and persons who control us within the meaning of the Securities Act of 1933, as amended, the Securities Act, against certain liabilities.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the Company has been advised that, in the opinion of the U.S. Securities and Exchange Commission, such indemnification is against public policy as expressed in the Securities Act and is, therefore, unenforceable.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during the last three fiscal years. Within the last three years, the registrant has issued and sold the following securities:</w:t>
      </w:r>
    </w:p>
    <w:p>
      <w:pPr>
        <w:spacing w:after="0" w:line="62" w:lineRule="exact"/>
        <w:rPr>
          <w:sz w:val="20"/>
          <w:szCs w:val="20"/>
          <w:color w:val="auto"/>
        </w:rPr>
      </w:pPr>
    </w:p>
    <w:p>
      <w:pPr>
        <w:ind w:left="1080" w:hanging="177"/>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On December 10, 2013, the registrant issued 8,245 shares of preferred stock for aggregate consideration of CHF 10.0 million.</w:t>
      </w:r>
    </w:p>
    <w:p>
      <w:pPr>
        <w:spacing w:after="0" w:line="117" w:lineRule="exact"/>
        <w:rPr>
          <w:rFonts w:ascii="Arial" w:cs="Arial" w:eastAsia="Arial" w:hAnsi="Arial"/>
          <w:sz w:val="18"/>
          <w:szCs w:val="18"/>
          <w:color w:val="auto"/>
        </w:rPr>
      </w:pPr>
    </w:p>
    <w:p>
      <w:pPr>
        <w:ind w:left="1080" w:hanging="177"/>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On June 25, 2014, the registrant issued 8,245 shares of preferred stock for aggregate consideration of CHF 10.0 million.</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07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From June 30, 2012 through June 30, 2015, the registrant issued options to purchase 2,204 shares of its common stock to its employees with an exercise price of CHF 36.37 per share.</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From June 30, 2012 through June 30, 2015, a total of 241 options were exercised by the registrant’s employees at an exercise price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CHF 36.37 for aggregate consideration of CHF 0.1 million.</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sales and issuances of restricted securities in the transactions described in the paragraphs above were deemed to be exempt from registration under the Securities Act in reliance upon Section 4(a)(2) of the Securities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underwritten offerings employed in connection with any of the transactions set forth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beginning on page II-5 of this registration statement.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460" w:firstLine="443"/>
        <w:spacing w:after="0" w:line="308" w:lineRule="auto"/>
        <w:tabs>
          <w:tab w:leader="none" w:pos="114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38" w:lineRule="exact"/>
        <w:rPr>
          <w:rFonts w:ascii="Arial" w:cs="Arial" w:eastAsia="Arial" w:hAnsi="Arial"/>
          <w:sz w:val="17"/>
          <w:szCs w:val="17"/>
          <w:color w:val="auto"/>
        </w:rPr>
      </w:pPr>
    </w:p>
    <w:p>
      <w:pPr>
        <w:ind w:left="460" w:firstLine="443"/>
        <w:spacing w:after="0" w:line="271" w:lineRule="auto"/>
        <w:tabs>
          <w:tab w:leader="none" w:pos="115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70" w:lineRule="exact"/>
        <w:rPr>
          <w:rFonts w:ascii="Arial" w:cs="Arial" w:eastAsia="Arial" w:hAnsi="Arial"/>
          <w:sz w:val="17"/>
          <w:szCs w:val="17"/>
          <w:color w:val="auto"/>
        </w:rPr>
      </w:pPr>
    </w:p>
    <w:p>
      <w:pPr>
        <w:ind w:left="1140" w:hanging="237"/>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920" w:right="20" w:firstLine="421"/>
        <w:spacing w:after="0" w:line="291" w:lineRule="auto"/>
        <w:tabs>
          <w:tab w:leader="none" w:pos="1595" w:val="left"/>
        </w:tabs>
        <w:numPr>
          <w:ilvl w:val="2"/>
          <w:numId w:val="14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180" w:hanging="259"/>
        <w:spacing w:after="0"/>
        <w:tabs>
          <w:tab w:leader="none" w:pos="118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4" w:lineRule="exact"/>
        <w:rPr>
          <w:rFonts w:ascii="Arial" w:cs="Arial" w:eastAsia="Arial" w:hAnsi="Arial"/>
          <w:sz w:val="17"/>
          <w:szCs w:val="17"/>
          <w:color w:val="auto"/>
        </w:rPr>
      </w:pPr>
    </w:p>
    <w:p>
      <w:pPr>
        <w:ind w:left="920" w:right="160" w:firstLine="421"/>
        <w:spacing w:after="0" w:line="264" w:lineRule="auto"/>
        <w:tabs>
          <w:tab w:leader="none" w:pos="1595" w:val="left"/>
        </w:tabs>
        <w:numPr>
          <w:ilvl w:val="2"/>
          <w:numId w:val="14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w:t>
      </w: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in the city of Lausanne, Switzerland on</w:t>
            </w:r>
          </w:p>
        </w:tc>
        <w:tc>
          <w:tcPr>
            <w:tcW w:w="4020" w:type="dxa"/>
            <w:vAlign w:val="bottom"/>
          </w:tcPr>
          <w:p>
            <w:pPr>
              <w:jc w:val="right"/>
              <w:ind w:right="2950"/>
              <w:spacing w:after="0"/>
              <w:rPr>
                <w:sz w:val="20"/>
                <w:szCs w:val="20"/>
                <w:color w:val="auto"/>
              </w:rPr>
            </w:pPr>
            <w:r>
              <w:rPr>
                <w:rFonts w:ascii="Arial" w:cs="Arial" w:eastAsia="Arial" w:hAnsi="Arial"/>
                <w:sz w:val="18"/>
                <w:szCs w:val="18"/>
                <w:color w:val="auto"/>
              </w:rPr>
              <w:t>, 2015.</w:t>
            </w:r>
          </w:p>
        </w:tc>
        <w:tc>
          <w:tcPr>
            <w:tcW w:w="86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45"/>
        </w:trPr>
        <w:tc>
          <w:tcPr>
            <w:tcW w:w="3300" w:type="dxa"/>
            <w:vAlign w:val="bottom"/>
          </w:tcPr>
          <w:p>
            <w:pPr>
              <w:spacing w:after="0"/>
              <w:rPr>
                <w:sz w:val="24"/>
                <w:szCs w:val="24"/>
                <w:color w:val="auto"/>
              </w:rPr>
            </w:pPr>
          </w:p>
        </w:tc>
        <w:tc>
          <w:tcPr>
            <w:tcW w:w="4880" w:type="dxa"/>
            <w:vAlign w:val="bottom"/>
            <w:gridSpan w:val="2"/>
          </w:tcPr>
          <w:p>
            <w:pPr>
              <w:ind w:left="3560"/>
              <w:spacing w:after="0"/>
              <w:rPr>
                <w:sz w:val="20"/>
                <w:szCs w:val="20"/>
                <w:color w:val="auto"/>
              </w:rPr>
            </w:pPr>
            <w:r>
              <w:rPr>
                <w:rFonts w:ascii="Arial" w:cs="Arial" w:eastAsia="Arial" w:hAnsi="Arial"/>
                <w:sz w:val="18"/>
                <w:szCs w:val="18"/>
                <w:color w:val="auto"/>
                <w:w w:val="98"/>
              </w:rPr>
              <w:t>AC IMMUNE SA</w:t>
            </w:r>
          </w:p>
        </w:tc>
        <w:tc>
          <w:tcPr>
            <w:tcW w:w="3240" w:type="dxa"/>
            <w:vAlign w:val="bottom"/>
          </w:tcPr>
          <w:p>
            <w:pPr>
              <w:spacing w:after="0"/>
              <w:rPr>
                <w:sz w:val="24"/>
                <w:szCs w:val="24"/>
                <w:color w:val="auto"/>
              </w:rPr>
            </w:pPr>
          </w:p>
        </w:tc>
      </w:tr>
      <w:tr>
        <w:trPr>
          <w:trHeight w:val="432"/>
        </w:trPr>
        <w:tc>
          <w:tcPr>
            <w:tcW w:w="3300" w:type="dxa"/>
            <w:vAlign w:val="bottom"/>
          </w:tcPr>
          <w:p>
            <w:pPr>
              <w:spacing w:after="0"/>
              <w:rPr>
                <w:sz w:val="24"/>
                <w:szCs w:val="24"/>
                <w:color w:val="auto"/>
              </w:rPr>
            </w:pPr>
          </w:p>
        </w:tc>
        <w:tc>
          <w:tcPr>
            <w:tcW w:w="4880" w:type="dxa"/>
            <w:vAlign w:val="bottom"/>
            <w:gridSpan w:val="2"/>
          </w:tcPr>
          <w:p>
            <w:pPr>
              <w:ind w:left="3560"/>
              <w:spacing w:after="0"/>
              <w:rPr>
                <w:sz w:val="20"/>
                <w:szCs w:val="20"/>
                <w:color w:val="auto"/>
              </w:rPr>
            </w:pPr>
            <w:r>
              <w:rPr>
                <w:rFonts w:ascii="Arial" w:cs="Arial" w:eastAsia="Arial" w:hAnsi="Arial"/>
                <w:sz w:val="18"/>
                <w:szCs w:val="18"/>
                <w:color w:val="auto"/>
              </w:rPr>
              <w:t>By:</w:t>
            </w:r>
          </w:p>
        </w:tc>
        <w:tc>
          <w:tcPr>
            <w:tcW w:w="3240" w:type="dxa"/>
            <w:vAlign w:val="bottom"/>
          </w:tcPr>
          <w:p>
            <w:pPr>
              <w:spacing w:after="0"/>
              <w:rPr>
                <w:sz w:val="24"/>
                <w:szCs w:val="24"/>
                <w:color w:val="auto"/>
              </w:rPr>
            </w:pPr>
          </w:p>
        </w:tc>
      </w:tr>
      <w:tr>
        <w:trPr>
          <w:trHeight w:val="209"/>
        </w:trPr>
        <w:tc>
          <w:tcPr>
            <w:tcW w:w="3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Andrea Pfeifer</w:t>
            </w:r>
          </w:p>
        </w:tc>
      </w:tr>
      <w:tr>
        <w:trPr>
          <w:trHeight w:val="230"/>
        </w:trPr>
        <w:tc>
          <w:tcPr>
            <w:tcW w:w="3300" w:type="dxa"/>
            <w:vAlign w:val="bottom"/>
          </w:tcPr>
          <w:p>
            <w:pPr>
              <w:spacing w:after="0"/>
              <w:rPr>
                <w:sz w:val="20"/>
                <w:szCs w:val="20"/>
                <w:color w:val="auto"/>
              </w:rPr>
            </w:pPr>
          </w:p>
        </w:tc>
        <w:tc>
          <w:tcPr>
            <w:tcW w:w="4880" w:type="dxa"/>
            <w:vAlign w:val="bottom"/>
            <w:gridSpan w:val="2"/>
          </w:tcPr>
          <w:p>
            <w:pPr>
              <w:ind w:left="4020"/>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365"/>
        </w:trPr>
        <w:tc>
          <w:tcPr>
            <w:tcW w:w="3300" w:type="dxa"/>
            <w:vAlign w:val="bottom"/>
          </w:tcPr>
          <w:p>
            <w:pPr>
              <w:spacing w:after="0"/>
              <w:rPr>
                <w:sz w:val="24"/>
                <w:szCs w:val="24"/>
                <w:color w:val="auto"/>
              </w:rPr>
            </w:pPr>
          </w:p>
        </w:tc>
        <w:tc>
          <w:tcPr>
            <w:tcW w:w="4880" w:type="dxa"/>
            <w:vAlign w:val="bottom"/>
            <w:gridSpan w:val="2"/>
          </w:tcPr>
          <w:p>
            <w:pPr>
              <w:ind w:left="2280"/>
              <w:spacing w:after="0"/>
              <w:rPr>
                <w:sz w:val="20"/>
                <w:szCs w:val="20"/>
                <w:color w:val="auto"/>
              </w:rPr>
            </w:pPr>
            <w:r>
              <w:rPr>
                <w:rFonts w:ascii="Arial" w:cs="Arial" w:eastAsia="Arial" w:hAnsi="Arial"/>
                <w:sz w:val="18"/>
                <w:szCs w:val="18"/>
                <w:color w:val="auto"/>
              </w:rPr>
              <w:t>II-3</w:t>
            </w:r>
          </w:p>
        </w:tc>
        <w:tc>
          <w:tcPr>
            <w:tcW w:w="3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10540" w:val="left"/>
        </w:tabs>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w:t>
      </w:r>
      <w:r>
        <w:rPr>
          <w:sz w:val="20"/>
          <w:szCs w:val="20"/>
          <w:color w:val="auto"/>
        </w:rPr>
        <w:tab/>
      </w:r>
      <w:r>
        <w:rPr>
          <w:rFonts w:ascii="Arial" w:cs="Arial" w:eastAsia="Arial" w:hAnsi="Arial"/>
          <w:sz w:val="15"/>
          <w:szCs w:val="15"/>
          <w:color w:val="auto"/>
        </w:rPr>
        <w:t>and</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81" w:lineRule="exact"/>
        <w:rPr>
          <w:sz w:val="20"/>
          <w:szCs w:val="20"/>
          <w:color w:val="auto"/>
        </w:rPr>
      </w:pPr>
    </w:p>
    <w:p>
      <w:pPr>
        <w:ind w:left="900" w:right="560" w:hanging="443"/>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 2015 in the capacities indicated:</w:t>
      </w:r>
    </w:p>
    <w:p>
      <w:pPr>
        <w:spacing w:after="0" w:line="189" w:lineRule="exact"/>
        <w:rPr>
          <w:sz w:val="20"/>
          <w:szCs w:val="20"/>
          <w:color w:val="auto"/>
        </w:rPr>
      </w:pPr>
    </w:p>
    <w:p>
      <w:pPr>
        <w:ind w:left="2420"/>
        <w:spacing w:after="0"/>
        <w:tabs>
          <w:tab w:leader="none" w:pos="8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26"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8"/>
          <w:szCs w:val="18"/>
          <w:color w:val="auto"/>
        </w:rPr>
        <w:t>Andrea Pfeifer</w:t>
      </w:r>
    </w:p>
    <w:p>
      <w:pPr>
        <w:spacing w:after="0" w:line="211"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George Pavey</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Administrative Officer</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Jean-Fabien Monin</w:t>
      </w:r>
    </w:p>
    <w:p>
      <w:pPr>
        <w:spacing w:after="0" w:line="21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Martin Velasco</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Hans-Beat Gürtler</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Detlev Riesner</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Matthias Hothum</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Authorized Representative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40"/>
          </w:cols>
          <w:pgMar w:left="240" w:top="460" w:right="3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0600" w:type="dxa"/>
            <w:vAlign w:val="bottom"/>
          </w:tcPr>
          <w:p>
            <w:pPr>
              <w:ind w:left="46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400" w:type="dxa"/>
            <w:vAlign w:val="bottom"/>
          </w:tcPr>
          <w:p>
            <w:pPr>
              <w:spacing w:after="0"/>
              <w:rPr>
                <w:sz w:val="24"/>
                <w:szCs w:val="24"/>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The following documents are filed as part of this registration statement: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Articles of Association*</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Registration Rights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opinion of Vischer AG, Swiss counsel of AC Immune SA, as to the validity of the common shares*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opinion of Vischer AG, Swiss counsel of AC Immune SA, as to Swiss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opinion of Davis Polk &amp; Wardwell LLP as to U.S.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0600" w:type="dxa"/>
            <w:vAlign w:val="bottom"/>
          </w:tcPr>
          <w:p>
            <w:pPr>
              <w:ind w:left="520"/>
              <w:spacing w:after="0"/>
              <w:rPr>
                <w:sz w:val="20"/>
                <w:szCs w:val="20"/>
                <w:color w:val="auto"/>
              </w:rPr>
            </w:pPr>
            <w:r>
              <w:rPr>
                <w:rFonts w:ascii="Arial" w:cs="Arial" w:eastAsia="Arial" w:hAnsi="Arial"/>
                <w:sz w:val="18"/>
                <w:szCs w:val="18"/>
                <w:color w:val="auto"/>
                <w:w w:val="94"/>
              </w:rPr>
              <w:t>Research Collaboration and License Agreement between AC Immune SA Corporation and Genentech, Inc. dated November 6, 2006*</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10600" w:type="dxa"/>
            <w:vAlign w:val="bottom"/>
          </w:tcPr>
          <w:p>
            <w:pPr>
              <w:ind w:left="520"/>
              <w:spacing w:after="0"/>
              <w:rPr>
                <w:sz w:val="20"/>
                <w:szCs w:val="20"/>
                <w:color w:val="auto"/>
              </w:rPr>
            </w:pPr>
            <w:r>
              <w:rPr>
                <w:rFonts w:ascii="Arial" w:cs="Arial" w:eastAsia="Arial" w:hAnsi="Arial"/>
                <w:sz w:val="18"/>
                <w:szCs w:val="18"/>
                <w:color w:val="auto"/>
                <w:w w:val="90"/>
              </w:rPr>
              <w:t>Amendment to the Research Collaboration and License Agreement between AC Immune SA Corporation and Genentech, Inc. dated May 7,</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10600" w:type="dxa"/>
            <w:vAlign w:val="bottom"/>
          </w:tcPr>
          <w:p>
            <w:pPr>
              <w:ind w:left="520"/>
              <w:spacing w:after="0"/>
              <w:rPr>
                <w:sz w:val="20"/>
                <w:szCs w:val="20"/>
                <w:color w:val="auto"/>
              </w:rPr>
            </w:pPr>
            <w:r>
              <w:rPr>
                <w:rFonts w:ascii="Arial" w:cs="Arial" w:eastAsia="Arial" w:hAnsi="Arial"/>
                <w:sz w:val="18"/>
                <w:szCs w:val="18"/>
                <w:color w:val="auto"/>
                <w:w w:val="97"/>
              </w:rPr>
              <w:t>Research Collaboration and License Agreement between AC Immune SA Corporation and Genentech, Inc. dated June 15, 2012*</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10600" w:type="dxa"/>
            <w:vAlign w:val="bottom"/>
          </w:tcPr>
          <w:p>
            <w:pPr>
              <w:ind w:left="520"/>
              <w:spacing w:after="0"/>
              <w:rPr>
                <w:sz w:val="20"/>
                <w:szCs w:val="20"/>
                <w:color w:val="auto"/>
              </w:rPr>
            </w:pPr>
            <w:r>
              <w:rPr>
                <w:rFonts w:ascii="Arial" w:cs="Arial" w:eastAsia="Arial" w:hAnsi="Arial"/>
                <w:sz w:val="18"/>
                <w:szCs w:val="18"/>
                <w:color w:val="auto"/>
                <w:w w:val="96"/>
              </w:rPr>
              <w:t>License and Collaboration Agreement between Piramal Imaging Ltd., Piramal Imaging SA and AC Immune SA, dated May 9, 2014*</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10600" w:type="dxa"/>
            <w:vAlign w:val="bottom"/>
          </w:tcPr>
          <w:p>
            <w:pPr>
              <w:ind w:left="520"/>
              <w:spacing w:after="0"/>
              <w:rPr>
                <w:sz w:val="20"/>
                <w:szCs w:val="20"/>
                <w:color w:val="auto"/>
              </w:rPr>
            </w:pPr>
            <w:r>
              <w:rPr>
                <w:rFonts w:ascii="Arial" w:cs="Arial" w:eastAsia="Arial" w:hAnsi="Arial"/>
                <w:sz w:val="18"/>
                <w:szCs w:val="18"/>
                <w:color w:val="auto"/>
                <w:w w:val="89"/>
              </w:rPr>
              <w:t>License, Development and Commercialization Agreement between Janssen Pharmaceuticals, Inc. and AC Immune SA, dated December 24,</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2014*</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10.6</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Indemnification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23.1</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Ernst &amp; Young AG*</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23.2</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5.1)*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23.3</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8.1)*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23.4</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Davis Polk &amp; Wardwell LLP (included in Exhibit 8.2)*</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24.1</w:t>
            </w:r>
          </w:p>
        </w:tc>
        <w:tc>
          <w:tcPr>
            <w:tcW w:w="10600" w:type="dxa"/>
            <w:vAlign w:val="bottom"/>
          </w:tcPr>
          <w:p>
            <w:pPr>
              <w:ind w:left="520"/>
              <w:spacing w:after="0"/>
              <w:rPr>
                <w:sz w:val="20"/>
                <w:szCs w:val="20"/>
                <w:color w:val="auto"/>
              </w:rPr>
            </w:pPr>
            <w:r>
              <w:rPr>
                <w:rFonts w:ascii="Arial" w:cs="Arial" w:eastAsia="Arial" w:hAnsi="Arial"/>
                <w:sz w:val="18"/>
                <w:szCs w:val="18"/>
                <w:color w:val="auto"/>
              </w:rPr>
              <w:t>Powers of attorney (included on signature page to the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II-5</w:t>
      </w:r>
    </w:p>
    <w:sectPr>
      <w:pgSz w:w="11900" w:h="16838" w:orient="portrait"/>
      <w:cols w:equalWidth="0" w:num="1">
        <w:col w:w="11000"/>
      </w:cols>
      <w:pgMar w:left="240" w:top="46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1)"/>
      <w:numFmt w:val="decimal"/>
      <w:start w:val="1"/>
    </w:lvl>
  </w:abstractNum>
  <w:abstractNum w:abstractNumId="1">
    <w:nsid w:val="7BD3EE7B"/>
    <w:multiLevelType w:val="hybridMultilevel"/>
    <w:lvl w:ilvl="0">
      <w:lvlJc w:val="left"/>
      <w:lvlText w:val="(%1)"/>
      <w:numFmt w:val="decimal"/>
      <w:start w:val="1"/>
    </w:lvl>
  </w:abstractNum>
  <w:abstractNum w:abstractNumId="2">
    <w:nsid w:val="51D9C564"/>
    <w:multiLevelType w:val="hybridMultilevel"/>
    <w:lvl w:ilvl="0">
      <w:lvlJc w:val="left"/>
      <w:lvlText w:val="•"/>
      <w:numFmt w:val="bullet"/>
      <w:start w:val="1"/>
    </w:lvl>
    <w:lvl w:ilvl="1">
      <w:lvlJc w:val="left"/>
      <w:lvlText w:val="•"/>
      <w:numFmt w:val="bullet"/>
      <w:start w:val="1"/>
    </w:lvl>
  </w:abstractNum>
  <w:abstractNum w:abstractNumId="3">
    <w:nsid w:val="613EFDC5"/>
    <w:multiLevelType w:val="hybridMultilevel"/>
    <w:lvl w:ilvl="0">
      <w:lvlJc w:val="left"/>
      <w:lvlText w:val="•"/>
      <w:numFmt w:val="bullet"/>
      <w:start w:val="1"/>
    </w:lvl>
    <w:lvl w:ilvl="1">
      <w:lvlJc w:val="left"/>
      <w:lvlText w:val="•"/>
      <w:numFmt w:val="bullet"/>
      <w:start w:val="1"/>
    </w:lvl>
  </w:abstractNum>
  <w:abstractNum w:abstractNumId="4">
    <w:nsid w:val="BF72B14"/>
    <w:multiLevelType w:val="hybridMultilevel"/>
    <w:lvl w:ilvl="0">
      <w:lvlJc w:val="left"/>
      <w:lvlText w:val="•"/>
      <w:numFmt w:val="bullet"/>
      <w:start w:val="1"/>
    </w:lvl>
    <w:lvl w:ilvl="1">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1)"/>
      <w:numFmt w:val="lowerRoman"/>
      <w:start w:val="1"/>
    </w:lvl>
  </w:abstractNum>
  <w:abstractNum w:abstractNumId="15">
    <w:nsid w:val="14330624"/>
    <w:multiLevelType w:val="hybridMultilevel"/>
    <w:lvl w:ilvl="0">
      <w:lvlJc w:val="left"/>
      <w:lvlText w:val="(%1)"/>
      <w:numFmt w:val="lowerRoman"/>
      <w:start w:val="3"/>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1)"/>
      <w:numFmt w:val="decimal"/>
      <w:start w:val="1"/>
    </w:lvl>
  </w:abstractNum>
  <w:abstractNum w:abstractNumId="19">
    <w:nsid w:val="100F59DC"/>
    <w:multiLevelType w:val="hybridMultilevel"/>
    <w:lvl w:ilvl="0">
      <w:lvlJc w:val="left"/>
      <w:lvlText w:val="(%1)"/>
      <w:numFmt w:val="decimal"/>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1)"/>
      <w:numFmt w:val="lowerRoman"/>
      <w:start w:val="3"/>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
      <w:numFmt w:val="bullet"/>
      <w:start w:val="1"/>
    </w:lvl>
    <w:lvl w:ilvl="1">
      <w:lvlJc w:val="left"/>
      <w:lvlText w:val="(%2)"/>
      <w:numFmt w:val="lowerRoman"/>
      <w:start w:val="1"/>
    </w:lvl>
  </w:abstractNum>
  <w:abstractNum w:abstractNumId="47">
    <w:nsid w:val="5FB8011C"/>
    <w:multiLevelType w:val="hybridMultilevel"/>
    <w:lvl w:ilvl="0">
      <w:lvlJc w:val="left"/>
      <w:lvlText w:val="•"/>
      <w:numFmt w:val="bullet"/>
      <w:start w:val="1"/>
    </w:lvl>
  </w:abstractNum>
  <w:abstractNum w:abstractNumId="48">
    <w:nsid w:val="6AA78F7F"/>
    <w:multiLevelType w:val="hybridMultilevel"/>
    <w:lvl w:ilvl="0">
      <w:lvlJc w:val="left"/>
      <w:lvlText w:val="•"/>
      <w:numFmt w:val="bullet"/>
      <w:start w:val="1"/>
    </w:lvl>
  </w:abstractNum>
  <w:abstractNum w:abstractNumId="49">
    <w:nsid w:val="7672BD23"/>
    <w:multiLevelType w:val="hybridMultilevel"/>
    <w:lvl w:ilvl="0">
      <w:lvlJc w:val="left"/>
      <w:lvlText w:val="(%1)"/>
      <w:numFmt w:val="decimal"/>
      <w:start w:val="1"/>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1)"/>
      <w:numFmt w:val="lowerRoman"/>
      <w:start w:val="1"/>
    </w:lvl>
  </w:abstractNum>
  <w:abstractNum w:abstractNumId="53">
    <w:nsid w:val="5F3534A4"/>
    <w:multiLevelType w:val="hybridMultilevel"/>
    <w:lvl w:ilvl="0">
      <w:lvlJc w:val="left"/>
      <w:lvlText w:val="(%1)"/>
      <w:numFmt w:val="decimal"/>
      <w:start w:val="1"/>
    </w:lvl>
  </w:abstractNum>
  <w:abstractNum w:abstractNumId="54">
    <w:nsid w:val="73A1821B"/>
    <w:multiLevelType w:val="hybridMultilevel"/>
    <w:lvl w:ilvl="0">
      <w:lvlJc w:val="left"/>
      <w:lvlText w:val="$"/>
      <w:numFmt w:val="bullet"/>
      <w:start w:val="1"/>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
      <w:numFmt w:val="bullet"/>
      <w:start w:val="1"/>
    </w:lvl>
  </w:abstractNum>
  <w:abstractNum w:abstractNumId="57">
    <w:nsid w:val="3FA62ACA"/>
    <w:multiLevelType w:val="hybridMultilevel"/>
    <w:lvl w:ilvl="0">
      <w:lvlJc w:val="left"/>
      <w:lvlText w:val="•"/>
      <w:numFmt w:val="bullet"/>
      <w:start w:val="1"/>
    </w:lvl>
    <w:lvl w:ilvl="1">
      <w:lvlJc w:val="left"/>
      <w:lvlText w:val="•"/>
      <w:numFmt w:val="bullet"/>
      <w:start w:val="1"/>
    </w:lvl>
  </w:abstractNum>
  <w:abstractNum w:abstractNumId="58">
    <w:nsid w:val="14FCE74E"/>
    <w:multiLevelType w:val="hybridMultilevel"/>
    <w:lvl w:ilvl="0">
      <w:lvlJc w:val="left"/>
      <w:lvlText w:val="•"/>
      <w:numFmt w:val="bullet"/>
      <w:start w:val="1"/>
    </w:lvl>
  </w:abstractNum>
  <w:abstractNum w:abstractNumId="59">
    <w:nsid w:val="6A3DD3E8"/>
    <w:multiLevelType w:val="hybridMultilevel"/>
    <w:lvl w:ilvl="0">
      <w:lvlJc w:val="left"/>
      <w:lvlText w:val="•"/>
      <w:numFmt w:val="bullet"/>
      <w:start w:val="1"/>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
      <w:numFmt w:val="bullet"/>
      <w:start w:val="1"/>
    </w:lvl>
  </w:abstractNum>
  <w:abstractNum w:abstractNumId="62">
    <w:nsid w:val="53299938"/>
    <w:multiLevelType w:val="hybridMultilevel"/>
    <w:lvl w:ilvl="0">
      <w:lvlJc w:val="left"/>
      <w:lvlText w:val="•"/>
      <w:numFmt w:val="bullet"/>
      <w:start w:val="1"/>
    </w:lvl>
  </w:abstractNum>
  <w:abstractNum w:abstractNumId="63">
    <w:nsid w:val="1FBFE8E0"/>
    <w:multiLevelType w:val="hybridMultilevel"/>
    <w:lvl w:ilvl="0">
      <w:lvlJc w:val="left"/>
      <w:lvlText w:val="•"/>
      <w:numFmt w:val="bullet"/>
      <w:start w:val="1"/>
    </w:lvl>
    <w:lvl w:ilvl="1">
      <w:lvlJc w:val="left"/>
      <w:lvlText w:val="•"/>
      <w:numFmt w:val="bullet"/>
      <w:start w:val="1"/>
    </w:lvl>
  </w:abstractNum>
  <w:abstractNum w:abstractNumId="64">
    <w:nsid w:val="5092CA79"/>
    <w:multiLevelType w:val="hybridMultilevel"/>
    <w:lvl w:ilvl="0">
      <w:lvlJc w:val="left"/>
      <w:lvlText w:val="•"/>
      <w:numFmt w:val="bullet"/>
      <w:start w:val="1"/>
    </w:lvl>
  </w:abstractNum>
  <w:abstractNum w:abstractNumId="65">
    <w:nsid w:val="1D545C4D"/>
    <w:multiLevelType w:val="hybridMultilevel"/>
    <w:lvl w:ilvl="0">
      <w:lvlJc w:val="left"/>
      <w:lvlText w:val="•"/>
      <w:numFmt w:val="bullet"/>
      <w:start w:val="1"/>
    </w:lvl>
  </w:abstractNum>
  <w:abstractNum w:abstractNumId="66">
    <w:nsid w:val="59ADEA3D"/>
    <w:multiLevelType w:val="hybridMultilevel"/>
    <w:lvl w:ilvl="0">
      <w:lvlJc w:val="left"/>
      <w:lvlText w:val="•"/>
      <w:numFmt w:val="bullet"/>
      <w:start w:val="1"/>
    </w:lvl>
  </w:abstractNum>
  <w:abstractNum w:abstractNumId="67">
    <w:nsid w:val="288F1A34"/>
    <w:multiLevelType w:val="hybridMultilevel"/>
    <w:lvl w:ilvl="0">
      <w:lvlJc w:val="left"/>
      <w:lvlText w:val="•"/>
      <w:numFmt w:val="bullet"/>
      <w:start w:val="1"/>
    </w:lvl>
    <w:lvl w:ilvl="1">
      <w:lvlJc w:val="left"/>
      <w:lvlText w:val="•"/>
      <w:numFmt w:val="bullet"/>
      <w:start w:val="1"/>
    </w:lvl>
  </w:abstractNum>
  <w:abstractNum w:abstractNumId="68">
    <w:nsid w:val="2A155DBC"/>
    <w:multiLevelType w:val="hybridMultilevel"/>
    <w:lvl w:ilvl="0">
      <w:lvlJc w:val="left"/>
      <w:lvlText w:val="•"/>
      <w:numFmt w:val="bullet"/>
      <w:start w:val="1"/>
    </w:lvl>
    <w:lvl w:ilvl="1">
      <w:lvlJc w:val="left"/>
      <w:lvlText w:val="•"/>
      <w:numFmt w:val="bullet"/>
      <w:start w:val="1"/>
    </w:lvl>
  </w:abstractNum>
  <w:abstractNum w:abstractNumId="69">
    <w:nsid w:val="1D9F6E5F"/>
    <w:multiLevelType w:val="hybridMultilevel"/>
    <w:lvl w:ilvl="0">
      <w:lvlJc w:val="left"/>
      <w:lvlText w:val="•"/>
      <w:numFmt w:val="bullet"/>
      <w:start w:val="1"/>
    </w:lvl>
  </w:abstractNum>
  <w:abstractNum w:abstractNumId="70">
    <w:nsid w:val="97E1B4E"/>
    <w:multiLevelType w:val="hybridMultilevel"/>
    <w:lvl w:ilvl="0">
      <w:lvlJc w:val="left"/>
      <w:lvlText w:val="•"/>
      <w:numFmt w:val="bullet"/>
      <w:start w:val="1"/>
    </w:lvl>
  </w:abstractNum>
  <w:abstractNum w:abstractNumId="71">
    <w:nsid w:val="51088277"/>
    <w:multiLevelType w:val="hybridMultilevel"/>
    <w:lvl w:ilvl="0">
      <w:lvlJc w:val="left"/>
      <w:lvlText w:val="•"/>
      <w:numFmt w:val="bullet"/>
      <w:start w:val="1"/>
    </w:lvl>
  </w:abstractNum>
  <w:abstractNum w:abstractNumId="72">
    <w:nsid w:val="1CA0C5FA"/>
    <w:multiLevelType w:val="hybridMultilevel"/>
    <w:lvl w:ilvl="0">
      <w:lvlJc w:val="left"/>
      <w:lvlText w:val="•"/>
      <w:numFmt w:val="bullet"/>
      <w:start w:val="1"/>
    </w:lvl>
  </w:abstractNum>
  <w:abstractNum w:abstractNumId="73">
    <w:nsid w:val="53584BCB"/>
    <w:multiLevelType w:val="hybridMultilevel"/>
    <w:lvl w:ilvl="0">
      <w:lvlJc w:val="left"/>
      <w:lvlText w:val="•"/>
      <w:numFmt w:val="bullet"/>
      <w:start w:val="1"/>
    </w:lvl>
  </w:abstractNum>
  <w:abstractNum w:abstractNumId="74">
    <w:nsid w:val="415E286C"/>
    <w:multiLevelType w:val="hybridMultilevel"/>
    <w:lvl w:ilvl="0">
      <w:lvlJc w:val="left"/>
      <w:lvlText w:val="•"/>
      <w:numFmt w:val="bullet"/>
      <w:start w:val="1"/>
    </w:lvl>
  </w:abstractNum>
  <w:abstractNum w:abstractNumId="75">
    <w:nsid w:val="7C58FD05"/>
    <w:multiLevelType w:val="hybridMultilevel"/>
    <w:lvl w:ilvl="0">
      <w:lvlJc w:val="left"/>
      <w:lvlText w:val="•"/>
      <w:numFmt w:val="bullet"/>
      <w:start w:val="1"/>
    </w:lvl>
  </w:abstractNum>
  <w:abstractNum w:abstractNumId="76">
    <w:nsid w:val="23D86AAC"/>
    <w:multiLevelType w:val="hybridMultilevel"/>
    <w:lvl w:ilvl="0">
      <w:lvlJc w:val="left"/>
      <w:lvlText w:val="•"/>
      <w:numFmt w:val="bullet"/>
      <w:start w:val="1"/>
    </w:lvl>
  </w:abstractNum>
  <w:abstractNum w:abstractNumId="77">
    <w:nsid w:val="45E6D486"/>
    <w:multiLevelType w:val="hybridMultilevel"/>
    <w:lvl w:ilvl="0">
      <w:lvlJc w:val="left"/>
      <w:lvlText w:val="•"/>
      <w:numFmt w:val="bullet"/>
      <w:start w:val="1"/>
    </w:lvl>
  </w:abstractNum>
  <w:abstractNum w:abstractNumId="78">
    <w:nsid w:val="5C10FE21"/>
    <w:multiLevelType w:val="hybridMultilevel"/>
    <w:lvl w:ilvl="0">
      <w:lvlJc w:val="left"/>
      <w:lvlText w:val="•"/>
      <w:numFmt w:val="bullet"/>
      <w:start w:val="1"/>
    </w:lvl>
  </w:abstractNum>
  <w:abstractNum w:abstractNumId="79">
    <w:nsid w:val="E7FFA2B"/>
    <w:multiLevelType w:val="hybridMultilevel"/>
    <w:lvl w:ilvl="0">
      <w:lvlJc w:val="left"/>
      <w:lvlText w:val="•"/>
      <w:numFmt w:val="bullet"/>
      <w:start w:val="1"/>
    </w:lvl>
  </w:abstractNum>
  <w:abstractNum w:abstractNumId="80">
    <w:nsid w:val="3C5991AA"/>
    <w:multiLevelType w:val="hybridMultilevel"/>
    <w:lvl w:ilvl="0">
      <w:lvlJc w:val="left"/>
      <w:lvlText w:val="•"/>
      <w:numFmt w:val="bullet"/>
      <w:start w:val="1"/>
    </w:lvl>
  </w:abstractNum>
  <w:abstractNum w:abstractNumId="81">
    <w:nsid w:val="4BD8591A"/>
    <w:multiLevelType w:val="hybridMultilevel"/>
    <w:lvl w:ilvl="0">
      <w:lvlJc w:val="left"/>
      <w:lvlText w:val="•"/>
      <w:numFmt w:val="bullet"/>
      <w:start w:val="1"/>
    </w:lvl>
  </w:abstractNum>
  <w:abstractNum w:abstractNumId="82">
    <w:nsid w:val="78DF6A55"/>
    <w:multiLevelType w:val="hybridMultilevel"/>
    <w:lvl w:ilvl="0">
      <w:lvlJc w:val="left"/>
      <w:lvlText w:val="•"/>
      <w:numFmt w:val="bullet"/>
      <w:start w:val="1"/>
    </w:lvl>
  </w:abstractNum>
  <w:abstractNum w:abstractNumId="83">
    <w:nsid w:val="39B7AAA2"/>
    <w:multiLevelType w:val="hybridMultilevel"/>
    <w:lvl w:ilvl="0">
      <w:lvlJc w:val="left"/>
      <w:lvlText w:val="•"/>
      <w:numFmt w:val="bullet"/>
      <w:start w:val="1"/>
    </w:lvl>
  </w:abstractNum>
  <w:abstractNum w:abstractNumId="84">
    <w:nsid w:val="2B0D8DBE"/>
    <w:multiLevelType w:val="hybridMultilevel"/>
    <w:lvl w:ilvl="0">
      <w:lvlJc w:val="left"/>
      <w:lvlText w:val="•"/>
      <w:numFmt w:val="bullet"/>
      <w:start w:val="1"/>
    </w:lvl>
  </w:abstractNum>
  <w:abstractNum w:abstractNumId="85">
    <w:nsid w:val="6C80EC70"/>
    <w:multiLevelType w:val="hybridMultilevel"/>
    <w:lvl w:ilvl="0">
      <w:lvlJc w:val="left"/>
      <w:lvlText w:val="•"/>
      <w:numFmt w:val="bullet"/>
      <w:start w:val="1"/>
    </w:lvl>
  </w:abstractNum>
  <w:abstractNum w:abstractNumId="86">
    <w:nsid w:val="379E21B5"/>
    <w:multiLevelType w:val="hybridMultilevel"/>
    <w:lvl w:ilvl="0">
      <w:lvlJc w:val="left"/>
      <w:lvlText w:val="•"/>
      <w:numFmt w:val="bullet"/>
      <w:start w:val="1"/>
    </w:lvl>
  </w:abstractNum>
  <w:abstractNum w:abstractNumId="87">
    <w:nsid w:val="69E373"/>
    <w:multiLevelType w:val="hybridMultilevel"/>
    <w:lvl w:ilvl="0">
      <w:lvlJc w:val="left"/>
      <w:lvlText w:val="•"/>
      <w:numFmt w:val="bullet"/>
      <w:start w:val="1"/>
    </w:lvl>
  </w:abstractNum>
  <w:abstractNum w:abstractNumId="88">
    <w:nsid w:val="2C27173B"/>
    <w:multiLevelType w:val="hybridMultilevel"/>
    <w:lvl w:ilvl="0">
      <w:lvlJc w:val="left"/>
      <w:lvlText w:val="*"/>
      <w:numFmt w:val="bullet"/>
      <w:start w:val="1"/>
    </w:lvl>
  </w:abstractNum>
  <w:abstractNum w:abstractNumId="89">
    <w:nsid w:val="4C9B0904"/>
    <w:multiLevelType w:val="hybridMultilevel"/>
    <w:lvl w:ilvl="0">
      <w:lvlJc w:val="left"/>
      <w:lvlText w:val="(%1)"/>
      <w:numFmt w:val="decimal"/>
      <w:start w:val="1"/>
    </w:lvl>
  </w:abstractNum>
  <w:abstractNum w:abstractNumId="90">
    <w:nsid w:val="6AA7B75C"/>
    <w:multiLevelType w:val="hybridMultilevel"/>
    <w:lvl w:ilvl="0">
      <w:lvlJc w:val="left"/>
      <w:lvlText w:val="•"/>
      <w:numFmt w:val="bullet"/>
      <w:start w:val="1"/>
    </w:lvl>
  </w:abstractNum>
  <w:abstractNum w:abstractNumId="91">
    <w:nsid w:val="1DF029D3"/>
    <w:multiLevelType w:val="hybridMultilevel"/>
    <w:lvl w:ilvl="0">
      <w:lvlJc w:val="left"/>
      <w:lvlText w:val="•"/>
      <w:numFmt w:val="bullet"/>
      <w:start w:val="1"/>
    </w:lvl>
  </w:abstractNum>
  <w:abstractNum w:abstractNumId="92">
    <w:nsid w:val="5675FF36"/>
    <w:multiLevelType w:val="hybridMultilevel"/>
    <w:lvl w:ilvl="0">
      <w:lvlJc w:val="left"/>
      <w:lvlText w:val="•"/>
      <w:numFmt w:val="bullet"/>
      <w:start w:val="1"/>
    </w:lvl>
  </w:abstractNum>
  <w:abstractNum w:abstractNumId="93">
    <w:nsid w:val="3DD15094"/>
    <w:multiLevelType w:val="hybridMultilevel"/>
    <w:lvl w:ilvl="0">
      <w:lvlJc w:val="left"/>
      <w:lvlText w:val="•"/>
      <w:numFmt w:val="bullet"/>
      <w:start w:val="1"/>
    </w:lvl>
  </w:abstractNum>
  <w:abstractNum w:abstractNumId="94">
    <w:nsid w:val="3DB012B3"/>
    <w:multiLevelType w:val="hybridMultilevel"/>
    <w:lvl w:ilvl="0">
      <w:lvlJc w:val="left"/>
      <w:lvlText w:val="•"/>
      <w:numFmt w:val="bullet"/>
      <w:start w:val="1"/>
    </w:lvl>
  </w:abstractNum>
  <w:abstractNum w:abstractNumId="95">
    <w:nsid w:val="2708C9AF"/>
    <w:multiLevelType w:val="hybridMultilevel"/>
    <w:lvl w:ilvl="0">
      <w:lvlJc w:val="left"/>
      <w:lvlText w:val="•"/>
      <w:numFmt w:val="bullet"/>
      <w:start w:val="1"/>
    </w:lvl>
  </w:abstractNum>
  <w:abstractNum w:abstractNumId="96">
    <w:nsid w:val="5B25ACE2"/>
    <w:multiLevelType w:val="hybridMultilevel"/>
    <w:lvl w:ilvl="0">
      <w:lvlJc w:val="left"/>
      <w:lvlText w:val="•"/>
      <w:numFmt w:val="bullet"/>
      <w:start w:val="1"/>
    </w:lvl>
  </w:abstractNum>
  <w:abstractNum w:abstractNumId="97">
    <w:nsid w:val="175DFCF0"/>
    <w:multiLevelType w:val="hybridMultilevel"/>
    <w:lvl w:ilvl="0">
      <w:lvlJc w:val="left"/>
      <w:lvlText w:val="•"/>
      <w:numFmt w:val="bullet"/>
      <w:start w:val="1"/>
    </w:lvl>
  </w:abstractNum>
  <w:abstractNum w:abstractNumId="98">
    <w:nsid w:val="4F97E3E4"/>
    <w:multiLevelType w:val="hybridMultilevel"/>
    <w:lvl w:ilvl="0">
      <w:lvlJc w:val="left"/>
      <w:lvlText w:val="•"/>
      <w:numFmt w:val="bullet"/>
      <w:start w:val="1"/>
    </w:lvl>
  </w:abstractNum>
  <w:abstractNum w:abstractNumId="99">
    <w:nsid w:val="53B0A9E"/>
    <w:multiLevelType w:val="hybridMultilevel"/>
    <w:lvl w:ilvl="0">
      <w:lvlJc w:val="left"/>
      <w:lvlText w:val="•"/>
      <w:numFmt w:val="bullet"/>
      <w:start w:val="1"/>
    </w:lvl>
  </w:abstractNum>
  <w:abstractNum w:abstractNumId="100">
    <w:nsid w:val="34FD6B4F"/>
    <w:multiLevelType w:val="hybridMultilevel"/>
    <w:lvl w:ilvl="0">
      <w:lvlJc w:val="left"/>
      <w:lvlText w:val="•"/>
      <w:numFmt w:val="bullet"/>
      <w:start w:val="1"/>
    </w:lvl>
  </w:abstractNum>
  <w:abstractNum w:abstractNumId="101">
    <w:nsid w:val="5915FF32"/>
    <w:multiLevelType w:val="hybridMultilevel"/>
    <w:lvl w:ilvl="0">
      <w:lvlJc w:val="left"/>
      <w:lvlText w:val="•"/>
      <w:numFmt w:val="bullet"/>
      <w:start w:val="1"/>
    </w:lvl>
  </w:abstractNum>
  <w:abstractNum w:abstractNumId="102">
    <w:nsid w:val="56438D15"/>
    <w:multiLevelType w:val="hybridMultilevel"/>
    <w:lvl w:ilvl="0">
      <w:lvlJc w:val="left"/>
      <w:lvlText w:val="•"/>
      <w:numFmt w:val="bullet"/>
      <w:start w:val="1"/>
    </w:lvl>
  </w:abstractNum>
  <w:abstractNum w:abstractNumId="103">
    <w:nsid w:val="519E3149"/>
    <w:multiLevelType w:val="hybridMultilevel"/>
    <w:lvl w:ilvl="0">
      <w:lvlJc w:val="left"/>
      <w:lvlText w:val="•"/>
      <w:numFmt w:val="bullet"/>
      <w:start w:val="1"/>
    </w:lvl>
  </w:abstractNum>
  <w:abstractNum w:abstractNumId="104">
    <w:nsid w:val="2C6E4AFD"/>
    <w:multiLevelType w:val="hybridMultilevel"/>
    <w:lvl w:ilvl="0">
      <w:lvlJc w:val="left"/>
      <w:lvlText w:val="•"/>
      <w:numFmt w:val="bullet"/>
      <w:start w:val="1"/>
    </w:lvl>
  </w:abstractNum>
  <w:abstractNum w:abstractNumId="105">
    <w:nsid w:val="17A1B582"/>
    <w:multiLevelType w:val="hybridMultilevel"/>
    <w:lvl w:ilvl="0">
      <w:lvlJc w:val="left"/>
      <w:lvlText w:val="•"/>
      <w:numFmt w:val="bullet"/>
      <w:start w:val="1"/>
    </w:lvl>
  </w:abstractNum>
  <w:abstractNum w:abstractNumId="106">
    <w:nsid w:val="4DF72E4E"/>
    <w:multiLevelType w:val="hybridMultilevel"/>
    <w:lvl w:ilvl="0">
      <w:lvlJc w:val="left"/>
      <w:lvlText w:val="•"/>
      <w:numFmt w:val="bullet"/>
      <w:start w:val="1"/>
    </w:lvl>
  </w:abstractNum>
  <w:abstractNum w:abstractNumId="107">
    <w:nsid w:val="5046B5A9"/>
    <w:multiLevelType w:val="hybridMultilevel"/>
    <w:lvl w:ilvl="0">
      <w:lvlJc w:val="left"/>
      <w:lvlText w:val="•"/>
      <w:numFmt w:val="bullet"/>
      <w:start w:val="1"/>
    </w:lvl>
  </w:abstractNum>
  <w:abstractNum w:abstractNumId="108">
    <w:nsid w:val="5D888A08"/>
    <w:multiLevelType w:val="hybridMultilevel"/>
    <w:lvl w:ilvl="0">
      <w:lvlJc w:val="left"/>
      <w:lvlText w:val="•"/>
      <w:numFmt w:val="bullet"/>
      <w:start w:val="1"/>
    </w:lvl>
  </w:abstractNum>
  <w:abstractNum w:abstractNumId="109">
    <w:nsid w:val="2A082C70"/>
    <w:multiLevelType w:val="hybridMultilevel"/>
    <w:lvl w:ilvl="0">
      <w:lvlJc w:val="left"/>
      <w:lvlText w:val="•"/>
      <w:numFmt w:val="bullet"/>
      <w:start w:val="1"/>
    </w:lvl>
  </w:abstractNum>
  <w:abstractNum w:abstractNumId="110">
    <w:nsid w:val="5EC6AFD4"/>
    <w:multiLevelType w:val="hybridMultilevel"/>
    <w:lvl w:ilvl="0">
      <w:lvlJc w:val="left"/>
      <w:lvlText w:val="•"/>
      <w:numFmt w:val="bullet"/>
      <w:start w:val="1"/>
    </w:lvl>
  </w:abstractNum>
  <w:abstractNum w:abstractNumId="111">
    <w:nsid w:val="19E21BB2"/>
    <w:multiLevelType w:val="hybridMultilevel"/>
    <w:lvl w:ilvl="0">
      <w:lvlJc w:val="left"/>
      <w:lvlText w:val="•"/>
      <w:numFmt w:val="bullet"/>
      <w:start w:val="1"/>
    </w:lvl>
  </w:abstractNum>
  <w:abstractNum w:abstractNumId="112">
    <w:nsid w:val="75E0858A"/>
    <w:multiLevelType w:val="hybridMultilevel"/>
    <w:lvl w:ilvl="0">
      <w:lvlJc w:val="left"/>
      <w:lvlText w:val="•"/>
      <w:numFmt w:val="bullet"/>
      <w:start w:val="1"/>
    </w:lvl>
  </w:abstractNum>
  <w:abstractNum w:abstractNumId="113">
    <w:nsid w:val="57A61A29"/>
    <w:multiLevelType w:val="hybridMultilevel"/>
    <w:lvl w:ilvl="0">
      <w:lvlJc w:val="left"/>
      <w:lvlText w:val="•"/>
      <w:numFmt w:val="bullet"/>
      <w:start w:val="1"/>
    </w:lvl>
  </w:abstractNum>
  <w:abstractNum w:abstractNumId="114">
    <w:nsid w:val="5399C654"/>
    <w:multiLevelType w:val="hybridMultilevel"/>
    <w:lvl w:ilvl="0">
      <w:lvlJc w:val="left"/>
      <w:lvlText w:val="(%1)"/>
      <w:numFmt w:val="lowerRoman"/>
      <w:start w:val="1"/>
    </w:lvl>
  </w:abstractNum>
  <w:abstractNum w:abstractNumId="115">
    <w:nsid w:val="20EE1348"/>
    <w:multiLevelType w:val="hybridMultilevel"/>
    <w:lvl w:ilvl="0">
      <w:lvlJc w:val="left"/>
      <w:lvlText w:val="(%1)"/>
      <w:numFmt w:val="lowerRoman"/>
      <w:start w:val="3"/>
    </w:lvl>
  </w:abstractNum>
  <w:abstractNum w:abstractNumId="116">
    <w:nsid w:val="4427069A"/>
    <w:multiLevelType w:val="hybridMultilevel"/>
    <w:lvl w:ilvl="0">
      <w:lvlJc w:val="left"/>
      <w:lvlText w:val="•"/>
      <w:numFmt w:val="bullet"/>
      <w:start w:val="1"/>
    </w:lvl>
  </w:abstractNum>
  <w:abstractNum w:abstractNumId="117">
    <w:nsid w:val="B37E80A"/>
    <w:multiLevelType w:val="hybridMultilevel"/>
    <w:lvl w:ilvl="0">
      <w:lvlJc w:val="left"/>
      <w:lvlText w:val="%1."/>
      <w:numFmt w:val="decimal"/>
      <w:start w:val="1"/>
    </w:lvl>
  </w:abstractNum>
  <w:abstractNum w:abstractNumId="118">
    <w:nsid w:val="2157F6BC"/>
    <w:multiLevelType w:val="hybridMultilevel"/>
    <w:lvl w:ilvl="0">
      <w:lvlJc w:val="left"/>
      <w:lvlText w:val="%1."/>
      <w:numFmt w:val="decimal"/>
      <w:start w:val="2"/>
    </w:lvl>
  </w:abstractNum>
  <w:abstractNum w:abstractNumId="119">
    <w:nsid w:val="704E1DD5"/>
    <w:multiLevelType w:val="hybridMultilevel"/>
    <w:lvl w:ilvl="0">
      <w:lvlJc w:val="left"/>
      <w:lvlText w:val="(%1)"/>
      <w:numFmt w:val="lowerRoman"/>
      <w:start w:val="1"/>
    </w:lvl>
  </w:abstractNum>
  <w:abstractNum w:abstractNumId="120">
    <w:nsid w:val="57D2F10E"/>
    <w:multiLevelType w:val="hybridMultilevel"/>
    <w:lvl w:ilvl="0">
      <w:lvlJc w:val="left"/>
      <w:lvlText w:val="(%1)"/>
      <w:numFmt w:val="lowerRoman"/>
      <w:start w:val="3"/>
    </w:lvl>
  </w:abstractNum>
  <w:abstractNum w:abstractNumId="121">
    <w:nsid w:val="BFFAE18"/>
    <w:multiLevelType w:val="hybridMultilevel"/>
    <w:lvl w:ilvl="0">
      <w:lvlJc w:val="left"/>
      <w:lvlText w:val="%1."/>
      <w:numFmt w:val="decimal"/>
      <w:start w:val="4"/>
    </w:lvl>
  </w:abstractNum>
  <w:abstractNum w:abstractNumId="122">
    <w:nsid w:val="E3E47A8"/>
    <w:multiLevelType w:val="hybridMultilevel"/>
    <w:lvl w:ilvl="0">
      <w:lvlJc w:val="left"/>
      <w:lvlText w:val="%1."/>
      <w:numFmt w:val="decimal"/>
      <w:start w:val="5"/>
    </w:lvl>
  </w:abstractNum>
  <w:abstractNum w:abstractNumId="123">
    <w:nsid w:val="2E48F044"/>
    <w:multiLevelType w:val="hybridMultilevel"/>
    <w:lvl w:ilvl="0">
      <w:lvlJc w:val="left"/>
      <w:lvlText w:val="%1."/>
      <w:numFmt w:val="decimal"/>
      <w:start w:val="6"/>
    </w:lvl>
  </w:abstractNum>
  <w:abstractNum w:abstractNumId="124">
    <w:nsid w:val="49D0FEAC"/>
    <w:multiLevelType w:val="hybridMultilevel"/>
    <w:lvl w:ilvl="0">
      <w:lvlJc w:val="left"/>
      <w:lvlText w:val="%1."/>
      <w:numFmt w:val="decimal"/>
      <w:start w:val="7"/>
    </w:lvl>
  </w:abstractNum>
  <w:abstractNum w:abstractNumId="125">
    <w:nsid w:val="4BEE5A5B"/>
    <w:multiLevelType w:val="hybridMultilevel"/>
    <w:lvl w:ilvl="0">
      <w:lvlJc w:val="left"/>
      <w:lvlText w:val="%1."/>
      <w:numFmt w:val="decimal"/>
      <w:start w:val="9"/>
    </w:lvl>
  </w:abstractNum>
  <w:abstractNum w:abstractNumId="126">
    <w:nsid w:val="5551B9F3"/>
    <w:multiLevelType w:val="hybridMultilevel"/>
    <w:lvl w:ilvl="0">
      <w:lvlJc w:val="left"/>
      <w:lvlText w:val="%1."/>
      <w:numFmt w:val="decimal"/>
      <w:start w:val="1"/>
    </w:lvl>
  </w:abstractNum>
  <w:abstractNum w:abstractNumId="127">
    <w:nsid w:val="24F6AB8E"/>
    <w:multiLevelType w:val="hybridMultilevel"/>
    <w:lvl w:ilvl="0">
      <w:lvlJc w:val="left"/>
      <w:lvlText w:val="%1."/>
      <w:numFmt w:val="decimal"/>
      <w:start w:val="2"/>
    </w:lvl>
  </w:abstractNum>
  <w:abstractNum w:abstractNumId="128">
    <w:nsid w:val="634C574C"/>
    <w:multiLevelType w:val="hybridMultilevel"/>
    <w:lvl w:ilvl="0">
      <w:lvlJc w:val="left"/>
      <w:lvlText w:val="(%1)"/>
      <w:numFmt w:val="lowerRoman"/>
      <w:start w:val="1"/>
    </w:lvl>
  </w:abstractNum>
  <w:abstractNum w:abstractNumId="129">
    <w:nsid w:val="24E99DD7"/>
    <w:multiLevelType w:val="hybridMultilevel"/>
    <w:lvl w:ilvl="0">
      <w:lvlJc w:val="left"/>
      <w:lvlText w:val="(%1)"/>
      <w:numFmt w:val="lowerRoman"/>
      <w:start w:val="3"/>
    </w:lvl>
  </w:abstractNum>
  <w:abstractNum w:abstractNumId="130">
    <w:nsid w:val="2A31B62D"/>
    <w:multiLevelType w:val="hybridMultilevel"/>
    <w:lvl w:ilvl="0">
      <w:lvlJc w:val="left"/>
      <w:lvlText w:val="%1."/>
      <w:numFmt w:val="decimal"/>
      <w:start w:val="3"/>
    </w:lvl>
  </w:abstractNum>
  <w:abstractNum w:abstractNumId="131">
    <w:nsid w:val="1849C29B"/>
    <w:multiLevelType w:val="hybridMultilevel"/>
    <w:lvl w:ilvl="0">
      <w:lvlJc w:val="left"/>
      <w:lvlText w:val="•"/>
      <w:numFmt w:val="bullet"/>
      <w:start w:val="1"/>
    </w:lvl>
  </w:abstractNum>
  <w:abstractNum w:abstractNumId="132">
    <w:nsid w:val="7DFF9D09"/>
    <w:multiLevelType w:val="hybridMultilevel"/>
    <w:lvl w:ilvl="0">
      <w:lvlJc w:val="left"/>
      <w:lvlText w:val="•"/>
      <w:numFmt w:val="bullet"/>
      <w:start w:val="1"/>
    </w:lvl>
  </w:abstractNum>
  <w:abstractNum w:abstractNumId="133">
    <w:nsid w:val="754342"/>
    <w:multiLevelType w:val="hybridMultilevel"/>
    <w:lvl w:ilvl="0">
      <w:lvlJc w:val="left"/>
      <w:lvlText w:val="%1."/>
      <w:numFmt w:val="decimal"/>
      <w:start w:val="4"/>
    </w:lvl>
  </w:abstractNum>
  <w:abstractNum w:abstractNumId="134">
    <w:nsid w:val="69E7F3E5"/>
    <w:multiLevelType w:val="hybridMultilevel"/>
    <w:lvl w:ilvl="0">
      <w:lvlJc w:val="left"/>
      <w:lvlText w:val="%1."/>
      <w:numFmt w:val="decimal"/>
      <w:start w:val="6"/>
    </w:lvl>
  </w:abstractNum>
  <w:abstractNum w:abstractNumId="135">
    <w:nsid w:val="2A6DE806"/>
    <w:multiLevelType w:val="hybridMultilevel"/>
    <w:lvl w:ilvl="0">
      <w:lvlJc w:val="left"/>
      <w:lvlText w:val="%1."/>
      <w:numFmt w:val="decimal"/>
      <w:start w:val="9"/>
    </w:lvl>
  </w:abstractNum>
  <w:abstractNum w:abstractNumId="136">
    <w:nsid w:val="1816F8C4"/>
    <w:multiLevelType w:val="hybridMultilevel"/>
    <w:lvl w:ilvl="0">
      <w:lvlJc w:val="left"/>
      <w:lvlText w:val="%1."/>
      <w:numFmt w:val="decimal"/>
      <w:start w:val="11"/>
    </w:lvl>
  </w:abstractNum>
  <w:abstractNum w:abstractNumId="137">
    <w:nsid w:val="37DF2233"/>
    <w:multiLevelType w:val="hybridMultilevel"/>
    <w:lvl w:ilvl="0">
      <w:lvlJc w:val="left"/>
      <w:lvlText w:val="%1."/>
      <w:numFmt w:val="decimal"/>
      <w:start w:val="13"/>
    </w:lvl>
  </w:abstractNum>
  <w:abstractNum w:abstractNumId="138">
    <w:nsid w:val="7AB49DAF"/>
    <w:multiLevelType w:val="hybridMultilevel"/>
    <w:lvl w:ilvl="0">
      <w:lvlJc w:val="left"/>
      <w:lvlText w:val="%1."/>
      <w:numFmt w:val="decimal"/>
      <w:start w:val="15"/>
    </w:lvl>
  </w:abstractNum>
  <w:abstractNum w:abstractNumId="139">
    <w:nsid w:val="759F82CD"/>
    <w:multiLevelType w:val="hybridMultilevel"/>
    <w:lvl w:ilvl="0">
      <w:lvlJc w:val="left"/>
      <w:lvlText w:val="%1."/>
      <w:numFmt w:val="decimal"/>
      <w:start w:val="16"/>
    </w:lvl>
  </w:abstractNum>
  <w:abstractNum w:abstractNumId="140">
    <w:nsid w:val="61E74EA3"/>
    <w:multiLevelType w:val="hybridMultilevel"/>
    <w:lvl w:ilvl="0">
      <w:lvlJc w:val="left"/>
      <w:lvlText w:val="%1."/>
      <w:numFmt w:val="decimal"/>
      <w:start w:val="19"/>
    </w:lvl>
  </w:abstractNum>
  <w:abstractNum w:abstractNumId="141">
    <w:nsid w:val="597B4D84"/>
    <w:multiLevelType w:val="hybridMultilevel"/>
    <w:lvl w:ilvl="0">
      <w:lvlJc w:val="left"/>
      <w:lvlText w:val="%1."/>
      <w:numFmt w:val="decimal"/>
      <w:start w:val="20"/>
    </w:lvl>
  </w:abstractNum>
  <w:abstractNum w:abstractNumId="142">
    <w:nsid w:val="F819E7F"/>
    <w:multiLevelType w:val="hybridMultilevel"/>
    <w:lvl w:ilvl="0">
      <w:lvlJc w:val="left"/>
      <w:lvlText w:val="%1."/>
      <w:numFmt w:val="decimal"/>
      <w:start w:val="21"/>
    </w:lvl>
  </w:abstractNum>
  <w:abstractNum w:abstractNumId="143">
    <w:nsid w:val="57C7D42D"/>
    <w:multiLevelType w:val="hybridMultilevel"/>
    <w:lvl w:ilvl="0">
      <w:lvlJc w:val="left"/>
      <w:lvlText w:val="%1."/>
      <w:numFmt w:val="decimal"/>
      <w:start w:val="22"/>
    </w:lvl>
  </w:abstractNum>
  <w:abstractNum w:abstractNumId="144">
    <w:nsid w:val="312167AD"/>
    <w:multiLevelType w:val="hybridMultilevel"/>
    <w:lvl w:ilvl="0">
      <w:lvlJc w:val="left"/>
      <w:lvlText w:val="%1."/>
      <w:numFmt w:val="decimal"/>
      <w:start w:val="23"/>
    </w:lvl>
  </w:abstractNum>
  <w:abstractNum w:abstractNumId="145">
    <w:nsid w:val="631B64D4"/>
    <w:multiLevelType w:val="hybridMultilevel"/>
    <w:lvl w:ilvl="0">
      <w:lvlJc w:val="left"/>
      <w:lvlText w:val="%1."/>
      <w:numFmt w:val="decimal"/>
      <w:start w:val="1"/>
    </w:lvl>
  </w:abstractNum>
  <w:abstractNum w:abstractNumId="146">
    <w:nsid w:val="78B5E776"/>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147">
    <w:nsid w:val="75486E47"/>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2019-12-09T04:11:57Z</dcterms:created>
  <dcterms:modified xsi:type="dcterms:W3CDTF">2019-12-09T04:11:57Z</dcterms:modified>
</cp:coreProperties>
</file>