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72390</wp:posOffset>
            </wp:positionH>
            <wp:positionV relativeFrom="page">
              <wp:posOffset>235585</wp:posOffset>
            </wp:positionV>
            <wp:extent cx="76250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page">
              <wp:posOffset>72390</wp:posOffset>
            </wp:positionH>
            <wp:positionV relativeFrom="page">
              <wp:posOffset>307975</wp:posOffset>
            </wp:positionV>
            <wp:extent cx="7625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508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Washington, D.C. 20549</w:t>
      </w:r>
    </w:p>
    <w:p>
      <w:pPr>
        <w:spacing w:after="0" w:line="266"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FORM 6-K</w:t>
      </w:r>
    </w:p>
    <w:p>
      <w:pPr>
        <w:spacing w:after="0" w:line="400" w:lineRule="exact"/>
        <w:rPr>
          <w:sz w:val="24"/>
          <w:szCs w:val="24"/>
          <w:color w:val="auto"/>
        </w:rPr>
      </w:pPr>
    </w:p>
    <w:p>
      <w:pPr>
        <w:ind w:left="880" w:right="400" w:hanging="488"/>
        <w:spacing w:after="0" w:line="290" w:lineRule="auto"/>
        <w:rPr>
          <w:sz w:val="20"/>
          <w:szCs w:val="20"/>
          <w:color w:val="auto"/>
        </w:rPr>
      </w:pPr>
      <w:r>
        <w:rPr>
          <w:rFonts w:ascii="Arial" w:cs="Arial" w:eastAsia="Arial" w:hAnsi="Arial"/>
          <w:sz w:val="26"/>
          <w:szCs w:val="26"/>
          <w:b w:val="1"/>
          <w:bCs w:val="1"/>
          <w:color w:val="auto"/>
        </w:rPr>
        <w:t>REPORT OF FOREIGN PRIVATE ISSUER PURSUANT TO RULE 13a-16 OR 15d-16 UNDER THE SECURITIES EXCHANGE ACT OF 1934</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7"/>
          <w:szCs w:val="27"/>
          <w:color w:val="auto"/>
        </w:rPr>
        <w:t>For the month of February,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-815975</wp:posOffset>
            </wp:positionH>
            <wp:positionV relativeFrom="paragraph">
              <wp:posOffset>220980</wp:posOffset>
            </wp:positionV>
            <wp:extent cx="7625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Commission File Number: 001-37891</w:t>
      </w:r>
    </w:p>
    <w:p>
      <w:pPr>
        <w:spacing w:after="0" w:line="290" w:lineRule="exact"/>
        <w:rPr>
          <w:sz w:val="24"/>
          <w:szCs w:val="24"/>
          <w:color w:val="auto"/>
        </w:rPr>
      </w:pPr>
    </w:p>
    <w:p>
      <w:pPr>
        <w:jc w:val="center"/>
        <w:spacing w:after="0"/>
        <w:rPr>
          <w:sz w:val="20"/>
          <w:szCs w:val="20"/>
          <w:color w:val="auto"/>
        </w:rPr>
      </w:pPr>
      <w:r>
        <w:rPr>
          <w:rFonts w:ascii="Arial" w:cs="Arial" w:eastAsia="Arial" w:hAnsi="Arial"/>
          <w:sz w:val="53"/>
          <w:szCs w:val="53"/>
          <w:b w:val="1"/>
          <w:bCs w:val="1"/>
          <w:color w:val="auto"/>
        </w:rPr>
        <w:t>AC IMMUNE SA</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(Exact name of registrant as specified in its charter)</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EPFL Innovation Park</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Building B</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1015 Lausanne, Switzerland</w:t>
      </w:r>
    </w:p>
    <w:p>
      <w:pPr>
        <w:jc w:val="center"/>
        <w:spacing w:after="0"/>
        <w:rPr>
          <w:sz w:val="20"/>
          <w:szCs w:val="20"/>
          <w:color w:val="auto"/>
        </w:rPr>
      </w:pPr>
      <w:r>
        <w:rPr>
          <w:rFonts w:ascii="Arial" w:cs="Arial" w:eastAsia="Arial" w:hAnsi="Arial"/>
          <w:sz w:val="19"/>
          <w:szCs w:val="19"/>
          <w:b w:val="1"/>
          <w:bCs w:val="1"/>
          <w:color w:val="auto"/>
        </w:rPr>
        <w:t>(Address of principal executive office)</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49" w:lineRule="exact"/>
        <w:rPr>
          <w:sz w:val="24"/>
          <w:szCs w:val="24"/>
          <w:color w:val="auto"/>
        </w:rPr>
      </w:pPr>
    </w:p>
    <w:p>
      <w:pPr>
        <w:ind w:left="2180"/>
        <w:spacing w:after="0"/>
        <w:tabs>
          <w:tab w:leader="none" w:pos="3760" w:val="left"/>
          <w:tab w:leader="none" w:pos="5620" w:val="left"/>
          <w:tab w:leader="none" w:pos="7220" w:val="left"/>
        </w:tabs>
        <w:rPr>
          <w:sz w:val="20"/>
          <w:szCs w:val="20"/>
          <w:color w:val="auto"/>
        </w:rPr>
      </w:pPr>
      <w:r>
        <w:rPr>
          <w:rFonts w:ascii="Arial" w:cs="Arial" w:eastAsia="Arial" w:hAnsi="Arial"/>
          <w:sz w:val="19"/>
          <w:szCs w:val="19"/>
          <w:color w:val="auto"/>
        </w:rPr>
        <w:t>Form 20-F</w:t>
      </w:r>
      <w:r>
        <w:rPr>
          <w:sz w:val="20"/>
          <w:szCs w:val="20"/>
          <w:color w:val="auto"/>
        </w:rPr>
        <w:tab/>
      </w:r>
      <w:r>
        <w:rPr>
          <w:rFonts w:ascii="Arial" w:cs="Arial" w:eastAsia="Arial" w:hAnsi="Arial"/>
          <w:sz w:val="19"/>
          <w:szCs w:val="19"/>
          <w:color w:val="auto"/>
        </w:rPr>
        <w:t>â˜’</w:t>
      </w:r>
      <w:r>
        <w:rPr>
          <w:sz w:val="20"/>
          <w:szCs w:val="20"/>
          <w:color w:val="auto"/>
        </w:rPr>
        <w:tab/>
      </w:r>
      <w:r>
        <w:rPr>
          <w:rFonts w:ascii="Arial" w:cs="Arial" w:eastAsia="Arial" w:hAnsi="Arial"/>
          <w:sz w:val="19"/>
          <w:szCs w:val="19"/>
          <w:color w:val="auto"/>
        </w:rPr>
        <w:t>Form 40-F</w:t>
      </w:r>
      <w:r>
        <w:rPr>
          <w:sz w:val="20"/>
          <w:szCs w:val="20"/>
          <w:color w:val="auto"/>
        </w:rPr>
        <w:tab/>
      </w:r>
      <w:r>
        <w:rPr>
          <w:rFonts w:ascii="Arial" w:cs="Arial" w:eastAsia="Arial" w:hAnsi="Arial"/>
          <w:sz w:val="17"/>
          <w:szCs w:val="17"/>
          <w:color w:val="auto"/>
        </w:rPr>
        <w:t>o</w:t>
      </w:r>
    </w:p>
    <w:p>
      <w:pPr>
        <w:spacing w:after="0" w:line="23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w:t>
      </w:r>
    </w:p>
    <w:p>
      <w:pPr>
        <w:spacing w:after="0" w:line="261" w:lineRule="exact"/>
        <w:rPr>
          <w:sz w:val="24"/>
          <w:szCs w:val="24"/>
          <w:color w:val="auto"/>
        </w:rPr>
      </w:pPr>
    </w:p>
    <w:p>
      <w:pPr>
        <w:ind w:left="2460"/>
        <w:spacing w:after="0"/>
        <w:tabs>
          <w:tab w:leader="none" w:pos="3840" w:val="left"/>
          <w:tab w:leader="none" w:pos="5920" w:val="left"/>
          <w:tab w:leader="none" w:pos="7180" w:val="left"/>
        </w:tabs>
        <w:rPr>
          <w:sz w:val="20"/>
          <w:szCs w:val="20"/>
          <w:color w:val="auto"/>
        </w:rPr>
      </w:pPr>
      <w:r>
        <w:rPr>
          <w:rFonts w:ascii="Arial" w:cs="Arial" w:eastAsia="Arial" w:hAnsi="Arial"/>
          <w:sz w:val="19"/>
          <w:szCs w:val="19"/>
          <w:color w:val="auto"/>
        </w:rPr>
        <w:t>Yes</w:t>
      </w:r>
      <w:r>
        <w:rPr>
          <w:sz w:val="20"/>
          <w:szCs w:val="20"/>
          <w:color w:val="auto"/>
        </w:rPr>
        <w:tab/>
      </w:r>
      <w:r>
        <w:rPr>
          <w:rFonts w:ascii="Arial" w:cs="Arial" w:eastAsia="Arial" w:hAnsi="Arial"/>
          <w:sz w:val="19"/>
          <w:szCs w:val="19"/>
          <w:color w:val="auto"/>
        </w:rPr>
        <w:t>o</w:t>
      </w:r>
      <w:r>
        <w:rPr>
          <w:sz w:val="20"/>
          <w:szCs w:val="20"/>
          <w:color w:val="auto"/>
        </w:rPr>
        <w:tab/>
      </w:r>
      <w:r>
        <w:rPr>
          <w:rFonts w:ascii="Arial" w:cs="Arial" w:eastAsia="Arial" w:hAnsi="Arial"/>
          <w:sz w:val="19"/>
          <w:szCs w:val="19"/>
          <w:color w:val="auto"/>
        </w:rPr>
        <w:t>No</w:t>
      </w:r>
      <w:r>
        <w:rPr>
          <w:sz w:val="20"/>
          <w:szCs w:val="20"/>
          <w:color w:val="auto"/>
        </w:rPr>
        <w:tab/>
      </w:r>
      <w:r>
        <w:rPr>
          <w:rFonts w:ascii="Arial" w:cs="Arial" w:eastAsia="Arial" w:hAnsi="Arial"/>
          <w:sz w:val="19"/>
          <w:szCs w:val="19"/>
          <w:color w:val="auto"/>
        </w:rPr>
        <w:t>â˜’</w:t>
      </w:r>
    </w:p>
    <w:p>
      <w:pPr>
        <w:spacing w:after="0" w:line="23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w:t>
      </w:r>
    </w:p>
    <w:p>
      <w:pPr>
        <w:spacing w:after="0" w:line="261" w:lineRule="exact"/>
        <w:rPr>
          <w:sz w:val="24"/>
          <w:szCs w:val="24"/>
          <w:color w:val="auto"/>
        </w:rPr>
      </w:pPr>
    </w:p>
    <w:p>
      <w:pPr>
        <w:ind w:left="2460"/>
        <w:spacing w:after="0"/>
        <w:tabs>
          <w:tab w:leader="none" w:pos="3840" w:val="left"/>
          <w:tab w:leader="none" w:pos="5920" w:val="left"/>
          <w:tab w:leader="none" w:pos="7180" w:val="left"/>
        </w:tabs>
        <w:rPr>
          <w:sz w:val="20"/>
          <w:szCs w:val="20"/>
          <w:color w:val="auto"/>
        </w:rPr>
      </w:pPr>
      <w:r>
        <w:rPr>
          <w:rFonts w:ascii="Arial" w:cs="Arial" w:eastAsia="Arial" w:hAnsi="Arial"/>
          <w:sz w:val="19"/>
          <w:szCs w:val="19"/>
          <w:color w:val="auto"/>
        </w:rPr>
        <w:t>Yes</w:t>
      </w:r>
      <w:r>
        <w:rPr>
          <w:sz w:val="20"/>
          <w:szCs w:val="20"/>
          <w:color w:val="auto"/>
        </w:rPr>
        <w:tab/>
      </w:r>
      <w:r>
        <w:rPr>
          <w:rFonts w:ascii="Arial" w:cs="Arial" w:eastAsia="Arial" w:hAnsi="Arial"/>
          <w:sz w:val="19"/>
          <w:szCs w:val="19"/>
          <w:color w:val="auto"/>
        </w:rPr>
        <w:t>o</w:t>
      </w:r>
      <w:r>
        <w:rPr>
          <w:sz w:val="20"/>
          <w:szCs w:val="20"/>
          <w:color w:val="auto"/>
        </w:rPr>
        <w:tab/>
      </w:r>
      <w:r>
        <w:rPr>
          <w:rFonts w:ascii="Arial" w:cs="Arial" w:eastAsia="Arial" w:hAnsi="Arial"/>
          <w:sz w:val="19"/>
          <w:szCs w:val="19"/>
          <w:color w:val="auto"/>
        </w:rPr>
        <w:t>No</w:t>
      </w:r>
      <w:r>
        <w:rPr>
          <w:sz w:val="20"/>
          <w:szCs w:val="20"/>
          <w:color w:val="auto"/>
        </w:rPr>
        <w:tab/>
      </w:r>
      <w:r>
        <w:rPr>
          <w:rFonts w:ascii="Arial" w:cs="Arial" w:eastAsia="Arial" w:hAnsi="Arial"/>
          <w:sz w:val="19"/>
          <w:szCs w:val="19"/>
          <w:color w:val="auto"/>
        </w:rPr>
        <w:t>â˜’</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-815975</wp:posOffset>
            </wp:positionH>
            <wp:positionV relativeFrom="paragraph">
              <wp:posOffset>168910</wp:posOffset>
            </wp:positionV>
            <wp:extent cx="762508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25080" cy="45085"/>
                    </a:xfrm>
                    <a:prstGeom prst="rect">
                      <a:avLst/>
                    </a:prstGeom>
                    <a:noFill/>
                  </pic:spPr>
                </pic:pic>
              </a:graphicData>
            </a:graphic>
          </wp:anchor>
        </w:drawing>
        <w:drawing>
          <wp:anchor simplePos="0" relativeHeight="251657728" behindDoc="1" locked="0" layoutInCell="0" allowOverlap="1">
            <wp:simplePos x="0" y="0"/>
            <wp:positionH relativeFrom="column">
              <wp:posOffset>-815975</wp:posOffset>
            </wp:positionH>
            <wp:positionV relativeFrom="paragraph">
              <wp:posOffset>223520</wp:posOffset>
            </wp:positionV>
            <wp:extent cx="7625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-815975</wp:posOffset>
            </wp:positionH>
            <wp:positionV relativeFrom="paragraph">
              <wp:posOffset>467995</wp:posOffset>
            </wp:positionV>
            <wp:extent cx="7625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9440"/>
          </w:cols>
          <w:pgMar w:left="1400" w:top="788" w:right="1400" w:bottom="1440" w:gutter="0" w:footer="0" w:header="0"/>
        </w:sectPr>
      </w:pPr>
    </w:p>
    <w:bookmarkStart w:id="1" w:name="page2"/>
    <w:bookmarkEnd w:id="1"/>
    <w:p>
      <w:pPr>
        <w:jc w:val="center"/>
        <w:ind w:right="-139"/>
        <w:spacing w:after="0"/>
        <w:rPr>
          <w:sz w:val="20"/>
          <w:szCs w:val="20"/>
          <w:color w:val="auto"/>
        </w:rPr>
      </w:pPr>
      <w:r>
        <w:rPr>
          <w:rFonts w:ascii="Arial" w:cs="Arial" w:eastAsia="Arial" w:hAnsi="Arial"/>
          <w:sz w:val="19"/>
          <w:szCs w:val="19"/>
          <w:b w:val="1"/>
          <w:bCs w:val="1"/>
          <w:color w:val="auto"/>
        </w:rPr>
        <w:t>INCORPORATION BY REFERENCE</w:t>
      </w:r>
    </w:p>
    <w:p>
      <w:pPr>
        <w:spacing w:after="0" w:line="244" w:lineRule="exact"/>
        <w:rPr>
          <w:sz w:val="20"/>
          <w:szCs w:val="20"/>
          <w:color w:val="auto"/>
        </w:rPr>
      </w:pPr>
    </w:p>
    <w:p>
      <w:pPr>
        <w:ind w:firstLine="342"/>
        <w:spacing w:after="0" w:line="259" w:lineRule="auto"/>
        <w:rPr>
          <w:sz w:val="20"/>
          <w:szCs w:val="20"/>
          <w:color w:val="auto"/>
        </w:rPr>
      </w:pPr>
      <w:r>
        <w:rPr>
          <w:rFonts w:ascii="Arial" w:cs="Arial" w:eastAsia="Arial" w:hAnsi="Arial"/>
          <w:sz w:val="19"/>
          <w:szCs w:val="19"/>
          <w:color w:val="auto"/>
        </w:rPr>
        <w:t>This report on Form 6-K and exhibit 99.1 hereto shall be deemed to be incorporated by reference into the registration statement on Form F-3 (Registration Number: 333-224694), the registration statement on Form F-3 (Registration Number: 333-227016) and the registration statement on Form S-8 (Registration Number: 333-216539) of AC Immune SA and to be a part thereof from the date on which this report is filed, to the extent not superseded by documents or reports subsequently filed or furnished.</w:t>
      </w:r>
    </w:p>
    <w:p>
      <w:pPr>
        <w:spacing w:after="0" w:line="312"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860"/>
          </w:cols>
          <w:pgMar w:left="120" w:top="464" w:right="260" w:bottom="1440" w:gutter="0" w:footer="0" w:header="0"/>
        </w:sectPr>
      </w:pPr>
    </w:p>
    <w:bookmarkStart w:id="2" w:name="page3"/>
    <w:bookmarkEnd w:id="2"/>
    <w:p>
      <w:pPr>
        <w:jc w:val="center"/>
        <w:ind w:right="-799"/>
        <w:spacing w:after="0"/>
        <w:rPr>
          <w:sz w:val="20"/>
          <w:szCs w:val="20"/>
          <w:color w:val="auto"/>
        </w:rPr>
      </w:pPr>
      <w:r>
        <w:rPr>
          <w:rFonts w:ascii="Arial" w:cs="Arial" w:eastAsia="Arial" w:hAnsi="Arial"/>
          <w:sz w:val="19"/>
          <w:szCs w:val="19"/>
          <w:b w:val="1"/>
          <w:bCs w:val="1"/>
          <w:color w:val="auto"/>
        </w:rPr>
        <w:t>SIGNATURE</w:t>
      </w:r>
    </w:p>
    <w:p>
      <w:pPr>
        <w:spacing w:after="0" w:line="244" w:lineRule="exact"/>
        <w:rPr>
          <w:sz w:val="20"/>
          <w:szCs w:val="20"/>
          <w:color w:val="auto"/>
        </w:rPr>
      </w:pPr>
    </w:p>
    <w:p>
      <w:pPr>
        <w:ind w:firstLine="342"/>
        <w:spacing w:after="0" w:line="275"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thereunto duly authorized.</w:t>
      </w:r>
    </w:p>
    <w:p>
      <w:pPr>
        <w:spacing w:after="0" w:line="178" w:lineRule="exact"/>
        <w:rPr>
          <w:sz w:val="20"/>
          <w:szCs w:val="20"/>
          <w:color w:val="auto"/>
        </w:rPr>
      </w:pPr>
    </w:p>
    <w:p>
      <w:pPr>
        <w:ind w:left="6020"/>
        <w:spacing w:after="0"/>
        <w:rPr>
          <w:sz w:val="20"/>
          <w:szCs w:val="20"/>
          <w:color w:val="auto"/>
        </w:rPr>
      </w:pPr>
      <w:r>
        <w:rPr>
          <w:rFonts w:ascii="Arial" w:cs="Arial" w:eastAsia="Arial" w:hAnsi="Arial"/>
          <w:sz w:val="19"/>
          <w:szCs w:val="19"/>
          <w:b w:val="1"/>
          <w:bCs w:val="1"/>
          <w:color w:val="auto"/>
        </w:rPr>
        <w:t>AC IMMUNE SA</w:t>
      </w:r>
    </w:p>
    <w:p>
      <w:pPr>
        <w:spacing w:after="0" w:line="200" w:lineRule="exact"/>
        <w:rPr>
          <w:sz w:val="20"/>
          <w:szCs w:val="20"/>
          <w:color w:val="auto"/>
        </w:rPr>
      </w:pPr>
    </w:p>
    <w:p>
      <w:pPr>
        <w:spacing w:after="0" w:line="272" w:lineRule="exact"/>
        <w:rPr>
          <w:sz w:val="20"/>
          <w:szCs w:val="20"/>
          <w:color w:val="auto"/>
        </w:rPr>
      </w:pPr>
    </w:p>
    <w:p>
      <w:pPr>
        <w:ind w:left="6020"/>
        <w:spacing w:after="0"/>
        <w:tabs>
          <w:tab w:leader="none" w:pos="6460" w:val="left"/>
        </w:tabs>
        <w:rPr>
          <w:sz w:val="20"/>
          <w:szCs w:val="20"/>
          <w:color w:val="auto"/>
        </w:rPr>
      </w:pPr>
      <w:r>
        <w:rPr>
          <w:rFonts w:ascii="Arial" w:cs="Arial" w:eastAsia="Arial" w:hAnsi="Arial"/>
          <w:sz w:val="19"/>
          <w:szCs w:val="19"/>
          <w:color w:val="auto"/>
        </w:rPr>
        <w:t>By:</w:t>
        <w:tab/>
        <w:t>/s/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4116705</wp:posOffset>
            </wp:positionH>
            <wp:positionV relativeFrom="paragraph">
              <wp:posOffset>15240</wp:posOffset>
            </wp:positionV>
            <wp:extent cx="35045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04565" cy="8890"/>
                    </a:xfrm>
                    <a:prstGeom prst="rect">
                      <a:avLst/>
                    </a:prstGeom>
                    <a:noFill/>
                  </pic:spPr>
                </pic:pic>
              </a:graphicData>
            </a:graphic>
          </wp:anchor>
        </w:drawing>
      </w:r>
    </w:p>
    <w:p>
      <w:pPr>
        <w:spacing w:after="0" w:line="4" w:lineRule="exact"/>
        <w:rPr>
          <w:sz w:val="20"/>
          <w:szCs w:val="20"/>
          <w:color w:val="auto"/>
        </w:rPr>
      </w:pPr>
    </w:p>
    <w:p>
      <w:pPr>
        <w:ind w:left="6480"/>
        <w:spacing w:after="0"/>
        <w:rPr>
          <w:sz w:val="20"/>
          <w:szCs w:val="20"/>
          <w:color w:val="auto"/>
        </w:rPr>
      </w:pPr>
      <w:r>
        <w:rPr>
          <w:rFonts w:ascii="Arial" w:cs="Arial" w:eastAsia="Arial" w:hAnsi="Arial"/>
          <w:sz w:val="19"/>
          <w:szCs w:val="19"/>
          <w:color w:val="auto"/>
        </w:rPr>
        <w:t>Name: Andrea Pfeifer</w:t>
      </w:r>
    </w:p>
    <w:p>
      <w:pPr>
        <w:spacing w:after="0" w:line="23" w:lineRule="exact"/>
        <w:rPr>
          <w:sz w:val="20"/>
          <w:szCs w:val="20"/>
          <w:color w:val="auto"/>
        </w:rPr>
      </w:pPr>
    </w:p>
    <w:p>
      <w:pPr>
        <w:ind w:left="6480"/>
        <w:spacing w:after="0"/>
        <w:tabs>
          <w:tab w:leader="none" w:pos="7060" w:val="left"/>
        </w:tabs>
        <w:rPr>
          <w:sz w:val="20"/>
          <w:szCs w:val="20"/>
          <w:color w:val="auto"/>
        </w:rPr>
      </w:pPr>
      <w:r>
        <w:rPr>
          <w:rFonts w:ascii="Arial" w:cs="Arial" w:eastAsia="Arial" w:hAnsi="Arial"/>
          <w:sz w:val="19"/>
          <w:szCs w:val="19"/>
          <w:color w:val="auto"/>
        </w:rPr>
        <w:t>Title:</w:t>
        <w:tab/>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020"/>
        <w:spacing w:after="0"/>
        <w:tabs>
          <w:tab w:leader="none" w:pos="6460" w:val="left"/>
        </w:tabs>
        <w:rPr>
          <w:sz w:val="20"/>
          <w:szCs w:val="20"/>
          <w:color w:val="auto"/>
        </w:rPr>
      </w:pPr>
      <w:r>
        <w:rPr>
          <w:rFonts w:ascii="Arial" w:cs="Arial" w:eastAsia="Arial" w:hAnsi="Arial"/>
          <w:sz w:val="19"/>
          <w:szCs w:val="19"/>
          <w:color w:val="auto"/>
        </w:rPr>
        <w:t>By:</w:t>
        <w:tab/>
        <w:t>/s/ Joerg Hornstein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4116705</wp:posOffset>
            </wp:positionH>
            <wp:positionV relativeFrom="paragraph">
              <wp:posOffset>15240</wp:posOffset>
            </wp:positionV>
            <wp:extent cx="35045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04565" cy="8890"/>
                    </a:xfrm>
                    <a:prstGeom prst="rect">
                      <a:avLst/>
                    </a:prstGeom>
                    <a:noFill/>
                  </pic:spPr>
                </pic:pic>
              </a:graphicData>
            </a:graphic>
          </wp:anchor>
        </w:drawing>
      </w:r>
    </w:p>
    <w:p>
      <w:pPr>
        <w:spacing w:after="0" w:line="4" w:lineRule="exact"/>
        <w:rPr>
          <w:sz w:val="20"/>
          <w:szCs w:val="20"/>
          <w:color w:val="auto"/>
        </w:rPr>
      </w:pPr>
    </w:p>
    <w:p>
      <w:pPr>
        <w:ind w:left="6480"/>
        <w:spacing w:after="0"/>
        <w:rPr>
          <w:sz w:val="20"/>
          <w:szCs w:val="20"/>
          <w:color w:val="auto"/>
        </w:rPr>
      </w:pPr>
      <w:r>
        <w:rPr>
          <w:rFonts w:ascii="Arial" w:cs="Arial" w:eastAsia="Arial" w:hAnsi="Arial"/>
          <w:sz w:val="19"/>
          <w:szCs w:val="19"/>
          <w:color w:val="auto"/>
        </w:rPr>
        <w:t>Name: Joerg Hornstein</w:t>
      </w:r>
    </w:p>
    <w:p>
      <w:pPr>
        <w:spacing w:after="0" w:line="23" w:lineRule="exact"/>
        <w:rPr>
          <w:sz w:val="20"/>
          <w:szCs w:val="20"/>
          <w:color w:val="auto"/>
        </w:rPr>
      </w:pPr>
    </w:p>
    <w:p>
      <w:pPr>
        <w:ind w:left="6480"/>
        <w:spacing w:after="0"/>
        <w:tabs>
          <w:tab w:leader="none" w:pos="7060" w:val="left"/>
        </w:tabs>
        <w:rPr>
          <w:sz w:val="20"/>
          <w:szCs w:val="20"/>
          <w:color w:val="auto"/>
        </w:rPr>
      </w:pPr>
      <w:r>
        <w:rPr>
          <w:rFonts w:ascii="Arial" w:cs="Arial" w:eastAsia="Arial" w:hAnsi="Arial"/>
          <w:sz w:val="19"/>
          <w:szCs w:val="19"/>
          <w:color w:val="auto"/>
        </w:rPr>
        <w:t>Title:</w:t>
        <w:tab/>
        <w:t>Chief Financial Officer</w:t>
      </w:r>
    </w:p>
    <w:p>
      <w:pPr>
        <w:spacing w:after="0" w:line="10"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Date:</w:t>
        <w:tab/>
        <w:t>February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6985</wp:posOffset>
            </wp:positionV>
            <wp:extent cx="22910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9108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251460</wp:posOffset>
            </wp:positionV>
            <wp:extent cx="76250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180"/>
          </w:cols>
          <w:pgMar w:left="120" w:top="464" w:right="940" w:bottom="1440" w:gutter="0" w:footer="0" w:header="0"/>
        </w:sectPr>
      </w:pPr>
    </w:p>
    <w:bookmarkStart w:id="3" w:name="page4"/>
    <w:bookmarkEnd w:id="3"/>
    <w:p>
      <w:pPr>
        <w:ind w:left="5260"/>
        <w:spacing w:after="0"/>
        <w:rPr>
          <w:sz w:val="20"/>
          <w:szCs w:val="20"/>
          <w:color w:val="auto"/>
        </w:rPr>
      </w:pPr>
      <w:r>
        <w:rPr>
          <w:rFonts w:ascii="Arial" w:cs="Arial" w:eastAsia="Arial" w:hAnsi="Arial"/>
          <w:sz w:val="19"/>
          <w:szCs w:val="19"/>
          <w:b w:val="1"/>
          <w:bCs w:val="1"/>
          <w:color w:val="auto"/>
        </w:rPr>
        <w:t>EXHIBIT INDEX</w:t>
      </w:r>
    </w:p>
    <w:p>
      <w:pPr>
        <w:spacing w:after="0" w:line="238"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Exhibit</w:t>
      </w:r>
    </w:p>
    <w:p>
      <w:pPr>
        <w:spacing w:after="0" w:line="29" w:lineRule="exact"/>
        <w:rPr>
          <w:sz w:val="20"/>
          <w:szCs w:val="20"/>
          <w:color w:val="auto"/>
        </w:rPr>
      </w:pPr>
    </w:p>
    <w:p>
      <w:pPr>
        <w:spacing w:after="0"/>
        <w:tabs>
          <w:tab w:leader="none" w:pos="5840" w:val="left"/>
        </w:tabs>
        <w:rPr>
          <w:sz w:val="20"/>
          <w:szCs w:val="20"/>
          <w:color w:val="auto"/>
        </w:rPr>
      </w:pPr>
      <w:r>
        <w:rPr>
          <w:rFonts w:ascii="Arial" w:cs="Arial" w:eastAsia="Arial" w:hAnsi="Arial"/>
          <w:sz w:val="17"/>
          <w:szCs w:val="17"/>
          <w:b w:val="1"/>
          <w:bCs w:val="1"/>
          <w:u w:val="single" w:color="auto"/>
          <w:color w:val="auto"/>
        </w:rPr>
        <w:t>Number</w:t>
      </w:r>
      <w:r>
        <w:rPr>
          <w:sz w:val="20"/>
          <w:szCs w:val="20"/>
          <w:color w:val="auto"/>
        </w:rPr>
        <w:tab/>
      </w:r>
      <w:r>
        <w:rPr>
          <w:rFonts w:ascii="Arial" w:cs="Arial" w:eastAsia="Arial" w:hAnsi="Arial"/>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548640</wp:posOffset>
            </wp:positionH>
            <wp:positionV relativeFrom="paragraph">
              <wp:posOffset>21590</wp:posOffset>
            </wp:positionV>
            <wp:extent cx="69551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4" w:lineRule="exact"/>
        <w:rPr>
          <w:sz w:val="20"/>
          <w:szCs w:val="20"/>
          <w:color w:val="auto"/>
        </w:rPr>
      </w:pPr>
    </w:p>
    <w:p>
      <w:pPr>
        <w:ind w:left="160"/>
        <w:spacing w:after="0"/>
        <w:tabs>
          <w:tab w:leader="none" w:pos="840" w:val="left"/>
        </w:tabs>
        <w:rPr>
          <w:sz w:val="20"/>
          <w:szCs w:val="20"/>
          <w:color w:val="auto"/>
        </w:rPr>
      </w:pPr>
      <w:r>
        <w:rPr>
          <w:rFonts w:ascii="Arial" w:cs="Arial" w:eastAsia="Arial" w:hAnsi="Arial"/>
          <w:sz w:val="19"/>
          <w:szCs w:val="19"/>
          <w:color w:val="auto"/>
        </w:rPr>
        <w:t>99.1</w:t>
      </w:r>
      <w:r>
        <w:rPr>
          <w:sz w:val="20"/>
          <w:szCs w:val="20"/>
          <w:color w:val="auto"/>
        </w:rPr>
        <w:tab/>
      </w:r>
      <w:r>
        <w:rPr>
          <w:rFonts w:ascii="Arial" w:cs="Arial" w:eastAsia="Arial" w:hAnsi="Arial"/>
          <w:sz w:val="16"/>
          <w:szCs w:val="16"/>
          <w:color w:val="auto"/>
        </w:rPr>
        <w:t>Press Release dated February 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6250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0680"/>
          </w:cols>
          <w:pgMar w:left="120" w:top="46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175895</wp:posOffset>
            </wp:positionV>
            <wp:extent cx="1901825" cy="4711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01825" cy="47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0080"/>
        <w:spacing w:after="0"/>
        <w:rPr>
          <w:sz w:val="20"/>
          <w:szCs w:val="20"/>
          <w:color w:val="auto"/>
        </w:rPr>
      </w:pPr>
      <w:r>
        <w:rPr>
          <w:rFonts w:ascii="Arial" w:cs="Arial" w:eastAsia="Arial" w:hAnsi="Arial"/>
          <w:sz w:val="22"/>
          <w:szCs w:val="22"/>
          <w:b w:val="1"/>
          <w:bCs w:val="1"/>
          <w:color w:val="auto"/>
        </w:rPr>
        <w:t>PRESS RELEASE</w:t>
      </w:r>
    </w:p>
    <w:p>
      <w:pPr>
        <w:spacing w:after="0" w:line="263" w:lineRule="exact"/>
        <w:rPr>
          <w:sz w:val="20"/>
          <w:szCs w:val="20"/>
          <w:color w:val="auto"/>
        </w:rPr>
      </w:pPr>
    </w:p>
    <w:p>
      <w:pPr>
        <w:jc w:val="center"/>
        <w:spacing w:after="0" w:line="276" w:lineRule="auto"/>
        <w:rPr>
          <w:sz w:val="20"/>
          <w:szCs w:val="20"/>
          <w:color w:val="auto"/>
        </w:rPr>
      </w:pPr>
      <w:r>
        <w:rPr>
          <w:rFonts w:ascii="Arial" w:cs="Arial" w:eastAsia="Arial" w:hAnsi="Arial"/>
          <w:sz w:val="27"/>
          <w:szCs w:val="27"/>
          <w:b w:val="1"/>
          <w:bCs w:val="1"/>
          <w:color w:val="auto"/>
        </w:rPr>
        <w:t>AC Immune Makes Two Appointments to Executive Committee to Accelerate Product Development</w:t>
      </w:r>
    </w:p>
    <w:p>
      <w:pPr>
        <w:spacing w:after="0" w:line="235" w:lineRule="exact"/>
        <w:rPr>
          <w:sz w:val="20"/>
          <w:szCs w:val="20"/>
          <w:color w:val="auto"/>
        </w:rPr>
      </w:pPr>
    </w:p>
    <w:p>
      <w:pPr>
        <w:jc w:val="both"/>
        <w:spacing w:after="0" w:line="247" w:lineRule="auto"/>
        <w:rPr>
          <w:sz w:val="20"/>
          <w:szCs w:val="20"/>
          <w:color w:val="auto"/>
        </w:rPr>
      </w:pPr>
      <w:r>
        <w:rPr>
          <w:rFonts w:ascii="Arial" w:cs="Arial" w:eastAsia="Arial" w:hAnsi="Arial"/>
          <w:sz w:val="19"/>
          <w:szCs w:val="19"/>
          <w:b w:val="1"/>
          <w:bCs w:val="1"/>
          <w:color w:val="auto"/>
        </w:rPr>
        <w:t xml:space="preserve">Lausanne, Switzerland, February 7, 2019 â€“ </w:t>
      </w:r>
      <w:r>
        <w:rPr>
          <w:rFonts w:ascii="Arial" w:cs="Arial" w:eastAsia="Arial" w:hAnsi="Arial"/>
          <w:sz w:val="19"/>
          <w:szCs w:val="19"/>
          <w:color w:val="auto"/>
        </w:rPr>
        <w:t>AC Immune SA (NASDAQ: ACIU), a Swiss-based, clinical-stage biopharmaceutical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with a broad pipeline focused on neurodegenerative diseases, today announced two new appointments to its Executive Committee to accelerate the advancement of its multiple therapeutic candidates through preclinical and clinical development, thereby expanding and diversifying its pipeline.</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9"/>
          <w:szCs w:val="19"/>
          <w:b w:val="1"/>
          <w:bCs w:val="1"/>
          <w:color w:val="auto"/>
        </w:rPr>
        <w:t xml:space="preserve">Piergiorgio Donati </w:t>
      </w:r>
      <w:r>
        <w:rPr>
          <w:rFonts w:ascii="Arial" w:cs="Arial" w:eastAsia="Arial" w:hAnsi="Arial"/>
          <w:sz w:val="19"/>
          <w:szCs w:val="19"/>
          <w:color w:val="auto"/>
        </w:rPr>
        <w:t>joins the Executive Committee and is promoted to</w:t>
      </w:r>
      <w:r>
        <w:rPr>
          <w:rFonts w:ascii="Arial" w:cs="Arial" w:eastAsia="Arial" w:hAnsi="Arial"/>
          <w:sz w:val="19"/>
          <w:szCs w:val="19"/>
          <w:b w:val="1"/>
          <w:bCs w:val="1"/>
          <w:color w:val="auto"/>
        </w:rPr>
        <w:t xml:space="preserve"> Head of Technical Operations and Program Management </w:t>
      </w:r>
      <w:r>
        <w:rPr>
          <w:rFonts w:ascii="Arial" w:cs="Arial" w:eastAsia="Arial" w:hAnsi="Arial"/>
          <w:sz w:val="19"/>
          <w:szCs w:val="19"/>
          <w:color w:val="auto"/>
        </w:rPr>
        <w:t>from his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previous role as Director, Global Program Management at AC Immune. </w:t>
      </w:r>
      <w:r>
        <w:rPr>
          <w:rFonts w:ascii="Arial" w:cs="Arial" w:eastAsia="Arial" w:hAnsi="Arial"/>
          <w:sz w:val="19"/>
          <w:szCs w:val="19"/>
          <w:b w:val="1"/>
          <w:bCs w:val="1"/>
          <w:color w:val="auto"/>
        </w:rPr>
        <w:t>Sonia Poli</w:t>
      </w:r>
      <w:r>
        <w:rPr>
          <w:rFonts w:ascii="Arial" w:cs="Arial" w:eastAsia="Arial" w:hAnsi="Arial"/>
          <w:sz w:val="19"/>
          <w:szCs w:val="19"/>
          <w:color w:val="auto"/>
        </w:rPr>
        <w:t xml:space="preserve"> is promoted to the Executive Committee as </w:t>
      </w:r>
      <w:r>
        <w:rPr>
          <w:rFonts w:ascii="Arial" w:cs="Arial" w:eastAsia="Arial" w:hAnsi="Arial"/>
          <w:sz w:val="19"/>
          <w:szCs w:val="19"/>
          <w:b w:val="1"/>
          <w:bCs w:val="1"/>
          <w:color w:val="auto"/>
        </w:rPr>
        <w:t>Head of</w:t>
      </w:r>
      <w:r>
        <w:rPr>
          <w:rFonts w:ascii="Arial" w:cs="Arial" w:eastAsia="Arial" w:hAnsi="Arial"/>
          <w:sz w:val="19"/>
          <w:szCs w:val="19"/>
          <w:color w:val="auto"/>
        </w:rPr>
        <w:t xml:space="preserve"> </w:t>
      </w:r>
      <w:r>
        <w:rPr>
          <w:rFonts w:ascii="Arial" w:cs="Arial" w:eastAsia="Arial" w:hAnsi="Arial"/>
          <w:sz w:val="19"/>
          <w:szCs w:val="19"/>
          <w:b w:val="1"/>
          <w:bCs w:val="1"/>
          <w:color w:val="auto"/>
        </w:rPr>
        <w:t>Translational Science</w:t>
      </w:r>
      <w:r>
        <w:rPr>
          <w:rFonts w:ascii="Arial" w:cs="Arial" w:eastAsia="Arial" w:hAnsi="Arial"/>
          <w:sz w:val="19"/>
          <w:szCs w:val="19"/>
          <w:color w:val="auto"/>
        </w:rPr>
        <w:t>. Sonia joined AC Immune in 2018 from her previous role as Chief Scientific Officer at Addex Therapeutics.</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9"/>
          <w:szCs w:val="19"/>
          <w:b w:val="1"/>
          <w:bCs w:val="1"/>
          <w:color w:val="auto"/>
        </w:rPr>
        <w:t xml:space="preserve">Prof. Andrea Pfeifer, CEO of AC Immune SA, commented: </w:t>
      </w:r>
      <w:r>
        <w:rPr>
          <w:rFonts w:ascii="Arial" w:cs="Arial" w:eastAsia="Arial" w:hAnsi="Arial"/>
          <w:sz w:val="19"/>
          <w:szCs w:val="19"/>
          <w:color w:val="auto"/>
        </w:rPr>
        <w:t>"It is with great pleasure that we welcome Sonia and Piergiorgio to the AC</w:t>
      </w:r>
      <w:r>
        <w:rPr>
          <w:rFonts w:ascii="Arial" w:cs="Arial" w:eastAsia="Arial" w:hAnsi="Arial"/>
          <w:sz w:val="19"/>
          <w:szCs w:val="19"/>
          <w:b w:val="1"/>
          <w:bCs w:val="1"/>
          <w:color w:val="auto"/>
        </w:rPr>
        <w:t xml:space="preserve"> </w:t>
      </w:r>
      <w:r>
        <w:rPr>
          <w:rFonts w:ascii="Arial" w:cs="Arial" w:eastAsia="Arial" w:hAnsi="Arial"/>
          <w:sz w:val="19"/>
          <w:szCs w:val="19"/>
          <w:color w:val="auto"/>
        </w:rPr>
        <w:t>Immune leadership team. These new roles allow us to increase the impact of our key staff and optimize our development capabilities as we continue to translate the most promising new scientific discoveries into effective therapies for the treatment of neurodegenerative diseases.â€</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9"/>
          <w:szCs w:val="19"/>
          <w:b w:val="1"/>
          <w:bCs w:val="1"/>
          <w:color w:val="auto"/>
        </w:rPr>
        <w:t xml:space="preserve">Prof. Pfeifer added, </w:t>
      </w:r>
      <w:r>
        <w:rPr>
          <w:rFonts w:ascii="Arial" w:cs="Arial" w:eastAsia="Arial" w:hAnsi="Arial"/>
          <w:sz w:val="19"/>
          <w:szCs w:val="19"/>
          <w:color w:val="auto"/>
        </w:rPr>
        <w:t>â €œPiergiorgioâ €™s focus will be on manufacturing and program coordination in order to accelerate the transition of our</w:t>
      </w:r>
      <w:r>
        <w:rPr>
          <w:rFonts w:ascii="Arial" w:cs="Arial" w:eastAsia="Arial" w:hAnsi="Arial"/>
          <w:sz w:val="19"/>
          <w:szCs w:val="19"/>
          <w:b w:val="1"/>
          <w:bCs w:val="1"/>
          <w:color w:val="auto"/>
        </w:rPr>
        <w:t xml:space="preserve"> </w:t>
      </w:r>
      <w:r>
        <w:rPr>
          <w:rFonts w:ascii="Arial" w:cs="Arial" w:eastAsia="Arial" w:hAnsi="Arial"/>
          <w:sz w:val="19"/>
          <w:szCs w:val="19"/>
          <w:color w:val="auto"/>
        </w:rPr>
        <w:t>preclinical and clinical assets to late stage development. Sonia will guide the seamless transition from early-stage discovery to preclinical development programs to further enhance the value of our pipeline.â€</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About Piergiorgio Donati</w:t>
      </w:r>
    </w:p>
    <w:p>
      <w:pPr>
        <w:spacing w:after="0" w:line="19"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Piergiorgio Donati joined AC Immune in June 2018 as Director, Global Program Management, having previously worked for AC Immune from 2011-2015 as Head of Manufacturing and Project Management. With this promotion, Piergiorgio is now Head of Technical Operations and Program Management. Between 2015 and 2018, Piergiorgio was Head of CMC program development at Glenmark Pharmaceuticals and Biotech CMC Lead at Merck Group. Prior to 2011, he held R&amp;D positions at Abiogen, Merck Group and Serono. Mr. Donati holds a degree in Chemistry from the Technical Institute G.L. Bernini.</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About Sonia Poli</w:t>
      </w:r>
    </w:p>
    <w:p>
      <w:pPr>
        <w:spacing w:after="0" w:line="19"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Sonia joined AC Immune from Addex Therapeutics, where she worked for 13 years, and was promoted to Chief Scientific Officer. Prior to Addex she spent seven years at Roche, most recently as Senior Scientist in the CNS discovery Drug Metabolism and Pharmacokinetics group. Sonia holds a PhD in Industrial Chemistry from UniversitÃ degli Studi di Milano. Dr. Poli is also a member of the Board of Directors of Dimerix Bioscience.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337820</wp:posOffset>
            </wp:positionV>
            <wp:extent cx="76250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231" w:right="120" w:bottom="1440" w:gutter="0" w:footer="0" w:header="0"/>
        </w:sectPr>
      </w:pPr>
    </w:p>
    <w:bookmarkStart w:id="5" w:name="page6"/>
    <w:bookmarkEnd w:id="5"/>
    <w:p>
      <w:pPr>
        <w:spacing w:after="0"/>
        <w:rPr>
          <w:sz w:val="20"/>
          <w:szCs w:val="20"/>
          <w:color w:val="auto"/>
        </w:rPr>
      </w:pPr>
      <w:r>
        <w:rPr>
          <w:rFonts w:ascii="Arial" w:cs="Arial" w:eastAsia="Arial" w:hAnsi="Arial"/>
          <w:sz w:val="19"/>
          <w:szCs w:val="19"/>
          <w:b w:val="1"/>
          <w:bCs w:val="1"/>
          <w:color w:val="auto"/>
        </w:rPr>
        <w:t>About AC Immune SA</w:t>
      </w:r>
    </w:p>
    <w:p>
      <w:pPr>
        <w:spacing w:after="0" w:line="19"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AC Immune SA is a Nasdaq-listed clinical-stage biopharmaceutical company, which aims to become a global leader in precision medicine for Neurodegenerative Diseases. The Company designs, discovers and develops therapeutic as well as diagnostic products intended to prevent and modify diseases caused by misfolding proteins. AC Immune's two proprietary technology platforms create antibodies, small molecules and vaccines designed to address a broad spectrum of neurodegenerative indications, such as Alzheimer's disease (AD). The Company's pipeline features nine therapeutic and three diagnostic product candidates - with five product candidates currently in clinical trials. The most advanced of these is crenezumab, a humanized anti-beta-amyloid monoclonal IgG4 antibody that targets monomeric and aggregated forms of beta-amyloid, with highest affinity for neurotoxic oligomers. Crenezumab is currently in a pivotal clinical study for AD prevention and is licensed to Roche/Genentech. Other collaborations include Lilly, Biogen, Janssen Pharmaceuticals, NestlÃ© Institute of Health Sciences, Life Molecular Imaging (formerly Piramal Imaging) and Essex Bio-Technology.</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780" w:type="dxa"/>
            <w:vAlign w:val="bottom"/>
            <w:gridSpan w:val="3"/>
          </w:tcPr>
          <w:p>
            <w:pPr>
              <w:spacing w:after="0"/>
              <w:rPr>
                <w:sz w:val="20"/>
                <w:szCs w:val="20"/>
                <w:color w:val="auto"/>
              </w:rPr>
            </w:pPr>
            <w:r>
              <w:rPr>
                <w:rFonts w:ascii="Arial" w:cs="Arial" w:eastAsia="Arial" w:hAnsi="Arial"/>
                <w:sz w:val="19"/>
                <w:szCs w:val="19"/>
                <w:b w:val="1"/>
                <w:bCs w:val="1"/>
                <w:color w:val="auto"/>
              </w:rPr>
              <w:t>For further information, please contact:</w:t>
            </w:r>
          </w:p>
        </w:tc>
        <w:tc>
          <w:tcPr>
            <w:tcW w:w="1860" w:type="dxa"/>
            <w:vAlign w:val="bottom"/>
          </w:tcPr>
          <w:p>
            <w:pPr>
              <w:spacing w:after="0"/>
              <w:rPr>
                <w:sz w:val="21"/>
                <w:szCs w:val="21"/>
                <w:color w:val="auto"/>
              </w:rPr>
            </w:pPr>
          </w:p>
        </w:tc>
        <w:tc>
          <w:tcPr>
            <w:tcW w:w="3140" w:type="dxa"/>
            <w:vAlign w:val="bottom"/>
          </w:tcPr>
          <w:p>
            <w:pPr>
              <w:spacing w:after="0"/>
              <w:rPr>
                <w:sz w:val="21"/>
                <w:szCs w:val="21"/>
                <w:color w:val="auto"/>
              </w:rPr>
            </w:pPr>
          </w:p>
        </w:tc>
      </w:tr>
      <w:tr>
        <w:trPr>
          <w:trHeight w:val="414"/>
        </w:trPr>
        <w:tc>
          <w:tcPr>
            <w:tcW w:w="4780" w:type="dxa"/>
            <w:vAlign w:val="bottom"/>
            <w:gridSpan w:val="3"/>
          </w:tcPr>
          <w:p>
            <w:pPr>
              <w:spacing w:after="0"/>
              <w:rPr>
                <w:sz w:val="20"/>
                <w:szCs w:val="20"/>
                <w:color w:val="auto"/>
              </w:rPr>
            </w:pPr>
            <w:r>
              <w:rPr>
                <w:rFonts w:ascii="Arial" w:cs="Arial" w:eastAsia="Arial" w:hAnsi="Arial"/>
                <w:sz w:val="19"/>
                <w:szCs w:val="19"/>
                <w:b w:val="1"/>
                <w:bCs w:val="1"/>
                <w:color w:val="auto"/>
              </w:rPr>
              <w:t>US Investors</w:t>
            </w:r>
          </w:p>
        </w:tc>
        <w:tc>
          <w:tcPr>
            <w:tcW w:w="5000" w:type="dxa"/>
            <w:vAlign w:val="bottom"/>
            <w:gridSpan w:val="2"/>
          </w:tcPr>
          <w:p>
            <w:pPr>
              <w:ind w:left="1220"/>
              <w:spacing w:after="0"/>
              <w:rPr>
                <w:sz w:val="20"/>
                <w:szCs w:val="20"/>
                <w:color w:val="auto"/>
              </w:rPr>
            </w:pPr>
            <w:r>
              <w:rPr>
                <w:rFonts w:ascii="Arial" w:cs="Arial" w:eastAsia="Arial" w:hAnsi="Arial"/>
                <w:sz w:val="19"/>
                <w:szCs w:val="19"/>
                <w:b w:val="1"/>
                <w:bCs w:val="1"/>
                <w:color w:val="auto"/>
              </w:rPr>
              <w:t>US Media</w:t>
            </w:r>
          </w:p>
        </w:tc>
      </w:tr>
      <w:tr>
        <w:trPr>
          <w:trHeight w:val="214"/>
        </w:trPr>
        <w:tc>
          <w:tcPr>
            <w:tcW w:w="4780" w:type="dxa"/>
            <w:vAlign w:val="bottom"/>
            <w:gridSpan w:val="3"/>
          </w:tcPr>
          <w:p>
            <w:pPr>
              <w:spacing w:after="0" w:line="214" w:lineRule="exact"/>
              <w:rPr>
                <w:sz w:val="20"/>
                <w:szCs w:val="20"/>
                <w:color w:val="auto"/>
              </w:rPr>
            </w:pPr>
            <w:r>
              <w:rPr>
                <w:rFonts w:ascii="Arial" w:cs="Arial" w:eastAsia="Arial" w:hAnsi="Arial"/>
                <w:sz w:val="19"/>
                <w:szCs w:val="19"/>
                <w:color w:val="auto"/>
              </w:rPr>
              <w:t>Lisa Sher</w:t>
            </w:r>
          </w:p>
        </w:tc>
        <w:tc>
          <w:tcPr>
            <w:tcW w:w="5000" w:type="dxa"/>
            <w:vAlign w:val="bottom"/>
            <w:gridSpan w:val="2"/>
          </w:tcPr>
          <w:p>
            <w:pPr>
              <w:ind w:left="1220"/>
              <w:spacing w:after="0" w:line="214" w:lineRule="exact"/>
              <w:rPr>
                <w:sz w:val="20"/>
                <w:szCs w:val="20"/>
                <w:color w:val="auto"/>
              </w:rPr>
            </w:pPr>
            <w:r>
              <w:rPr>
                <w:rFonts w:ascii="Arial" w:cs="Arial" w:eastAsia="Arial" w:hAnsi="Arial"/>
                <w:sz w:val="19"/>
                <w:szCs w:val="19"/>
                <w:color w:val="auto"/>
              </w:rPr>
              <w:t>Katie Gallagher</w:t>
            </w:r>
          </w:p>
        </w:tc>
      </w:tr>
      <w:tr>
        <w:trPr>
          <w:trHeight w:val="214"/>
        </w:trPr>
        <w:tc>
          <w:tcPr>
            <w:tcW w:w="4780" w:type="dxa"/>
            <w:vAlign w:val="bottom"/>
            <w:gridSpan w:val="3"/>
          </w:tcPr>
          <w:p>
            <w:pPr>
              <w:spacing w:after="0" w:line="214" w:lineRule="exact"/>
              <w:rPr>
                <w:sz w:val="20"/>
                <w:szCs w:val="20"/>
                <w:color w:val="auto"/>
              </w:rPr>
            </w:pPr>
            <w:r>
              <w:rPr>
                <w:rFonts w:ascii="Arial" w:cs="Arial" w:eastAsia="Arial" w:hAnsi="Arial"/>
                <w:sz w:val="19"/>
                <w:szCs w:val="19"/>
                <w:color w:val="auto"/>
              </w:rPr>
              <w:t>AC Immune Investor Relations</w:t>
            </w:r>
          </w:p>
        </w:tc>
        <w:tc>
          <w:tcPr>
            <w:tcW w:w="5000" w:type="dxa"/>
            <w:vAlign w:val="bottom"/>
            <w:gridSpan w:val="2"/>
          </w:tcPr>
          <w:p>
            <w:pPr>
              <w:ind w:left="1220"/>
              <w:spacing w:after="0" w:line="214" w:lineRule="exact"/>
              <w:rPr>
                <w:sz w:val="20"/>
                <w:szCs w:val="20"/>
                <w:color w:val="auto"/>
              </w:rPr>
            </w:pPr>
            <w:r>
              <w:rPr>
                <w:rFonts w:ascii="Arial" w:cs="Arial" w:eastAsia="Arial" w:hAnsi="Arial"/>
                <w:sz w:val="19"/>
                <w:szCs w:val="19"/>
                <w:color w:val="auto"/>
              </w:rPr>
              <w:t>LaVoieHealthScience</w:t>
            </w:r>
          </w:p>
        </w:tc>
      </w:tr>
      <w:tr>
        <w:trPr>
          <w:trHeight w:val="214"/>
        </w:trPr>
        <w:tc>
          <w:tcPr>
            <w:tcW w:w="4780" w:type="dxa"/>
            <w:vAlign w:val="bottom"/>
            <w:gridSpan w:val="3"/>
          </w:tcPr>
          <w:p>
            <w:pPr>
              <w:spacing w:after="0" w:line="214" w:lineRule="exact"/>
              <w:rPr>
                <w:sz w:val="20"/>
                <w:szCs w:val="20"/>
                <w:color w:val="auto"/>
              </w:rPr>
            </w:pPr>
            <w:r>
              <w:rPr>
                <w:rFonts w:ascii="Arial" w:cs="Arial" w:eastAsia="Arial" w:hAnsi="Arial"/>
                <w:sz w:val="19"/>
                <w:szCs w:val="19"/>
                <w:color w:val="auto"/>
              </w:rPr>
              <w:t>Phone: +1 970 987 2654</w:t>
            </w:r>
          </w:p>
        </w:tc>
        <w:tc>
          <w:tcPr>
            <w:tcW w:w="5000" w:type="dxa"/>
            <w:vAlign w:val="bottom"/>
            <w:gridSpan w:val="2"/>
          </w:tcPr>
          <w:p>
            <w:pPr>
              <w:ind w:left="1220"/>
              <w:spacing w:after="0" w:line="214" w:lineRule="exact"/>
              <w:rPr>
                <w:sz w:val="20"/>
                <w:szCs w:val="20"/>
                <w:color w:val="auto"/>
              </w:rPr>
            </w:pPr>
            <w:r>
              <w:rPr>
                <w:rFonts w:ascii="Arial" w:cs="Arial" w:eastAsia="Arial" w:hAnsi="Arial"/>
                <w:sz w:val="19"/>
                <w:szCs w:val="19"/>
                <w:color w:val="auto"/>
              </w:rPr>
              <w:t>Phone: +1 617 792 3937</w:t>
            </w:r>
          </w:p>
        </w:tc>
      </w:tr>
      <w:tr>
        <w:trPr>
          <w:trHeight w:val="186"/>
        </w:trPr>
        <w:tc>
          <w:tcPr>
            <w:tcW w:w="4780" w:type="dxa"/>
            <w:vAlign w:val="bottom"/>
            <w:gridSpan w:val="3"/>
          </w:tcPr>
          <w:p>
            <w:pPr>
              <w:spacing w:after="0" w:line="186" w:lineRule="exact"/>
              <w:rPr>
                <w:sz w:val="20"/>
                <w:szCs w:val="20"/>
                <w:color w:val="auto"/>
              </w:rPr>
            </w:pPr>
            <w:r>
              <w:rPr>
                <w:rFonts w:ascii="Arial" w:cs="Arial" w:eastAsia="Arial" w:hAnsi="Arial"/>
                <w:sz w:val="19"/>
                <w:szCs w:val="19"/>
                <w:color w:val="auto"/>
              </w:rPr>
              <w:t xml:space="preserve">E-mail: </w:t>
            </w:r>
            <w:r>
              <w:rPr>
                <w:rFonts w:ascii="Arial" w:cs="Arial" w:eastAsia="Arial" w:hAnsi="Arial"/>
                <w:sz w:val="19"/>
                <w:szCs w:val="19"/>
                <w:color w:val="0000FF"/>
              </w:rPr>
              <w:t>lisa.sher@acimmune.com</w:t>
            </w:r>
          </w:p>
        </w:tc>
        <w:tc>
          <w:tcPr>
            <w:tcW w:w="5000" w:type="dxa"/>
            <w:vAlign w:val="bottom"/>
            <w:gridSpan w:val="2"/>
          </w:tcPr>
          <w:p>
            <w:pPr>
              <w:ind w:left="1220"/>
              <w:spacing w:after="0" w:line="186" w:lineRule="exact"/>
              <w:rPr>
                <w:sz w:val="20"/>
                <w:szCs w:val="20"/>
                <w:color w:val="auto"/>
              </w:rPr>
            </w:pPr>
            <w:r>
              <w:rPr>
                <w:rFonts w:ascii="Arial" w:cs="Arial" w:eastAsia="Arial" w:hAnsi="Arial"/>
                <w:sz w:val="19"/>
                <w:szCs w:val="19"/>
                <w:color w:val="auto"/>
                <w:w w:val="99"/>
              </w:rPr>
              <w:t xml:space="preserve">E-mail: </w:t>
            </w:r>
            <w:r>
              <w:rPr>
                <w:rFonts w:ascii="Arial" w:cs="Arial" w:eastAsia="Arial" w:hAnsi="Arial"/>
                <w:sz w:val="19"/>
                <w:szCs w:val="19"/>
                <w:color w:val="0000FF"/>
                <w:w w:val="99"/>
              </w:rPr>
              <w:t>kgallagher@lavoiehealthscience.com</w:t>
            </w:r>
          </w:p>
        </w:tc>
      </w:tr>
      <w:tr>
        <w:trPr>
          <w:trHeight w:val="20"/>
        </w:trPr>
        <w:tc>
          <w:tcPr>
            <w:tcW w:w="64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r>
      <w:tr>
        <w:trPr>
          <w:trHeight w:val="435"/>
        </w:trPr>
        <w:tc>
          <w:tcPr>
            <w:tcW w:w="4780" w:type="dxa"/>
            <w:vAlign w:val="bottom"/>
            <w:gridSpan w:val="3"/>
          </w:tcPr>
          <w:p>
            <w:pPr>
              <w:spacing w:after="0"/>
              <w:rPr>
                <w:sz w:val="20"/>
                <w:szCs w:val="20"/>
                <w:color w:val="auto"/>
              </w:rPr>
            </w:pPr>
            <w:r>
              <w:rPr>
                <w:rFonts w:ascii="Arial" w:cs="Arial" w:eastAsia="Arial" w:hAnsi="Arial"/>
                <w:sz w:val="19"/>
                <w:szCs w:val="19"/>
                <w:b w:val="1"/>
                <w:bCs w:val="1"/>
                <w:color w:val="auto"/>
              </w:rPr>
              <w:t>European Investors &amp; Media</w:t>
            </w:r>
          </w:p>
        </w:tc>
        <w:tc>
          <w:tcPr>
            <w:tcW w:w="186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14"/>
        </w:trPr>
        <w:tc>
          <w:tcPr>
            <w:tcW w:w="4780" w:type="dxa"/>
            <w:vAlign w:val="bottom"/>
            <w:gridSpan w:val="3"/>
          </w:tcPr>
          <w:p>
            <w:pPr>
              <w:spacing w:after="0" w:line="214" w:lineRule="exact"/>
              <w:rPr>
                <w:sz w:val="20"/>
                <w:szCs w:val="20"/>
                <w:color w:val="auto"/>
              </w:rPr>
            </w:pPr>
            <w:r>
              <w:rPr>
                <w:rFonts w:ascii="Arial" w:cs="Arial" w:eastAsia="Arial" w:hAnsi="Arial"/>
                <w:sz w:val="19"/>
                <w:szCs w:val="19"/>
                <w:color w:val="auto"/>
              </w:rPr>
              <w:t>Chris Maggos</w:t>
            </w:r>
          </w:p>
        </w:tc>
        <w:tc>
          <w:tcPr>
            <w:tcW w:w="186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214"/>
        </w:trPr>
        <w:tc>
          <w:tcPr>
            <w:tcW w:w="4780" w:type="dxa"/>
            <w:vAlign w:val="bottom"/>
            <w:gridSpan w:val="3"/>
          </w:tcPr>
          <w:p>
            <w:pPr>
              <w:spacing w:after="0" w:line="214" w:lineRule="exact"/>
              <w:rPr>
                <w:sz w:val="20"/>
                <w:szCs w:val="20"/>
                <w:color w:val="auto"/>
              </w:rPr>
            </w:pPr>
            <w:r>
              <w:rPr>
                <w:rFonts w:ascii="Arial" w:cs="Arial" w:eastAsia="Arial" w:hAnsi="Arial"/>
                <w:sz w:val="19"/>
                <w:szCs w:val="19"/>
                <w:color w:val="auto"/>
              </w:rPr>
              <w:t>LifeSci Advisors</w:t>
            </w:r>
          </w:p>
        </w:tc>
        <w:tc>
          <w:tcPr>
            <w:tcW w:w="186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214"/>
        </w:trPr>
        <w:tc>
          <w:tcPr>
            <w:tcW w:w="4780" w:type="dxa"/>
            <w:vAlign w:val="bottom"/>
            <w:gridSpan w:val="3"/>
          </w:tcPr>
          <w:p>
            <w:pPr>
              <w:spacing w:after="0" w:line="214" w:lineRule="exact"/>
              <w:rPr>
                <w:sz w:val="20"/>
                <w:szCs w:val="20"/>
                <w:color w:val="auto"/>
              </w:rPr>
            </w:pPr>
            <w:r>
              <w:rPr>
                <w:rFonts w:ascii="Arial" w:cs="Arial" w:eastAsia="Arial" w:hAnsi="Arial"/>
                <w:sz w:val="19"/>
                <w:szCs w:val="19"/>
                <w:color w:val="auto"/>
              </w:rPr>
              <w:t>Phone: +41 79 367 6254</w:t>
            </w:r>
          </w:p>
        </w:tc>
        <w:tc>
          <w:tcPr>
            <w:tcW w:w="186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186"/>
        </w:trPr>
        <w:tc>
          <w:tcPr>
            <w:tcW w:w="4780" w:type="dxa"/>
            <w:vAlign w:val="bottom"/>
            <w:gridSpan w:val="3"/>
          </w:tcPr>
          <w:p>
            <w:pPr>
              <w:spacing w:after="0" w:line="186" w:lineRule="exact"/>
              <w:rPr>
                <w:sz w:val="20"/>
                <w:szCs w:val="20"/>
                <w:color w:val="auto"/>
              </w:rPr>
            </w:pPr>
            <w:r>
              <w:rPr>
                <w:rFonts w:ascii="Arial" w:cs="Arial" w:eastAsia="Arial" w:hAnsi="Arial"/>
                <w:sz w:val="19"/>
                <w:szCs w:val="19"/>
                <w:color w:val="auto"/>
              </w:rPr>
              <w:t xml:space="preserve">E-mail: </w:t>
            </w:r>
            <w:r>
              <w:rPr>
                <w:rFonts w:ascii="Arial" w:cs="Arial" w:eastAsia="Arial" w:hAnsi="Arial"/>
                <w:sz w:val="19"/>
                <w:szCs w:val="19"/>
                <w:color w:val="0000FF"/>
              </w:rPr>
              <w:t>chris@lifesciadvisors.com</w:t>
            </w:r>
          </w:p>
        </w:tc>
        <w:tc>
          <w:tcPr>
            <w:tcW w:w="1860" w:type="dxa"/>
            <w:vAlign w:val="bottom"/>
          </w:tcPr>
          <w:p>
            <w:pPr>
              <w:spacing w:after="0"/>
              <w:rPr>
                <w:sz w:val="16"/>
                <w:szCs w:val="16"/>
                <w:color w:val="auto"/>
              </w:rPr>
            </w:pPr>
          </w:p>
        </w:tc>
        <w:tc>
          <w:tcPr>
            <w:tcW w:w="3140" w:type="dxa"/>
            <w:vAlign w:val="bottom"/>
          </w:tcPr>
          <w:p>
            <w:pPr>
              <w:spacing w:after="0"/>
              <w:rPr>
                <w:sz w:val="16"/>
                <w:szCs w:val="16"/>
                <w:color w:val="auto"/>
              </w:rPr>
            </w:pPr>
          </w:p>
        </w:tc>
      </w:tr>
      <w:tr>
        <w:trPr>
          <w:trHeight w:val="20"/>
        </w:trPr>
        <w:tc>
          <w:tcPr>
            <w:tcW w:w="64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Forward looking statements</w:t>
      </w:r>
    </w:p>
    <w:p>
      <w:pPr>
        <w:spacing w:after="0" w:line="19" w:lineRule="exact"/>
        <w:rPr>
          <w:sz w:val="20"/>
          <w:szCs w:val="20"/>
          <w:color w:val="auto"/>
        </w:rPr>
      </w:pPr>
    </w:p>
    <w:p>
      <w:pPr>
        <w:spacing w:after="0" w:line="236" w:lineRule="auto"/>
        <w:rPr>
          <w:sz w:val="20"/>
          <w:szCs w:val="20"/>
          <w:color w:val="auto"/>
        </w:rPr>
      </w:pPr>
      <w:r>
        <w:rPr>
          <w:rFonts w:ascii="Arial" w:cs="Arial" w:eastAsia="Arial" w:hAnsi="Arial"/>
          <w:sz w:val="19"/>
          <w:szCs w:val="19"/>
          <w:color w:val="auto"/>
        </w:rPr>
        <w:t>This press release contains statements that constitute â€œforward-looking statementsâ€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Immuneâ€™s strategies or expectations. In some cases, you can identify these statements by forward-looking words such as â€œmay,â€ â€ œmight,â€ â€œwill,â€ â€œshould,â€ â€œexpects,â€ â€œplans,â€ â€œanticipates,â€ â €œbelieves,â€ â€œestimates,â€ â€œpredicts,â€ â €œprojects,â€ â€œpotential,â€ â€œoutlookâ€ or â€ œcontinue,â€ and other comparable terminology. Forward-looking statements are based on managementâ €™s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â€œItem 3. Key Information â€“ Risk Factorsâ€ and â€œItem 5. Operating and Financial Review and Prospectsâ€ in AC Immuneâ €™s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337185</wp:posOffset>
            </wp:positionV>
            <wp:extent cx="76250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sectPr>
      <w:pgSz w:w="12240" w:h="15840" w:orient="portrait"/>
      <w:cols w:equalWidth="0" w:num="1">
        <w:col w:w="12000"/>
      </w:cols>
      <w:pgMar w:left="120" w:top="673" w:right="1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2019-12-15T18:00:56Z</dcterms:created>
  <dcterms:modified xsi:type="dcterms:W3CDTF">2019-12-15T18:00:56Z</dcterms:modified>
</cp:coreProperties>
</file>