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6-K</w:t>
      </w:r>
    </w:p>
    <w:p>
      <w:pPr>
        <w:spacing w:after="0" w:line="229"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2023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AC IMMUNE SA</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67" w:lineRule="exact"/>
        <w:rPr>
          <w:sz w:val="24"/>
          <w:szCs w:val="24"/>
          <w:color w:val="auto"/>
        </w:rPr>
      </w:pPr>
    </w:p>
    <w:p>
      <w:pPr>
        <w:jc w:val="center"/>
        <w:ind w:right="20"/>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-158750</wp:posOffset>
            </wp:positionH>
            <wp:positionV relativeFrom="paragraph">
              <wp:posOffset>737870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317500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360680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20"/>
          </w:cols>
          <w:pgMar w:left="1240" w:top="988" w:right="1239" w:bottom="1440" w:gutter="0" w:footer="0" w:header="0"/>
        </w:sectPr>
      </w:pPr>
    </w:p>
    <w:bookmarkStart w:id="1" w:name="page2"/>
    <w:bookmarkEnd w:id="1"/>
    <w:p>
      <w:pPr>
        <w:jc w:val="both"/>
        <w:ind w:firstLine="324"/>
        <w:spacing w:after="0" w:line="254" w:lineRule="auto"/>
        <w:rPr>
          <w:sz w:val="20"/>
          <w:szCs w:val="20"/>
          <w:color w:val="auto"/>
        </w:rPr>
      </w:pPr>
      <w:r>
        <w:rPr>
          <w:rFonts w:ascii="Arial" w:cs="Arial" w:eastAsia="Arial" w:hAnsi="Arial"/>
          <w:sz w:val="18"/>
          <w:szCs w:val="18"/>
          <w:color w:val="auto"/>
        </w:rPr>
        <w:t>This Report on Form 6-K (other than Exhibit 99.3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841375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AC IMMUNE SA</w:t>
      </w:r>
    </w:p>
    <w:p>
      <w:pPr>
        <w:spacing w:after="0" w:line="2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Christopher Roberts</w:t>
      </w:r>
    </w:p>
    <w:p>
      <w:pPr>
        <w:spacing w:after="0" w:line="11"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 and Interim Chief Financial</w:t>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Date:</w:t>
        <w:tab/>
        <w:t>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991870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9420"/>
          </w:cols>
          <w:pgMar w:left="1100" w:top="877" w:right="1379" w:bottom="1440" w:gutter="0" w:footer="0" w:header="0"/>
        </w:sect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15875</wp:posOffset>
            </wp:positionV>
            <wp:extent cx="454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29845</wp:posOffset>
            </wp:positionV>
            <wp:extent cx="5701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103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4240" w:space="720"/>
            <w:col w:w="4460"/>
          </w:cols>
          <w:pgMar w:left="1100" w:top="877" w:right="1379" w:bottom="1440" w:gutter="0" w:footer="0" w:header="0"/>
          <w:type w:val="continuous"/>
        </w:sectPr>
      </w:pPr>
    </w:p>
    <w:p>
      <w:pPr>
        <w:ind w:left="820" w:hanging="731"/>
        <w:spacing w:after="0" w:line="257" w:lineRule="auto"/>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EE"/>
        </w:rPr>
        <w:t>Interim Condensed Consolidated Financial Statements (Unaudited) (IFRS) as of and for the three and six months ended June 30, 2023</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u w:val="single" w:color="auto"/>
          <w:color w:val="0000EE"/>
        </w:rPr>
        <w:t>Press Release dated 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991870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20"/>
          </w:cols>
          <w:pgMar w:left="1100" w:top="877" w:right="1379" w:bottom="144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Exhibit 99.1</w:t>
            </w:r>
          </w:p>
        </w:tc>
        <w:tc>
          <w:tcPr>
            <w:tcW w:w="0" w:type="dxa"/>
            <w:vAlign w:val="bottom"/>
          </w:tcPr>
          <w:p>
            <w:pPr>
              <w:spacing w:after="0"/>
              <w:rPr>
                <w:sz w:val="1"/>
                <w:szCs w:val="1"/>
                <w:color w:val="auto"/>
              </w:rPr>
            </w:pPr>
          </w:p>
        </w:tc>
      </w:tr>
      <w:tr>
        <w:trPr>
          <w:trHeight w:val="414"/>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 CHF thousands)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Note</w:t>
            </w:r>
          </w:p>
        </w:tc>
        <w:tc>
          <w:tcPr>
            <w:tcW w:w="960" w:type="dxa"/>
            <w:vAlign w:val="bottom"/>
          </w:tcPr>
          <w:p>
            <w:pPr>
              <w:jc w:val="right"/>
              <w:ind w:right="152"/>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1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Long-term financial assets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57,844</w:t>
            </w:r>
          </w:p>
        </w:tc>
        <w:tc>
          <w:tcPr>
            <w:tcW w:w="0" w:type="dxa"/>
            <w:vAlign w:val="bottom"/>
          </w:tcPr>
          <w:p>
            <w:pPr>
              <w:spacing w:after="0"/>
              <w:rPr>
                <w:sz w:val="1"/>
                <w:szCs w:val="1"/>
                <w:color w:val="auto"/>
              </w:rPr>
            </w:pPr>
          </w:p>
        </w:tc>
      </w:tr>
      <w:tr>
        <w:trPr>
          <w:trHeight w:val="197"/>
        </w:trPr>
        <w:tc>
          <w:tcPr>
            <w:tcW w:w="59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Other current receivables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financial assets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40,007</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99,152</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128,094</w:t>
            </w: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156,228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185,938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Share premium</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433,699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431,323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Currency translation differences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losses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(264,015)</w:t>
            </w: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168,991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Net employee defined benefit liabilities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4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197"/>
        </w:trPr>
        <w:tc>
          <w:tcPr>
            <w:tcW w:w="59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Deferred income</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liabilities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156,228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185,938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460375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Condensed Consolidated Statements of Income/(Loss)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 except for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4"/>
              </w:rPr>
              <w:t>For the Three Months</w:t>
            </w:r>
          </w:p>
        </w:tc>
        <w:tc>
          <w:tcPr>
            <w:tcW w:w="2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Note</w:t>
            </w:r>
          </w:p>
        </w:tc>
        <w:tc>
          <w:tcPr>
            <w:tcW w:w="20" w:type="dxa"/>
            <w:vAlign w:val="bottom"/>
          </w:tcPr>
          <w:p>
            <w:pPr>
              <w:spacing w:after="0"/>
              <w:rPr>
                <w:sz w:val="14"/>
                <w:szCs w:val="14"/>
                <w:color w:val="auto"/>
              </w:rPr>
            </w:pPr>
          </w:p>
        </w:tc>
        <w:tc>
          <w:tcPr>
            <w:tcW w:w="16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2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tcBorders>
              <w:top w:val="single" w:sz="8" w:color="auto"/>
            </w:tcBorders>
            <w:gridSpan w:val="2"/>
          </w:tcPr>
          <w:p>
            <w:pPr>
              <w:jc w:val="right"/>
              <w:ind w:right="101"/>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94"/>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121"/>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Contract revenue</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Research &amp; development expenses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(13,682)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(15,692)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(27,555)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(30,815)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&amp; administrative expenses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(3,681)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(7,787)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Other operating income/(expense), net</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(17,046)</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(19,859)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(34,617)</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(38,688)</w:t>
            </w:r>
          </w:p>
        </w:tc>
        <w:tc>
          <w:tcPr>
            <w:tcW w:w="0" w:type="dxa"/>
            <w:vAlign w:val="bottom"/>
          </w:tcPr>
          <w:p>
            <w:pPr>
              <w:spacing w:after="0"/>
              <w:rPr>
                <w:sz w:val="1"/>
                <w:szCs w:val="1"/>
                <w:color w:val="auto"/>
              </w:rPr>
            </w:pPr>
          </w:p>
        </w:tc>
      </w:tr>
      <w:tr>
        <w:trPr>
          <w:trHeight w:val="197"/>
        </w:trPr>
        <w:tc>
          <w:tcPr>
            <w:tcW w:w="496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Operating loss</w:t>
            </w: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(17,046)</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(19,859)</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(34,617)</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(38,688)</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Exchange differences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result, net</w:t>
            </w: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tax</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(16,830)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(19,640)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(34,340)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(38,482)</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(16,833)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(19,643)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(34,346)</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(38,489)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tcPr>
          <w:p>
            <w:pPr>
              <w:ind w:left="20"/>
              <w:spacing w:after="0" w:line="201" w:lineRule="exact"/>
              <w:rPr>
                <w:sz w:val="20"/>
                <w:szCs w:val="20"/>
                <w:color w:val="auto"/>
              </w:rPr>
            </w:pPr>
            <w:r>
              <w:rPr>
                <w:rFonts w:ascii="Arial" w:cs="Arial" w:eastAsia="Arial" w:hAnsi="Arial"/>
                <w:sz w:val="18"/>
                <w:szCs w:val="18"/>
                <w:color w:val="auto"/>
              </w:rPr>
              <w:t>Basic and diluted loss per share for the period attributable to</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equity holders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14"/>
        </w:trPr>
        <w:tc>
          <w:tcPr>
            <w:tcW w:w="6520" w:type="dxa"/>
            <w:vAlign w:val="bottom"/>
            <w:gridSpan w:val="8"/>
          </w:tcPr>
          <w:p>
            <w:pPr>
              <w:ind w:left="20"/>
              <w:spacing w:after="0"/>
              <w:rPr>
                <w:sz w:val="20"/>
                <w:szCs w:val="20"/>
                <w:color w:val="auto"/>
              </w:rPr>
            </w:pPr>
            <w:r>
              <w:rPr>
                <w:rFonts w:ascii="Arial" w:cs="Arial" w:eastAsia="Arial" w:hAnsi="Arial"/>
                <w:sz w:val="18"/>
                <w:szCs w:val="18"/>
                <w:b w:val="1"/>
                <w:bCs w:val="1"/>
                <w:color w:val="auto"/>
                <w:w w:val="90"/>
              </w:rPr>
              <w:t>Condensed Consolidated Statements of Comprehensive Income/(Loss) (Unaudited)</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(In CHF thousands)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c>
          <w:tcPr>
            <w:tcW w:w="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Ended June 30,</w:t>
            </w:r>
          </w:p>
        </w:tc>
        <w:tc>
          <w:tcPr>
            <w:tcW w:w="2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for the period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(16,833)</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(19,643)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(34,346)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(38,489)</w:t>
            </w:r>
          </w:p>
        </w:tc>
        <w:tc>
          <w:tcPr>
            <w:tcW w:w="0" w:type="dxa"/>
            <w:vAlign w:val="bottom"/>
          </w:tcPr>
          <w:p>
            <w:pPr>
              <w:spacing w:after="0"/>
              <w:rPr>
                <w:sz w:val="1"/>
                <w:szCs w:val="1"/>
                <w:color w:val="auto"/>
              </w:rPr>
            </w:pPr>
          </w:p>
        </w:tc>
      </w:tr>
      <w:tr>
        <w:trPr>
          <w:trHeight w:val="202"/>
        </w:trPr>
        <w:tc>
          <w:tcPr>
            <w:tcW w:w="4960" w:type="dxa"/>
            <w:vAlign w:val="bottom"/>
          </w:tcPr>
          <w:p>
            <w:pPr>
              <w:ind w:left="20"/>
              <w:spacing w:after="0" w:line="201" w:lineRule="exact"/>
              <w:rPr>
                <w:sz w:val="20"/>
                <w:szCs w:val="20"/>
                <w:color w:val="auto"/>
              </w:rPr>
            </w:pPr>
            <w:r>
              <w:rPr>
                <w:rFonts w:ascii="Arial" w:cs="Arial" w:eastAsia="Arial" w:hAnsi="Arial"/>
                <w:sz w:val="18"/>
                <w:szCs w:val="18"/>
                <w:color w:val="auto"/>
              </w:rPr>
              <w:t>Items that will be reclassified to income or loss in subsequent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periods (net of tax):</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differences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4960" w:type="dxa"/>
            <w:vAlign w:val="bottom"/>
          </w:tcPr>
          <w:p>
            <w:pPr>
              <w:ind w:left="20"/>
              <w:spacing w:after="0" w:line="201" w:lineRule="exact"/>
              <w:rPr>
                <w:sz w:val="20"/>
                <w:szCs w:val="20"/>
                <w:color w:val="auto"/>
              </w:rPr>
            </w:pPr>
            <w:r>
              <w:rPr>
                <w:rFonts w:ascii="Arial" w:cs="Arial" w:eastAsia="Arial" w:hAnsi="Arial"/>
                <w:sz w:val="18"/>
                <w:szCs w:val="18"/>
                <w:color w:val="auto"/>
              </w:rPr>
              <w:t>Items that will not to be reclassified to income or loss in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subsequent periods (net of tax):</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Remeasurement gains on defined-benefit plans</w:t>
            </w: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Total comprehensive loss (net of tax)</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(16,841)</w:t>
            </w:r>
          </w:p>
        </w:tc>
        <w:tc>
          <w:tcPr>
            <w:tcW w:w="16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(12,223)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(34,362)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(31,059)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4"/>
                <w:szCs w:val="1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40" w:type="dxa"/>
            <w:vAlign w:val="bottom"/>
          </w:tcPr>
          <w:p>
            <w:pPr>
              <w:spacing w:after="0"/>
              <w:rPr>
                <w:sz w:val="12"/>
                <w:szCs w:val="12"/>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differences</w:t>
            </w:r>
          </w:p>
        </w:tc>
        <w:tc>
          <w:tcPr>
            <w:tcW w:w="1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431,251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231,979</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loss for the period</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(38,489)</w:t>
            </w: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(38,489)</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Total comprehensive income/(loss)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(31,059)</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Share-based payments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offering costs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Issuance of shares, net of transaction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share awards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exercise of options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1,796</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431,260</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202,812</w:t>
            </w:r>
          </w:p>
        </w:tc>
        <w:tc>
          <w:tcPr>
            <w:tcW w:w="0" w:type="dxa"/>
            <w:vAlign w:val="bottom"/>
          </w:tcPr>
          <w:p>
            <w:pPr>
              <w:spacing w:after="0"/>
              <w:rPr>
                <w:sz w:val="1"/>
                <w:szCs w:val="1"/>
                <w:color w:val="auto"/>
              </w:rPr>
            </w:pPr>
          </w:p>
        </w:tc>
      </w:tr>
      <w:tr>
        <w:trPr>
          <w:trHeight w:val="349"/>
        </w:trPr>
        <w:tc>
          <w:tcPr>
            <w:tcW w:w="37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Borders>
              <w:top w:val="single" w:sz="8" w:color="CCEEFF"/>
            </w:tcBorders>
            <w:vMerge w:val="restart"/>
          </w:tcPr>
          <w:p>
            <w:pPr>
              <w:spacing w:after="0"/>
              <w:rPr>
                <w:sz w:val="24"/>
                <w:szCs w:val="24"/>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40" w:type="dxa"/>
            <w:vAlign w:val="bottom"/>
          </w:tcPr>
          <w:p>
            <w:pPr>
              <w:spacing w:after="0"/>
              <w:rPr>
                <w:sz w:val="12"/>
                <w:szCs w:val="12"/>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premium</w:t>
            </w: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differences</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431,323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168,991</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Net loss for the period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(34,346)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(34,346)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(34,346)</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Share-based payments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Proceeds from sale of treasury shares in public</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offerings, net of underwriting fees and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Issuance of shares, net of transaction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share awards</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exercise of options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433,699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139,328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For the Six Months</w:t>
            </w:r>
          </w:p>
        </w:tc>
        <w:tc>
          <w:tcPr>
            <w:tcW w:w="0" w:type="dxa"/>
            <w:vAlign w:val="bottom"/>
          </w:tcPr>
          <w:p>
            <w:pPr>
              <w:spacing w:after="0"/>
              <w:rPr>
                <w:sz w:val="1"/>
                <w:szCs w:val="1"/>
                <w:color w:val="auto"/>
              </w:rPr>
            </w:pPr>
          </w:p>
        </w:tc>
      </w:tr>
      <w:tr>
        <w:trPr>
          <w:trHeight w:val="153"/>
        </w:trPr>
        <w:tc>
          <w:tcPr>
            <w:tcW w:w="6520" w:type="dxa"/>
            <w:vAlign w:val="bottom"/>
          </w:tcPr>
          <w:p>
            <w:pPr>
              <w:spacing w:after="0"/>
              <w:rPr>
                <w:sz w:val="13"/>
                <w:szCs w:val="13"/>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Note</w:t>
            </w:r>
          </w:p>
        </w:tc>
        <w:tc>
          <w:tcPr>
            <w:tcW w:w="168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tcBorders>
            <w:gridSpan w:val="2"/>
          </w:tcPr>
          <w:p>
            <w:pPr>
              <w:jc w:val="right"/>
              <w:ind w:right="157"/>
              <w:spacing w:after="0" w:line="142"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5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Operating activities</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Loss for the period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(34,346)</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(38,489)</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Adjustments to reconcile net loss for the period to net cash flows: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Depreciation of property, plant and equipment</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5</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842</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of right-of-use assets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6</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Finance (income), net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 expense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Change in net employee defined benefit liability</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7</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558</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Interest expense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Changes in working capital:</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(Increase) in prepaid expenses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10</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(471)</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(Increase) / decrease in accrued income</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(267)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Decrease in other current receivables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(Decrease) in accrued expenses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8</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(633)</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(4,982)</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(Decrease) in deferred income</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3</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rPr>
                <w:sz w:val="20"/>
                <w:szCs w:val="20"/>
                <w:color w:val="auto"/>
              </w:rPr>
            </w:pPr>
            <w:r>
              <w:rPr>
                <w:rFonts w:ascii="Arial" w:cs="Arial" w:eastAsia="Arial" w:hAnsi="Arial"/>
                <w:sz w:val="13"/>
                <w:szCs w:val="13"/>
                <w:color w:val="auto"/>
              </w:rPr>
              <w:t>Increase / (decrease) in trade and other payables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433</w:t>
            </w: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128"/>
        </w:trPr>
        <w:tc>
          <w:tcPr>
            <w:tcW w:w="65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used in operating activities</w:t>
            </w:r>
          </w:p>
        </w:tc>
        <w:tc>
          <w:tcPr>
            <w:tcW w:w="5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(30,989)</w:t>
            </w: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(42,297)</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Interest received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197</w:t>
            </w:r>
          </w:p>
        </w:tc>
        <w:tc>
          <w:tcPr>
            <w:tcW w:w="1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Interest paid</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Finance expenses paid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8"/>
        </w:trPr>
        <w:tc>
          <w:tcPr>
            <w:tcW w:w="652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used in operating activities</w:t>
            </w: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(30,917)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(42,624)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Investing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Short-term financial assets, net</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11</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Purchases of property, plant and equipment</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5</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(355)</w:t>
            </w:r>
          </w:p>
        </w:tc>
        <w:tc>
          <w:tcPr>
            <w:tcW w:w="98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(1,077)</w:t>
            </w: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Rental deposits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5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Net cash flows provided by investing activities</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37,645</w:t>
            </w:r>
          </w:p>
        </w:tc>
        <w:tc>
          <w:tcPr>
            <w:tcW w:w="8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23,925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Financing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Principal payments of lease obligations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(270)</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sale of treasury shares in public offerings, net of underwriting fees and transaction costs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12</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rPr>
                <w:sz w:val="20"/>
                <w:szCs w:val="20"/>
                <w:color w:val="auto"/>
              </w:rPr>
            </w:pPr>
            <w:r>
              <w:rPr>
                <w:rFonts w:ascii="Arial" w:cs="Arial" w:eastAsia="Arial" w:hAnsi="Arial"/>
                <w:sz w:val="13"/>
                <w:szCs w:val="13"/>
                <w:color w:val="auto"/>
                <w:w w:val="89"/>
              </w:rPr>
              <w:t>Transaction costs associated with issuance of shares in relation to asset acquisition previously recorded in Accrued expenses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issuance of common shares, net of transaction costs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5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Net cash flows provided by/(used in) financing activities</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1,774</w:t>
            </w:r>
          </w:p>
        </w:tc>
        <w:tc>
          <w:tcPr>
            <w:tcW w:w="1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5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Net increase/(decrease) in cash and cash equivalents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8,502</w:t>
            </w:r>
          </w:p>
        </w:tc>
        <w:tc>
          <w:tcPr>
            <w:tcW w:w="9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(19,752)</w:t>
            </w:r>
          </w:p>
        </w:tc>
        <w:tc>
          <w:tcPr>
            <w:tcW w:w="0" w:type="dxa"/>
            <w:vAlign w:val="bottom"/>
          </w:tcPr>
          <w:p>
            <w:pPr>
              <w:spacing w:after="0"/>
              <w:rPr>
                <w:sz w:val="1"/>
                <w:szCs w:val="1"/>
                <w:color w:val="auto"/>
              </w:rPr>
            </w:pPr>
          </w:p>
        </w:tc>
      </w:tr>
      <w:tr>
        <w:trPr>
          <w:trHeight w:val="115"/>
        </w:trPr>
        <w:tc>
          <w:tcPr>
            <w:tcW w:w="65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 at January 1</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31,586</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82,216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Exchange (loss)/gain on cash and cash equivalents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 at June 30</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40,007</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63,147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Net increase/(decrease) in cash and cash equivalents</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8,502</w:t>
            </w:r>
          </w:p>
        </w:tc>
        <w:tc>
          <w:tcPr>
            <w:tcW w:w="980" w:type="dxa"/>
            <w:vAlign w:val="bottom"/>
            <w:gridSpan w:val="3"/>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(19,752)</w:t>
            </w:r>
          </w:p>
        </w:tc>
        <w:tc>
          <w:tcPr>
            <w:tcW w:w="0" w:type="dxa"/>
            <w:vAlign w:val="bottom"/>
          </w:tcPr>
          <w:p>
            <w:pPr>
              <w:spacing w:after="0"/>
              <w:rPr>
                <w:sz w:val="1"/>
                <w:szCs w:val="1"/>
                <w:color w:val="auto"/>
              </w:rPr>
            </w:pPr>
          </w:p>
        </w:tc>
      </w:tr>
      <w:tr>
        <w:trPr>
          <w:trHeight w:val="115"/>
        </w:trPr>
        <w:tc>
          <w:tcPr>
            <w:tcW w:w="6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Supplemental non-cash activity</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0"/>
              <w:spacing w:after="0" w:line="135" w:lineRule="exact"/>
              <w:rPr>
                <w:sz w:val="20"/>
                <w:szCs w:val="20"/>
                <w:color w:val="auto"/>
              </w:rPr>
            </w:pPr>
            <w:r>
              <w:rPr>
                <w:rFonts w:ascii="Arial" w:cs="Arial" w:eastAsia="Arial" w:hAnsi="Arial"/>
                <w:sz w:val="13"/>
                <w:szCs w:val="13"/>
                <w:color w:val="auto"/>
              </w:rPr>
              <w:t>Capital expenditures in Trade and other payables or Accrued expenses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2"/>
              </w:rPr>
              <w:t>5</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 costs associated with the sale of treasury shares in public offering recorded in Accrued expenses</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80" w:hanging="330"/>
        <w:spacing w:after="0"/>
        <w:tabs>
          <w:tab w:leader="none" w:pos="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7"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1"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The Interim Condensed Consolidated Financial Statements of AC Immune SA as of and for the three and six months ended June 30, 2023 were authorized for issuance by the Company’s Audit and Finance Committee on August 3, 2023.</w:t>
      </w:r>
    </w:p>
    <w:p>
      <w:pPr>
        <w:spacing w:after="0" w:line="120" w:lineRule="exact"/>
        <w:rPr>
          <w:sz w:val="20"/>
          <w:szCs w:val="20"/>
          <w:color w:val="auto"/>
        </w:rPr>
      </w:pPr>
    </w:p>
    <w:p>
      <w:pPr>
        <w:ind w:left="60" w:right="3199" w:hanging="10"/>
        <w:spacing w:after="0" w:line="503" w:lineRule="auto"/>
        <w:tabs>
          <w:tab w:leader="none" w:pos="3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left="60" w:right="459" w:firstLine="324"/>
        <w:spacing w:after="0" w:line="291" w:lineRule="auto"/>
        <w:rPr>
          <w:sz w:val="20"/>
          <w:szCs w:val="20"/>
          <w:color w:val="auto"/>
        </w:rPr>
      </w:pPr>
      <w:r>
        <w:rPr>
          <w:rFonts w:ascii="Arial" w:cs="Arial" w:eastAsia="Arial" w:hAnsi="Arial"/>
          <w:sz w:val="16"/>
          <w:szCs w:val="16"/>
          <w:color w:val="auto"/>
        </w:rPr>
        <w:t>These Interim Condensed Consolidated Financial Statements as of June 30, 2023 and for the three and six months ended June 30, 2023 and 2022, have been prepared in accordance with International Accounting Standard 34 (IAS</w:t>
      </w:r>
    </w:p>
    <w:p>
      <w:pPr>
        <w:ind w:left="60" w:right="319"/>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as issued by the International Accounting Standards Board (IASB), and such financial information should be read in conjunction with the audited consolidated financial statements in AC Immune’s Annual Report on Form 20-F for the year ended December 31, 2022.</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Interim Condensed Consolidated Financial Statements have been prepared under the historical cost convention.</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Functional and reporting currency</w:t>
      </w:r>
    </w:p>
    <w:p>
      <w:pPr>
        <w:spacing w:after="0" w:line="225"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For the</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19"/>
        </w:trPr>
        <w:tc>
          <w:tcPr>
            <w:tcW w:w="36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0"/>
                <w:szCs w:val="10"/>
                <w:color w:val="auto"/>
              </w:rPr>
            </w:pPr>
          </w:p>
        </w:tc>
        <w:tc>
          <w:tcPr>
            <w:tcW w:w="1340" w:type="dxa"/>
            <w:vAlign w:val="bottom"/>
            <w:gridSpan w:val="3"/>
          </w:tcPr>
          <w:p>
            <w:pPr>
              <w:jc w:val="right"/>
              <w:ind w:right="16"/>
              <w:spacing w:after="0" w:line="119" w:lineRule="exact"/>
              <w:rPr>
                <w:sz w:val="20"/>
                <w:szCs w:val="20"/>
                <w:color w:val="auto"/>
              </w:rPr>
            </w:pPr>
            <w:r>
              <w:rPr>
                <w:rFonts w:ascii="Arial" w:cs="Arial" w:eastAsia="Arial" w:hAnsi="Arial"/>
                <w:sz w:val="13"/>
                <w:szCs w:val="13"/>
                <w:b w:val="1"/>
                <w:bCs w:val="1"/>
                <w:color w:val="auto"/>
              </w:rPr>
              <w:t>Six Months Ended</w:t>
            </w:r>
          </w:p>
        </w:tc>
        <w:tc>
          <w:tcPr>
            <w:tcW w:w="140" w:type="dxa"/>
            <w:vAlign w:val="bottom"/>
          </w:tcPr>
          <w:p>
            <w:pPr>
              <w:spacing w:after="0"/>
              <w:rPr>
                <w:sz w:val="10"/>
                <w:szCs w:val="10"/>
                <w:color w:val="auto"/>
              </w:rPr>
            </w:pPr>
          </w:p>
        </w:tc>
        <w:tc>
          <w:tcPr>
            <w:tcW w:w="860" w:type="dxa"/>
            <w:vAlign w:val="bottom"/>
          </w:tcPr>
          <w:p>
            <w:pPr>
              <w:jc w:val="right"/>
              <w:ind w:right="10"/>
              <w:spacing w:after="0" w:line="119" w:lineRule="exact"/>
              <w:rPr>
                <w:sz w:val="20"/>
                <w:szCs w:val="20"/>
                <w:color w:val="auto"/>
              </w:rPr>
            </w:pPr>
            <w:r>
              <w:rPr>
                <w:rFonts w:ascii="Arial" w:cs="Arial" w:eastAsia="Arial" w:hAnsi="Arial"/>
                <w:sz w:val="13"/>
                <w:szCs w:val="13"/>
                <w:b w:val="1"/>
                <w:bCs w:val="1"/>
                <w:color w:val="auto"/>
              </w:rPr>
              <w:t>Year Ended</w:t>
            </w:r>
          </w:p>
        </w:tc>
      </w:tr>
      <w:tr>
        <w:trPr>
          <w:trHeight w:val="171"/>
        </w:trPr>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right"/>
              <w:ind w:right="90"/>
              <w:spacing w:after="0" w:line="142" w:lineRule="exact"/>
              <w:rPr>
                <w:sz w:val="20"/>
                <w:szCs w:val="20"/>
                <w:color w:val="auto"/>
              </w:rPr>
            </w:pPr>
            <w:r>
              <w:rPr>
                <w:rFonts w:ascii="Arial" w:cs="Arial" w:eastAsia="Arial" w:hAnsi="Arial"/>
                <w:sz w:val="14"/>
                <w:szCs w:val="14"/>
                <w:b w:val="1"/>
                <w:bCs w:val="1"/>
                <w:color w:val="auto"/>
              </w:rPr>
              <w:t>2023</w:t>
            </w: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620" w:type="dxa"/>
            <w:vAlign w:val="bottom"/>
          </w:tcPr>
          <w:p>
            <w:pPr>
              <w:jc w:val="right"/>
              <w:ind w:right="8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60" w:type="dxa"/>
            <w:vAlign w:val="bottom"/>
          </w:tcPr>
          <w:p>
            <w:pPr>
              <w:jc w:val="right"/>
              <w:ind w:right="210"/>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CHF/USD</w:t>
            </w:r>
          </w:p>
        </w:tc>
        <w:tc>
          <w:tcPr>
            <w:tcW w:w="14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Closing rate, USD 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0.908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0.965</w:t>
            </w:r>
          </w:p>
        </w:tc>
        <w:tc>
          <w:tcPr>
            <w:tcW w:w="760" w:type="dxa"/>
            <w:vAlign w:val="bottom"/>
            <w:gridSpan w:val="2"/>
          </w:tcPr>
          <w:p>
            <w:pPr>
              <w:jc w:val="right"/>
              <w:ind w:right="9"/>
              <w:spacing w:after="0"/>
              <w:rPr>
                <w:sz w:val="20"/>
                <w:szCs w:val="20"/>
                <w:color w:val="auto"/>
              </w:rPr>
            </w:pPr>
            <w:r>
              <w:rPr>
                <w:rFonts w:ascii="Arial" w:cs="Arial" w:eastAsia="Arial" w:hAnsi="Arial"/>
                <w:sz w:val="18"/>
                <w:szCs w:val="18"/>
                <w:color w:val="auto"/>
              </w:rPr>
              <w:t>0.908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0.965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0.933</w:t>
            </w: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exchange rate, USD 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0.987</w:t>
            </w:r>
          </w:p>
        </w:tc>
        <w:tc>
          <w:tcPr>
            <w:tcW w:w="7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0.921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0.965</w:t>
            </w:r>
          </w:p>
        </w:tc>
      </w:tr>
      <w:tr>
        <w:trPr>
          <w:trHeight w:val="864"/>
        </w:trPr>
        <w:tc>
          <w:tcPr>
            <w:tcW w:w="3680" w:type="dxa"/>
            <w:vAlign w:val="bottom"/>
          </w:tcPr>
          <w:p>
            <w:pPr>
              <w:spacing w:after="0"/>
              <w:rPr>
                <w:sz w:val="24"/>
                <w:szCs w:val="24"/>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1"/>
        </w:trPr>
        <w:tc>
          <w:tcPr>
            <w:tcW w:w="3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71"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areas where AC Immune has had to make judgments, estimates and assumptions relate to (i) clinical development accruals, (ii) net employee defined benefit liability, (iii) share-based compensation, (iv) right-of-use assets, short-term lease liabilities and long-term lease liabilities and (v)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Company’s financial assets and liabilities are composed of receivables, short-term and long-term financial assets, cash and cash equivalents, trade and other payables, accrued expenses, short-term lease liabilities and long-term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2022.</w:t>
      </w:r>
    </w:p>
    <w:p>
      <w:pPr>
        <w:spacing w:after="0" w:line="184"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There are no new IFRS standards, amendments or interpretations that are mandatory as of January 1, 2023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The Company believes that it will be able to meet all of its obligations as they fall due for at least 12 months from the filing date of this Form 6-K, after considering the Company’s cash position of CHF 40.0 million and short-term financial assets of CHF 53.0 million as of June 30, 2023. Hence, these unaudited Interim Condensed Consolidated Financial Statements have been prepared on a going-concern basis.</w:t>
      </w:r>
    </w:p>
    <w:p>
      <w:pPr>
        <w:spacing w:after="0" w:line="187"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contract revenues from its Licensing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spacing w:after="0" w:line="2" w:lineRule="exact"/>
        <w:rPr>
          <w:sz w:val="20"/>
          <w:szCs w:val="20"/>
          <w:color w:val="auto"/>
        </w:rPr>
      </w:pPr>
    </w:p>
    <w:p>
      <w:pPr>
        <w:ind w:left="60" w:right="359" w:hanging="10"/>
        <w:spacing w:after="0" w:line="260"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397"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Contract revenues and other operating income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For the three and six months ended June 30, 2023 and 2022 AC Immune generated no contract revenues.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For a discussion of our licensing and collaboration agreements for the fiscal year ended December 31, 2022, please refer to Note 13.1 “Licensing and Collaboration agreements” of our Annual Report on Form 20-F for the year ended December 31, 2022 filed on March 16, 2023.</w:t>
      </w:r>
    </w:p>
    <w:p>
      <w:pPr>
        <w:spacing w:after="0" w:line="184"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As it relates to revenue recognition, there have been no significant events or transactions associated with our license and collaboration agreements that have occurred for the three and six months ended June 30,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3.2 Grant income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discussion of our Grants from the Michael J. Fox Foundation (MJFF) for the fiscal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please refer to Note 13.2 “Grant Income” of our Annual Report on Form 20-F for the year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filed on March 16, 2023.</w:t>
      </w:r>
    </w:p>
    <w:p>
      <w:pPr>
        <w:spacing w:after="0" w:line="211" w:lineRule="exact"/>
        <w:rPr>
          <w:sz w:val="20"/>
          <w:szCs w:val="20"/>
          <w:color w:val="auto"/>
        </w:rPr>
      </w:pPr>
    </w:p>
    <w:p>
      <w:pPr>
        <w:jc w:val="both"/>
        <w:ind w:left="60" w:right="119" w:firstLine="324"/>
        <w:spacing w:after="0" w:line="301" w:lineRule="auto"/>
        <w:rPr>
          <w:sz w:val="20"/>
          <w:szCs w:val="20"/>
          <w:color w:val="auto"/>
        </w:rPr>
      </w:pPr>
      <w:r>
        <w:rPr>
          <w:rFonts w:ascii="Arial" w:cs="Arial" w:eastAsia="Arial" w:hAnsi="Arial"/>
          <w:sz w:val="16"/>
          <w:szCs w:val="16"/>
          <w:color w:val="auto"/>
        </w:rPr>
        <w:t>In August 2022, the Company received follow-on grant funding as part of its joint arrangement with Skåne University Hospital (Skåne) in Sweden totaling USD 0.5 (CHF 0.5) million for the continued development of its alpha-synuclein PET imaging diagnostic agent. As part of this grant, AC Immune received USD 0.4 (CHF 0.4) million directly from the MJFF. Skåne will receive USD 0.1 (CHF 0.1) million of the total grant directly from the MJFF duration of the grant period.</w:t>
      </w:r>
    </w:p>
    <w:p>
      <w:pPr>
        <w:spacing w:after="0" w:line="157"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In February 2023, the Company was awarded a new grant from the MJFF totaling USD 0.5 (CHF 0.5) million to support the development of its TDP-43 PET tracer program.</w:t>
      </w:r>
    </w:p>
    <w:p>
      <w:pPr>
        <w:spacing w:after="0" w:line="170"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For the three months ended June 30, 2023 and 2022, the Company has recognized CHF 0.3 million and CHF 0.2 million in grant income, respectively. For the six months ended June 30, 2023 and 2022, the Company has recognized CHF 0.7 million and CHF 0.6 million in grant income, respectively. As of June 30, 2023, the Company has recorded CHF 0.4 million in deferred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60"/>
        <w:spacing w:after="0"/>
        <w:tabs>
          <w:tab w:leader="none" w:pos="3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Loss per share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672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60" w:type="dxa"/>
            <w:vAlign w:val="bottom"/>
            <w:gridSpan w:val="2"/>
            <w:vMerge w:val="restart"/>
          </w:tcPr>
          <w:p>
            <w:pPr>
              <w:spacing w:after="0"/>
              <w:rPr>
                <w:sz w:val="14"/>
                <w:szCs w:val="1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(EPS)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20"/>
              <w:spacing w:after="0"/>
              <w:rPr>
                <w:sz w:val="20"/>
                <w:szCs w:val="20"/>
                <w:color w:val="auto"/>
              </w:rPr>
            </w:pPr>
            <w:r>
              <w:rPr>
                <w:rFonts w:ascii="Arial" w:cs="Arial" w:eastAsia="Arial" w:hAnsi="Arial"/>
                <w:sz w:val="18"/>
                <w:szCs w:val="18"/>
                <w:b w:val="1"/>
                <w:bCs w:val="1"/>
                <w:color w:val="auto"/>
              </w:rPr>
              <w:t>Numerator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 attributable to equity holders of the Company</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(16,833)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0" w:type="dxa"/>
            <w:vAlign w:val="bottom"/>
          </w:tcPr>
          <w:p>
            <w:pPr>
              <w:spacing w:after="0"/>
              <w:rPr>
                <w:sz w:val="1"/>
                <w:szCs w:val="1"/>
                <w:color w:val="auto"/>
              </w:rPr>
            </w:pPr>
          </w:p>
        </w:tc>
      </w:tr>
      <w:tr>
        <w:trPr>
          <w:trHeight w:val="216"/>
        </w:trPr>
        <w:tc>
          <w:tcPr>
            <w:tcW w:w="6880" w:type="dxa"/>
            <w:vAlign w:val="bottom"/>
            <w:gridSpan w:val="4"/>
          </w:tcPr>
          <w:p>
            <w:pPr>
              <w:ind w:left="20"/>
              <w:spacing w:after="0"/>
              <w:rPr>
                <w:sz w:val="20"/>
                <w:szCs w:val="20"/>
                <w:color w:val="auto"/>
              </w:rPr>
            </w:pPr>
            <w:r>
              <w:rPr>
                <w:rFonts w:ascii="Arial" w:cs="Arial" w:eastAsia="Arial" w:hAnsi="Arial"/>
                <w:sz w:val="18"/>
                <w:szCs w:val="18"/>
                <w:b w:val="1"/>
                <w:bCs w:val="1"/>
                <w:color w:val="auto"/>
              </w:rPr>
              <w:t>Denominator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Weighted-average number of shares outstanding used to compute EPS basic and diluted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attributable to equity holders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84,612,997</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84,462,675</w:t>
            </w:r>
          </w:p>
        </w:tc>
        <w:tc>
          <w:tcPr>
            <w:tcW w:w="0" w:type="dxa"/>
            <w:vAlign w:val="bottom"/>
          </w:tcPr>
          <w:p>
            <w:pPr>
              <w:spacing w:after="0"/>
              <w:rPr>
                <w:sz w:val="1"/>
                <w:szCs w:val="1"/>
                <w:color w:val="auto"/>
              </w:rPr>
            </w:pPr>
          </w:p>
        </w:tc>
      </w:tr>
      <w:tr>
        <w:trPr>
          <w:trHeight w:val="209"/>
        </w:trPr>
        <w:tc>
          <w:tcPr>
            <w:tcW w:w="6880" w:type="dxa"/>
            <w:vAlign w:val="bottom"/>
            <w:gridSpan w:val="4"/>
          </w:tcPr>
          <w:p>
            <w:pPr>
              <w:ind w:left="20"/>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499"/>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8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(EPS)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tcPr>
          <w:p>
            <w:pPr>
              <w:ind w:left="20"/>
              <w:spacing w:after="0"/>
              <w:rPr>
                <w:sz w:val="20"/>
                <w:szCs w:val="20"/>
                <w:color w:val="auto"/>
              </w:rPr>
            </w:pPr>
            <w:r>
              <w:rPr>
                <w:rFonts w:ascii="Arial" w:cs="Arial" w:eastAsia="Arial" w:hAnsi="Arial"/>
                <w:sz w:val="18"/>
                <w:szCs w:val="18"/>
                <w:b w:val="1"/>
                <w:bCs w:val="1"/>
                <w:color w:val="auto"/>
              </w:rPr>
              <w:t>Numerator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 attributable to equity holders of the Company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(38,489)</w:t>
            </w:r>
          </w:p>
        </w:tc>
        <w:tc>
          <w:tcPr>
            <w:tcW w:w="0" w:type="dxa"/>
            <w:vAlign w:val="bottom"/>
          </w:tcPr>
          <w:p>
            <w:pPr>
              <w:spacing w:after="0"/>
              <w:rPr>
                <w:sz w:val="1"/>
                <w:szCs w:val="1"/>
                <w:color w:val="auto"/>
              </w:rPr>
            </w:pPr>
          </w:p>
        </w:tc>
      </w:tr>
      <w:tr>
        <w:trPr>
          <w:trHeight w:val="216"/>
        </w:trPr>
        <w:tc>
          <w:tcPr>
            <w:tcW w:w="6880" w:type="dxa"/>
            <w:vAlign w:val="bottom"/>
            <w:gridSpan w:val="4"/>
          </w:tcPr>
          <w:p>
            <w:pPr>
              <w:ind w:left="20"/>
              <w:spacing w:after="0"/>
              <w:rPr>
                <w:sz w:val="20"/>
                <w:szCs w:val="20"/>
                <w:color w:val="auto"/>
              </w:rPr>
            </w:pPr>
            <w:r>
              <w:rPr>
                <w:rFonts w:ascii="Arial" w:cs="Arial" w:eastAsia="Arial" w:hAnsi="Arial"/>
                <w:sz w:val="18"/>
                <w:szCs w:val="18"/>
                <w:b w:val="1"/>
                <w:bCs w:val="1"/>
                <w:color w:val="auto"/>
              </w:rPr>
              <w:t>Denominator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Weighted-average number of shares outstanding used to compute EPS basic and diluted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attributable to equity 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83,654,663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83,510,567</w:t>
            </w:r>
          </w:p>
        </w:tc>
        <w:tc>
          <w:tcPr>
            <w:tcW w:w="0" w:type="dxa"/>
            <w:vAlign w:val="bottom"/>
          </w:tcPr>
          <w:p>
            <w:pPr>
              <w:spacing w:after="0"/>
              <w:rPr>
                <w:sz w:val="1"/>
                <w:szCs w:val="1"/>
                <w:color w:val="auto"/>
              </w:rPr>
            </w:pPr>
          </w:p>
        </w:tc>
      </w:tr>
      <w:tr>
        <w:trPr>
          <w:trHeight w:val="210"/>
        </w:trPr>
        <w:tc>
          <w:tcPr>
            <w:tcW w:w="6860" w:type="dxa"/>
            <w:vAlign w:val="bottom"/>
            <w:gridSpan w:val="3"/>
          </w:tcPr>
          <w:p>
            <w:pPr>
              <w:ind w:left="20"/>
              <w:spacing w:after="0"/>
              <w:rPr>
                <w:sz w:val="20"/>
                <w:szCs w:val="20"/>
                <w:color w:val="auto"/>
              </w:rPr>
            </w:pPr>
            <w:r>
              <w:rPr>
                <w:rFonts w:ascii="Arial" w:cs="Arial" w:eastAsia="Arial" w:hAnsi="Arial"/>
                <w:sz w:val="18"/>
                <w:szCs w:val="18"/>
                <w:color w:val="auto"/>
              </w:rPr>
              <w:t>Basic and diluted loss per share for the period attributable to equity holders</w:t>
            </w: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79" w:firstLine="324"/>
        <w:spacing w:after="0" w:line="277" w:lineRule="auto"/>
        <w:rPr>
          <w:sz w:val="20"/>
          <w:szCs w:val="20"/>
          <w:color w:val="auto"/>
        </w:rPr>
      </w:pPr>
      <w:r>
        <w:rPr>
          <w:rFonts w:ascii="Arial" w:cs="Arial" w:eastAsia="Arial" w:hAnsi="Arial"/>
          <w:sz w:val="18"/>
          <w:szCs w:val="18"/>
          <w:color w:val="auto"/>
        </w:rPr>
        <w:t>The weighted-average number of potentially dilutive securities that were not included in the diluted per share calculations because they would be anti-dilutive were as follows:</w:t>
      </w:r>
    </w:p>
    <w:p>
      <w:pPr>
        <w:spacing w:after="0" w:line="175"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For the Three Months</w:t>
      </w:r>
    </w:p>
    <w:p>
      <w:pPr>
        <w:ind w:left="7520"/>
        <w:spacing w:after="0" w:line="236" w:lineRule="auto"/>
        <w:rPr>
          <w:sz w:val="20"/>
          <w:szCs w:val="20"/>
          <w:color w:val="auto"/>
        </w:rPr>
      </w:pPr>
      <w:r>
        <w:rPr>
          <w:rFonts w:ascii="Arial" w:cs="Arial" w:eastAsia="Arial" w:hAnsi="Arial"/>
          <w:sz w:val="14"/>
          <w:szCs w:val="14"/>
          <w:b w:val="1"/>
          <w:bCs w:val="1"/>
          <w:color w:val="auto"/>
        </w:rPr>
        <w:t>Ended June 30,</w:t>
      </w:r>
    </w:p>
    <w:tbl>
      <w:tblPr>
        <w:tblLayout w:type="fixed"/>
        <w:tblInd w:w="4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2023</w:t>
            </w:r>
          </w:p>
        </w:tc>
        <w:tc>
          <w:tcPr>
            <w:tcW w:w="10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options issued and outstanding</w:t>
            </w:r>
          </w:p>
        </w:tc>
        <w:tc>
          <w:tcPr>
            <w:tcW w:w="30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97,875</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149,457</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Restricted share awards subject to future vesting</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1,213,703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16,039</w:t>
            </w:r>
          </w:p>
        </w:tc>
      </w:tr>
      <w:tr>
        <w:trPr>
          <w:trHeight w:val="341"/>
        </w:trPr>
        <w:tc>
          <w:tcPr>
            <w:tcW w:w="3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3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39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60" w:type="dxa"/>
            <w:vAlign w:val="bottom"/>
          </w:tcPr>
          <w:p>
            <w:pPr>
              <w:jc w:val="right"/>
              <w:ind w:right="202"/>
              <w:spacing w:after="0" w:line="155" w:lineRule="exact"/>
              <w:rPr>
                <w:sz w:val="20"/>
                <w:szCs w:val="20"/>
                <w:color w:val="auto"/>
              </w:rPr>
            </w:pPr>
            <w:r>
              <w:rPr>
                <w:rFonts w:ascii="Arial" w:cs="Arial" w:eastAsia="Arial" w:hAnsi="Arial"/>
                <w:sz w:val="14"/>
                <w:szCs w:val="14"/>
                <w:b w:val="1"/>
                <w:bCs w:val="1"/>
                <w:color w:val="auto"/>
              </w:rPr>
              <w:t>2023</w:t>
            </w:r>
          </w:p>
        </w:tc>
        <w:tc>
          <w:tcPr>
            <w:tcW w:w="1060" w:type="dxa"/>
            <w:vAlign w:val="bottom"/>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2022</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options issued and outstanding</w:t>
            </w:r>
          </w:p>
        </w:tc>
        <w:tc>
          <w:tcPr>
            <w:tcW w:w="30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97,875</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Restricted share awards subject to future vesting</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1,225,175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8,328</w:t>
            </w:r>
          </w:p>
        </w:tc>
      </w:tr>
      <w:tr>
        <w:trPr>
          <w:trHeight w:val="863"/>
        </w:trPr>
        <w:tc>
          <w:tcPr>
            <w:tcW w:w="3960" w:type="dxa"/>
            <w:vAlign w:val="bottom"/>
          </w:tcPr>
          <w:p>
            <w:pPr>
              <w:spacing w:after="0"/>
              <w:rPr>
                <w:sz w:val="24"/>
                <w:szCs w:val="24"/>
                <w:color w:val="auto"/>
              </w:rPr>
            </w:pPr>
          </w:p>
        </w:tc>
        <w:tc>
          <w:tcPr>
            <w:tcW w:w="3040" w:type="dxa"/>
            <w:vAlign w:val="bottom"/>
          </w:tcPr>
          <w:p>
            <w:pPr>
              <w:jc w:val="right"/>
              <w:ind w:right="241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39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 w:name="page13"/>
    <w:bookmarkEnd w:id="12"/>
    <w:p>
      <w:pPr>
        <w:ind w:left="380" w:hanging="330"/>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 shows the movement in the net book values of property, plant and equipment for the six months ended June 30, 2023:</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As of June 30, 2023</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In CHF thousands</w:t>
            </w:r>
          </w:p>
        </w:tc>
        <w:tc>
          <w:tcPr>
            <w:tcW w:w="140" w:type="dxa"/>
            <w:vAlign w:val="bottom"/>
            <w:vMerge w:val="restart"/>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Furniture</w:t>
            </w:r>
          </w:p>
        </w:tc>
        <w:tc>
          <w:tcPr>
            <w:tcW w:w="140" w:type="dxa"/>
            <w:vAlign w:val="bottom"/>
          </w:tcPr>
          <w:p>
            <w:pPr>
              <w:spacing w:after="0"/>
              <w:rPr>
                <w:sz w:val="10"/>
                <w:szCs w:val="10"/>
                <w:color w:val="auto"/>
              </w:rPr>
            </w:pPr>
          </w:p>
        </w:tc>
        <w:tc>
          <w:tcPr>
            <w:tcW w:w="8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IT</w:t>
            </w:r>
          </w:p>
        </w:tc>
        <w:tc>
          <w:tcPr>
            <w:tcW w:w="68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Lab</w:t>
            </w:r>
          </w:p>
        </w:tc>
        <w:tc>
          <w:tcPr>
            <w:tcW w:w="160" w:type="dxa"/>
            <w:vAlign w:val="bottom"/>
          </w:tcPr>
          <w:p>
            <w:pPr>
              <w:spacing w:after="0"/>
              <w:rPr>
                <w:sz w:val="10"/>
                <w:szCs w:val="10"/>
                <w:color w:val="auto"/>
              </w:rPr>
            </w:pPr>
          </w:p>
        </w:tc>
        <w:tc>
          <w:tcPr>
            <w:tcW w:w="10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Leasehold</w:t>
            </w:r>
          </w:p>
        </w:tc>
        <w:tc>
          <w:tcPr>
            <w:tcW w:w="9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Assets under</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equipment</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equipment</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improvements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construction</w:t>
            </w:r>
          </w:p>
        </w:tc>
        <w:tc>
          <w:tcPr>
            <w:tcW w:w="1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cost: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Disposals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Depreciation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(132)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(1,716)</w:t>
            </w:r>
          </w:p>
        </w:tc>
        <w:tc>
          <w:tcPr>
            <w:tcW w:w="680" w:type="dxa"/>
            <w:vAlign w:val="bottom"/>
          </w:tcPr>
          <w:p>
            <w:pPr>
              <w:jc w:val="right"/>
              <w:spacing w:after="0"/>
              <w:rPr>
                <w:sz w:val="20"/>
                <w:szCs w:val="20"/>
                <w:color w:val="auto"/>
              </w:rPr>
            </w:pPr>
            <w:r>
              <w:rPr>
                <w:rFonts w:ascii="Arial" w:cs="Arial" w:eastAsia="Arial" w:hAnsi="Arial"/>
                <w:sz w:val="18"/>
                <w:szCs w:val="18"/>
                <w:color w:val="auto"/>
              </w:rPr>
              <w:t>(7,564)</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(700)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amount: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June 30, 2023</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159" w:firstLine="324"/>
        <w:spacing w:after="0" w:line="259" w:lineRule="auto"/>
        <w:rPr>
          <w:sz w:val="20"/>
          <w:szCs w:val="20"/>
          <w:color w:val="auto"/>
        </w:rPr>
      </w:pPr>
      <w:r>
        <w:rPr>
          <w:rFonts w:ascii="Arial" w:cs="Arial" w:eastAsia="Arial" w:hAnsi="Arial"/>
          <w:sz w:val="18"/>
          <w:szCs w:val="18"/>
          <w:color w:val="auto"/>
        </w:rPr>
        <w:t>AC Immune continues to enhance its laboratory equipment to support its R&amp;D functions and continues to invest in its IT infrastructure. This effort has continued since the year ended December 31, 2022, with CHF 0.3 million invested in lab equipment, including the expansion of our leased lab space, and IT equipment, representing an increase of 3.0% from the beginning of the year in these categories.</w:t>
      </w:r>
    </w:p>
    <w:p>
      <w:pPr>
        <w:spacing w:after="0" w:line="183"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long-term financial assets and lease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AC Immune recognized no additions for its right-of-use leased assets for the six months ended June 30, 2023.</w:t>
      </w:r>
    </w:p>
    <w:p>
      <w:pPr>
        <w:spacing w:after="0" w:line="237"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5.3% for office equipment and 2.6% for IT equipment, respectively.</w:t>
      </w:r>
    </w:p>
    <w:p>
      <w:pPr>
        <w:spacing w:after="0" w:line="184"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following table shows the movements in the net book values of right-of-use of leased assets for the six months ended June 30, 2023:</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In CHF thousands</w:t>
            </w:r>
          </w:p>
        </w:tc>
        <w:tc>
          <w:tcPr>
            <w:tcW w:w="16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Buildings</w:t>
            </w: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IT</w:t>
            </w:r>
          </w:p>
        </w:tc>
        <w:tc>
          <w:tcPr>
            <w:tcW w:w="6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equipment</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equipment</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(250)</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6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There are no variable lease payments that are not included in the measurement of lease obligations. All extension options have been included in the measurement of lease obligations.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60" w:right="359" w:firstLine="324"/>
        <w:spacing w:after="0" w:line="308" w:lineRule="auto"/>
        <w:rPr>
          <w:sz w:val="20"/>
          <w:szCs w:val="20"/>
          <w:color w:val="auto"/>
        </w:rPr>
      </w:pPr>
      <w:r>
        <w:rPr>
          <w:rFonts w:ascii="Arial" w:cs="Arial" w:eastAsia="Arial" w:hAnsi="Arial"/>
          <w:sz w:val="17"/>
          <w:szCs w:val="17"/>
          <w:color w:val="auto"/>
        </w:rPr>
        <w:t>For the three and six months ended June 30, 2023, and 2022, the impact on the Company’s condensed consolidated statements of income/(loss) and the condensed consolidated statements of cash flows is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678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In CHF thousands</w:t>
            </w:r>
          </w:p>
        </w:tc>
        <w:tc>
          <w:tcPr>
            <w:tcW w:w="220" w:type="dxa"/>
            <w:vAlign w:val="bottom"/>
            <w:vMerge w:val="restart"/>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Statements of income/(loss)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Depreciation of right-of-use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on lease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Expense for short-term leases and leases of low value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97"/>
        </w:trPr>
        <w:tc>
          <w:tcPr>
            <w:tcW w:w="6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Statements of cash flows</w:t>
            </w: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Total cash outflow for leases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7000" w:type="dxa"/>
            <w:vAlign w:val="bottom"/>
            <w:gridSpan w:val="2"/>
            <w:vMerge w:val="restart"/>
          </w:tcPr>
          <w:p>
            <w:pPr>
              <w:ind w:left="2840"/>
              <w:spacing w:after="0"/>
              <w:rPr>
                <w:sz w:val="20"/>
                <w:szCs w:val="20"/>
                <w:color w:val="auto"/>
              </w:rPr>
            </w:pPr>
            <w:r>
              <w:rPr>
                <w:rFonts w:ascii="Arial" w:cs="Arial" w:eastAsia="Arial" w:hAnsi="Arial"/>
                <w:sz w:val="14"/>
                <w:szCs w:val="14"/>
                <w:b w:val="1"/>
                <w:bCs w:val="1"/>
                <w:color w:val="auto"/>
              </w:rPr>
              <w:t>In CHF thousands</w:t>
            </w: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86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2023</w:t>
            </w:r>
          </w:p>
        </w:tc>
        <w:tc>
          <w:tcPr>
            <w:tcW w:w="1060" w:type="dxa"/>
            <w:vAlign w:val="bottom"/>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Statements of income/(loss)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Depreciation of right-of-use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on lease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Expense for short-term leases and leases of low value</w:t>
            </w: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Statements of cash flows</w:t>
            </w: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Total cash outflow for leases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contractual undiscounted cash flows for lease obligations as of June 30, 2023:</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20" w:type="dxa"/>
            <w:vAlign w:val="bottom"/>
            <w:vMerge w:val="restart"/>
          </w:tcPr>
          <w:p>
            <w:pPr>
              <w:ind w:left="3300"/>
              <w:spacing w:after="0"/>
              <w:rPr>
                <w:sz w:val="20"/>
                <w:szCs w:val="20"/>
                <w:color w:val="auto"/>
              </w:rPr>
            </w:pPr>
            <w:r>
              <w:rPr>
                <w:rFonts w:ascii="Arial" w:cs="Arial" w:eastAsia="Arial" w:hAnsi="Arial"/>
                <w:sz w:val="14"/>
                <w:szCs w:val="14"/>
                <w:b w:val="1"/>
                <w:bCs w:val="1"/>
                <w:color w:val="auto"/>
              </w:rPr>
              <w:t>In CHF thousands</w:t>
            </w:r>
          </w:p>
        </w:tc>
        <w:tc>
          <w:tcPr>
            <w:tcW w:w="240" w:type="dxa"/>
            <w:vAlign w:val="bottom"/>
          </w:tcPr>
          <w:p>
            <w:pPr>
              <w:spacing w:after="0"/>
              <w:rPr>
                <w:sz w:val="14"/>
                <w:szCs w:val="14"/>
                <w:color w:val="auto"/>
              </w:rPr>
            </w:pPr>
          </w:p>
        </w:tc>
        <w:tc>
          <w:tcPr>
            <w:tcW w:w="960" w:type="dxa"/>
            <w:vAlign w:val="bottom"/>
          </w:tcPr>
          <w:p>
            <w:pPr>
              <w:jc w:val="right"/>
              <w:ind w:right="239"/>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 2023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1-3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 years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The Company also has deposits in escrow accounts totaling CHF 0.4 million for leases of the Company’s premises as of both June 30, 2023 and December 31, 2022, respectively. These deposits are presented in Long-term financial assets on the Company’s condensed consolidated balance sheets.</w:t>
      </w:r>
    </w:p>
    <w:p>
      <w:pPr>
        <w:spacing w:after="0" w:line="180"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employee defined benefit liabilities</w:t>
      </w:r>
    </w:p>
    <w:p>
      <w:pPr>
        <w:spacing w:after="0" w:line="22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For the six months ended June 30, 2023, the Company recorded CHF 0.6 million in service cost in the condensed consolidated statements of income/(loss), related to the impact of a plan amendment effected in H1 2023, as well as current service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60"/>
        <w:spacing w:after="0"/>
        <w:tabs>
          <w:tab w:leader="none" w:pos="3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Accrued expenses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In CHF thousands</w:t>
            </w:r>
          </w:p>
        </w:tc>
        <w:tc>
          <w:tcPr>
            <w:tcW w:w="160" w:type="dxa"/>
            <w:vAlign w:val="bottom"/>
            <w:vMerge w:val="restart"/>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June 30, 2023</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209"/>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accrued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8,818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Accrued expenses consists of accrued R&amp;D costs, accrued payroll expenses and other accrued expenses totaling CHF 8.8 million and CHF 9.4 million as of June 30, 2023 and December 31, 2022, respectively.</w:t>
      </w:r>
    </w:p>
    <w:p>
      <w:pPr>
        <w:spacing w:after="0" w:line="166"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right="519"/>
              <w:spacing w:after="0"/>
              <w:rPr>
                <w:sz w:val="20"/>
                <w:szCs w:val="20"/>
                <w:color w:val="auto"/>
              </w:rPr>
            </w:pPr>
            <w:r>
              <w:rPr>
                <w:rFonts w:ascii="Arial" w:cs="Arial" w:eastAsia="Arial" w:hAnsi="Arial"/>
                <w:sz w:val="14"/>
                <w:szCs w:val="14"/>
                <w:b w:val="1"/>
                <w:bCs w:val="1"/>
                <w:color w:val="auto"/>
                <w:w w:val="90"/>
              </w:rPr>
              <w:t>As of June 30, 2023</w:t>
            </w:r>
          </w:p>
        </w:tc>
        <w:tc>
          <w:tcPr>
            <w:tcW w:w="140" w:type="dxa"/>
            <w:vAlign w:val="bottom"/>
          </w:tcPr>
          <w:p>
            <w:pPr>
              <w:spacing w:after="0"/>
              <w:rPr>
                <w:sz w:val="14"/>
                <w:szCs w:val="14"/>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2022</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14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IPR&amp;D asset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50,416</w:t>
            </w:r>
          </w:p>
        </w:tc>
        <w:tc>
          <w:tcPr>
            <w:tcW w:w="0" w:type="dxa"/>
            <w:vAlign w:val="bottom"/>
          </w:tcPr>
          <w:p>
            <w:pPr>
              <w:spacing w:after="0"/>
              <w:rPr>
                <w:sz w:val="1"/>
                <w:szCs w:val="1"/>
                <w:color w:val="auto"/>
              </w:rPr>
            </w:pPr>
          </w:p>
        </w:tc>
      </w:tr>
      <w:tr>
        <w:trPr>
          <w:trHeight w:val="20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160" w:type="dxa"/>
            <w:vAlign w:val="bottom"/>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50,416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 xml:space="preserve">In accordance with IAS 36 </w:t>
      </w:r>
      <w:r>
        <w:rPr>
          <w:rFonts w:ascii="Arial" w:cs="Arial" w:eastAsia="Arial" w:hAnsi="Arial"/>
          <w:sz w:val="18"/>
          <w:szCs w:val="18"/>
          <w:i w:val="1"/>
          <w:iCs w:val="1"/>
          <w:color w:val="auto"/>
        </w:rPr>
        <w:t>Impairment of Assets</w:t>
      </w:r>
      <w:r>
        <w:rPr>
          <w:rFonts w:ascii="Arial" w:cs="Arial" w:eastAsia="Arial" w:hAnsi="Arial"/>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due to unobservable inputs used in the valuation. The Company has determined the IPR&amp;D asset not to be impaired as of December 31, 2022. As of June 30, 2023, the Company did not identify any triggering events that could result in an impairment of the IPR&amp;D asset.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Prepaid expenses</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Prepaid expenses include prepaid R&amp;D costs, administrative costs and employee social obligations totaling CHF 5.2 million and CHF 4.7 million as of June 30, 2023 and December 31, 2022,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AC Immune’s cash and cash equivalents and short-term financial assets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and December 31,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gridSpan w:val="2"/>
            <w:vMerge w:val="restart"/>
          </w:tcPr>
          <w:p>
            <w:pPr>
              <w:ind w:left="2600"/>
              <w:spacing w:after="0"/>
              <w:rPr>
                <w:sz w:val="20"/>
                <w:szCs w:val="20"/>
                <w:color w:val="auto"/>
              </w:rPr>
            </w:pPr>
            <w:r>
              <w:rPr>
                <w:rFonts w:ascii="Arial" w:cs="Arial" w:eastAsia="Arial" w:hAnsi="Arial"/>
                <w:sz w:val="14"/>
                <w:szCs w:val="14"/>
                <w:b w:val="1"/>
                <w:bCs w:val="1"/>
                <w:color w:val="auto"/>
              </w:rPr>
              <w:t>In CHF thousands</w:t>
            </w: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June 30, 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10"/>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cash and 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40,007</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vMerge w:val="restart"/>
          </w:tcPr>
          <w:p>
            <w:pPr>
              <w:ind w:left="2600"/>
              <w:spacing w:after="0"/>
              <w:rPr>
                <w:sz w:val="20"/>
                <w:szCs w:val="20"/>
                <w:color w:val="auto"/>
              </w:rPr>
            </w:pPr>
            <w:r>
              <w:rPr>
                <w:rFonts w:ascii="Arial" w:cs="Arial" w:eastAsia="Arial" w:hAnsi="Arial"/>
                <w:sz w:val="14"/>
                <w:szCs w:val="14"/>
                <w:b w:val="1"/>
                <w:bCs w:val="1"/>
                <w:color w:val="auto"/>
              </w:rPr>
              <w:t>In CHF thousands</w:t>
            </w:r>
          </w:p>
        </w:tc>
        <w:tc>
          <w:tcPr>
            <w:tcW w:w="160" w:type="dxa"/>
            <w:vAlign w:val="bottom"/>
            <w:vMerge w:val="restart"/>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June 30, 2023</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financial assets due in one year or less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0"/>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short-term financial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53,000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For the six months ended June 30, 2023, a net amount of CHF 38.0 million in short-term financial assets matured compared to a CHF 25.0 million net maturation in the comparable prior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12. Treasury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discussion of our at the market offering program with Jefferies LLC for the fiscal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please refer to Note 11 “Share capital” of our Annual Report on Form 20-F for the year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filed on March 16, 2023.</w:t>
      </w:r>
    </w:p>
    <w:p>
      <w:pPr>
        <w:spacing w:after="0" w:line="211"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In Q2 2023, the Company sold 712,993 common shares previously held as treasury shares pursuant to the Sales Agreement, raising USD 2.3 (CHF 2.1) million, net of underwriting fees.</w:t>
      </w:r>
    </w:p>
    <w:p>
      <w:pPr>
        <w:spacing w:after="0" w:line="170"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As of June 30, 2023 and December 31, 2022, the Company had 5,501,028 and 6,214,021 treasury shares remaining,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right"/>
        <w:ind w:right="59"/>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six months ended June 30, 2023, included as Exhibit 99.1 to this Report on Form 6-K. We also recommend that you read our management’s discussion and analysis and our audited consolidated financial statements and the notes thereto, which appear in our Annual Report on Form 20-F for the year ended December 31, 2022 on file with the U.S. Securities and Exchange Commission (the “SEC”).</w:t>
      </w:r>
    </w:p>
    <w:p>
      <w:pPr>
        <w:spacing w:after="0" w:line="165" w:lineRule="exact"/>
        <w:rPr>
          <w:sz w:val="20"/>
          <w:szCs w:val="20"/>
          <w:color w:val="auto"/>
        </w:rPr>
      </w:pPr>
    </w:p>
    <w:p>
      <w:pPr>
        <w:ind w:left="60" w:right="219" w:firstLine="324"/>
        <w:spacing w:after="0" w:line="308" w:lineRule="auto"/>
        <w:rPr>
          <w:sz w:val="20"/>
          <w:szCs w:val="20"/>
          <w:color w:val="auto"/>
        </w:rPr>
      </w:pPr>
      <w:r>
        <w:rPr>
          <w:rFonts w:ascii="Arial" w:cs="Arial" w:eastAsia="Arial" w:hAnsi="Arial"/>
          <w:sz w:val="17"/>
          <w:szCs w:val="17"/>
          <w:i w:val="1"/>
          <w:iCs w:val="1"/>
          <w:color w:val="auto"/>
        </w:rPr>
        <w:t>Unless otherwise indicated or the context otherwise requires, the terms “Company,” “AC Immune,” “ACIU,” “we,” “our,” “ours,” or “us” refer to AC Immune SA together with its fully-owned subsidiary, AC Immune USA, Inc.</w:t>
      </w:r>
    </w:p>
    <w:p>
      <w:pPr>
        <w:spacing w:after="0" w:line="133"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i w:val="1"/>
          <w:iCs w:val="1"/>
          <w:color w:val="auto"/>
        </w:rPr>
        <w:t>We prepare and report our consolidated financial statements and financial information in accordance with International Financial Reporting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This discussion and analysis is dated as of August 4, 2023.</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Our goal is to continue leveraging our proprietary discovery platforms, SupraAntigen and Morphomer, to shift the treatment paradigm for neurodegenerative diseases towards Precision Medicine and disease prevention. We are executing a clear business strategy built on three pillars: (i) accelerate development of novel therapeutics in Alzheimer’s disease (AD) with our partners; (ii) expand our strategic focus in Parkinson’s disease (PD) and non-AD neurodegenerative diseases, including NeuroOrphan indications, such as amyotrophic lateral sclerosis (ALS) and limbic-predominant age-related TDP-43 encephalopathy (LATE); and (iii) a continued focus on diagnostics enabling Precision Medicine to be an ultimate differentiator for the Company.</w:t>
      </w:r>
    </w:p>
    <w:p>
      <w:pPr>
        <w:spacing w:after="0" w:line="181" w:lineRule="exact"/>
        <w:rPr>
          <w:sz w:val="20"/>
          <w:szCs w:val="20"/>
          <w:color w:val="auto"/>
        </w:rPr>
      </w:pPr>
    </w:p>
    <w:p>
      <w:pPr>
        <w:ind w:left="60" w:right="59" w:firstLine="324"/>
        <w:spacing w:after="0" w:line="252" w:lineRule="auto"/>
        <w:rPr>
          <w:sz w:val="20"/>
          <w:szCs w:val="20"/>
          <w:color w:val="auto"/>
        </w:rPr>
      </w:pPr>
      <w:r>
        <w:rPr>
          <w:rFonts w:ascii="Arial" w:cs="Arial" w:eastAsia="Arial" w:hAnsi="Arial"/>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93"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one Phase 3 program and five Phase 2 programs, targeting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diseases by shifting it towards Precision Medicine and disease prevention based on an active immunotherapy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597535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380"/>
        <w:spacing w:after="0"/>
        <w:rPr>
          <w:sz w:val="20"/>
          <w:szCs w:val="20"/>
          <w:color w:val="auto"/>
        </w:rPr>
      </w:pPr>
      <w:r>
        <w:rPr>
          <w:rFonts w:ascii="Arial" w:cs="Arial" w:eastAsia="Arial" w:hAnsi="Arial"/>
          <w:sz w:val="18"/>
          <w:szCs w:val="18"/>
          <w:color w:val="auto"/>
        </w:rPr>
        <w:t>Our clinical-stage product candidates include:</w:t>
      </w:r>
    </w:p>
    <w:p>
      <w:pPr>
        <w:spacing w:after="0" w:line="221" w:lineRule="exact"/>
        <w:rPr>
          <w:sz w:val="20"/>
          <w:szCs w:val="20"/>
          <w:color w:val="auto"/>
        </w:rPr>
      </w:pPr>
    </w:p>
    <w:p>
      <w:pPr>
        <w:ind w:left="700" w:right="179" w:hanging="326"/>
        <w:spacing w:after="0" w:line="284"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ACI-35.030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 Immune and Janssen Pharmaceuticals, Inc. (Janssen), part of the Janssen 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of Johnson &amp; Johnson, are evaluating the anti-phosphorylated-Tau (anti-pTau) active immunotherapy ACI-35.030 in a Phase 1b/2a study in subjects with early AD (NCT04445831). Interim results show that ACI-</w:t>
      </w:r>
    </w:p>
    <w:p>
      <w:pPr>
        <w:spacing w:after="0" w:line="1" w:lineRule="exact"/>
        <w:rPr>
          <w:rFonts w:ascii="Arial" w:cs="Arial" w:eastAsia="Arial" w:hAnsi="Arial"/>
          <w:sz w:val="16"/>
          <w:szCs w:val="16"/>
          <w:color w:val="auto"/>
        </w:rPr>
      </w:pPr>
    </w:p>
    <w:p>
      <w:pPr>
        <w:ind w:left="700" w:right="79"/>
        <w:spacing w:after="0" w:line="283" w:lineRule="auto"/>
        <w:rPr>
          <w:rFonts w:ascii="Arial" w:cs="Arial" w:eastAsia="Arial" w:hAnsi="Arial"/>
          <w:sz w:val="16"/>
          <w:szCs w:val="16"/>
          <w:color w:val="auto"/>
        </w:rPr>
      </w:pPr>
      <w:r>
        <w:rPr>
          <w:rFonts w:ascii="Arial" w:cs="Arial" w:eastAsia="Arial" w:hAnsi="Arial"/>
          <w:sz w:val="16"/>
          <w:szCs w:val="16"/>
          <w:color w:val="auto"/>
        </w:rPr>
        <w:t>35.030 immunization generated a strong antigen-specific antibody response against pTau in 100% of participants, achieving anti-pTau antibody levels of about two orders of magnitude higher than pre-treatment levels, whereas anti-ePHF (enriched paired helical filaments) antibody titers increased by one order of magnitude from baseline as early as two weeks after the second injection at week 8 of the mid-dose of ACI-35.030. Based on these results, the second highest dose cohort was expanded in Q2 2021 to facilitate plans for further late-stage development. The safety and the tolerability have been good in the study, and so far the Data Safety Monitoring Board has stated that the trial may continue without modification. Two serious adverse events (SAEs) (injection site rash and dizziness, each occurring on one occasion) were considered probably/possibly related to the study active immunotherapy while none of the other 6 SAEs that occurred in the study to date were considered to be possibly or probably related to the study active immunotherapy. ACI-35.030 specifically targets pathological pTau species and is eventually intended as a disease-modifying treatment for AD and other Tauopathies.</w:t>
      </w:r>
    </w:p>
    <w:p>
      <w:pPr>
        <w:spacing w:after="0" w:line="176" w:lineRule="exact"/>
        <w:rPr>
          <w:rFonts w:ascii="Arial" w:cs="Arial" w:eastAsia="Arial" w:hAnsi="Arial"/>
          <w:sz w:val="16"/>
          <w:szCs w:val="16"/>
          <w:color w:val="auto"/>
        </w:rPr>
      </w:pPr>
    </w:p>
    <w:p>
      <w:pPr>
        <w:ind w:left="700" w:right="99"/>
        <w:spacing w:after="0" w:line="290" w:lineRule="auto"/>
        <w:rPr>
          <w:rFonts w:ascii="Arial" w:cs="Arial" w:eastAsia="Arial" w:hAnsi="Arial"/>
          <w:sz w:val="16"/>
          <w:szCs w:val="16"/>
          <w:color w:val="auto"/>
        </w:rPr>
      </w:pPr>
      <w:r>
        <w:rPr>
          <w:rFonts w:ascii="Arial" w:cs="Arial" w:eastAsia="Arial" w:hAnsi="Arial"/>
          <w:sz w:val="16"/>
          <w:szCs w:val="16"/>
          <w:color w:val="auto"/>
        </w:rPr>
        <w:t>In Q4 2022, it was announced that, based on the Phase 1b/2a interim data, ACI-35.030 had been selected for further development. New clinical data from the Phase 1b/2a trial showed that ACI-35.030 treatment rapidly leads to the strong and durable induction of antibodies specific for pathological forms of Tau such as pTau and its aggregated form, ePHF. The ACI-35.030-induced antibody response was sustained and could be periodically boosted over a period of 72 weeks. The decision to select ACI-35.030 follows the comparison demonstrating its strengths relative to an alternative anti-pTau protein conjugate active immunotherapy, JACI-35.054.</w:t>
      </w:r>
    </w:p>
    <w:p>
      <w:pPr>
        <w:spacing w:after="0" w:line="164" w:lineRule="exact"/>
        <w:rPr>
          <w:rFonts w:ascii="Arial" w:cs="Arial" w:eastAsia="Arial" w:hAnsi="Arial"/>
          <w:sz w:val="16"/>
          <w:szCs w:val="16"/>
          <w:color w:val="auto"/>
        </w:rPr>
      </w:pPr>
    </w:p>
    <w:p>
      <w:pPr>
        <w:ind w:left="700" w:right="99" w:hanging="326"/>
        <w:spacing w:after="0" w:line="271"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ACI-24.060 for AD and for AD in DS. </w:t>
      </w:r>
      <w:r>
        <w:rPr>
          <w:rFonts w:ascii="Arial" w:cs="Arial" w:eastAsia="Arial" w:hAnsi="Arial"/>
          <w:sz w:val="17"/>
          <w:szCs w:val="17"/>
          <w:color w:val="auto"/>
        </w:rPr>
        <w:t>The original formulation of our wholly-owned anti-amyloid-beta active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immunotherapy was shown to be safe and well tolerated along with preliminary evidence of immunogenicity and pharmacodynamic effects in patients with AD and in people with DS. Based on these results, the optimized formulation, ACI-24.060, which incorporates Abeta unrelated T-helper cell epitopes to increase the magnitude and the boost-ability of the antibody response, was advanced into the ABATE Phase 1b/2 trial.</w:t>
      </w:r>
    </w:p>
    <w:p>
      <w:pPr>
        <w:spacing w:after="0" w:line="178" w:lineRule="exact"/>
        <w:rPr>
          <w:rFonts w:ascii="Arial" w:cs="Arial" w:eastAsia="Arial" w:hAnsi="Arial"/>
          <w:sz w:val="17"/>
          <w:szCs w:val="17"/>
          <w:color w:val="auto"/>
        </w:rPr>
      </w:pPr>
    </w:p>
    <w:p>
      <w:pPr>
        <w:ind w:left="700" w:right="99"/>
        <w:spacing w:after="0" w:line="291" w:lineRule="auto"/>
        <w:rPr>
          <w:rFonts w:ascii="Arial" w:cs="Arial" w:eastAsia="Arial" w:hAnsi="Arial"/>
          <w:sz w:val="17"/>
          <w:szCs w:val="17"/>
          <w:color w:val="auto"/>
        </w:rPr>
      </w:pPr>
      <w:r>
        <w:rPr>
          <w:rFonts w:ascii="Arial" w:cs="Arial" w:eastAsia="Arial" w:hAnsi="Arial"/>
          <w:sz w:val="16"/>
          <w:szCs w:val="16"/>
          <w:color w:val="auto"/>
        </w:rPr>
        <w:t>ABATE is a multicenter, adaptive, double-blind, randomized, placebo-controlled study designed to assess the safety, tolerability, immunogenicity, and pharmacodynamic effects of ACl-24.060 in subjects with prodromal AD and subsequently in adults with DS (NCT05462106). The CTA has been approved by the UK Medicines and Healthcare Products Regulatory Agency (MHRA) and by the Spanish Agency for Medicines and Health Products (AEMPS) with the first patient dosed in Q2 2022. In Q2 2023, AC Immune received Fast Track designation from the U.S. Food and Drug Administration (FDA) for ACI-24.060, for the treatment of AD. This followed FDA clearance of the Investigational New Drug (IND) application enabling expansion of the ABATE study to the USA.</w:t>
      </w:r>
    </w:p>
    <w:p>
      <w:pPr>
        <w:spacing w:after="0" w:line="152" w:lineRule="exact"/>
        <w:rPr>
          <w:rFonts w:ascii="Arial" w:cs="Arial" w:eastAsia="Arial" w:hAnsi="Arial"/>
          <w:sz w:val="17"/>
          <w:szCs w:val="17"/>
          <w:color w:val="auto"/>
        </w:rPr>
      </w:pPr>
    </w:p>
    <w:p>
      <w:pPr>
        <w:ind w:left="700" w:right="99" w:hanging="326"/>
        <w:spacing w:after="0" w:line="273"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ACI-7104.056. </w:t>
      </w:r>
      <w:r>
        <w:rPr>
          <w:rFonts w:ascii="Arial" w:cs="Arial" w:eastAsia="Arial" w:hAnsi="Arial"/>
          <w:sz w:val="17"/>
          <w:szCs w:val="17"/>
          <w:color w:val="auto"/>
        </w:rPr>
        <w:t>The optimized formulation (ACI-7104.056) of the clinically-validated PD active immunotherapy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PD01A, will advance into an adaptive, biomarker-based Phase 2 study following the recent clearance of the CTA. This trial will evaluate an initial dose-response of ACI-7104.056 focusing on safety and immunogenicity against a-syn and pathological a-syn species. Additionally, the identification or verification of disease-specific biomarkers and progression of motor and non-motor symptoms of PD will be monitored, together with digital, imaging and fluid biomarkers, in the second part of the study. The trial was recently initiated.</w:t>
      </w:r>
    </w:p>
    <w:p>
      <w:pPr>
        <w:spacing w:after="0" w:line="173" w:lineRule="exact"/>
        <w:rPr>
          <w:rFonts w:ascii="Arial" w:cs="Arial" w:eastAsia="Arial" w:hAnsi="Arial"/>
          <w:sz w:val="17"/>
          <w:szCs w:val="17"/>
          <w:color w:val="auto"/>
        </w:rPr>
      </w:pPr>
    </w:p>
    <w:p>
      <w:pPr>
        <w:ind w:left="700" w:right="119" w:hanging="326"/>
        <w:spacing w:after="0" w:line="288"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Semorinemab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collaboration partner, Genentech, a member of the Roche Group, is developing semorinemab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treatment of AD. A Phase 2 study (Lauriet) conducted in patients with mild-to-moderate AD was completed in Q3 2021 and data showed a statistically significant reduction on one of two co-primary endpoints, ADAS-Cog11. The second co-primary endpoint, ADCS-ADL, and secondary endpoints were not met. Safety data showed that semorinemab is well tolerated with no unanticipated safety signals. At CTAD 2022, Genentech presented CSF and plasma biomarkers. These data confirmed peripheral target engagement and reduction in CSF total Tau, pTau181 and pTau217, observed after semorinemab treatment but not with placebo. Genentech reported that the open label portion of the study will continue as planned and that further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700" w:right="419"/>
        <w:spacing w:after="0" w:line="277" w:lineRule="auto"/>
        <w:rPr>
          <w:sz w:val="20"/>
          <w:szCs w:val="20"/>
          <w:color w:val="auto"/>
        </w:rPr>
      </w:pPr>
      <w:r>
        <w:rPr>
          <w:rFonts w:ascii="Arial" w:cs="Arial" w:eastAsia="Arial" w:hAnsi="Arial"/>
          <w:sz w:val="18"/>
          <w:szCs w:val="18"/>
          <w:color w:val="auto"/>
        </w:rPr>
        <w:t>analyses are ongoing. Semorinemab is designed to slow the spreading of Tau pathology, which coincides with both clinical symptoms and disease progression in AD.</w:t>
      </w:r>
    </w:p>
    <w:p>
      <w:pPr>
        <w:spacing w:after="0" w:line="170" w:lineRule="exact"/>
        <w:rPr>
          <w:sz w:val="20"/>
          <w:szCs w:val="20"/>
          <w:color w:val="auto"/>
        </w:rPr>
      </w:pPr>
    </w:p>
    <w:p>
      <w:pPr>
        <w:ind w:left="700" w:right="119" w:hanging="326"/>
        <w:spacing w:after="0" w:line="26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Crenezumab. </w:t>
      </w:r>
      <w:r>
        <w:rPr>
          <w:rFonts w:ascii="Arial" w:cs="Arial" w:eastAsia="Arial" w:hAnsi="Arial"/>
          <w:sz w:val="17"/>
          <w:szCs w:val="17"/>
          <w:color w:val="auto"/>
        </w:rPr>
        <w:t>In Q3 2022, the Company provided an update on the Alzheimer’s Prevention Initiative study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evaluating crenezumab in autosomal dominant AD, a specific genetic mutation which causes early-onset AD. While numerical differences favoring crenezumab over placebo were observed across the co-primary, multiple secondary and exploratory endpoints, none of these effects were statistically significant. Initial data was presented at the Alzheimer's Association International Conference (AAIC) on August 2, 2022. Further plasma biomarker analyses presented at the CTAD 2022 conference further favored crenezumab over placebo. All participants in the study were offered up to one year of continued treatment (crenezumab for all carriers and placebo for all non-carrier) following the end of the double-blind period while primary results and additional analyses were pending. Final efficacy visits are ongoing.</w:t>
      </w:r>
    </w:p>
    <w:p>
      <w:pPr>
        <w:spacing w:after="0" w:line="168" w:lineRule="exact"/>
        <w:rPr>
          <w:rFonts w:ascii="Arial" w:cs="Arial" w:eastAsia="Arial" w:hAnsi="Arial"/>
          <w:sz w:val="17"/>
          <w:szCs w:val="17"/>
          <w:color w:val="auto"/>
        </w:rPr>
      </w:pPr>
    </w:p>
    <w:p>
      <w:pPr>
        <w:ind w:left="700" w:right="59" w:hanging="326"/>
        <w:spacing w:after="0" w:line="293"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Morphomer Tau aggregation inhibitors. </w:t>
      </w:r>
      <w:r>
        <w:rPr>
          <w:rFonts w:ascii="Arial" w:cs="Arial" w:eastAsia="Arial" w:hAnsi="Arial"/>
          <w:sz w:val="16"/>
          <w:szCs w:val="16"/>
          <w:color w:val="auto"/>
        </w:rPr>
        <w:t>In collaboration with our partner, Lilly, we are researching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small molecule Tau aggregation inhibitors with plans to evaluate candidates in AD and NeuroOrphan tauopathies. We completed a Phase 1 clinical study in healthy volunteers with ACI-3024, in Q2 2020, which showed a dose-dependent exposure and brain penetration, achieving the desired levels of ACI-3024 in the CSF. Continued candidate characterization across the research program has also identified new and highly differentiated candidates with excellent cerebrospinal fluid exposure and selectivity for pathological aggregated Tau.</w:t>
      </w:r>
    </w:p>
    <w:p>
      <w:pPr>
        <w:spacing w:after="0" w:line="160" w:lineRule="exact"/>
        <w:rPr>
          <w:rFonts w:ascii="Arial" w:cs="Arial" w:eastAsia="Arial" w:hAnsi="Arial"/>
          <w:sz w:val="16"/>
          <w:szCs w:val="16"/>
          <w:color w:val="auto"/>
        </w:rPr>
      </w:pPr>
    </w:p>
    <w:p>
      <w:pPr>
        <w:ind w:left="700" w:right="119" w:hanging="326"/>
        <w:spacing w:after="0" w:line="288"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PI-2620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PI-2620 is the Tau-PET imaging agent discovered during the collaboration of AC Immune and LMI.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results, LMI moved PI-2620 into late-stage clinical development in AD and made a milestone payment. The first Alzheimer’s patient in ADvance, the pivotal Phase 3 histopathology study in AD (NCT05641688), was imaged in January 2023.</w:t>
      </w:r>
    </w:p>
    <w:p>
      <w:pPr>
        <w:spacing w:after="0" w:line="154" w:lineRule="exact"/>
        <w:rPr>
          <w:rFonts w:ascii="Arial" w:cs="Arial" w:eastAsia="Arial" w:hAnsi="Arial"/>
          <w:sz w:val="16"/>
          <w:szCs w:val="16"/>
          <w:color w:val="auto"/>
        </w:rPr>
      </w:pPr>
    </w:p>
    <w:p>
      <w:pPr>
        <w:ind w:left="700" w:right="179" w:hanging="326"/>
        <w:spacing w:after="0" w:line="26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ACI-12589. </w:t>
      </w:r>
      <w:r>
        <w:rPr>
          <w:rFonts w:ascii="Arial" w:cs="Arial" w:eastAsia="Arial" w:hAnsi="Arial"/>
          <w:sz w:val="17"/>
          <w:szCs w:val="17"/>
          <w:color w:val="auto"/>
        </w:rPr>
        <w:t>Our next-generation a-syn-PET imaging tracer, ACI-12589, derived from our Morphomer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shown significant potential to reliably detect and map deposits of pathological alpha-synuclein protein in the brain. Supported by the Michael J. Fox Foundation for Parkinson’s Research (MJFF), ACI-12589 completed a first-in-human study and an investigator-initiated study in 2022. The readouts of these trials in patients with PD, multiple system atrophy (MSA) and other synucleinopathies were reported at the AD/PD and AAIC 2022 conferences. These images provided the first clinical proof-of-concept for an a-syn-PET tracer, as ACI-12589 clearly distinguished patients with MSA from those with other alpha-synucleinopathies and healthy controls. Moreover, our Morphomer platform is delivering additional candidates with improved binding properties and the potential to image a-syn pathology in patients with PD.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2023 Company Highlights</w:t>
      </w:r>
    </w:p>
    <w:p>
      <w:pPr>
        <w:spacing w:after="0" w:line="229" w:lineRule="exact"/>
        <w:rPr>
          <w:sz w:val="20"/>
          <w:szCs w:val="20"/>
          <w:color w:val="auto"/>
        </w:rPr>
      </w:pPr>
    </w:p>
    <w:p>
      <w:pPr>
        <w:ind w:left="700" w:right="1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Fast Track designation from the U.S. Food and Drug Administration (FDA) for ACI-24.060, AC Immune’s wholly-owned SupraAntigen®-based anti-Abeta active immunotherapy candidate, for the treatment of AD.</w:t>
      </w:r>
    </w:p>
    <w:p>
      <w:pPr>
        <w:spacing w:after="0" w:line="183" w:lineRule="exact"/>
        <w:rPr>
          <w:rFonts w:ascii="Arial" w:cs="Arial" w:eastAsia="Arial" w:hAnsi="Arial"/>
          <w:sz w:val="18"/>
          <w:szCs w:val="18"/>
          <w:color w:val="auto"/>
        </w:rPr>
      </w:pPr>
    </w:p>
    <w:p>
      <w:pPr>
        <w:ind w:left="700" w:right="37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Ongoing Phase 1b/2 ABATE study of ACI-24.060 in patients with AD and individuals with DS is on track and expanding to sites in the USA following FDA Investigational New Drug (IND) clearance.</w:t>
      </w:r>
    </w:p>
    <w:p>
      <w:pPr>
        <w:spacing w:after="0" w:line="156" w:lineRule="exact"/>
        <w:rPr>
          <w:rFonts w:ascii="Arial" w:cs="Arial" w:eastAsia="Arial" w:hAnsi="Arial"/>
          <w:sz w:val="18"/>
          <w:szCs w:val="18"/>
          <w:color w:val="auto"/>
        </w:rPr>
      </w:pP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participant with DS was dosed in the Phase 1b/2 ABATE trial.</w:t>
      </w:r>
    </w:p>
    <w:p>
      <w:pPr>
        <w:spacing w:after="0" w:line="225" w:lineRule="exact"/>
        <w:rPr>
          <w:rFonts w:ascii="Arial" w:cs="Arial" w:eastAsia="Arial" w:hAnsi="Arial"/>
          <w:sz w:val="18"/>
          <w:szCs w:val="18"/>
          <w:color w:val="auto"/>
        </w:rPr>
      </w:pPr>
    </w:p>
    <w:p>
      <w:pPr>
        <w:ind w:left="700" w:right="779" w:hanging="326"/>
        <w:spacing w:after="0" w:line="30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first patient with Parkinson’s disease was dosed in the Phase 2 VacSYn clinical trial evaluating ACI-7104.056, AC Immune’s wholly-owned anti-alpha-synuclein (a-syn) active immunotherapy.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700" w:right="179" w:hanging="326"/>
        <w:spacing w:after="0" w:line="279"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Several programs were showcased at the annual Alzheimer’s Association International Conference (AAIC 2023), which included a poster detailing ABATE’s trial design, a “Perspectives Session” focused on TDP-43 proteinopathy in neurodegenerative diseases organized by AC Immune scientists, and an oral presentation showing detailed data on ACI-12589, a novel positron emission tomography (PET) tracer targeting a-syn.</w:t>
      </w:r>
    </w:p>
    <w:p>
      <w:pPr>
        <w:spacing w:after="0" w:line="157" w:lineRule="exact"/>
        <w:rPr>
          <w:rFonts w:ascii="Arial" w:cs="Arial" w:eastAsia="Arial" w:hAnsi="Arial"/>
          <w:sz w:val="17"/>
          <w:szCs w:val="17"/>
          <w:color w:val="auto"/>
        </w:rPr>
      </w:pPr>
    </w:p>
    <w:p>
      <w:pPr>
        <w:ind w:left="700" w:right="259" w:hanging="326"/>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TDP-43-PET tracer program has progressed as planned and a clinical candidate has been selected. Over the coming months further preclinical work will be completed to permit the initiation of a first in human study in 2024.</w:t>
      </w:r>
    </w:p>
    <w:p>
      <w:pPr>
        <w:spacing w:after="0" w:line="183" w:lineRule="exact"/>
        <w:rPr>
          <w:rFonts w:ascii="Arial" w:cs="Arial" w:eastAsia="Arial" w:hAnsi="Arial"/>
          <w:sz w:val="18"/>
          <w:szCs w:val="18"/>
          <w:color w:val="auto"/>
        </w:rPr>
      </w:pPr>
    </w:p>
    <w:p>
      <w:pPr>
        <w:ind w:left="700" w:right="53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peer-reviewed paper describing our therapeutic antibody candidate targeting TDP-43 was published in the journal ‘mAbs’.</w:t>
      </w:r>
    </w:p>
    <w:p>
      <w:pPr>
        <w:spacing w:after="0" w:line="170" w:lineRule="exact"/>
        <w:rPr>
          <w:rFonts w:ascii="Arial" w:cs="Arial" w:eastAsia="Arial" w:hAnsi="Arial"/>
          <w:sz w:val="18"/>
          <w:szCs w:val="18"/>
          <w:color w:val="auto"/>
        </w:rPr>
      </w:pPr>
    </w:p>
    <w:p>
      <w:pPr>
        <w:ind w:left="700" w:right="219" w:hanging="326"/>
        <w:spacing w:after="0" w:line="25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Initiated a research collaboration with Prof. Michael Heneka, director of the Luxembourg Centre for Systems Biomedicine, University of Luxembourg, to further evaluate the therapeutic potential of AC Immune’s SupraAntigen®- and Morphomer®-derived inhibitors of the NLRP3-ASC inflammasome pathway in preclinical disease models.</w:t>
      </w:r>
    </w:p>
    <w:p>
      <w:pPr>
        <w:spacing w:after="0" w:line="190" w:lineRule="exact"/>
        <w:rPr>
          <w:rFonts w:ascii="Arial" w:cs="Arial" w:eastAsia="Arial" w:hAnsi="Arial"/>
          <w:sz w:val="18"/>
          <w:szCs w:val="18"/>
          <w:color w:val="auto"/>
        </w:rPr>
      </w:pPr>
    </w:p>
    <w:p>
      <w:pPr>
        <w:jc w:val="both"/>
        <w:ind w:left="700" w:right="399" w:hanging="326"/>
        <w:spacing w:after="0" w:line="286"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Hosted a webinar on early diagnosis and prevention of AD featuring presentations by key opinion leaders Kaj Blennow, MD, PhD, of University of Gothenburg and Sahlgrenska University Hospital, and Giovanni Frisoni, MD, of University of Geneva and the Memory Clinic at Geneva University Hospital.</w:t>
      </w:r>
    </w:p>
    <w:p>
      <w:pPr>
        <w:spacing w:after="0" w:line="165" w:lineRule="exact"/>
        <w:rPr>
          <w:rFonts w:ascii="Arial" w:cs="Arial" w:eastAsia="Arial" w:hAnsi="Arial"/>
          <w:sz w:val="17"/>
          <w:szCs w:val="17"/>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the appointment of new Chief Medical Officer, Nuno Mendonça, MD.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revenues</w:t>
      </w:r>
    </w:p>
    <w:p>
      <w:pPr>
        <w:spacing w:after="0" w:line="225" w:lineRule="exact"/>
        <w:rPr>
          <w:sz w:val="20"/>
          <w:szCs w:val="20"/>
          <w:color w:val="auto"/>
        </w:rPr>
      </w:pPr>
    </w:p>
    <w:p>
      <w:pPr>
        <w:ind w:left="60" w:right="999" w:firstLine="324"/>
        <w:spacing w:after="0" w:line="277" w:lineRule="auto"/>
        <w:rPr>
          <w:sz w:val="20"/>
          <w:szCs w:val="20"/>
          <w:color w:val="auto"/>
        </w:rPr>
      </w:pPr>
      <w:r>
        <w:rPr>
          <w:rFonts w:ascii="Arial" w:cs="Arial" w:eastAsia="Arial" w:hAnsi="Arial"/>
          <w:sz w:val="18"/>
          <w:szCs w:val="18"/>
          <w:color w:val="auto"/>
        </w:rPr>
        <w:t>The Company generated no contract revenues for the three and six months ended June 30, 2023 and 2022,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39" w:firstLine="324"/>
        <w:spacing w:after="0" w:line="296" w:lineRule="auto"/>
        <w:rPr>
          <w:sz w:val="20"/>
          <w:szCs w:val="20"/>
          <w:color w:val="auto"/>
        </w:rPr>
      </w:pPr>
      <w:r>
        <w:rPr>
          <w:rFonts w:ascii="Arial" w:cs="Arial" w:eastAsia="Arial" w:hAnsi="Arial"/>
          <w:sz w:val="16"/>
          <w:szCs w:val="16"/>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59"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We have completed our R&amp;D spending in both of our Genentech collaborations. Additionally, we have completed our co-development costs with Janssen for the Phase 1b/2a studies for our active immunotherapy, ACI-35.030 and JACI-</w:t>
      </w:r>
    </w:p>
    <w:p>
      <w:pPr>
        <w:ind w:left="60" w:right="259"/>
        <w:spacing w:after="0" w:line="277" w:lineRule="auto"/>
        <w:rPr>
          <w:sz w:val="20"/>
          <w:szCs w:val="20"/>
          <w:color w:val="auto"/>
        </w:rPr>
      </w:pPr>
      <w:r>
        <w:rPr>
          <w:rFonts w:ascii="Arial" w:cs="Arial" w:eastAsia="Arial" w:hAnsi="Arial"/>
          <w:sz w:val="17"/>
          <w:szCs w:val="17"/>
          <w:color w:val="auto"/>
        </w:rPr>
        <w:t>35.054.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w:t>
      </w:r>
    </w:p>
    <w:p>
      <w:pPr>
        <w:spacing w:after="0" w:line="173" w:lineRule="exact"/>
        <w:rPr>
          <w:sz w:val="20"/>
          <w:szCs w:val="20"/>
          <w:color w:val="auto"/>
        </w:rPr>
      </w:pPr>
    </w:p>
    <w:p>
      <w:pPr>
        <w:ind w:left="60" w:right="379" w:firstLine="324"/>
        <w:spacing w:after="0" w:line="256" w:lineRule="auto"/>
        <w:rPr>
          <w:sz w:val="20"/>
          <w:szCs w:val="20"/>
          <w:color w:val="auto"/>
        </w:rPr>
      </w:pPr>
      <w:r>
        <w:rPr>
          <w:rFonts w:ascii="Arial" w:cs="Arial" w:eastAsia="Arial" w:hAnsi="Arial"/>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investments in our diagnostic programs.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Finally, we intend to further the characterization of our other clinical and preclinical candidates, such as our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Morphomer Tau program. In addition to these arrangements and proprietarily held assets, we expect that our total future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R&amp;D costs will increase over current levels, in line with our three-pillar strategy that focuses on (i) AD, (ii) focused non-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 NDD including PD, ALS and NeuroOrphan indications and (iii) diagnostics.</w:t>
      </w:r>
    </w:p>
    <w:p>
      <w:pPr>
        <w:spacing w:after="0" w:line="211" w:lineRule="exact"/>
        <w:rPr>
          <w:sz w:val="20"/>
          <w:szCs w:val="20"/>
          <w:color w:val="auto"/>
        </w:rPr>
      </w:pPr>
    </w:p>
    <w:p>
      <w:pPr>
        <w:ind w:left="60" w:right="199" w:firstLine="324"/>
        <w:spacing w:after="0" w:line="324" w:lineRule="auto"/>
        <w:rPr>
          <w:sz w:val="20"/>
          <w:szCs w:val="20"/>
          <w:color w:val="auto"/>
        </w:rPr>
      </w:pPr>
      <w:r>
        <w:rPr>
          <w:rFonts w:ascii="Arial" w:cs="Arial" w:eastAsia="Arial" w:hAnsi="Arial"/>
          <w:sz w:val="16"/>
          <w:szCs w:val="16"/>
          <w:color w:val="auto"/>
        </w:rPr>
        <w:t>The table below provides a breakdown of our R&amp;D costs, including direct R&amp;D costs, manufacturing costs related to R&amp;D and other R&amp;D costs not allocated directly to programs for the periods covered by these Interim Condensed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60" w:right="439"/>
        <w:spacing w:after="0" w:line="253" w:lineRule="auto"/>
        <w:rPr>
          <w:sz w:val="20"/>
          <w:szCs w:val="20"/>
          <w:color w:val="auto"/>
        </w:rPr>
      </w:pPr>
      <w:r>
        <w:rPr>
          <w:rFonts w:ascii="Arial" w:cs="Arial" w:eastAsia="Arial" w:hAnsi="Arial"/>
          <w:sz w:val="18"/>
          <w:szCs w:val="18"/>
          <w:color w:val="auto"/>
        </w:rPr>
        <w:t>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19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For the three months ended June 30, 2023, R&amp;D expenses totaled CHF 13.7 million compared with CHF 15.7 million for the comparable period in 2022, respectively. This represents a decrease of CHF 2.0 million. The following table presents the R&amp;D expenses during the three months ended June 30, 2023 and 2022:</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8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80" w:type="dxa"/>
            <w:vAlign w:val="bottom"/>
            <w:vMerge w:val="restart"/>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180" w:type="dxa"/>
            <w:vAlign w:val="bottom"/>
          </w:tcPr>
          <w:p>
            <w:pPr>
              <w:spacing w:after="0"/>
              <w:rPr>
                <w:sz w:val="16"/>
                <w:szCs w:val="16"/>
                <w:color w:val="auto"/>
              </w:rPr>
            </w:pP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Discovery and preclinical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Clinical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3,159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Group function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direct R&amp;D expenses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8,069</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3"/>
        </w:trPr>
        <w:tc>
          <w:tcPr>
            <w:tcW w:w="62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Payroll expenses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4,743</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Share-based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non-allocated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9"/>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R&amp;D expenses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13,682</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auto"/>
            </w:tcBorders>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260" w:type="dxa"/>
            <w:vAlign w:val="bottom"/>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9"/>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R&amp;D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spacing w:after="0" w:line="1" w:lineRule="exact"/>
        <w:rPr>
          <w:sz w:val="20"/>
          <w:szCs w:val="20"/>
          <w:color w:val="auto"/>
        </w:rPr>
      </w:pPr>
    </w:p>
    <w:p>
      <w:pPr>
        <w:ind w:left="60" w:right="5479" w:hanging="10"/>
        <w:spacing w:after="0" w:line="471" w:lineRule="auto"/>
        <w:tabs>
          <w:tab w:leader="none" w:pos="384" w:val="left"/>
        </w:tabs>
        <w:numPr>
          <w:ilvl w:val="0"/>
          <w:numId w:val="14"/>
        </w:numPr>
        <w:rPr>
          <w:rFonts w:ascii="Arial" w:cs="Arial" w:eastAsia="Arial" w:hAnsi="Arial"/>
          <w:sz w:val="22"/>
          <w:szCs w:val="22"/>
          <w:color w:val="auto"/>
          <w:vertAlign w:val="superscript"/>
        </w:rPr>
      </w:pPr>
      <w:r>
        <w:rPr>
          <w:rFonts w:ascii="Arial" w:cs="Arial" w:eastAsia="Arial" w:hAnsi="Arial"/>
          <w:sz w:val="15"/>
          <w:szCs w:val="15"/>
          <w:color w:val="auto"/>
        </w:rPr>
        <w:t>Includes share-based compensation expense For the three months ended June 30, 2023:</w:t>
      </w:r>
    </w:p>
    <w:p>
      <w:pPr>
        <w:ind w:left="380"/>
        <w:spacing w:after="0"/>
        <w:rPr>
          <w:rFonts w:ascii="Arial" w:cs="Arial" w:eastAsia="Arial" w:hAnsi="Arial"/>
          <w:sz w:val="22"/>
          <w:szCs w:val="22"/>
          <w:color w:val="auto"/>
          <w:vertAlign w:val="superscript"/>
        </w:rPr>
      </w:pPr>
      <w:r>
        <w:rPr>
          <w:rFonts w:ascii="Arial" w:cs="Arial" w:eastAsia="Arial" w:hAnsi="Arial"/>
          <w:sz w:val="18"/>
          <w:szCs w:val="18"/>
          <w:color w:val="auto"/>
        </w:rPr>
        <w:t>Discovery and preclinical expenses decreased by CHF 2.1 million, primarily due to:</w:t>
      </w:r>
    </w:p>
    <w:p>
      <w:pPr>
        <w:spacing w:after="0" w:line="225" w:lineRule="exact"/>
        <w:rPr>
          <w:sz w:val="20"/>
          <w:szCs w:val="20"/>
          <w:color w:val="auto"/>
        </w:rPr>
      </w:pPr>
    </w:p>
    <w:p>
      <w:pPr>
        <w:ind w:left="700" w:right="119" w:hanging="326"/>
        <w:spacing w:after="0" w:line="301"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decrease in ACI-24.060 for DS of CHF 0.5 million due to the completion of the preclinical development costs for the optimized formulation which has been advanced into the Company’s Phase 1b/2 ABATE study, CHF 0.4 million for a reduced number of preclinical studies for our Morphomer Tau program and CHF 1.2 million in other discovery and preclinical programs, including neuroinflammation programs and our anti-TDP-43 antibody.</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Clinical expenses decreased by CHF 0.2 million, primarily due to:</w:t>
      </w:r>
    </w:p>
    <w:p>
      <w:pPr>
        <w:spacing w:after="0" w:line="225" w:lineRule="exact"/>
        <w:rPr>
          <w:sz w:val="20"/>
          <w:szCs w:val="20"/>
          <w:color w:val="auto"/>
        </w:rPr>
      </w:pPr>
    </w:p>
    <w:p>
      <w:pPr>
        <w:ind w:left="700" w:right="79" w:hanging="326"/>
        <w:spacing w:after="0" w:line="25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CHF 1.4 million for the clinical development of ACI-35.030 driven by timing of activities across various cohorts started in prior years in the ongoing Phase 1b/2a study and expenses associated with the R&amp;D cost sharing.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700" w:right="39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CHF 1.1 million for the initiation of our Phase 1b/2 ABATE study for ACI-24.060 and CHF 0.1 million for the clinical development of our ACI-7104.056 in the Phase 2 VacSYn study.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variances in Group function expenses relate to regulatory and quality assurance, and intellectual property costs.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variances in Other non-allocated expenses relate to infrastructure and functional expenses not allocated to direct</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R&amp;D expenses.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380"/>
        <w:spacing w:after="0"/>
        <w:rPr>
          <w:sz w:val="20"/>
          <w:szCs w:val="20"/>
          <w:color w:val="auto"/>
        </w:rPr>
      </w:pPr>
      <w:r>
        <w:rPr>
          <w:rFonts w:ascii="Arial" w:cs="Arial" w:eastAsia="Arial" w:hAnsi="Arial"/>
          <w:sz w:val="18"/>
          <w:szCs w:val="18"/>
          <w:color w:val="auto"/>
        </w:rPr>
        <w:t>Total salaries and related costs increased by CHF 0.5 million, primarily due to:</w:t>
      </w:r>
    </w:p>
    <w:p>
      <w:pPr>
        <w:spacing w:after="0" w:line="225" w:lineRule="exact"/>
        <w:rPr>
          <w:sz w:val="20"/>
          <w:szCs w:val="20"/>
          <w:color w:val="auto"/>
        </w:rPr>
      </w:pPr>
    </w:p>
    <w:p>
      <w:pPr>
        <w:ind w:left="700" w:right="25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0.3 million, as well as an incremental CHF 0.2 million in share-based compensation expense, primarily related to the annualization of 2022 hires.</w:t>
      </w:r>
    </w:p>
    <w:p>
      <w:pPr>
        <w:spacing w:after="0" w:line="170" w:lineRule="exact"/>
        <w:rPr>
          <w:sz w:val="20"/>
          <w:szCs w:val="20"/>
          <w:color w:val="auto"/>
        </w:rPr>
      </w:pPr>
    </w:p>
    <w:p>
      <w:pPr>
        <w:jc w:val="both"/>
        <w:ind w:left="60" w:right="279" w:firstLine="324"/>
        <w:spacing w:after="0" w:line="256" w:lineRule="auto"/>
        <w:rPr>
          <w:sz w:val="20"/>
          <w:szCs w:val="20"/>
          <w:color w:val="auto"/>
        </w:rPr>
      </w:pPr>
      <w:r>
        <w:rPr>
          <w:rFonts w:ascii="Arial" w:cs="Arial" w:eastAsia="Arial" w:hAnsi="Arial"/>
          <w:sz w:val="18"/>
          <w:szCs w:val="18"/>
          <w:color w:val="auto"/>
        </w:rPr>
        <w:t>For the six months ended June 30, 2023, R&amp;D expenses totaled CHF 27.6 million compared with CHF 30.8 million for the comparable period in 2022. This represents a decrease of CHF 3.2 million. The following table presents the R&amp;D expenses during the six months ended June 30, 2023 and 2022:</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2"/>
        </w:trPr>
        <w:tc>
          <w:tcPr>
            <w:tcW w:w="2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2"/>
        </w:trPr>
        <w:tc>
          <w:tcPr>
            <w:tcW w:w="6080" w:type="dxa"/>
            <w:vAlign w:val="bottom"/>
            <w:tcBorders>
              <w:bottom w:val="single" w:sz="8" w:color="auto"/>
            </w:tcBorders>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Change</w:t>
            </w:r>
          </w:p>
        </w:tc>
      </w:tr>
      <w:tr>
        <w:trPr>
          <w:trHeight w:val="209"/>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Discovery and preclinical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Clinical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5,898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Group function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direct R&amp;D expenses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11,439</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15,839</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(4,400)</w:t>
            </w: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Payroll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Share-based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1,217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03"/>
        </w:trPr>
        <w:tc>
          <w:tcPr>
            <w:tcW w:w="626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non-allocated</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4,926</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5,136</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r>
      <w:tr>
        <w:trPr>
          <w:trHeight w:val="209"/>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R&amp;D expenses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27,555</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30,815</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3"/>
        </w:trPr>
        <w:tc>
          <w:tcPr>
            <w:tcW w:w="2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2"/>
        </w:trPr>
        <w:tc>
          <w:tcPr>
            <w:tcW w:w="2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6"/>
        </w:trPr>
        <w:tc>
          <w:tcPr>
            <w:tcW w:w="6260" w:type="dxa"/>
            <w:vAlign w:val="bottom"/>
            <w:gridSpan w:val="3"/>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96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5"/>
              <w:spacing w:after="0"/>
              <w:rPr>
                <w:sz w:val="20"/>
                <w:szCs w:val="20"/>
                <w:color w:val="auto"/>
              </w:rPr>
            </w:pPr>
            <w:r>
              <w:rPr>
                <w:rFonts w:ascii="Arial" w:cs="Arial" w:eastAsia="Arial" w:hAnsi="Arial"/>
                <w:sz w:val="14"/>
                <w:szCs w:val="14"/>
                <w:b w:val="1"/>
                <w:bCs w:val="1"/>
                <w:color w:val="auto"/>
              </w:rPr>
              <w:t>Change</w:t>
            </w:r>
          </w:p>
        </w:tc>
      </w:tr>
      <w:tr>
        <w:trPr>
          <w:trHeight w:val="209"/>
        </w:trPr>
        <w:tc>
          <w:tcPr>
            <w:tcW w:w="608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r>
      <w:tr>
        <w:trPr>
          <w:trHeight w:val="203"/>
        </w:trPr>
        <w:tc>
          <w:tcPr>
            <w:tcW w:w="6260" w:type="dxa"/>
            <w:vAlign w:val="bottom"/>
            <w:gridSpan w:val="3"/>
          </w:tcPr>
          <w:p>
            <w:pPr>
              <w:ind w:left="20"/>
              <w:spacing w:after="0" w:line="202" w:lineRule="exact"/>
              <w:rPr>
                <w:sz w:val="20"/>
                <w:szCs w:val="20"/>
                <w:color w:val="auto"/>
              </w:rPr>
            </w:pPr>
            <w:r>
              <w:rPr>
                <w:rFonts w:ascii="Arial" w:cs="Arial" w:eastAsia="Arial" w:hAnsi="Arial"/>
                <w:sz w:val="16"/>
                <w:szCs w:val="16"/>
                <w:color w:val="auto"/>
              </w:rPr>
              <w:t>Salaries and related costs</w:t>
            </w:r>
            <w:r>
              <w:rPr>
                <w:rFonts w:ascii="Arial" w:cs="Arial" w:eastAsia="Arial" w:hAnsi="Arial"/>
                <w:sz w:val="23"/>
                <w:szCs w:val="23"/>
                <w:color w:val="auto"/>
                <w:vertAlign w:val="superscript"/>
              </w:rPr>
              <w:t>2</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11,190</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9,840</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1,350</w:t>
            </w:r>
          </w:p>
        </w:tc>
      </w:tr>
      <w:tr>
        <w:trPr>
          <w:trHeight w:val="250"/>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R&amp;D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w:t>
            </w:r>
          </w:p>
        </w:tc>
      </w:tr>
      <w:tr>
        <w:trPr>
          <w:trHeight w:val="95"/>
        </w:trPr>
        <w:tc>
          <w:tcPr>
            <w:tcW w:w="2240" w:type="dxa"/>
            <w:vAlign w:val="bottom"/>
            <w:tcBorders>
              <w:top w:val="single" w:sz="8" w:color="CCEEFF"/>
              <w:bottom w:val="single" w:sz="8" w:color="auto"/>
            </w:tcBorders>
          </w:tcPr>
          <w:p>
            <w:pPr>
              <w:spacing w:after="0"/>
              <w:rPr>
                <w:sz w:val="8"/>
                <w:szCs w:val="8"/>
                <w:color w:val="auto"/>
              </w:rPr>
            </w:pPr>
          </w:p>
        </w:tc>
        <w:tc>
          <w:tcPr>
            <w:tcW w:w="38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r>
    </w:tbl>
    <w:p>
      <w:pPr>
        <w:ind w:left="380" w:hanging="330"/>
        <w:spacing w:after="0" w:line="229" w:lineRule="auto"/>
        <w:tabs>
          <w:tab w:leader="none" w:pos="38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spacing w:after="0" w:line="2" w:lineRule="exact"/>
        <w:rPr>
          <w:sz w:val="20"/>
          <w:szCs w:val="20"/>
          <w:color w:val="auto"/>
        </w:rPr>
      </w:pPr>
    </w:p>
    <w:p>
      <w:pPr>
        <w:ind w:left="60" w:right="5479" w:hanging="10"/>
        <w:spacing w:after="0" w:line="478" w:lineRule="auto"/>
        <w:tabs>
          <w:tab w:leader="none" w:pos="384"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Includes share-based compensation expense For the six months ended June 30, 2023:</w:t>
      </w:r>
    </w:p>
    <w:p>
      <w:pPr>
        <w:spacing w:after="0" w:line="1" w:lineRule="exact"/>
        <w:rPr>
          <w:rFonts w:ascii="Arial" w:cs="Arial" w:eastAsia="Arial" w:hAnsi="Arial"/>
          <w:sz w:val="22"/>
          <w:szCs w:val="22"/>
          <w:color w:val="auto"/>
          <w:vertAlign w:val="superscript"/>
        </w:rPr>
      </w:pPr>
    </w:p>
    <w:p>
      <w:pPr>
        <w:ind w:left="380"/>
        <w:spacing w:after="0"/>
        <w:rPr>
          <w:rFonts w:ascii="Arial" w:cs="Arial" w:eastAsia="Arial" w:hAnsi="Arial"/>
          <w:sz w:val="22"/>
          <w:szCs w:val="22"/>
          <w:color w:val="auto"/>
          <w:vertAlign w:val="superscript"/>
        </w:rPr>
      </w:pPr>
      <w:r>
        <w:rPr>
          <w:rFonts w:ascii="Arial" w:cs="Arial" w:eastAsia="Arial" w:hAnsi="Arial"/>
          <w:sz w:val="18"/>
          <w:szCs w:val="18"/>
          <w:color w:val="auto"/>
        </w:rPr>
        <w:t>Discovery and preclinical expenses decreased by CHF 4.0 million, primarily due to:</w:t>
      </w:r>
    </w:p>
    <w:p>
      <w:pPr>
        <w:spacing w:after="0" w:line="225" w:lineRule="exact"/>
        <w:rPr>
          <w:sz w:val="20"/>
          <w:szCs w:val="20"/>
          <w:color w:val="auto"/>
        </w:rPr>
      </w:pPr>
    </w:p>
    <w:p>
      <w:pPr>
        <w:ind w:left="700" w:right="119" w:hanging="326"/>
        <w:spacing w:after="0" w:line="29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of CHF 0.9 million for a reduced number of preclinical studies for our Morphomer Tau program, CHF 0.8 million in ACI-24.060 for DS due to the completion of the preclinical development costs for the optimized formulation which has been advanced into the Company’s Phase 1b/2 ABATE study and CHF 2.3 million in other discovery and preclinical programs, including neuroinflammation programs and our anti-TDP-43 antibody.</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Clinical expenses decreased by CHF 0.5 million, primarily due to:</w:t>
      </w:r>
    </w:p>
    <w:p>
      <w:pPr>
        <w:spacing w:after="0" w:line="225" w:lineRule="exact"/>
        <w:rPr>
          <w:sz w:val="20"/>
          <w:szCs w:val="20"/>
          <w:color w:val="auto"/>
        </w:rPr>
      </w:pPr>
    </w:p>
    <w:p>
      <w:pPr>
        <w:ind w:left="700" w:right="79" w:hanging="326"/>
        <w:spacing w:after="0" w:line="263"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CHF 2.8 million for the clinical development of ACI-35.030 driven by timing of activities across various cohorts started in prior years in the ongoing Phase 1b/2a study and expenses associated with the R&amp;D cost sharing.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was partially offset by:</w:t>
      </w:r>
    </w:p>
    <w:p>
      <w:pPr>
        <w:spacing w:after="0" w:line="225" w:lineRule="exact"/>
        <w:rPr>
          <w:sz w:val="20"/>
          <w:szCs w:val="20"/>
          <w:color w:val="auto"/>
        </w:rPr>
      </w:pPr>
    </w:p>
    <w:p>
      <w:pPr>
        <w:ind w:left="700" w:right="119" w:hanging="326"/>
        <w:spacing w:after="0" w:line="263"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CHF 1.6 million for the initiation of our Phase 1b/2 ABATE study for our ACI-24.060 and CHF 0.6 million for the clinical development of our ACI-7104.056 in the Phase 2 VacSYn study and CHF 0.1 million in other clinical programs.</w:t>
      </w:r>
    </w:p>
    <w:p>
      <w:pPr>
        <w:spacing w:after="0" w:line="184"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The variances in Group function expenses relate to regulatory and quality assurance, and intellectual property costs. The variances in Other non-allocated expenses relate to infrastructure and functional expenses not allocated to direct R&amp;D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380"/>
        <w:spacing w:after="0"/>
        <w:rPr>
          <w:sz w:val="20"/>
          <w:szCs w:val="20"/>
          <w:color w:val="auto"/>
        </w:rPr>
      </w:pPr>
      <w:r>
        <w:rPr>
          <w:rFonts w:ascii="Arial" w:cs="Arial" w:eastAsia="Arial" w:hAnsi="Arial"/>
          <w:sz w:val="18"/>
          <w:szCs w:val="18"/>
          <w:color w:val="auto"/>
        </w:rPr>
        <w:t>Total salaries and related costs increased by CHF 1.4 million, primarily due to:</w:t>
      </w:r>
    </w:p>
    <w:p>
      <w:pPr>
        <w:spacing w:after="0" w:line="225" w:lineRule="exact"/>
        <w:rPr>
          <w:sz w:val="20"/>
          <w:szCs w:val="20"/>
          <w:color w:val="auto"/>
        </w:rPr>
      </w:pPr>
    </w:p>
    <w:p>
      <w:pPr>
        <w:ind w:left="700" w:right="259" w:hanging="32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salary- and benefit-related costs of CHF 0.9 million, as well as an incremental CHF 0.5 million in share-based compensation expense, primarily related to the annualization of 2022 hires.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left="60" w:right="519" w:firstLine="324"/>
        <w:spacing w:after="0" w:line="381" w:lineRule="auto"/>
        <w:rPr>
          <w:sz w:val="20"/>
          <w:szCs w:val="20"/>
          <w:color w:val="auto"/>
        </w:rPr>
      </w:pPr>
      <w:r>
        <w:rPr>
          <w:rFonts w:ascii="Arial" w:cs="Arial" w:eastAsia="Arial" w:hAnsi="Arial"/>
          <w:sz w:val="15"/>
          <w:szCs w:val="15"/>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00" w:lineRule="exact"/>
        <w:rPr>
          <w:sz w:val="20"/>
          <w:szCs w:val="20"/>
          <w:color w:val="auto"/>
        </w:rPr>
      </w:pPr>
    </w:p>
    <w:p>
      <w:pPr>
        <w:jc w:val="both"/>
        <w:ind w:left="60" w:right="419" w:firstLine="324"/>
        <w:spacing w:after="0" w:line="311" w:lineRule="auto"/>
        <w:rPr>
          <w:sz w:val="20"/>
          <w:szCs w:val="20"/>
          <w:color w:val="auto"/>
        </w:rPr>
      </w:pPr>
      <w:r>
        <w:rPr>
          <w:rFonts w:ascii="Arial" w:cs="Arial" w:eastAsia="Arial" w:hAnsi="Arial"/>
          <w:sz w:val="16"/>
          <w:szCs w:val="16"/>
          <w:color w:val="auto"/>
        </w:rPr>
        <w:t>For the three months ended June 30, 2023, general and administrative expenses totaled CHF 3.7 million compared with CHF 4.4 million for the comparable period in 2022. This represents a decrease of CHF 0.7 million. The following table presents the general and administrative expenses during the three months ended June 30, 2023 and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8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80" w:type="dxa"/>
            <w:vAlign w:val="bottom"/>
            <w:vMerge w:val="restart"/>
          </w:tcPr>
          <w:p>
            <w:pPr>
              <w:spacing w:after="0"/>
              <w:rPr>
                <w:sz w:val="16"/>
                <w:szCs w:val="16"/>
                <w:color w:val="auto"/>
              </w:rPr>
            </w:pPr>
          </w:p>
        </w:tc>
        <w:tc>
          <w:tcPr>
            <w:tcW w:w="17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08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9"/>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general and administrative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88"/>
        </w:trPr>
        <w:tc>
          <w:tcPr>
            <w:tcW w:w="2240" w:type="dxa"/>
            <w:vAlign w:val="bottom"/>
            <w:tcBorders>
              <w:top w:val="single" w:sz="8" w:color="CCEEFF"/>
              <w:bottom w:val="single" w:sz="8" w:color="auto"/>
            </w:tcBorders>
          </w:tcPr>
          <w:p>
            <w:pPr>
              <w:spacing w:after="0"/>
              <w:rPr>
                <w:sz w:val="7"/>
                <w:szCs w:val="7"/>
                <w:color w:val="auto"/>
              </w:rPr>
            </w:pPr>
          </w:p>
        </w:tc>
        <w:tc>
          <w:tcPr>
            <w:tcW w:w="3840" w:type="dxa"/>
            <w:vAlign w:val="bottom"/>
            <w:tcBorders>
              <w:top w:val="single" w:sz="8" w:color="CCEEFF"/>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ind w:left="380" w:hanging="330"/>
        <w:spacing w:after="0" w:line="180" w:lineRule="auto"/>
        <w:tabs>
          <w:tab w:leader="none" w:pos="380" w:val="left"/>
        </w:tabs>
        <w:numPr>
          <w:ilvl w:val="0"/>
          <w:numId w:val="26"/>
        </w:numPr>
        <w:rPr>
          <w:rFonts w:ascii="Arial" w:cs="Arial" w:eastAsia="Arial" w:hAnsi="Arial"/>
          <w:sz w:val="25"/>
          <w:szCs w:val="25"/>
          <w:color w:val="auto"/>
          <w:vertAlign w:val="superscript"/>
        </w:rPr>
      </w:pPr>
      <w:r>
        <w:rPr>
          <w:rFonts w:ascii="Arial" w:cs="Arial" w:eastAsia="Arial" w:hAnsi="Arial"/>
          <w:sz w:val="17"/>
          <w:szCs w:val="17"/>
          <w:color w:val="auto"/>
        </w:rPr>
        <w:t>Includes share-based compensation expense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June 30, 2023, this decrease is primarily due to:</w:t>
      </w:r>
    </w:p>
    <w:p>
      <w:pPr>
        <w:spacing w:after="0" w:line="225" w:lineRule="exact"/>
        <w:rPr>
          <w:sz w:val="20"/>
          <w:szCs w:val="20"/>
          <w:color w:val="auto"/>
        </w:rPr>
      </w:pPr>
    </w:p>
    <w:p>
      <w:pPr>
        <w:ind w:left="700" w:right="279" w:hanging="326"/>
        <w:spacing w:after="0" w:line="261"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CHF 0.3 million decrease in salaries and related costs, mostly related to the timing of the Company’s vacation accrual; and</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of CHF 0.4 million in operating expenses predominantly related to a reduction of CHF 0.1 million in our directors and officers’ insurance for the period.</w:t>
      </w:r>
    </w:p>
    <w:p>
      <w:pPr>
        <w:spacing w:after="0" w:line="143"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For the six months ended June 30, 2023, general and administrative expenses totaled CHF 7.8 million compared with CHF 8.6 million for the comparable period in 2022. This represents a decrease of CHF 0.8 million. The following table presents the general and administrative expenses during the six months ended June 30, 2023 and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For the Six Months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2"/>
        </w:trPr>
        <w:tc>
          <w:tcPr>
            <w:tcW w:w="2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2"/>
        </w:trPr>
        <w:tc>
          <w:tcPr>
            <w:tcW w:w="6080" w:type="dxa"/>
            <w:vAlign w:val="bottom"/>
            <w:tcBorders>
              <w:bottom w:val="single" w:sz="8" w:color="auto"/>
            </w:tcBorders>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Change</w:t>
            </w:r>
          </w:p>
        </w:tc>
      </w:tr>
      <w:tr>
        <w:trPr>
          <w:trHeight w:val="210"/>
        </w:trPr>
        <w:tc>
          <w:tcPr>
            <w:tcW w:w="6260" w:type="dxa"/>
            <w:vAlign w:val="bottom"/>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4"/>
                <w:szCs w:val="24"/>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62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Salaries and related costs</w:t>
            </w:r>
            <w:r>
              <w:rPr>
                <w:rFonts w:ascii="Arial" w:cs="Arial" w:eastAsia="Arial" w:hAnsi="Arial"/>
                <w:sz w:val="25"/>
                <w:szCs w:val="25"/>
                <w:color w:val="auto"/>
                <w:vertAlign w:val="superscript"/>
              </w:rPr>
              <w:t>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50"/>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general and administrative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95"/>
        </w:trPr>
        <w:tc>
          <w:tcPr>
            <w:tcW w:w="2240" w:type="dxa"/>
            <w:vAlign w:val="bottom"/>
            <w:tcBorders>
              <w:top w:val="single" w:sz="8" w:color="CCEEFF"/>
              <w:bottom w:val="single" w:sz="8" w:color="auto"/>
            </w:tcBorders>
          </w:tcPr>
          <w:p>
            <w:pPr>
              <w:spacing w:after="0"/>
              <w:rPr>
                <w:sz w:val="8"/>
                <w:szCs w:val="8"/>
                <w:color w:val="auto"/>
              </w:rPr>
            </w:pPr>
          </w:p>
        </w:tc>
        <w:tc>
          <w:tcPr>
            <w:tcW w:w="38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r>
    </w:tbl>
    <w:p>
      <w:pPr>
        <w:ind w:left="380" w:hanging="330"/>
        <w:spacing w:after="0" w:line="229" w:lineRule="auto"/>
        <w:tabs>
          <w:tab w:leader="none" w:pos="38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Includes depreciation expense</w:t>
      </w:r>
    </w:p>
    <w:p>
      <w:pPr>
        <w:ind w:left="380" w:hanging="330"/>
        <w:spacing w:after="0" w:line="180" w:lineRule="auto"/>
        <w:tabs>
          <w:tab w:leader="none" w:pos="380" w:val="left"/>
        </w:tabs>
        <w:numPr>
          <w:ilvl w:val="0"/>
          <w:numId w:val="29"/>
        </w:numPr>
        <w:rPr>
          <w:rFonts w:ascii="Arial" w:cs="Arial" w:eastAsia="Arial" w:hAnsi="Arial"/>
          <w:sz w:val="25"/>
          <w:szCs w:val="25"/>
          <w:color w:val="auto"/>
          <w:vertAlign w:val="superscript"/>
        </w:rPr>
      </w:pPr>
      <w:r>
        <w:rPr>
          <w:rFonts w:ascii="Arial" w:cs="Arial" w:eastAsia="Arial" w:hAnsi="Arial"/>
          <w:sz w:val="17"/>
          <w:szCs w:val="17"/>
          <w:color w:val="auto"/>
        </w:rPr>
        <w:t>Includes share-based compensation expense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six months ended June 30, 2023, this decrease is primarily due to:</w:t>
      </w:r>
    </w:p>
    <w:p>
      <w:pPr>
        <w:spacing w:after="0" w:line="225" w:lineRule="exact"/>
        <w:rPr>
          <w:sz w:val="20"/>
          <w:szCs w:val="20"/>
          <w:color w:val="auto"/>
        </w:rPr>
      </w:pPr>
    </w:p>
    <w:p>
      <w:pPr>
        <w:ind w:left="700" w:right="279" w:hanging="326"/>
        <w:spacing w:after="0" w:line="261"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CHF 0.2 million decrease in salaries and related costs, mostly related to the timing of the Company’s vacation accrual; and</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CHF 0.6 million in operating expenses predominantly related to a reduction of CHF 0.2 million in our directors and officers’ insurance for the period.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380"/>
        <w:spacing w:after="0"/>
        <w:rPr>
          <w:sz w:val="20"/>
          <w:szCs w:val="20"/>
          <w:color w:val="auto"/>
        </w:rPr>
      </w:pPr>
      <w:r>
        <w:rPr>
          <w:rFonts w:ascii="Arial" w:cs="Arial" w:eastAsia="Arial" w:hAnsi="Arial"/>
          <w:sz w:val="18"/>
          <w:szCs w:val="18"/>
          <w:i w:val="1"/>
          <w:iCs w:val="1"/>
          <w:color w:val="auto"/>
        </w:rPr>
        <w:t>Other operating income/(expense), net</w:t>
      </w:r>
    </w:p>
    <w:p>
      <w:pPr>
        <w:spacing w:after="0" w:line="225" w:lineRule="exact"/>
        <w:rPr>
          <w:sz w:val="20"/>
          <w:szCs w:val="20"/>
          <w:color w:val="auto"/>
        </w:rPr>
      </w:pPr>
    </w:p>
    <w:p>
      <w:pPr>
        <w:jc w:val="both"/>
        <w:ind w:left="60" w:right="239" w:firstLine="324"/>
        <w:spacing w:after="0" w:line="277" w:lineRule="auto"/>
        <w:rPr>
          <w:sz w:val="20"/>
          <w:szCs w:val="20"/>
          <w:color w:val="auto"/>
        </w:rPr>
      </w:pPr>
      <w:r>
        <w:rPr>
          <w:rFonts w:ascii="Arial" w:cs="Arial" w:eastAsia="Arial" w:hAnsi="Arial"/>
          <w:sz w:val="18"/>
          <w:szCs w:val="18"/>
          <w:color w:val="auto"/>
        </w:rPr>
        <w:t>Other operating income/(expense) consists primarily of income associated with foundation grants such as those from the MJFF or Target ALS.</w:t>
      </w:r>
    </w:p>
    <w:p>
      <w:pPr>
        <w:spacing w:after="0" w:line="170" w:lineRule="exact"/>
        <w:rPr>
          <w:sz w:val="20"/>
          <w:szCs w:val="20"/>
          <w:color w:val="auto"/>
        </w:rPr>
      </w:pPr>
    </w:p>
    <w:p>
      <w:pPr>
        <w:jc w:val="both"/>
        <w:ind w:left="60" w:right="239" w:firstLine="324"/>
        <w:spacing w:after="0" w:line="303" w:lineRule="auto"/>
        <w:rPr>
          <w:sz w:val="20"/>
          <w:szCs w:val="20"/>
          <w:color w:val="auto"/>
        </w:rPr>
      </w:pPr>
      <w:r>
        <w:rPr>
          <w:rFonts w:ascii="Arial" w:cs="Arial" w:eastAsia="Arial" w:hAnsi="Arial"/>
          <w:sz w:val="16"/>
          <w:szCs w:val="16"/>
          <w:color w:val="auto"/>
        </w:rPr>
        <w:t>For the three months ended June 30, 2023, other operating income/(expense) totaled CHF 0.3 million compared with CHF 0.2 million for the comparable period in 2022. This represents an increase of CHF 0.1 million. The following table presents the other operating income/(expense) during the three months ended June 30, 2023 and 2022:</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2"/>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2"/>
        </w:trPr>
        <w:tc>
          <w:tcPr>
            <w:tcW w:w="606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Change</w:t>
            </w:r>
          </w:p>
        </w:tc>
      </w:tr>
      <w:tr>
        <w:trPr>
          <w:trHeight w:val="209"/>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income/(expense),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other operating income/(expense), net</w:t>
            </w:r>
          </w:p>
        </w:tc>
        <w:tc>
          <w:tcPr>
            <w:tcW w:w="760" w:type="dxa"/>
            <w:vAlign w:val="bottom"/>
          </w:tcPr>
          <w:p>
            <w:pPr>
              <w:jc w:val="right"/>
              <w:spacing w:after="0"/>
              <w:rPr>
                <w:sz w:val="20"/>
                <w:szCs w:val="20"/>
                <w:color w:val="auto"/>
              </w:rPr>
            </w:pPr>
            <w:r>
              <w:rPr>
                <w:rFonts w:ascii="Arial" w:cs="Arial" w:eastAsia="Arial" w:hAnsi="Arial"/>
                <w:sz w:val="18"/>
                <w:szCs w:val="18"/>
                <w:color w:val="auto"/>
              </w:rPr>
              <w:t>317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three months ended June 30, 2023, this increase is immaterial.</w:t>
      </w:r>
    </w:p>
    <w:p>
      <w:pPr>
        <w:spacing w:after="0" w:line="225"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For the six months ended June 30, 2023, other operating income/(expense) totaled CHF 0.7 million compared with CHF 0.7 million for the comparable period in 2022. This represents an increase of less than CHF 0.1 million. The following table presents the other operating income/(expense) during the six months ended June 30, 2023 and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For the Six Months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6"/>
        </w:trPr>
        <w:tc>
          <w:tcPr>
            <w:tcW w:w="6260" w:type="dxa"/>
            <w:vAlign w:val="bottom"/>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w:t>
            </w:r>
          </w:p>
        </w:tc>
      </w:tr>
      <w:tr>
        <w:trPr>
          <w:trHeight w:val="209"/>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income/(expense), net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62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Total other operating income/(expense), net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six months ended June 30, 2023, this increase is immaterial.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Finance result, net</w:t>
      </w:r>
    </w:p>
    <w:p>
      <w:pPr>
        <w:spacing w:after="0" w:line="225" w:lineRule="exact"/>
        <w:rPr>
          <w:sz w:val="20"/>
          <w:szCs w:val="20"/>
          <w:color w:val="auto"/>
        </w:rPr>
      </w:pPr>
    </w:p>
    <w:p>
      <w:pPr>
        <w:ind w:left="60" w:right="419" w:firstLine="324"/>
        <w:spacing w:after="0" w:line="286" w:lineRule="auto"/>
        <w:rPr>
          <w:sz w:val="20"/>
          <w:szCs w:val="20"/>
          <w:color w:val="auto"/>
        </w:rPr>
      </w:pPr>
      <w:r>
        <w:rPr>
          <w:rFonts w:ascii="Arial" w:cs="Arial" w:eastAsia="Arial" w:hAnsi="Arial"/>
          <w:sz w:val="17"/>
          <w:szCs w:val="17"/>
          <w:color w:val="auto"/>
        </w:rPr>
        <w:t>For the three months ended June 30, 2023, finance result was a CHF 0.2 million gain compared with a CHF 0.2 million gain for the comparable period in 2022. This represents a decrease of less than CHF 0.1 million. The following table presents the finance result during the three months ended June 30, 2023 and 2022:</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For the Three Months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5"/>
        </w:trPr>
        <w:tc>
          <w:tcPr>
            <w:tcW w:w="6260" w:type="dxa"/>
            <w:vAlign w:val="bottom"/>
            <w:gridSpan w:val="2"/>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760" w:type="dxa"/>
            <w:vAlign w:val="bottom"/>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w:t>
            </w: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Financial 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03"/>
        </w:trPr>
        <w:tc>
          <w:tcPr>
            <w:tcW w:w="62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Exchange differences</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r>
      <w:tr>
        <w:trPr>
          <w:trHeight w:val="209"/>
        </w:trPr>
        <w:tc>
          <w:tcPr>
            <w:tcW w:w="6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result, net</w:t>
            </w: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three months ended June 30, 2023, this decrease in finance result, net is immaterial.</w:t>
      </w:r>
    </w:p>
    <w:p>
      <w:pPr>
        <w:spacing w:after="0" w:line="22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For the six months ended June 30, 2023, finance result was a CHF 0.3 million gain compared with a CHF 0.2 million gain for the comparable period in 2022. This represents an increase of CHF 0.1 million. The following table presents the finance result during the six months ended June 30, 2023 and 2022:</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For the Six Months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9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Financial expense</w:t>
            </w:r>
          </w:p>
        </w:tc>
        <w:tc>
          <w:tcPr>
            <w:tcW w:w="3020" w:type="dxa"/>
            <w:vAlign w:val="bottom"/>
            <w:gridSpan w:val="4"/>
          </w:tcPr>
          <w:p>
            <w:pPr>
              <w:jc w:val="right"/>
              <w:ind w:right="180"/>
              <w:spacing w:after="0"/>
              <w:rPr>
                <w:sz w:val="20"/>
                <w:szCs w:val="20"/>
                <w:color w:val="auto"/>
              </w:rPr>
            </w:pPr>
            <w:r>
              <w:rPr>
                <w:rFonts w:ascii="Arial" w:cs="Arial" w:eastAsia="Arial" w:hAnsi="Arial"/>
                <w:sz w:val="18"/>
                <w:szCs w:val="18"/>
                <w:color w:val="auto"/>
              </w:rPr>
              <w:t>(124)</w:t>
            </w: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Exchange differences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Finance result, net</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vMerge w:val="restart"/>
          </w:tcPr>
          <w:p>
            <w:pPr>
              <w:jc w:val="right"/>
              <w:ind w:right="149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4" w:name="page25"/>
    <w:bookmarkEnd w:id="24"/>
    <w:p>
      <w:pPr>
        <w:ind w:left="380"/>
        <w:spacing w:after="0"/>
        <w:rPr>
          <w:sz w:val="20"/>
          <w:szCs w:val="20"/>
          <w:color w:val="auto"/>
        </w:rPr>
      </w:pPr>
      <w:r>
        <w:rPr>
          <w:rFonts w:ascii="Arial" w:cs="Arial" w:eastAsia="Arial" w:hAnsi="Arial"/>
          <w:sz w:val="18"/>
          <w:szCs w:val="18"/>
          <w:color w:val="auto"/>
        </w:rPr>
        <w:t>For the six months ended June 30, 2023, the increase of CHF 0.1 million in finance result, net is immaterial.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0" w:right="159" w:firstLine="324"/>
        <w:spacing w:after="0" w:line="281"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spacing w:after="0" w:line="5" w:lineRule="exact"/>
        <w:rPr>
          <w:sz w:val="20"/>
          <w:szCs w:val="20"/>
          <w:color w:val="auto"/>
        </w:rPr>
      </w:pPr>
    </w:p>
    <w:p>
      <w:pPr>
        <w:jc w:val="both"/>
        <w:ind w:left="60" w:right="279" w:hanging="10"/>
        <w:spacing w:after="0" w:line="269" w:lineRule="auto"/>
        <w:tabs>
          <w:tab w:leader="none" w:pos="3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successfully move its product candidates through clinical development, (iv) attract and retain key personnel and (v) acquire capital to support its operations. As of June 30, 2023, we had cash and cash equivalents of CHF 40.0 million and short-term financial assets of CHF 53.0 million for a total liquidity balance of CHF 93.0 million.</w:t>
      </w:r>
    </w:p>
    <w:p>
      <w:pPr>
        <w:spacing w:after="0" w:line="179" w:lineRule="exact"/>
        <w:rPr>
          <w:sz w:val="20"/>
          <w:szCs w:val="20"/>
          <w:color w:val="auto"/>
        </w:rPr>
      </w:pPr>
    </w:p>
    <w:p>
      <w:pPr>
        <w:ind w:left="60" w:right="99" w:firstLine="324"/>
        <w:spacing w:after="0" w:line="281" w:lineRule="auto"/>
        <w:rPr>
          <w:sz w:val="20"/>
          <w:szCs w:val="20"/>
          <w:color w:val="auto"/>
        </w:rPr>
      </w:pPr>
      <w:r>
        <w:rPr>
          <w:rFonts w:ascii="Arial" w:cs="Arial" w:eastAsia="Arial" w:hAnsi="Arial"/>
          <w:sz w:val="16"/>
          <w:szCs w:val="16"/>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We and Janssen have completed the co-development of the second-generation lead therapeutic active immunotherapies, ACI-35.030 and JACI-35.054, through Phase 1b/2a. In Q4 2022, it was announced that ACI-35.030 was selected to advance into further development based on interim data from the ongoing Phase 1b/2a trial.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We intend to increase our R&amp;D costs associated with the advancement through mid-and late-stage clinical development of our active immunotherapies ACI-</w:t>
      </w:r>
    </w:p>
    <w:p>
      <w:pPr>
        <w:spacing w:after="0" w:line="7" w:lineRule="exact"/>
        <w:rPr>
          <w:sz w:val="20"/>
          <w:szCs w:val="20"/>
          <w:color w:val="auto"/>
        </w:rPr>
      </w:pPr>
    </w:p>
    <w:p>
      <w:pPr>
        <w:ind w:left="60" w:right="59"/>
        <w:spacing w:after="0" w:line="323" w:lineRule="auto"/>
        <w:rPr>
          <w:sz w:val="20"/>
          <w:szCs w:val="20"/>
          <w:color w:val="auto"/>
        </w:rPr>
      </w:pPr>
      <w:r>
        <w:rPr>
          <w:rFonts w:ascii="Arial" w:cs="Arial" w:eastAsia="Arial" w:hAnsi="Arial"/>
          <w:sz w:val="16"/>
          <w:szCs w:val="16"/>
          <w:color w:val="auto"/>
        </w:rPr>
        <w:t>24.060 in AD and ACI-7104.056 in PD, as well as, investments in our diagnostic programs. Finally, we intend to further the candidate characterization of our other clinical and preclinical candidates, such as our Morphomer Tau program.</w:t>
      </w:r>
    </w:p>
    <w:p>
      <w:pPr>
        <w:spacing w:after="0" w:line="1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72.6) million through Jefferies acting as our sales agent. We replaced this Sale Agreement in Q2 2021 to continue the ATM program. Under the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Through June 30, 2023, the Company has sold 1,127,155 treasury shares pursuant to the new Sales Agreement, raising USD 7.0 (CHF 6.4) million net of underwriting fees and transaction costs.</w:t>
      </w:r>
    </w:p>
    <w:p>
      <w:pPr>
        <w:spacing w:after="0" w:line="168" w:lineRule="exact"/>
        <w:rPr>
          <w:sz w:val="20"/>
          <w:szCs w:val="20"/>
          <w:color w:val="auto"/>
        </w:rPr>
      </w:pPr>
    </w:p>
    <w:p>
      <w:pPr>
        <w:ind w:left="60" w:right="859" w:firstLine="324"/>
        <w:spacing w:after="0" w:line="261" w:lineRule="auto"/>
        <w:rPr>
          <w:sz w:val="20"/>
          <w:szCs w:val="20"/>
          <w:color w:val="auto"/>
        </w:rPr>
      </w:pPr>
      <w:r>
        <w:rPr>
          <w:rFonts w:ascii="Arial" w:cs="Arial" w:eastAsia="Arial" w:hAnsi="Arial"/>
          <w:sz w:val="18"/>
          <w:szCs w:val="18"/>
          <w:color w:val="auto"/>
        </w:rPr>
        <w:t>We may also consider entering into additional LCAs and selectively partnering for clinical development and commercialization.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AC Immune’s cash flows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For the Six Months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6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In CHF thousands, unaudited</w:t>
            </w:r>
          </w:p>
        </w:tc>
        <w:tc>
          <w:tcPr>
            <w:tcW w:w="17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6"/>
                <w:szCs w:val="16"/>
                <w:color w:val="auto"/>
              </w:rPr>
            </w:pPr>
          </w:p>
        </w:tc>
        <w:tc>
          <w:tcPr>
            <w:tcW w:w="7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260" w:type="dxa"/>
            <w:vAlign w:val="bottom"/>
            <w:gridSpan w:val="2"/>
            <w:vMerge w:val="continue"/>
          </w:tcPr>
          <w:p>
            <w:pPr>
              <w:spacing w:after="0"/>
              <w:rPr>
                <w:sz w:val="14"/>
                <w:szCs w:val="14"/>
                <w:color w:val="auto"/>
              </w:rPr>
            </w:pPr>
          </w:p>
        </w:tc>
        <w:tc>
          <w:tcPr>
            <w:tcW w:w="760" w:type="dxa"/>
            <w:vAlign w:val="bottom"/>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by/(used in):</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(30,917)</w:t>
            </w:r>
          </w:p>
        </w:tc>
        <w:tc>
          <w:tcPr>
            <w:tcW w:w="780" w:type="dxa"/>
            <w:vAlign w:val="bottom"/>
          </w:tcPr>
          <w:p>
            <w:pPr>
              <w:jc w:val="right"/>
              <w:spacing w:after="0"/>
              <w:rPr>
                <w:sz w:val="20"/>
                <w:szCs w:val="20"/>
                <w:color w:val="auto"/>
              </w:rPr>
            </w:pPr>
            <w:r>
              <w:rPr>
                <w:rFonts w:ascii="Arial" w:cs="Arial" w:eastAsia="Arial" w:hAnsi="Arial"/>
                <w:sz w:val="18"/>
                <w:szCs w:val="18"/>
                <w:color w:val="auto"/>
              </w:rPr>
              <w:t>(42,624)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03"/>
        </w:trPr>
        <w:tc>
          <w:tcPr>
            <w:tcW w:w="62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1,774</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49"/>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(19,752)</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99" w:firstLine="324"/>
        <w:spacing w:after="0" w:line="282" w:lineRule="auto"/>
        <w:rPr>
          <w:sz w:val="20"/>
          <w:szCs w:val="20"/>
          <w:color w:val="auto"/>
        </w:rPr>
      </w:pPr>
      <w:r>
        <w:rPr>
          <w:rFonts w:ascii="Arial" w:cs="Arial" w:eastAsia="Arial" w:hAnsi="Arial"/>
          <w:sz w:val="16"/>
          <w:szCs w:val="16"/>
          <w:color w:val="auto"/>
        </w:rPr>
        <w:t>Net cash used in operating activities was CHF 30.9 million for the six months ended June 30, 2023, compared with net cash used in operating activities of CHF 42.6 million for the six months ended June 30, 2022. The change in cash used in operating activities for the six months ended June 30, 2023 was due to (i) the Company’s reporting a net loss of CHF 34.3 million for the period, compared with a net loss of CHF 38.5 million for the same period in 2022, (ii) an increase of CHF</w:t>
      </w:r>
    </w:p>
    <w:p>
      <w:pPr>
        <w:spacing w:after="0" w:line="2" w:lineRule="exact"/>
        <w:rPr>
          <w:sz w:val="20"/>
          <w:szCs w:val="20"/>
          <w:color w:val="auto"/>
        </w:rPr>
      </w:pPr>
    </w:p>
    <w:p>
      <w:pPr>
        <w:jc w:val="both"/>
        <w:ind w:left="60" w:right="119"/>
        <w:spacing w:after="0" w:line="301" w:lineRule="auto"/>
        <w:rPr>
          <w:sz w:val="20"/>
          <w:szCs w:val="20"/>
          <w:color w:val="auto"/>
        </w:rPr>
      </w:pPr>
      <w:r>
        <w:rPr>
          <w:rFonts w:ascii="Arial" w:cs="Arial" w:eastAsia="Arial" w:hAnsi="Arial"/>
          <w:sz w:val="16"/>
          <w:szCs w:val="16"/>
          <w:color w:val="auto"/>
        </w:rPr>
        <w:t>1.3 million in non-cash adjustments, predominantly driven by an increase of CHF 0.8 million in share-based compensation expenses, and (iii) a decrease of CHF 0.6 million in accrued expenses for the period, compared with a decrease of CHF 5.0 million in the prior period, representing cash outflows associated with the timing of certain payments during the period.</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Net cash provided by investing activities was CHF 37.6 million for the six months ended June 30, 2023, compared with net cash provided by investing activities of CHF 23.9 million for the six months ended June 30, 2022. The Company settled short-term financial assets totaling CHF 38.0 million for the current period compared to the settlement of CHF 25.0 million in the prior period. The Company additionally acquired CHF 0.4 million in fixed assets in the current period compared to CHF 1.1 million in the prior period.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99" w:firstLine="324"/>
        <w:spacing w:after="0" w:line="292" w:lineRule="auto"/>
        <w:rPr>
          <w:sz w:val="20"/>
          <w:szCs w:val="20"/>
          <w:color w:val="auto"/>
        </w:rPr>
      </w:pPr>
      <w:r>
        <w:rPr>
          <w:rFonts w:ascii="Arial" w:cs="Arial" w:eastAsia="Arial" w:hAnsi="Arial"/>
          <w:sz w:val="16"/>
          <w:szCs w:val="16"/>
          <w:color w:val="auto"/>
        </w:rPr>
        <w:t>Net cash provided by financing activities was CHF 1.8 million for the six months ended June 30, 2023, compared with net cash used in financing activities of CHF 1.1 million for the six months ended June 30, 2022. The increase of CHF 2.9 million is related to CHF 2.1 million received from proceeds from the sale of treasury shares in public offerings, net of underwriting fees and transaction costs in the current period which were not received in the prior comparable period and CHF 0.8 million in transaction costs associated with the issuance of shares in the comparable prior period.</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We do not expect to generate revenues from royalties based on product sales unless and until our collaboration partners or we obtain regulatory approval of, and successfully commercialize, our current or any future product candidates. As of June 30, 2023, we had cash and cash equivalents of CHF 40.0 million and short-term financial assets of CHF 53.0 million, resulting in CHF 93.0 million of liquidity. The decrease relative to December 31, 2022 was predominantly related to R&amp;D spending on our major discovery and R&amp;D programs, the strengthening of the Company’s infrastructure, systems and organization and other operating expenditures.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into Q3 2024.</w:t>
      </w:r>
    </w:p>
    <w:p>
      <w:pPr>
        <w:spacing w:after="0" w:line="180" w:lineRule="exact"/>
        <w:rPr>
          <w:sz w:val="20"/>
          <w:szCs w:val="20"/>
          <w:color w:val="auto"/>
        </w:rPr>
      </w:pPr>
    </w:p>
    <w:p>
      <w:pPr>
        <w:ind w:left="60" w:right="79" w:firstLine="324"/>
        <w:spacing w:after="0" w:line="303" w:lineRule="auto"/>
        <w:rPr>
          <w:sz w:val="20"/>
          <w:szCs w:val="20"/>
          <w:color w:val="auto"/>
        </w:rPr>
      </w:pPr>
      <w:r>
        <w:rPr>
          <w:rFonts w:ascii="Arial" w:cs="Arial" w:eastAsia="Arial" w:hAnsi="Arial"/>
          <w:sz w:val="16"/>
          <w:szCs w:val="16"/>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jc w:val="both"/>
        <w:ind w:left="60" w:right="179"/>
        <w:spacing w:after="0" w:line="259" w:lineRule="auto"/>
        <w:rPr>
          <w:sz w:val="20"/>
          <w:szCs w:val="20"/>
          <w:color w:val="auto"/>
        </w:rPr>
      </w:pPr>
      <w:r>
        <w:rPr>
          <w:rFonts w:ascii="Arial" w:cs="Arial" w:eastAsia="Arial" w:hAnsi="Arial"/>
          <w:sz w:val="18"/>
          <w:szCs w:val="18"/>
          <w:color w:val="auto"/>
        </w:rPr>
        <w:t>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11"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700" w:right="559" w:hanging="32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During the three and six months ended June 30, 2023,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3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left="60" w:right="79" w:firstLine="324"/>
        <w:spacing w:after="0" w:line="282"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right"/>
        <w:ind w:right="59"/>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774190" cy="548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59"/>
        <w:spacing w:after="0"/>
        <w:rPr>
          <w:sz w:val="20"/>
          <w:szCs w:val="20"/>
          <w:color w:val="auto"/>
        </w:rPr>
      </w:pPr>
      <w:r>
        <w:rPr>
          <w:rFonts w:ascii="Arial" w:cs="Arial" w:eastAsia="Arial" w:hAnsi="Arial"/>
          <w:sz w:val="20"/>
          <w:szCs w:val="20"/>
          <w:b w:val="1"/>
          <w:bCs w:val="1"/>
          <w:color w:val="auto"/>
        </w:rPr>
        <w:t>PRESS RELEASE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Reports Second Quarter 2023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a Corporate Update</w:t>
      </w:r>
    </w:p>
    <w:p>
      <w:pPr>
        <w:spacing w:after="0" w:line="170" w:lineRule="exact"/>
        <w:rPr>
          <w:sz w:val="20"/>
          <w:szCs w:val="20"/>
          <w:color w:val="auto"/>
        </w:rPr>
      </w:pPr>
    </w:p>
    <w:p>
      <w:pPr>
        <w:ind w:left="700" w:right="59" w:hanging="32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Received FDA Fast Track Designation for ACI-24.060 anti-amyloid-beta (Abeta) active immunotherapy to treat Alzheimer’s disease (AD)</w:t>
      </w:r>
    </w:p>
    <w:p>
      <w:pPr>
        <w:spacing w:after="0" w:line="129" w:lineRule="exact"/>
        <w:rPr>
          <w:rFonts w:ascii="Arial" w:cs="Arial" w:eastAsia="Arial" w:hAnsi="Arial"/>
          <w:sz w:val="18"/>
          <w:szCs w:val="18"/>
          <w:color w:val="auto"/>
        </w:rPr>
      </w:pPr>
    </w:p>
    <w:p>
      <w:pPr>
        <w:ind w:left="700" w:right="59" w:hanging="32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Enrollment in ongoing Phase 1b/2 ABATE study of ACI-24.060 in AD and Down syndrome (DS) is on track and expanding to sites in USA following IND clearance, dosed first individual with DS</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Next interim safety and immunogenicity data from AD and DS cohorts in ABATE expected in H2 2023</w:t>
      </w:r>
    </w:p>
    <w:p>
      <w:pPr>
        <w:spacing w:after="0" w:line="184" w:lineRule="exact"/>
        <w:rPr>
          <w:rFonts w:ascii="Arial" w:cs="Arial" w:eastAsia="Arial" w:hAnsi="Arial"/>
          <w:sz w:val="18"/>
          <w:szCs w:val="18"/>
          <w:color w:val="auto"/>
        </w:rPr>
      </w:pPr>
    </w:p>
    <w:p>
      <w:pPr>
        <w:jc w:val="both"/>
        <w:ind w:left="700" w:right="59" w:hanging="326"/>
        <w:spacing w:after="0" w:line="26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amyloid plaque reduction analysis (Abeta-PET) after treatment with ACI-24.060 in ABATE study expected in H1 2024; these results could potentially provide an opportunity to accelerate into a registrational program</w:t>
      </w:r>
    </w:p>
    <w:p>
      <w:pPr>
        <w:spacing w:after="0" w:line="143" w:lineRule="exact"/>
        <w:rPr>
          <w:rFonts w:ascii="Arial" w:cs="Arial" w:eastAsia="Arial" w:hAnsi="Arial"/>
          <w:sz w:val="18"/>
          <w:szCs w:val="18"/>
          <w:color w:val="auto"/>
        </w:rPr>
      </w:pPr>
    </w:p>
    <w:p>
      <w:pPr>
        <w:ind w:left="700" w:right="59" w:hanging="32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position of CHF 93.0 million finances the Company into Q3 2024, excluding the benefit of anticipated milestone payments</w:t>
      </w:r>
    </w:p>
    <w:p>
      <w:pPr>
        <w:spacing w:after="0" w:line="12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8"/>
          <w:szCs w:val="18"/>
          <w:b w:val="1"/>
          <w:bCs w:val="1"/>
          <w:color w:val="auto"/>
        </w:rPr>
        <w:t xml:space="preserve">Lausanne, Switzerland, August 4, 2023 </w:t>
      </w:r>
      <w:r>
        <w:rPr>
          <w:rFonts w:ascii="Arial" w:cs="Arial" w:eastAsia="Arial" w:hAnsi="Arial"/>
          <w:sz w:val="18"/>
          <w:szCs w:val="18"/>
          <w:color w:val="auto"/>
        </w:rPr>
        <w:t>– AC Immune SA (NASDAQ: ACIU),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pioneering precision medicine for neurodegenerative diseases, today reported results for the second quarter ended June 30, 2023, and provided a corporate update.</w:t>
      </w:r>
    </w:p>
    <w:p>
      <w:pPr>
        <w:spacing w:after="0" w:line="13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“We entered the second half of 2023 with strong momentum.</w:t>
      </w:r>
      <w:r>
        <w:rPr>
          <w:rFonts w:ascii="Arial" w:cs="Arial" w:eastAsia="Arial" w:hAnsi="Arial"/>
          <w:sz w:val="18"/>
          <w:szCs w:val="18"/>
          <w:b w:val="1"/>
          <w:bCs w:val="1"/>
          <w:color w:val="auto"/>
        </w:rPr>
        <w:t xml:space="preserve"> </w:t>
      </w:r>
      <w:r>
        <w:rPr>
          <w:rFonts w:ascii="Arial" w:cs="Arial" w:eastAsia="Arial" w:hAnsi="Arial"/>
          <w:sz w:val="18"/>
          <w:szCs w:val="18"/>
          <w:color w:val="auto"/>
        </w:rPr>
        <w:t>ACI-24.060’s Fast Track designation acknowledges its potential as a next-generation anti-Abeta active immunotherapy positioned to offer best-in-class efficacy, an improved safety profile, and fewer administration and distribution constraints compared to monoclonal antibodies. With our ABATE trial enrolling AD patients in Europe and expanding the DS cohort via US sites, ACI-24.060 is moving expeditiously towards additional interim safety and immunogenicity data, and Abeta-PET imaging analyses on amyloid plaque reduction in AD in the first half of 2024. Demonstration of Abeta plaque clearance, a validated surrogate marker for clinical efficacy, would provide a major opportunity to rapidly transition to a registrational program.”</w:t>
      </w:r>
    </w:p>
    <w:p>
      <w:pPr>
        <w:spacing w:after="0" w:line="15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also look forward to the initiation of the next AD trial of ACI-35.030, the anti-pTau (phosphorylated Tau) active immunotherapy later this year, to be followed by a milestone payment. The progress of our programs affirms our commitment to developing precision medicine approaches to improve outcomes for patients, and ultimately, to prevent progression of neurodegenerative diseases through earlier diagnosis and early intervention.”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Q2 2023 and Subsequent Highlights</w:t>
      </w:r>
    </w:p>
    <w:p>
      <w:pPr>
        <w:spacing w:after="0" w:line="166" w:lineRule="exact"/>
        <w:rPr>
          <w:sz w:val="20"/>
          <w:szCs w:val="20"/>
          <w:color w:val="auto"/>
        </w:rPr>
      </w:pPr>
    </w:p>
    <w:p>
      <w:pPr>
        <w:ind w:left="700" w:right="59"/>
        <w:spacing w:after="0" w:line="263" w:lineRule="auto"/>
        <w:rPr>
          <w:sz w:val="20"/>
          <w:szCs w:val="20"/>
          <w:color w:val="auto"/>
        </w:rPr>
      </w:pPr>
      <w:r>
        <w:rPr>
          <w:rFonts w:ascii="Arial" w:cs="Arial" w:eastAsia="Arial" w:hAnsi="Arial"/>
          <w:sz w:val="18"/>
          <w:szCs w:val="18"/>
          <w:color w:val="auto"/>
        </w:rPr>
        <w:t>Received Fast Track designation from the U.S. Food and Drug Administration (FDA) for ACI-24.060, AC Immune’s wholly-owned SupraAntigen®-based anti-Abeta active immunotherapy candidate, for the treatment of AD.</w:t>
      </w:r>
    </w:p>
    <w:p>
      <w:pPr>
        <w:spacing w:after="0" w:line="143"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Ongoing Phase 1b/2 ABATE study of ACI-24.060 in patients with AD and individuals with DS is on track and expanding to sites in the USA following FDA Investigational New Drug (IND) clearance.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first participant with DS was dosed in the Phase 1b/2 ABATE trial.</w:t>
      </w:r>
    </w:p>
    <w:p>
      <w:pPr>
        <w:spacing w:after="0" w:line="184"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The first patient with Parkinson’s disease was dosed in the Phase 2 VacSYn clinical trial evaluating ACI-7104.056, AC Immune’s wholly-owned anti-alpha-synuclein (a-syn) active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748665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 w:name="page30"/>
    <w:bookmarkEnd w:id="29"/>
    <w:p>
      <w:pPr>
        <w:ind w:left="700" w:right="59"/>
        <w:spacing w:after="0" w:line="279" w:lineRule="auto"/>
        <w:rPr>
          <w:sz w:val="20"/>
          <w:szCs w:val="20"/>
          <w:color w:val="auto"/>
        </w:rPr>
      </w:pPr>
      <w:r>
        <w:rPr>
          <w:rFonts w:ascii="Arial" w:cs="Arial" w:eastAsia="Arial" w:hAnsi="Arial"/>
          <w:sz w:val="17"/>
          <w:szCs w:val="17"/>
          <w:color w:val="auto"/>
        </w:rPr>
        <w:t>Several programs were showcased at the annual Alzheimer’s Association International Conference (AAIC 2023), which included a poster detailing ABATE’s trial design, a “Perspectives Session” focused on TDP-43 proteinopathy in neurodegenerative diseases organized by AC Immune scientists, and an oral presentation showing detailed data on ACI-12589, a novel positron emission tomography (PET) tracer targeting a-syn.</w:t>
      </w:r>
    </w:p>
    <w:p>
      <w:pPr>
        <w:spacing w:after="0" w:line="129" w:lineRule="exact"/>
        <w:rPr>
          <w:sz w:val="20"/>
          <w:szCs w:val="20"/>
          <w:color w:val="auto"/>
        </w:rPr>
      </w:pPr>
    </w:p>
    <w:p>
      <w:pPr>
        <w:ind w:left="700" w:right="59"/>
        <w:spacing w:after="0" w:line="256" w:lineRule="auto"/>
        <w:rPr>
          <w:sz w:val="20"/>
          <w:szCs w:val="20"/>
          <w:color w:val="auto"/>
        </w:rPr>
      </w:pPr>
      <w:r>
        <w:rPr>
          <w:rFonts w:ascii="Arial" w:cs="Arial" w:eastAsia="Arial" w:hAnsi="Arial"/>
          <w:sz w:val="18"/>
          <w:szCs w:val="18"/>
          <w:color w:val="auto"/>
        </w:rPr>
        <w:t>The TDP-43-PET tracer program has progressed as planned and a clinical candidate has been selected. Over the coming months further preclinical work will be completed to permit the initiation of a first in human study in 2024.</w:t>
      </w:r>
    </w:p>
    <w:p>
      <w:pPr>
        <w:spacing w:after="0" w:line="161"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A peer-reviewed paper describing our therapeutic antibody candidate targeting TDP-43 was published in the journal ‘mAbs’.</w:t>
      </w:r>
    </w:p>
    <w:p>
      <w:pPr>
        <w:spacing w:after="0" w:line="129" w:lineRule="exact"/>
        <w:rPr>
          <w:sz w:val="20"/>
          <w:szCs w:val="20"/>
          <w:color w:val="auto"/>
        </w:rPr>
      </w:pPr>
    </w:p>
    <w:p>
      <w:pPr>
        <w:ind w:left="700" w:right="59"/>
        <w:spacing w:after="0" w:line="254" w:lineRule="auto"/>
        <w:rPr>
          <w:sz w:val="20"/>
          <w:szCs w:val="20"/>
          <w:color w:val="auto"/>
        </w:rPr>
      </w:pPr>
      <w:r>
        <w:rPr>
          <w:rFonts w:ascii="Arial" w:cs="Arial" w:eastAsia="Arial" w:hAnsi="Arial"/>
          <w:sz w:val="18"/>
          <w:szCs w:val="18"/>
          <w:color w:val="auto"/>
        </w:rPr>
        <w:t>Initiated a research collaboration with Prof. Michael Heneka, director of the Luxembourg Centre for Systems Biomedicine, University of Luxembourg, to further evaluate the therapeutic potential of AC Immune’s SupraAntigen®- and Morphomer®-derived inhibitors of the NLRP3-ASC inflammasome pathway in preclinical disease models.</w:t>
      </w:r>
    </w:p>
    <w:p>
      <w:pPr>
        <w:spacing w:after="0" w:line="149" w:lineRule="exact"/>
        <w:rPr>
          <w:sz w:val="20"/>
          <w:szCs w:val="20"/>
          <w:color w:val="auto"/>
        </w:rPr>
      </w:pPr>
    </w:p>
    <w:p>
      <w:pPr>
        <w:ind w:left="700" w:right="59"/>
        <w:spacing w:after="0" w:line="263" w:lineRule="auto"/>
        <w:rPr>
          <w:sz w:val="20"/>
          <w:szCs w:val="20"/>
          <w:color w:val="auto"/>
        </w:rPr>
      </w:pPr>
      <w:r>
        <w:rPr>
          <w:rFonts w:ascii="Arial" w:cs="Arial" w:eastAsia="Arial" w:hAnsi="Arial"/>
          <w:sz w:val="18"/>
          <w:szCs w:val="18"/>
          <w:color w:val="auto"/>
        </w:rPr>
        <w:t>Hosted a webinar on early diagnosis and prevention of AD featuring presentations by key opinion leaders Kaj Blennow, MD, PhD, of University of Gothenburg and Sahlgrenska University Hospital, and Giovanni Frisoni, MD, of University of Geneva and the Memory Clinic at Geneva University Hospital.</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Announced the appointment of new Chief Medical Officer, Nuno Mendonça, MD.</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Anticipated Milestones</w:t>
      </w:r>
    </w:p>
    <w:p>
      <w:pPr>
        <w:spacing w:after="0" w:line="183" w:lineRule="exact"/>
        <w:rPr>
          <w:sz w:val="20"/>
          <w:szCs w:val="20"/>
          <w:color w:val="auto"/>
        </w:rPr>
      </w:pPr>
    </w:p>
    <w:tbl>
      <w:tblPr>
        <w:tblLayout w:type="fixed"/>
        <w:tblInd w:w="50" w:type="dxa"/>
        <w:tblCellMar>
          <w:top w:w="0" w:type="dxa"/>
          <w:left w:w="0" w:type="dxa"/>
          <w:bottom w:w="0" w:type="dxa"/>
          <w:right w:w="0" w:type="dxa"/>
        </w:tblCellMar>
      </w:tblPr>
      <w:tr>
        <w:trPr>
          <w:trHeight w:val="215"/>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6860" w:type="dxa"/>
            <w:vAlign w:val="bottom"/>
            <w:tcBorders>
              <w:top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   Additional interim safety and immunogenicity data from AD cohorts of ABATE</w:t>
            </w:r>
          </w:p>
        </w:tc>
        <w:tc>
          <w:tcPr>
            <w:tcW w:w="0" w:type="dxa"/>
            <w:vAlign w:val="bottom"/>
          </w:tcPr>
          <w:p>
            <w:pPr>
              <w:spacing w:after="0"/>
              <w:rPr>
                <w:sz w:val="1"/>
                <w:szCs w:val="1"/>
                <w:color w:val="auto"/>
              </w:rPr>
            </w:pPr>
          </w:p>
        </w:tc>
      </w:tr>
      <w:tr>
        <w:trPr>
          <w:trHeight w:val="203"/>
        </w:trPr>
        <w:tc>
          <w:tcPr>
            <w:tcW w:w="20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ACI-24.060</w:t>
            </w:r>
          </w:p>
        </w:tc>
        <w:tc>
          <w:tcPr>
            <w:tcW w:w="600" w:type="dxa"/>
            <w:vAlign w:val="bottom"/>
          </w:tcPr>
          <w:p>
            <w:pPr>
              <w:spacing w:after="0"/>
              <w:rPr>
                <w:sz w:val="17"/>
                <w:szCs w:val="17"/>
                <w:color w:val="auto"/>
              </w:rPr>
            </w:pPr>
          </w:p>
        </w:tc>
        <w:tc>
          <w:tcPr>
            <w:tcW w:w="62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study expected in H2 2023</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anti-Abeta active</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Interim safety and immunogenicity data from DS cohort of ABATE study expected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immunotherapy</w:t>
            </w:r>
          </w:p>
        </w:tc>
        <w:tc>
          <w:tcPr>
            <w:tcW w:w="600" w:type="dxa"/>
            <w:vAlign w:val="bottom"/>
          </w:tcPr>
          <w:p>
            <w:pPr>
              <w:spacing w:after="0"/>
              <w:rPr>
                <w:sz w:val="18"/>
                <w:szCs w:val="18"/>
                <w:color w:val="auto"/>
              </w:rPr>
            </w:pPr>
          </w:p>
        </w:tc>
        <w:tc>
          <w:tcPr>
            <w:tcW w:w="62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 H2 2023</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686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w w:val="99"/>
              </w:rPr>
              <w:t>●   Initial Abeta-PET data on amyloid plaque reduction in AD expected in H1 2024</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ACI-7104.056</w:t>
            </w:r>
          </w:p>
        </w:tc>
        <w:tc>
          <w:tcPr>
            <w:tcW w:w="686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w w:val="92"/>
              </w:rPr>
              <w:t>●   Completion of recruitment of first cohort in the Phase 2 VacSYn study in Parkinson’s</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anti-a-syn active</w:t>
            </w:r>
          </w:p>
        </w:tc>
        <w:tc>
          <w:tcPr>
            <w:tcW w:w="6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tcPr>
          <w:p>
            <w:pPr>
              <w:spacing w:after="0"/>
              <w:rPr>
                <w:sz w:val="9"/>
                <w:szCs w:val="9"/>
                <w:color w:val="auto"/>
              </w:rPr>
            </w:pPr>
          </w:p>
        </w:tc>
        <w:tc>
          <w:tcPr>
            <w:tcW w:w="600" w:type="dxa"/>
            <w:vAlign w:val="bottom"/>
          </w:tcPr>
          <w:p>
            <w:pPr>
              <w:spacing w:after="0"/>
              <w:rPr>
                <w:sz w:val="9"/>
                <w:szCs w:val="9"/>
                <w:color w:val="auto"/>
              </w:rPr>
            </w:pPr>
          </w:p>
        </w:tc>
        <w:tc>
          <w:tcPr>
            <w:tcW w:w="62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disease expected in H2 2023</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immunotherapy</w:t>
            </w:r>
          </w:p>
        </w:tc>
        <w:tc>
          <w:tcPr>
            <w:tcW w:w="600" w:type="dxa"/>
            <w:vAlign w:val="bottom"/>
          </w:tcPr>
          <w:p>
            <w:pPr>
              <w:spacing w:after="0"/>
              <w:rPr>
                <w:sz w:val="10"/>
                <w:szCs w:val="10"/>
                <w:color w:val="auto"/>
              </w:rPr>
            </w:pPr>
          </w:p>
        </w:tc>
        <w:tc>
          <w:tcPr>
            <w:tcW w:w="6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ACI-35.030</w:t>
            </w:r>
          </w:p>
        </w:tc>
        <w:tc>
          <w:tcPr>
            <w:tcW w:w="686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w w:val="99"/>
              </w:rPr>
              <w:t>●   Initiation of next trial in AD expected in H2 2023 (to be followed by a milestone</w:t>
            </w:r>
          </w:p>
        </w:tc>
        <w:tc>
          <w:tcPr>
            <w:tcW w:w="0" w:type="dxa"/>
            <w:vAlign w:val="bottom"/>
          </w:tcPr>
          <w:p>
            <w:pPr>
              <w:spacing w:after="0"/>
              <w:rPr>
                <w:sz w:val="1"/>
                <w:szCs w:val="1"/>
                <w:color w:val="auto"/>
              </w:rPr>
            </w:pPr>
          </w:p>
        </w:tc>
      </w:tr>
      <w:tr>
        <w:trPr>
          <w:trHeight w:val="94"/>
        </w:trPr>
        <w:tc>
          <w:tcPr>
            <w:tcW w:w="2060" w:type="dxa"/>
            <w:vAlign w:val="bottom"/>
            <w:tcBorders>
              <w:left w:val="single" w:sz="8" w:color="auto"/>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auto"/>
              </w:rPr>
              <w:t>anti-pTau active</w:t>
            </w:r>
          </w:p>
        </w:tc>
        <w:tc>
          <w:tcPr>
            <w:tcW w:w="6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tcPr>
          <w:p>
            <w:pPr>
              <w:spacing w:after="0"/>
              <w:rPr>
                <w:sz w:val="9"/>
                <w:szCs w:val="9"/>
                <w:color w:val="auto"/>
              </w:rPr>
            </w:pPr>
          </w:p>
        </w:tc>
        <w:tc>
          <w:tcPr>
            <w:tcW w:w="600" w:type="dxa"/>
            <w:vAlign w:val="bottom"/>
          </w:tcPr>
          <w:p>
            <w:pPr>
              <w:spacing w:after="0"/>
              <w:rPr>
                <w:sz w:val="9"/>
                <w:szCs w:val="9"/>
                <w:color w:val="auto"/>
              </w:rPr>
            </w:pPr>
          </w:p>
        </w:tc>
        <w:tc>
          <w:tcPr>
            <w:tcW w:w="62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immunotherapy</w:t>
            </w:r>
          </w:p>
        </w:tc>
        <w:tc>
          <w:tcPr>
            <w:tcW w:w="600" w:type="dxa"/>
            <w:vAlign w:val="bottom"/>
          </w:tcPr>
          <w:p>
            <w:pPr>
              <w:spacing w:after="0"/>
              <w:rPr>
                <w:sz w:val="10"/>
                <w:szCs w:val="10"/>
                <w:color w:val="auto"/>
              </w:rPr>
            </w:pPr>
          </w:p>
        </w:tc>
        <w:tc>
          <w:tcPr>
            <w:tcW w:w="6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Semorinemab</w:t>
            </w:r>
          </w:p>
        </w:tc>
        <w:tc>
          <w:tcPr>
            <w:tcW w:w="600" w:type="dxa"/>
            <w:vAlign w:val="bottom"/>
          </w:tcPr>
          <w:p>
            <w:pPr>
              <w:ind w:left="380"/>
              <w:spacing w:after="0" w:line="195" w:lineRule="exact"/>
              <w:rPr>
                <w:sz w:val="20"/>
                <w:szCs w:val="20"/>
                <w:color w:val="auto"/>
              </w:rPr>
            </w:pPr>
            <w:r>
              <w:rPr>
                <w:rFonts w:ascii="Arial" w:cs="Arial" w:eastAsia="Arial" w:hAnsi="Arial"/>
                <w:sz w:val="18"/>
                <w:szCs w:val="18"/>
                <w:color w:val="auto"/>
              </w:rPr>
              <w:t>●</w:t>
            </w:r>
          </w:p>
        </w:tc>
        <w:tc>
          <w:tcPr>
            <w:tcW w:w="62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Results from the open-label extension of the Phase 2 Lauriet trial in mild-to-</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anti-Tau antibody</w:t>
            </w:r>
          </w:p>
        </w:tc>
        <w:tc>
          <w:tcPr>
            <w:tcW w:w="600" w:type="dxa"/>
            <w:vAlign w:val="bottom"/>
            <w:tcBorders>
              <w:bottom w:val="single" w:sz="8" w:color="auto"/>
            </w:tcBorders>
          </w:tcPr>
          <w:p>
            <w:pPr>
              <w:spacing w:after="0"/>
              <w:rPr>
                <w:sz w:val="20"/>
                <w:szCs w:val="20"/>
                <w:color w:val="auto"/>
              </w:rPr>
            </w:pPr>
          </w:p>
        </w:tc>
        <w:tc>
          <w:tcPr>
            <w:tcW w:w="62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moderate AD expected in H2 2023</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Anti-TDP-43 antibody</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3"/>
              </w:rPr>
              <w:t>Advancement of candidate into preclinical development (tox) expected in H2 2023</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a-syn-PET tracer</w:t>
            </w:r>
          </w:p>
        </w:tc>
        <w:tc>
          <w:tcPr>
            <w:tcW w:w="600" w:type="dxa"/>
            <w:vAlign w:val="bottom"/>
          </w:tcPr>
          <w:p>
            <w:pPr>
              <w:ind w:left="380"/>
              <w:spacing w:after="0" w:line="195" w:lineRule="exact"/>
              <w:rPr>
                <w:sz w:val="20"/>
                <w:szCs w:val="20"/>
                <w:color w:val="auto"/>
              </w:rPr>
            </w:pPr>
            <w:r>
              <w:rPr>
                <w:rFonts w:ascii="Arial" w:cs="Arial" w:eastAsia="Arial" w:hAnsi="Arial"/>
                <w:sz w:val="18"/>
                <w:szCs w:val="18"/>
                <w:color w:val="auto"/>
              </w:rPr>
              <w:t>●</w:t>
            </w:r>
          </w:p>
        </w:tc>
        <w:tc>
          <w:tcPr>
            <w:tcW w:w="62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Declaration of next clinical candidate for development in Parkinson’s disease</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continue"/>
          </w:tcPr>
          <w:p>
            <w:pPr>
              <w:spacing w:after="0"/>
              <w:rPr>
                <w:sz w:val="10"/>
                <w:szCs w:val="10"/>
                <w:color w:val="auto"/>
              </w:rPr>
            </w:pPr>
          </w:p>
        </w:tc>
        <w:tc>
          <w:tcPr>
            <w:tcW w:w="600" w:type="dxa"/>
            <w:vAlign w:val="bottom"/>
          </w:tcPr>
          <w:p>
            <w:pPr>
              <w:spacing w:after="0"/>
              <w:rPr>
                <w:sz w:val="10"/>
                <w:szCs w:val="10"/>
                <w:color w:val="auto"/>
              </w:rPr>
            </w:pPr>
          </w:p>
        </w:tc>
        <w:tc>
          <w:tcPr>
            <w:tcW w:w="62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expected in H2 2023</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Financial Statements for the Quarter Ended June 30, 2023</w:t>
      </w:r>
    </w:p>
    <w:p>
      <w:pPr>
        <w:spacing w:after="0" w:line="166" w:lineRule="exact"/>
        <w:rPr>
          <w:sz w:val="20"/>
          <w:szCs w:val="20"/>
          <w:color w:val="auto"/>
        </w:rPr>
      </w:pPr>
    </w:p>
    <w:p>
      <w:pPr>
        <w:ind w:left="700" w:right="59"/>
        <w:spacing w:after="0" w:line="281" w:lineRule="auto"/>
        <w:rPr>
          <w:sz w:val="20"/>
          <w:szCs w:val="20"/>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The Company ended Q2 with a total cash balance of CHF 93.0 million (CHF 122.6 million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2022), composed of CHF 40.0 million in cash and cash equivalents and CHF 53.0 million in short-term financial assets. The Company’s cash balance provides sufficient capital resources to progress into at least Q3 2024 without considering receipt of potential future milestone payments.</w:t>
      </w:r>
    </w:p>
    <w:p>
      <w:pPr>
        <w:spacing w:after="0" w:line="124" w:lineRule="exact"/>
        <w:rPr>
          <w:sz w:val="20"/>
          <w:szCs w:val="20"/>
          <w:color w:val="auto"/>
        </w:rPr>
      </w:pPr>
    </w:p>
    <w:p>
      <w:pPr>
        <w:ind w:left="700" w:right="59"/>
        <w:spacing w:after="0" w:line="266" w:lineRule="auto"/>
        <w:rPr>
          <w:sz w:val="20"/>
          <w:szCs w:val="20"/>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for the three months ended June 30, 2023, were CHF 13.7 million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CHF 15.7 million in the comparable period in 2022. The decrease was due mainly to lower discovery and preclinical expenses.</w:t>
      </w:r>
    </w:p>
    <w:p>
      <w:pPr>
        <w:spacing w:after="0" w:line="135" w:lineRule="exact"/>
        <w:rPr>
          <w:sz w:val="20"/>
          <w:szCs w:val="20"/>
          <w:color w:val="auto"/>
        </w:rPr>
      </w:pPr>
    </w:p>
    <w:p>
      <w:pPr>
        <w:ind w:left="700" w:right="59"/>
        <w:spacing w:after="0" w:line="282" w:lineRule="auto"/>
        <w:rPr>
          <w:sz w:val="20"/>
          <w:szCs w:val="20"/>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G&amp;A decreased by CHF 0.7 million to CHF 3.7 million, mostly due to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734695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700" w:right="59"/>
        <w:spacing w:after="0" w:line="282" w:lineRule="auto"/>
        <w:rPr>
          <w:sz w:val="20"/>
          <w:szCs w:val="20"/>
          <w:color w:val="auto"/>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0.3 million in grant income from Michael J. Fox</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and Target ALS grants.</w:t>
      </w:r>
    </w:p>
    <w:p>
      <w:pPr>
        <w:spacing w:after="0" w:line="120" w:lineRule="exact"/>
        <w:rPr>
          <w:sz w:val="20"/>
          <w:szCs w:val="20"/>
          <w:color w:val="auto"/>
        </w:rPr>
      </w:pPr>
    </w:p>
    <w:p>
      <w:pPr>
        <w:ind w:left="700" w:right="59"/>
        <w:spacing w:after="0" w:line="347" w:lineRule="auto"/>
        <w:rPr>
          <w:sz w:val="20"/>
          <w:szCs w:val="20"/>
          <w:color w:val="auto"/>
        </w:rPr>
      </w:pPr>
      <w:r>
        <w:rPr>
          <w:rFonts w:ascii="Arial" w:cs="Arial" w:eastAsia="Arial" w:hAnsi="Arial"/>
          <w:sz w:val="16"/>
          <w:szCs w:val="16"/>
          <w:b w:val="1"/>
          <w:bCs w:val="1"/>
          <w:color w:val="auto"/>
        </w:rPr>
        <w:t xml:space="preserve">IFRS Loss for the Period: </w:t>
      </w:r>
      <w:r>
        <w:rPr>
          <w:rFonts w:ascii="Arial" w:cs="Arial" w:eastAsia="Arial" w:hAnsi="Arial"/>
          <w:sz w:val="16"/>
          <w:szCs w:val="16"/>
          <w:color w:val="auto"/>
        </w:rPr>
        <w:t>The Company reported a net loss after taxes of CHF 16.8 million for the three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June 30, 2023, compared with a net loss of CHF 19.6 million for the comparable period in 2022.</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AC Immune SA</w:t>
      </w:r>
    </w:p>
    <w:p>
      <w:pPr>
        <w:spacing w:after="0" w:line="18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3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43"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9019"/>
          </w:cols>
          <w:pgMar w:left="1440" w:top="104" w:right="1440" w:bottom="1440" w:gutter="0" w:footer="0" w:header="0"/>
        </w:sectPr>
      </w:pP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Head of Investor Relations &amp; Corporate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Communications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Waanders, Ph.D., MBA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 Immune</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21 345 91 91</w:t>
      </w:r>
    </w:p>
    <w:p>
      <w:pPr>
        <w:ind w:left="60"/>
        <w:spacing w:after="0"/>
        <w:rPr>
          <w:sz w:val="20"/>
          <w:szCs w:val="20"/>
          <w:color w:val="auto"/>
        </w:rPr>
      </w:pPr>
      <w:r>
        <w:rPr>
          <w:rFonts w:ascii="Arial" w:cs="Arial" w:eastAsia="Arial" w:hAnsi="Arial"/>
          <w:sz w:val="17"/>
          <w:szCs w:val="17"/>
          <w:color w:val="auto"/>
        </w:rPr>
        <w:t>Email: gary.waanders@acimmune.com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Corey Davis,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+1 212 915 2577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cdavis@lifesciadvisors.com</w:t>
      </w:r>
    </w:p>
    <w:p>
      <w:pPr>
        <w:spacing w:after="0" w:line="415" w:lineRule="exact"/>
        <w:rPr>
          <w:sz w:val="20"/>
          <w:szCs w:val="20"/>
          <w:color w:val="auto"/>
        </w:rPr>
      </w:pPr>
    </w:p>
    <w:p>
      <w:pPr>
        <w:sectPr>
          <w:pgSz w:w="11900" w:h="16838" w:orient="portrait"/>
          <w:cols w:equalWidth="0" w:num="2">
            <w:col w:w="3780" w:space="720"/>
            <w:col w:w="4519"/>
          </w:cols>
          <w:pgMar w:left="1440" w:top="104" w:right="1440" w:bottom="1440" w:gutter="0" w:footer="0" w:header="0"/>
          <w:type w:val="continuous"/>
        </w:sectPr>
      </w:pP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International Media</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Chris Maggos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Cohesion Bureau</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79 367 6254</w:t>
      </w:r>
    </w:p>
    <w:p>
      <w:pPr>
        <w:ind w:left="60"/>
        <w:spacing w:after="0"/>
        <w:rPr>
          <w:sz w:val="20"/>
          <w:szCs w:val="20"/>
          <w:color w:val="auto"/>
        </w:rPr>
      </w:pPr>
      <w:r>
        <w:rPr>
          <w:rFonts w:ascii="Arial" w:cs="Arial" w:eastAsia="Arial" w:hAnsi="Arial"/>
          <w:sz w:val="16"/>
          <w:szCs w:val="16"/>
          <w:color w:val="auto"/>
        </w:rPr>
        <w:t>Email: chris.maggos@cohesionbureau.com</w:t>
      </w:r>
    </w:p>
    <w:p>
      <w:pPr>
        <w:sectPr>
          <w:pgSz w:w="11900" w:h="16838" w:orient="portrait"/>
          <w:cols w:equalWidth="0" w:num="1">
            <w:col w:w="901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732790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44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7"/>
              </w:rPr>
              <w:t>As of</w:t>
            </w:r>
          </w:p>
        </w:tc>
        <w:tc>
          <w:tcPr>
            <w:tcW w:w="1040" w:type="dxa"/>
            <w:vAlign w:val="bottom"/>
            <w:tcBorders>
              <w:bottom w:val="single" w:sz="8" w:color="auto"/>
            </w:tcBorders>
          </w:tcPr>
          <w:p>
            <w:pPr>
              <w:spacing w:after="0"/>
              <w:rPr>
                <w:sz w:val="16"/>
                <w:szCs w:val="16"/>
                <w:color w:val="auto"/>
              </w:rPr>
            </w:pPr>
          </w:p>
        </w:tc>
      </w:tr>
      <w:tr>
        <w:trPr>
          <w:trHeight w:val="179"/>
        </w:trPr>
        <w:tc>
          <w:tcPr>
            <w:tcW w:w="6440" w:type="dxa"/>
            <w:vAlign w:val="bottom"/>
          </w:tcPr>
          <w:p>
            <w:pPr>
              <w:spacing w:after="0"/>
              <w:rPr>
                <w:sz w:val="15"/>
                <w:szCs w:val="15"/>
                <w:color w:val="auto"/>
              </w:rPr>
            </w:pPr>
          </w:p>
        </w:tc>
        <w:tc>
          <w:tcPr>
            <w:tcW w:w="1440" w:type="dxa"/>
            <w:vAlign w:val="bottom"/>
            <w:gridSpan w:val="3"/>
          </w:tcPr>
          <w:p>
            <w:pPr>
              <w:ind w:left="30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2,539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2,808</w:t>
            </w: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50,416</w:t>
            </w:r>
          </w:p>
        </w:tc>
      </w:tr>
      <w:tr>
        <w:trPr>
          <w:trHeight w:val="230"/>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financial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6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57,844</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Accrued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receivables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7"/>
        </w:trPr>
        <w:tc>
          <w:tcPr>
            <w:tcW w:w="6440" w:type="dxa"/>
            <w:vAlign w:val="bottom"/>
          </w:tcPr>
          <w:p>
            <w:pPr>
              <w:ind w:left="120"/>
              <w:spacing w:after="0"/>
              <w:rPr>
                <w:sz w:val="20"/>
                <w:szCs w:val="20"/>
                <w:color w:val="auto"/>
              </w:rPr>
            </w:pPr>
            <w:r>
              <w:rPr>
                <w:rFonts w:ascii="Arial" w:cs="Arial" w:eastAsia="Arial" w:hAnsi="Arial"/>
                <w:sz w:val="18"/>
                <w:szCs w:val="18"/>
                <w:color w:val="auto"/>
              </w:rPr>
              <w:t>Short-term financial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53,000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91,000</w:t>
            </w:r>
          </w:p>
        </w:tc>
      </w:tr>
      <w:tr>
        <w:trPr>
          <w:trHeight w:val="23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w:t>
            </w:r>
          </w:p>
        </w:tc>
      </w:tr>
      <w:tr>
        <w:trPr>
          <w:trHeight w:val="26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99,152</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128,094</w:t>
            </w: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185,938</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capital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Share premium</w:t>
            </w:r>
          </w:p>
        </w:tc>
        <w:tc>
          <w:tcPr>
            <w:tcW w:w="1140" w:type="dxa"/>
            <w:vAlign w:val="bottom"/>
          </w:tcPr>
          <w:p>
            <w:pPr>
              <w:jc w:val="right"/>
              <w:spacing w:after="0"/>
              <w:rPr>
                <w:sz w:val="20"/>
                <w:szCs w:val="20"/>
                <w:color w:val="auto"/>
              </w:rPr>
            </w:pPr>
            <w:r>
              <w:rPr>
                <w:rFonts w:ascii="Arial" w:cs="Arial" w:eastAsia="Arial" w:hAnsi="Arial"/>
                <w:sz w:val="18"/>
                <w:szCs w:val="18"/>
                <w:color w:val="auto"/>
              </w:rPr>
              <w:t>433,699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431,323</w:t>
            </w:r>
          </w:p>
        </w:tc>
      </w:tr>
      <w:tr>
        <w:trPr>
          <w:trHeight w:val="243"/>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Currency translation differences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losses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(296,055)</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(264,015)</w:t>
            </w:r>
          </w:p>
        </w:tc>
      </w:tr>
      <w:tr>
        <w:trPr>
          <w:trHeight w:val="26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139,328</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168,991</w:t>
            </w:r>
          </w:p>
        </w:tc>
      </w:tr>
      <w:tr>
        <w:trPr>
          <w:trHeight w:val="210"/>
        </w:trPr>
        <w:tc>
          <w:tcPr>
            <w:tcW w:w="6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Net employee defined-benefit liabilities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r>
      <w:tr>
        <w:trPr>
          <w:trHeight w:val="26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r>
      <w:tr>
        <w:trPr>
          <w:trHeight w:val="223"/>
        </w:trPr>
        <w:tc>
          <w:tcPr>
            <w:tcW w:w="6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Trade and other payables</w:t>
            </w:r>
          </w:p>
        </w:tc>
        <w:tc>
          <w:tcPr>
            <w:tcW w:w="1140" w:type="dxa"/>
            <w:vAlign w:val="bottom"/>
          </w:tcPr>
          <w:p>
            <w:pPr>
              <w:jc w:val="right"/>
              <w:spacing w:after="0"/>
              <w:rPr>
                <w:sz w:val="20"/>
                <w:szCs w:val="20"/>
                <w:color w:val="auto"/>
              </w:rPr>
            </w:pPr>
            <w:r>
              <w:rPr>
                <w:rFonts w:ascii="Arial" w:cs="Arial" w:eastAsia="Arial" w:hAnsi="Arial"/>
                <w:sz w:val="18"/>
                <w:szCs w:val="18"/>
                <w:color w:val="auto"/>
              </w:rPr>
              <w:t>1,352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Deferred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6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lease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156,228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185,938</w:t>
            </w:r>
          </w:p>
        </w:tc>
      </w:tr>
      <w:tr>
        <w:trPr>
          <w:trHeight w:val="20"/>
        </w:trPr>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4"/>
        </w:trPr>
        <w:tc>
          <w:tcPr>
            <w:tcW w:w="6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Income/(Loss)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per-share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7"/>
              </w:rPr>
              <w:t>For the Three Months</w:t>
            </w:r>
          </w:p>
        </w:tc>
        <w:tc>
          <w:tcPr>
            <w:tcW w:w="160" w:type="dxa"/>
            <w:vAlign w:val="bottom"/>
          </w:tcPr>
          <w:p>
            <w:pPr>
              <w:spacing w:after="0"/>
              <w:rPr>
                <w:sz w:val="16"/>
                <w:szCs w:val="16"/>
                <w:color w:val="auto"/>
              </w:rPr>
            </w:pPr>
          </w:p>
        </w:tc>
        <w:tc>
          <w:tcPr>
            <w:tcW w:w="154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w w:val="98"/>
              </w:rPr>
              <w:t>For the Six Months</w:t>
            </w:r>
          </w:p>
        </w:tc>
      </w:tr>
      <w:tr>
        <w:trPr>
          <w:trHeight w:val="195"/>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Ended June 30,</w:t>
            </w:r>
          </w:p>
        </w:tc>
        <w:tc>
          <w:tcPr>
            <w:tcW w:w="160" w:type="dxa"/>
            <w:vAlign w:val="bottom"/>
          </w:tcPr>
          <w:p>
            <w:pPr>
              <w:spacing w:after="0"/>
              <w:rPr>
                <w:sz w:val="16"/>
                <w:szCs w:val="16"/>
                <w:color w:val="auto"/>
              </w:rPr>
            </w:pPr>
          </w:p>
        </w:tc>
        <w:tc>
          <w:tcPr>
            <w:tcW w:w="1540" w:type="dxa"/>
            <w:vAlign w:val="bottom"/>
            <w:gridSpan w:val="5"/>
          </w:tcPr>
          <w:p>
            <w:pPr>
              <w:ind w:left="180"/>
              <w:spacing w:after="0"/>
              <w:rPr>
                <w:sz w:val="20"/>
                <w:szCs w:val="20"/>
                <w:color w:val="auto"/>
              </w:rPr>
            </w:pPr>
            <w:r>
              <w:rPr>
                <w:rFonts w:ascii="Arial" w:cs="Arial" w:eastAsia="Arial" w:hAnsi="Arial"/>
                <w:sz w:val="14"/>
                <w:szCs w:val="14"/>
                <w:b w:val="1"/>
                <w:bCs w:val="1"/>
                <w:color w:val="auto"/>
              </w:rPr>
              <w:t>Ended June 30,</w:t>
            </w:r>
          </w:p>
        </w:tc>
      </w:tr>
      <w:tr>
        <w:trPr>
          <w:trHeight w:val="187"/>
        </w:trPr>
        <w:tc>
          <w:tcPr>
            <w:tcW w:w="52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2"/>
          </w:tcPr>
          <w:p>
            <w:pPr>
              <w:jc w:val="right"/>
              <w:ind w:right="13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2022</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Contract revenue</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Research &amp; development expenses</w:t>
            </w:r>
          </w:p>
        </w:tc>
        <w:tc>
          <w:tcPr>
            <w:tcW w:w="840" w:type="dxa"/>
            <w:vAlign w:val="bottom"/>
            <w:gridSpan w:val="3"/>
          </w:tcPr>
          <w:p>
            <w:pPr>
              <w:jc w:val="right"/>
              <w:ind w:right="90"/>
              <w:spacing w:after="0"/>
              <w:rPr>
                <w:sz w:val="20"/>
                <w:szCs w:val="20"/>
                <w:color w:val="auto"/>
              </w:rPr>
            </w:pPr>
            <w:r>
              <w:rPr>
                <w:rFonts w:ascii="Arial" w:cs="Arial" w:eastAsia="Arial" w:hAnsi="Arial"/>
                <w:sz w:val="18"/>
                <w:szCs w:val="18"/>
                <w:color w:val="auto"/>
                <w:w w:val="95"/>
              </w:rPr>
              <w:t>(13,682)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(15,692)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(30,815)</w:t>
            </w:r>
          </w:p>
        </w:tc>
      </w:tr>
      <w:tr>
        <w:trPr>
          <w:trHeight w:val="229"/>
        </w:trPr>
        <w:tc>
          <w:tcPr>
            <w:tcW w:w="5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&amp; administrative expenses</w:t>
            </w:r>
          </w:p>
        </w:tc>
        <w:tc>
          <w:tcPr>
            <w:tcW w:w="8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(3,681)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(8,550)</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Other operating income/(expense), net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677</w:t>
            </w:r>
          </w:p>
        </w:tc>
      </w:tr>
      <w:tr>
        <w:trPr>
          <w:trHeight w:val="23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5"/>
              </w:rPr>
              <w:t>(17,046)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(19,859)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(17,046)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(19,859)</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(34,617)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(38,688)</w:t>
            </w:r>
          </w:p>
        </w:tc>
      </w:tr>
      <w:tr>
        <w:trPr>
          <w:trHeight w:val="223"/>
        </w:trPr>
        <w:tc>
          <w:tcPr>
            <w:tcW w:w="5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Financial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Financial expense</w:t>
            </w:r>
          </w:p>
        </w:tc>
        <w:tc>
          <w:tcPr>
            <w:tcW w:w="8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5260" w:type="dxa"/>
            <w:vAlign w:val="bottom"/>
          </w:tcPr>
          <w:p>
            <w:pPr>
              <w:ind w:left="120"/>
              <w:spacing w:after="0"/>
              <w:rPr>
                <w:sz w:val="20"/>
                <w:szCs w:val="20"/>
                <w:color w:val="auto"/>
              </w:rPr>
            </w:pPr>
            <w:r>
              <w:rPr>
                <w:rFonts w:ascii="Arial" w:cs="Arial" w:eastAsia="Arial" w:hAnsi="Arial"/>
                <w:sz w:val="18"/>
                <w:szCs w:val="18"/>
                <w:color w:val="auto"/>
              </w:rPr>
              <w:t>Exchange differences</w:t>
            </w:r>
          </w:p>
        </w:tc>
        <w:tc>
          <w:tcPr>
            <w:tcW w:w="120" w:type="dxa"/>
            <w:vAlign w:val="bottom"/>
          </w:tcPr>
          <w:p>
            <w:pPr>
              <w:spacing w:after="0"/>
              <w:rPr>
                <w:sz w:val="19"/>
                <w:szCs w:val="19"/>
                <w:color w:val="auto"/>
              </w:rPr>
            </w:pPr>
          </w:p>
        </w:tc>
        <w:tc>
          <w:tcPr>
            <w:tcW w:w="840" w:type="dxa"/>
            <w:vAlign w:val="bottom"/>
            <w:gridSpan w:val="3"/>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result, net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tax</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95"/>
              </w:rPr>
              <w:t>(16,830)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(19,640)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(34,340)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(38,482)</w:t>
            </w:r>
          </w:p>
        </w:tc>
      </w:tr>
      <w:tr>
        <w:trPr>
          <w:trHeight w:val="20"/>
        </w:trPr>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0"/>
                <w:szCs w:val="20"/>
                <w:color w:val="auto"/>
              </w:rPr>
            </w:pPr>
          </w:p>
        </w:tc>
        <w:tc>
          <w:tcPr>
            <w:tcW w:w="840" w:type="dxa"/>
            <w:vAlign w:val="bottom"/>
            <w:gridSpan w:val="3"/>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(16,833)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(19,643)</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(34,346)</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(38,489)</w:t>
            </w:r>
          </w:p>
        </w:tc>
      </w:tr>
      <w:tr>
        <w:trPr>
          <w:trHeight w:val="224"/>
        </w:trPr>
        <w:tc>
          <w:tcPr>
            <w:tcW w:w="526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(0.46)</w:t>
            </w:r>
          </w:p>
        </w:tc>
      </w:tr>
      <w:tr>
        <w:trPr>
          <w:trHeight w:val="440"/>
        </w:trPr>
        <w:tc>
          <w:tcPr>
            <w:tcW w:w="8140" w:type="dxa"/>
            <w:vAlign w:val="bottom"/>
            <w:gridSpan w:val="14"/>
          </w:tcPr>
          <w:p>
            <w:pPr>
              <w:ind w:left="1300"/>
              <w:spacing w:after="0"/>
              <w:rPr>
                <w:sz w:val="20"/>
                <w:szCs w:val="20"/>
                <w:color w:val="auto"/>
              </w:rPr>
            </w:pPr>
            <w:r>
              <w:rPr>
                <w:rFonts w:ascii="Arial" w:cs="Arial" w:eastAsia="Arial" w:hAnsi="Arial"/>
                <w:sz w:val="18"/>
                <w:szCs w:val="18"/>
                <w:b w:val="1"/>
                <w:bCs w:val="1"/>
                <w:color w:val="auto"/>
                <w:w w:val="95"/>
              </w:rPr>
              <w:t>Condensed Consolidated Statements of Comprehensive Income/(Loss) (Unaudited)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5380" w:type="dxa"/>
            <w:vAlign w:val="bottom"/>
            <w:gridSpan w:val="2"/>
          </w:tcPr>
          <w:p>
            <w:pPr>
              <w:ind w:left="3700"/>
              <w:spacing w:after="0"/>
              <w:rPr>
                <w:sz w:val="20"/>
                <w:szCs w:val="20"/>
                <w:color w:val="auto"/>
              </w:rPr>
            </w:pPr>
            <w:r>
              <w:rPr>
                <w:rFonts w:ascii="Arial" w:cs="Arial" w:eastAsia="Arial" w:hAnsi="Arial"/>
                <w:sz w:val="18"/>
                <w:szCs w:val="18"/>
                <w:b w:val="1"/>
                <w:bCs w:val="1"/>
                <w:color w:val="auto"/>
                <w:w w:val="99"/>
              </w:rPr>
              <w:t>(In CHF thousands)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80"/>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9"/>
              </w:rPr>
              <w:t>For the Three Months</w:t>
            </w:r>
          </w:p>
        </w:tc>
        <w:tc>
          <w:tcPr>
            <w:tcW w:w="160" w:type="dxa"/>
            <w:vAlign w:val="bottom"/>
          </w:tcPr>
          <w:p>
            <w:pPr>
              <w:spacing w:after="0"/>
              <w:rPr>
                <w:sz w:val="24"/>
                <w:szCs w:val="24"/>
                <w:color w:val="auto"/>
              </w:rPr>
            </w:pPr>
          </w:p>
        </w:tc>
        <w:tc>
          <w:tcPr>
            <w:tcW w:w="15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Six Months</w:t>
            </w:r>
          </w:p>
        </w:tc>
      </w:tr>
      <w:tr>
        <w:trPr>
          <w:trHeight w:val="188"/>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Ended June 30,</w:t>
            </w:r>
          </w:p>
        </w:tc>
        <w:tc>
          <w:tcPr>
            <w:tcW w:w="160" w:type="dxa"/>
            <w:vAlign w:val="bottom"/>
          </w:tcPr>
          <w:p>
            <w:pPr>
              <w:spacing w:after="0"/>
              <w:rPr>
                <w:sz w:val="16"/>
                <w:szCs w:val="16"/>
                <w:color w:val="auto"/>
              </w:rPr>
            </w:pPr>
          </w:p>
        </w:tc>
        <w:tc>
          <w:tcPr>
            <w:tcW w:w="15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Ended June 30,</w:t>
            </w:r>
          </w:p>
        </w:tc>
      </w:tr>
      <w:tr>
        <w:trPr>
          <w:trHeight w:val="181"/>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r>
      <w:tr>
        <w:trPr>
          <w:trHeight w:val="224"/>
        </w:trPr>
        <w:tc>
          <w:tcPr>
            <w:tcW w:w="5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for the period</w:t>
            </w:r>
          </w:p>
        </w:tc>
        <w:tc>
          <w:tcPr>
            <w:tcW w:w="2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(16,833)</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(19,643)</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(34,346)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(38,489)</w:t>
            </w: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w w:val="90"/>
              </w:rPr>
              <w:t>Items that will be reclassified to income or loss in subsequent periods (net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of tax):</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differences</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360" w:type="dxa"/>
            <w:vAlign w:val="bottom"/>
            <w:gridSpan w:val="7"/>
          </w:tcPr>
          <w:p>
            <w:pPr>
              <w:ind w:left="20"/>
              <w:spacing w:after="0"/>
              <w:rPr>
                <w:sz w:val="20"/>
                <w:szCs w:val="20"/>
                <w:color w:val="auto"/>
              </w:rPr>
            </w:pPr>
            <w:r>
              <w:rPr>
                <w:rFonts w:ascii="Arial" w:cs="Arial" w:eastAsia="Arial" w:hAnsi="Arial"/>
                <w:sz w:val="18"/>
                <w:szCs w:val="18"/>
                <w:color w:val="auto"/>
              </w:rPr>
              <w:t>Items that will not to be reclassified to income or loss in subsequent periods</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7"/>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6"/>
        </w:trPr>
        <w:tc>
          <w:tcPr>
            <w:tcW w:w="5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Remeasurement gains on defined-benefit plans</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7,381</w:t>
            </w:r>
          </w:p>
        </w:tc>
        <w:tc>
          <w:tcPr>
            <w:tcW w:w="1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7,381</w:t>
            </w:r>
          </w:p>
        </w:tc>
      </w:tr>
      <w:tr>
        <w:trPr>
          <w:trHeight w:val="223"/>
        </w:trPr>
        <w:tc>
          <w:tcPr>
            <w:tcW w:w="53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(16,841)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(12,223)</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(34,362)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(31,059)</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32"/>
        </w:trPr>
        <w:tc>
          <w:tcPr>
            <w:tcW w:w="5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lowerRoman"/>
      <w:start w:val="3"/>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6"/>
    </w:lvl>
  </w:abstractNum>
  <w:abstractNum w:abstractNumId="6">
    <w:nsid w:val="721DA317"/>
    <w:multiLevelType w:val="hybridMultilevel"/>
    <w:lvl w:ilvl="0">
      <w:lvlJc w:val="left"/>
      <w:lvlText w:val="%1."/>
      <w:numFmt w:val="decimal"/>
      <w:start w:val="7"/>
    </w:lvl>
  </w:abstractNum>
  <w:abstractNum w:abstractNumId="7">
    <w:nsid w:val="2443A858"/>
    <w:multiLevelType w:val="hybridMultilevel"/>
    <w:lvl w:ilvl="0">
      <w:lvlJc w:val="left"/>
      <w:lvlText w:val="%1."/>
      <w:numFmt w:val="decimal"/>
      <w:start w:val="9"/>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bullet"/>
      <w:start w:val="1"/>
    </w:lvl>
  </w:abstractNum>
  <w:abstractNum w:abstractNumId="13">
    <w:nsid w:val="4353D0CD"/>
    <w:multiLevelType w:val="hybridMultilevel"/>
    <w:lvl w:ilvl="0">
      <w:lvlJc w:val="left"/>
      <w:lvlText w:val="2"/>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bullet"/>
      <w:start w:val="1"/>
    </w:lvl>
  </w:abstractNum>
  <w:abstractNum w:abstractNumId="19">
    <w:nsid w:val="836C40E"/>
    <w:multiLevelType w:val="hybridMultilevel"/>
    <w:lvl w:ilvl="0">
      <w:lvlJc w:val="left"/>
      <w:lvlText w:val="2"/>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bullet"/>
      <w:start w:val="1"/>
    </w:lvl>
  </w:abstractNum>
  <w:abstractNum w:abstractNumId="25">
    <w:nsid w:val="737B8DDC"/>
    <w:multiLevelType w:val="hybridMultilevel"/>
    <w:lvl w:ilvl="0">
      <w:lvlJc w:val="left"/>
      <w:lvlText w:val="2"/>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bullet"/>
      <w:start w:val="1"/>
    </w:lvl>
  </w:abstractNum>
  <w:abstractNum w:abstractNumId="28">
    <w:nsid w:val="4516DDE9"/>
    <w:multiLevelType w:val="hybridMultilevel"/>
    <w:lvl w:ilvl="0">
      <w:lvlJc w:val="left"/>
      <w:lvlText w:val="2"/>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Roman"/>
      <w:start w:val="3"/>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
      <w:numFmt w:val="bullet"/>
      <w:start w:val="1"/>
    </w:lvl>
  </w:abstractNum>
  <w:abstractNum w:abstractNumId="34">
    <w:nsid w:val="5072367"/>
    <w:multiLevelType w:val="hybridMultilevel"/>
    <w:lvl w:ilvl="0">
      <w:lvlJc w:val="left"/>
      <w:lvlText w:val=" "/>
      <w:numFmt w:val="bullet"/>
      <w:start w:val="1"/>
    </w:lvl>
  </w:abstractNum>
  <w:abstractNum w:abstractNumId="35">
    <w:nsid w:val="3804823E"/>
    <w:multiLevelType w:val="hybridMultilevel"/>
    <w:lvl w:ilvl="0">
      <w:lvlJc w:val="left"/>
      <w:lvlText w:val=" "/>
      <w:numFmt w:val="bullet"/>
      <w:start w:val="1"/>
    </w:lvl>
  </w:abstractNum>
  <w:abstractNum w:abstractNumId="36">
    <w:nsid w:val="77465F0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2023-08-04T06:40:23Z</dcterms:created>
  <dcterms:modified xsi:type="dcterms:W3CDTF">2023-08-04T06:40:23Z</dcterms:modified>
</cp:coreProperties>
</file>