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For the month of October,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213995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2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6350</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6350</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6350</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478155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495300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657860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778" w:right="1440"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report on Form 6-K and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2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4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r>
        <w:trPr>
          <w:trHeight w:val="675"/>
        </w:trPr>
        <w:tc>
          <w:tcPr>
            <w:tcW w:w="460" w:type="dxa"/>
            <w:vAlign w:val="bottom"/>
          </w:tcPr>
          <w:p>
            <w:pPr>
              <w:ind w:left="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4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4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80" w:type="dxa"/>
            <w:vAlign w:val="bottom"/>
          </w:tcPr>
          <w:p>
            <w:pPr>
              <w:ind w:left="4140"/>
              <w:spacing w:after="0"/>
              <w:rPr>
                <w:sz w:val="20"/>
                <w:szCs w:val="20"/>
                <w:color w:val="auto"/>
              </w:rPr>
            </w:pPr>
            <w:r>
              <w:rPr>
                <w:rFonts w:ascii="Arial" w:cs="Arial" w:eastAsia="Arial" w:hAnsi="Arial"/>
                <w:sz w:val="18"/>
                <w:szCs w:val="18"/>
                <w:b w:val="1"/>
                <w:bCs w:val="1"/>
                <w:color w:val="auto"/>
              </w:rPr>
              <w:t>EXHIBIT INDEX</w:t>
            </w:r>
          </w:p>
        </w:tc>
        <w:tc>
          <w:tcPr>
            <w:tcW w:w="60" w:type="dxa"/>
            <w:vAlign w:val="bottom"/>
          </w:tcPr>
          <w:p>
            <w:pPr>
              <w:spacing w:after="0"/>
              <w:rPr>
                <w:sz w:val="20"/>
                <w:szCs w:val="20"/>
                <w:color w:val="auto"/>
              </w:rPr>
            </w:pPr>
          </w:p>
        </w:tc>
      </w:tr>
      <w:tr>
        <w:trPr>
          <w:trHeight w:val="481"/>
        </w:trPr>
        <w:tc>
          <w:tcPr>
            <w:tcW w:w="8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0480" w:type="dxa"/>
            <w:vAlign w:val="bottom"/>
            <w:tcBorders>
              <w:bottom w:val="single" w:sz="8" w:color="auto"/>
            </w:tcBorders>
          </w:tcPr>
          <w:p>
            <w:pPr>
              <w:ind w:left="4800"/>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0"/>
                <w:szCs w:val="20"/>
                <w:color w:val="auto"/>
              </w:rPr>
            </w:pPr>
          </w:p>
        </w:tc>
      </w:tr>
      <w:tr>
        <w:trPr>
          <w:trHeight w:val="345"/>
        </w:trPr>
        <w:tc>
          <w:tcPr>
            <w:tcW w:w="8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600" w:type="dxa"/>
            <w:vAlign w:val="bottom"/>
            <w:gridSpan w:val="2"/>
          </w:tcPr>
          <w:p>
            <w:pPr>
              <w:ind w:left="120"/>
              <w:spacing w:after="0"/>
              <w:rPr>
                <w:sz w:val="20"/>
                <w:szCs w:val="20"/>
                <w:color w:val="auto"/>
              </w:rPr>
            </w:pPr>
            <w:r>
              <w:rPr>
                <w:rFonts w:ascii="Arial" w:cs="Arial" w:eastAsia="Arial" w:hAnsi="Arial"/>
                <w:sz w:val="18"/>
                <w:szCs w:val="18"/>
                <w:color w:val="auto"/>
              </w:rPr>
              <w:t>Press Release dated October 22, 2018</w:t>
            </w:r>
          </w:p>
        </w:tc>
        <w:tc>
          <w:tcPr>
            <w:tcW w:w="60" w:type="dxa"/>
            <w:vAlign w:val="bottom"/>
          </w:tcPr>
          <w:p>
            <w:pPr>
              <w:spacing w:after="0"/>
              <w:rPr>
                <w:sz w:val="24"/>
                <w:szCs w:val="24"/>
                <w:color w:val="auto"/>
              </w:rPr>
            </w:pPr>
          </w:p>
        </w:tc>
      </w:tr>
      <w:tr>
        <w:trPr>
          <w:trHeight w:val="608"/>
        </w:trPr>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ind w:left="1022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6979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979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 Immune Announces Dr. Andreas Muhs, Chief Scientific Officer, to Take Medical Leave of Absence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October 22, 2018 </w:t>
      </w:r>
      <w:r>
        <w:rPr>
          <w:rFonts w:ascii="Arial" w:cs="Arial" w:eastAsia="Arial" w:hAnsi="Arial"/>
          <w:sz w:val="18"/>
          <w:szCs w:val="18"/>
          <w:color w:val="auto"/>
        </w:rPr>
        <w:t>– AC Immune SA (NASDAQ: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a broad pipeline focused on neurodegenerative diseases, today announced that Dr. Andreas Muhs, Chief Scientific Officer, will take a medical leave of absence, starting immediately. During the leave of absence, AC Immune’s research team will be led by Dr. David Lowe on an interim basis. Dr. Lowe has served as AC Immune’s Deputy Chief Scientific Officer and more recently as Innovation Fellow since January 2014. While he is on medical leave, Dr. Muhs will stay involved with AC Immune’s research team to the extent practical, and he will re-assume his role as soon as he has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 The most advanced of these is crenezumab, a humanized anti-amyloid-β monoclonal IgG4 antibody that targets monomeric and aggregated forms of amyloid-β, with highest affinity for neurotoxic oligomers. Crenezumab is currently in two Phase 3 clinical studies for AD, under a global program conducted by the collaboration partner Roche/Genentech. Other collaborations include Biogen, Janssen Pharmaceuticals, Nestlé Institute of Health Sciences, Piramal Imaging and Essex Bio-Technology.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gridSpan w:val="5"/>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0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In Europe</w:t>
            </w:r>
          </w:p>
        </w:tc>
        <w:tc>
          <w:tcPr>
            <w:tcW w:w="20" w:type="dxa"/>
            <w:vAlign w:val="bottom"/>
          </w:tcPr>
          <w:p>
            <w:pPr>
              <w:spacing w:after="0"/>
              <w:rPr>
                <w:sz w:val="16"/>
                <w:szCs w:val="16"/>
                <w:color w:val="auto"/>
              </w:rPr>
            </w:pPr>
          </w:p>
        </w:tc>
        <w:tc>
          <w:tcPr>
            <w:tcW w:w="59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In the US</w:t>
            </w:r>
          </w:p>
        </w:tc>
        <w:tc>
          <w:tcPr>
            <w:tcW w:w="0" w:type="dxa"/>
            <w:vAlign w:val="bottom"/>
          </w:tcPr>
          <w:p>
            <w:pPr>
              <w:spacing w:after="0"/>
              <w:rPr>
                <w:sz w:val="1"/>
                <w:szCs w:val="1"/>
                <w:color w:val="auto"/>
              </w:rPr>
            </w:pPr>
          </w:p>
        </w:tc>
      </w:tr>
      <w:tr>
        <w:trPr>
          <w:trHeight w:val="269"/>
        </w:trPr>
        <w:tc>
          <w:tcPr>
            <w:tcW w:w="5500" w:type="dxa"/>
            <w:vAlign w:val="bottom"/>
            <w:gridSpan w:val="5"/>
            <w:vMerge w:val="continue"/>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590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50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Beatrix Benz</w:t>
            </w:r>
          </w:p>
        </w:tc>
        <w:tc>
          <w:tcPr>
            <w:tcW w:w="20" w:type="dxa"/>
            <w:vAlign w:val="bottom"/>
            <w:shd w:val="clear" w:color="auto" w:fill="000000"/>
          </w:tcPr>
          <w:p>
            <w:pPr>
              <w:spacing w:after="0"/>
              <w:rPr>
                <w:sz w:val="17"/>
                <w:szCs w:val="17"/>
                <w:color w:val="auto"/>
              </w:rPr>
            </w:pPr>
          </w:p>
        </w:tc>
        <w:tc>
          <w:tcPr>
            <w:tcW w:w="59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Lisa Sher</w:t>
            </w:r>
          </w:p>
        </w:tc>
        <w:tc>
          <w:tcPr>
            <w:tcW w:w="0" w:type="dxa"/>
            <w:vAlign w:val="bottom"/>
          </w:tcPr>
          <w:p>
            <w:pPr>
              <w:spacing w:after="0"/>
              <w:rPr>
                <w:sz w:val="1"/>
                <w:szCs w:val="1"/>
                <w:color w:val="auto"/>
              </w:rPr>
            </w:pPr>
          </w:p>
        </w:tc>
      </w:tr>
      <w:tr>
        <w:trPr>
          <w:trHeight w:val="203"/>
        </w:trPr>
        <w:tc>
          <w:tcPr>
            <w:tcW w:w="550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AC Immune Corporate Communications</w:t>
            </w:r>
          </w:p>
        </w:tc>
        <w:tc>
          <w:tcPr>
            <w:tcW w:w="20" w:type="dxa"/>
            <w:vAlign w:val="bottom"/>
            <w:shd w:val="clear" w:color="auto" w:fill="000000"/>
          </w:tcPr>
          <w:p>
            <w:pPr>
              <w:spacing w:after="0"/>
              <w:rPr>
                <w:sz w:val="17"/>
                <w:szCs w:val="17"/>
                <w:color w:val="auto"/>
              </w:rPr>
            </w:pPr>
          </w:p>
        </w:tc>
        <w:tc>
          <w:tcPr>
            <w:tcW w:w="59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AC Immune Investor Relations</w:t>
            </w:r>
          </w:p>
        </w:tc>
        <w:tc>
          <w:tcPr>
            <w:tcW w:w="0" w:type="dxa"/>
            <w:vAlign w:val="bottom"/>
          </w:tcPr>
          <w:p>
            <w:pPr>
              <w:spacing w:after="0"/>
              <w:rPr>
                <w:sz w:val="1"/>
                <w:szCs w:val="1"/>
                <w:color w:val="auto"/>
              </w:rPr>
            </w:pPr>
          </w:p>
        </w:tc>
      </w:tr>
      <w:tr>
        <w:trPr>
          <w:trHeight w:val="203"/>
        </w:trPr>
        <w:tc>
          <w:tcPr>
            <w:tcW w:w="550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Phone: +41 21 345 91 34</w:t>
            </w:r>
          </w:p>
        </w:tc>
        <w:tc>
          <w:tcPr>
            <w:tcW w:w="20" w:type="dxa"/>
            <w:vAlign w:val="bottom"/>
            <w:shd w:val="clear" w:color="auto" w:fill="000000"/>
          </w:tcPr>
          <w:p>
            <w:pPr>
              <w:spacing w:after="0"/>
              <w:rPr>
                <w:sz w:val="17"/>
                <w:szCs w:val="17"/>
                <w:color w:val="auto"/>
              </w:rPr>
            </w:pPr>
          </w:p>
        </w:tc>
        <w:tc>
          <w:tcPr>
            <w:tcW w:w="59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+1 970 987 26 54</w:t>
            </w:r>
          </w:p>
        </w:tc>
        <w:tc>
          <w:tcPr>
            <w:tcW w:w="0" w:type="dxa"/>
            <w:vAlign w:val="bottom"/>
          </w:tcPr>
          <w:p>
            <w:pPr>
              <w:spacing w:after="0"/>
              <w:rPr>
                <w:sz w:val="1"/>
                <w:szCs w:val="1"/>
                <w:color w:val="auto"/>
              </w:rPr>
            </w:pPr>
          </w:p>
        </w:tc>
      </w:tr>
      <w:tr>
        <w:trPr>
          <w:trHeight w:val="176"/>
        </w:trPr>
        <w:tc>
          <w:tcPr>
            <w:tcW w:w="5500" w:type="dxa"/>
            <w:vAlign w:val="bottom"/>
            <w:gridSpan w:val="5"/>
          </w:tcPr>
          <w:p>
            <w:pPr>
              <w:ind w:left="8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beatrix.benz@acimmune.com</w:t>
            </w:r>
          </w:p>
        </w:tc>
        <w:tc>
          <w:tcPr>
            <w:tcW w:w="20" w:type="dxa"/>
            <w:vAlign w:val="bottom"/>
            <w:shd w:val="clear" w:color="auto" w:fill="000000"/>
          </w:tcPr>
          <w:p>
            <w:pPr>
              <w:spacing w:after="0"/>
              <w:rPr>
                <w:sz w:val="15"/>
                <w:szCs w:val="15"/>
                <w:color w:val="auto"/>
              </w:rPr>
            </w:pPr>
          </w:p>
        </w:tc>
        <w:tc>
          <w:tcPr>
            <w:tcW w:w="590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lisa.sher@acimmune.com</w:t>
            </w:r>
          </w:p>
        </w:tc>
        <w:tc>
          <w:tcPr>
            <w:tcW w:w="0" w:type="dxa"/>
            <w:vAlign w:val="bottom"/>
          </w:tcPr>
          <w:p>
            <w:pPr>
              <w:spacing w:after="0"/>
              <w:rPr>
                <w:sz w:val="1"/>
                <w:szCs w:val="1"/>
                <w:color w:val="auto"/>
              </w:rPr>
            </w:pP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500" w:type="dxa"/>
            <w:vAlign w:val="bottom"/>
            <w:gridSpan w:val="5"/>
          </w:tcPr>
          <w:p>
            <w:pPr>
              <w:ind w:left="80"/>
              <w:spacing w:after="0"/>
              <w:rPr>
                <w:sz w:val="20"/>
                <w:szCs w:val="20"/>
                <w:color w:val="auto"/>
              </w:rPr>
            </w:pPr>
            <w:r>
              <w:rPr>
                <w:rFonts w:ascii="Arial" w:cs="Arial" w:eastAsia="Arial" w:hAnsi="Arial"/>
                <w:sz w:val="18"/>
                <w:szCs w:val="18"/>
                <w:color w:val="auto"/>
              </w:rPr>
              <w:t>Nick Miles/Toomas Kull</w:t>
            </w:r>
          </w:p>
        </w:tc>
        <w:tc>
          <w:tcPr>
            <w:tcW w:w="20" w:type="dxa"/>
            <w:vAlign w:val="bottom"/>
            <w:shd w:val="clear" w:color="auto" w:fill="000000"/>
          </w:tcPr>
          <w:p>
            <w:pPr>
              <w:spacing w:after="0"/>
              <w:rPr>
                <w:sz w:val="24"/>
                <w:szCs w:val="24"/>
                <w:color w:val="auto"/>
              </w:rPr>
            </w:pPr>
          </w:p>
        </w:tc>
        <w:tc>
          <w:tcPr>
            <w:tcW w:w="5900" w:type="dxa"/>
            <w:vAlign w:val="bottom"/>
            <w:gridSpan w:val="4"/>
          </w:tcPr>
          <w:p>
            <w:pPr>
              <w:ind w:left="40"/>
              <w:spacing w:after="0"/>
              <w:rPr>
                <w:sz w:val="20"/>
                <w:szCs w:val="20"/>
                <w:color w:val="auto"/>
              </w:rPr>
            </w:pPr>
            <w:r>
              <w:rPr>
                <w:rFonts w:ascii="Arial" w:cs="Arial" w:eastAsia="Arial" w:hAnsi="Arial"/>
                <w:sz w:val="18"/>
                <w:szCs w:val="18"/>
                <w:color w:val="auto"/>
              </w:rPr>
              <w:t>Ted Agne</w:t>
            </w:r>
          </w:p>
        </w:tc>
        <w:tc>
          <w:tcPr>
            <w:tcW w:w="0" w:type="dxa"/>
            <w:vAlign w:val="bottom"/>
          </w:tcPr>
          <w:p>
            <w:pPr>
              <w:spacing w:after="0"/>
              <w:rPr>
                <w:sz w:val="1"/>
                <w:szCs w:val="1"/>
                <w:color w:val="auto"/>
              </w:rPr>
            </w:pPr>
          </w:p>
        </w:tc>
      </w:tr>
      <w:tr>
        <w:trPr>
          <w:trHeight w:val="203"/>
        </w:trPr>
        <w:tc>
          <w:tcPr>
            <w:tcW w:w="550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Cabinet Privé de Conseils s.a.</w:t>
            </w:r>
          </w:p>
        </w:tc>
        <w:tc>
          <w:tcPr>
            <w:tcW w:w="20" w:type="dxa"/>
            <w:vAlign w:val="bottom"/>
            <w:shd w:val="clear" w:color="auto" w:fill="000000"/>
          </w:tcPr>
          <w:p>
            <w:pPr>
              <w:spacing w:after="0"/>
              <w:rPr>
                <w:sz w:val="17"/>
                <w:szCs w:val="17"/>
                <w:color w:val="auto"/>
              </w:rPr>
            </w:pPr>
          </w:p>
        </w:tc>
        <w:tc>
          <w:tcPr>
            <w:tcW w:w="59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The Communications Strategy Group Inc.</w:t>
            </w:r>
          </w:p>
        </w:tc>
        <w:tc>
          <w:tcPr>
            <w:tcW w:w="0" w:type="dxa"/>
            <w:vAlign w:val="bottom"/>
          </w:tcPr>
          <w:p>
            <w:pPr>
              <w:spacing w:after="0"/>
              <w:rPr>
                <w:sz w:val="1"/>
                <w:szCs w:val="1"/>
                <w:color w:val="auto"/>
              </w:rPr>
            </w:pPr>
          </w:p>
        </w:tc>
      </w:tr>
      <w:tr>
        <w:trPr>
          <w:trHeight w:val="203"/>
        </w:trPr>
        <w:tc>
          <w:tcPr>
            <w:tcW w:w="550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Phone: +41 22 552 46 46</w:t>
            </w:r>
          </w:p>
        </w:tc>
        <w:tc>
          <w:tcPr>
            <w:tcW w:w="20" w:type="dxa"/>
            <w:vAlign w:val="bottom"/>
            <w:shd w:val="clear" w:color="auto" w:fill="000000"/>
          </w:tcPr>
          <w:p>
            <w:pPr>
              <w:spacing w:after="0"/>
              <w:rPr>
                <w:sz w:val="17"/>
                <w:szCs w:val="17"/>
                <w:color w:val="auto"/>
              </w:rPr>
            </w:pPr>
          </w:p>
        </w:tc>
        <w:tc>
          <w:tcPr>
            <w:tcW w:w="59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Phone: +1 781 631 3117</w:t>
            </w:r>
          </w:p>
        </w:tc>
        <w:tc>
          <w:tcPr>
            <w:tcW w:w="0" w:type="dxa"/>
            <w:vAlign w:val="bottom"/>
          </w:tcPr>
          <w:p>
            <w:pPr>
              <w:spacing w:after="0"/>
              <w:rPr>
                <w:sz w:val="1"/>
                <w:szCs w:val="1"/>
                <w:color w:val="auto"/>
              </w:rPr>
            </w:pPr>
          </w:p>
        </w:tc>
      </w:tr>
      <w:tr>
        <w:trPr>
          <w:trHeight w:val="176"/>
        </w:trPr>
        <w:tc>
          <w:tcPr>
            <w:tcW w:w="5500" w:type="dxa"/>
            <w:vAlign w:val="bottom"/>
            <w:gridSpan w:val="5"/>
          </w:tcPr>
          <w:p>
            <w:pPr>
              <w:ind w:left="8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miles@cpc-pr.com</w:t>
            </w:r>
          </w:p>
        </w:tc>
        <w:tc>
          <w:tcPr>
            <w:tcW w:w="20" w:type="dxa"/>
            <w:vAlign w:val="bottom"/>
            <w:shd w:val="clear" w:color="auto" w:fill="000000"/>
          </w:tcPr>
          <w:p>
            <w:pPr>
              <w:spacing w:after="0"/>
              <w:rPr>
                <w:sz w:val="15"/>
                <w:szCs w:val="15"/>
                <w:color w:val="auto"/>
              </w:rPr>
            </w:pPr>
          </w:p>
        </w:tc>
        <w:tc>
          <w:tcPr>
            <w:tcW w:w="5900" w:type="dxa"/>
            <w:vAlign w:val="bottom"/>
            <w:gridSpan w:val="4"/>
          </w:tcPr>
          <w:p>
            <w:pPr>
              <w:ind w:left="40"/>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edagne@comstratgroup.com</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Pr>
          <w:p>
            <w:pPr>
              <w:spacing w:after="0"/>
              <w:rPr>
                <w:sz w:val="15"/>
                <w:szCs w:val="15"/>
                <w:color w:val="auto"/>
              </w:rPr>
            </w:pPr>
          </w:p>
        </w:tc>
        <w:tc>
          <w:tcPr>
            <w:tcW w:w="4760" w:type="dxa"/>
            <w:vAlign w:val="bottom"/>
            <w:gridSpan w:val="4"/>
          </w:tcPr>
          <w:p>
            <w:pPr>
              <w:spacing w:after="0" w:line="182" w:lineRule="exact"/>
              <w:rPr>
                <w:sz w:val="20"/>
                <w:szCs w:val="20"/>
                <w:color w:val="auto"/>
              </w:rPr>
            </w:pPr>
            <w:r>
              <w:rPr>
                <w:rFonts w:ascii="Arial" w:cs="Arial" w:eastAsia="Arial" w:hAnsi="Arial"/>
                <w:sz w:val="18"/>
                <w:szCs w:val="18"/>
                <w:color w:val="0000FF"/>
              </w:rPr>
              <w:t>kull@cpc-pr.com</w:t>
            </w:r>
          </w:p>
        </w:tc>
        <w:tc>
          <w:tcPr>
            <w:tcW w:w="20" w:type="dxa"/>
            <w:vAlign w:val="bottom"/>
            <w:shd w:val="clear" w:color="auto" w:fill="000000"/>
          </w:tcPr>
          <w:p>
            <w:pPr>
              <w:spacing w:after="0"/>
              <w:rPr>
                <w:sz w:val="15"/>
                <w:szCs w:val="15"/>
                <w:color w:val="auto"/>
              </w:rPr>
            </w:pPr>
          </w:p>
        </w:tc>
        <w:tc>
          <w:tcPr>
            <w:tcW w:w="6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740" w:type="dxa"/>
            <w:vAlign w:val="bottom"/>
          </w:tcPr>
          <w:p>
            <w:pPr>
              <w:spacing w:after="0"/>
              <w:rPr>
                <w:sz w:val="6"/>
                <w:szCs w:val="6"/>
                <w:color w:val="auto"/>
              </w:rPr>
            </w:pPr>
          </w:p>
        </w:tc>
        <w:tc>
          <w:tcPr>
            <w:tcW w:w="1320" w:type="dxa"/>
            <w:vAlign w:val="bottom"/>
            <w:tcBorders>
              <w:top w:val="single" w:sz="8" w:color="0000FF"/>
            </w:tcBorders>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0" w:type="dxa"/>
            <w:vAlign w:val="bottom"/>
            <w:tcBorders>
              <w:top w:val="single" w:sz="8" w:color="auto"/>
            </w:tcBorders>
            <w:shd w:val="clear" w:color="auto" w:fill="000000"/>
          </w:tcPr>
          <w:p>
            <w:pPr>
              <w:spacing w:after="0"/>
              <w:rPr>
                <w:sz w:val="6"/>
                <w:szCs w:val="6"/>
                <w:color w:val="auto"/>
              </w:rPr>
            </w:pPr>
          </w:p>
        </w:tc>
        <w:tc>
          <w:tcPr>
            <w:tcW w:w="6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0"/>
        </w:trPr>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1449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sectPr>
      <w:pgSz w:w="11900" w:h="16838" w:orient="portrait"/>
      <w:cols w:equalWidth="0" w:num="1">
        <w:col w:w="11420"/>
      </w:cols>
      <w:pgMar w:left="240" w:top="5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2019-12-08T14:00:08Z</dcterms:created>
  <dcterms:modified xsi:type="dcterms:W3CDTF">2019-12-08T14:00:08Z</dcterms:modified>
</cp:coreProperties>
</file>